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1" w:rsidRPr="003A3355" w:rsidRDefault="00D33AE1" w:rsidP="00BC4FAF">
      <w:pPr>
        <w:spacing w:after="120"/>
        <w:jc w:val="center"/>
        <w:rPr>
          <w:rFonts w:ascii="Times New Roman Bold" w:hAnsi="Times New Roman Bold"/>
          <w:b/>
          <w:smallCaps/>
          <w:lang w:val="es-ES_tradnl"/>
        </w:rPr>
      </w:pPr>
      <w:r w:rsidRPr="003A3355">
        <w:rPr>
          <w:rFonts w:ascii="Times New Roman Bold" w:hAnsi="Times New Roman Bold"/>
          <w:b/>
          <w:smallCaps/>
          <w:lang w:val="es-ES_tradnl"/>
        </w:rPr>
        <w:t xml:space="preserve">Matriz de </w:t>
      </w:r>
      <w:r w:rsidR="004A29A2">
        <w:rPr>
          <w:rFonts w:ascii="Times New Roman Bold" w:hAnsi="Times New Roman Bold"/>
          <w:b/>
          <w:smallCaps/>
          <w:lang w:val="es-ES_tradnl"/>
        </w:rPr>
        <w:t>Medios de Verificación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2167"/>
        <w:gridCol w:w="2603"/>
        <w:gridCol w:w="2880"/>
        <w:gridCol w:w="2808"/>
      </w:tblGrid>
      <w:tr w:rsidR="007E294F" w:rsidRPr="00BC4FAF" w:rsidTr="00000B2F">
        <w:trPr>
          <w:tblHeader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4559B2" w:rsidRPr="00BC4FAF" w:rsidRDefault="004559B2" w:rsidP="00BC4FAF">
            <w:pPr>
              <w:pStyle w:val="NoSpacing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4559B2" w:rsidRPr="00BC4FAF" w:rsidRDefault="004559B2" w:rsidP="00BC4FAF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Institución responsable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7232F" w:rsidRPr="00BC4FAF" w:rsidRDefault="004559B2" w:rsidP="00BC4FAF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 xml:space="preserve">Compromisos </w:t>
            </w:r>
            <w:r w:rsidR="00401C8B" w:rsidRPr="00BC4FAF">
              <w:rPr>
                <w:b/>
                <w:sz w:val="20"/>
                <w:szCs w:val="20"/>
                <w:lang w:val="es-ES"/>
              </w:rPr>
              <w:t>para la tercera operación</w:t>
            </w:r>
            <w:r w:rsidRPr="00BC4FAF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4559B2" w:rsidRPr="00BC4FAF" w:rsidRDefault="004559B2" w:rsidP="000D7DEF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(201</w:t>
            </w:r>
            <w:r w:rsidR="00D34584" w:rsidRPr="00BC4FAF">
              <w:rPr>
                <w:b/>
                <w:sz w:val="20"/>
                <w:szCs w:val="20"/>
                <w:lang w:val="es-ES"/>
              </w:rPr>
              <w:t>4</w:t>
            </w:r>
            <w:r w:rsidRPr="00BC4FAF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4559B2" w:rsidRPr="00BC4FAF" w:rsidRDefault="00B752D5" w:rsidP="00BC4FAF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Medios de Verificación</w:t>
            </w:r>
          </w:p>
          <w:p w:rsidR="004559B2" w:rsidRPr="00BC4FAF" w:rsidRDefault="004559B2" w:rsidP="00BC4FAF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559B2" w:rsidRPr="00BC4FAF" w:rsidRDefault="00B752D5" w:rsidP="00BC4FA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Situación Actual</w:t>
            </w:r>
          </w:p>
          <w:p w:rsidR="004559B2" w:rsidRPr="00BC4FAF" w:rsidRDefault="004559B2" w:rsidP="00BC4FA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210E7" w:rsidRPr="00BC4FAF" w:rsidTr="00000B2F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210E7" w:rsidRPr="00BC4FAF" w:rsidRDefault="007210E7" w:rsidP="0050270B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Sostenibilidad Macroeconómica</w:t>
            </w:r>
          </w:p>
        </w:tc>
      </w:tr>
      <w:tr w:rsidR="007E294F" w:rsidRPr="005E0305" w:rsidTr="00000B2F">
        <w:tc>
          <w:tcPr>
            <w:tcW w:w="802" w:type="pct"/>
            <w:tcBorders>
              <w:left w:val="single" w:sz="4" w:space="0" w:color="auto"/>
              <w:bottom w:val="single" w:sz="4" w:space="0" w:color="auto"/>
            </w:tcBorders>
          </w:tcPr>
          <w:p w:rsidR="004559B2" w:rsidRPr="00BC4FAF" w:rsidRDefault="004559B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Mantener un entorno macroeconómico conducente al crecimiento y mejor productividad de las empresas.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559B2" w:rsidRPr="00BC4FAF" w:rsidRDefault="004415B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MEF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4559B2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El marco de políticas macroeconómicas sigue siendo congruente con los lineamientos establecidos en la carta de política sectorial.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4559B2" w:rsidRDefault="005E030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Carta de Políticas</w:t>
            </w:r>
          </w:p>
          <w:p w:rsidR="005E0305" w:rsidRPr="00BC4FAF" w:rsidRDefault="005E030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IAMC vig</w:t>
            </w:r>
            <w:bookmarkStart w:id="0" w:name="_GoBack"/>
            <w:bookmarkEnd w:id="0"/>
            <w:r>
              <w:rPr>
                <w:sz w:val="20"/>
                <w:szCs w:val="20"/>
                <w:lang w:val="es-ES"/>
              </w:rPr>
              <w:t>ente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</w:tcPr>
          <w:p w:rsidR="004559B2" w:rsidRPr="00BC4FAF" w:rsidRDefault="005E030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</w:p>
        </w:tc>
      </w:tr>
      <w:tr w:rsidR="007210E7" w:rsidRPr="00BC4FAF" w:rsidTr="00000B2F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210E7" w:rsidRPr="00BC4FAF" w:rsidRDefault="00ED0354" w:rsidP="00BC4FAF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>Entorno de negocios</w:t>
            </w:r>
          </w:p>
        </w:tc>
      </w:tr>
      <w:tr w:rsidR="007E294F" w:rsidRPr="00557EC6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</w:tcPr>
          <w:p w:rsidR="005C3455" w:rsidRPr="00BC4FAF" w:rsidRDefault="00E7232F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A.</w:t>
            </w:r>
            <w:r w:rsidR="008E5296" w:rsidRPr="00BC4FAF">
              <w:rPr>
                <w:b/>
                <w:smallCaps/>
                <w:sz w:val="20"/>
                <w:szCs w:val="20"/>
                <w:lang w:val="es-ES"/>
              </w:rPr>
              <w:t xml:space="preserve"> </w:t>
            </w:r>
            <w:r w:rsidR="008E5296" w:rsidRPr="00BC4FAF">
              <w:rPr>
                <w:b/>
                <w:smallCaps/>
                <w:sz w:val="20"/>
                <w:szCs w:val="20"/>
                <w:lang w:val="es-ES"/>
              </w:rPr>
              <w:tab/>
            </w:r>
            <w:r w:rsidRPr="00BC4FAF">
              <w:rPr>
                <w:sz w:val="20"/>
                <w:szCs w:val="20"/>
                <w:lang w:val="es-ES"/>
              </w:rPr>
              <w:t xml:space="preserve">Reducir el tiempo y costo de los trámites para la </w:t>
            </w:r>
            <w:r w:rsidR="00BF7047" w:rsidRPr="00BC4FAF">
              <w:rPr>
                <w:sz w:val="20"/>
                <w:szCs w:val="20"/>
                <w:lang w:val="es-ES"/>
              </w:rPr>
              <w:t xml:space="preserve">constitución </w:t>
            </w:r>
            <w:r w:rsidRPr="00BC4FAF">
              <w:rPr>
                <w:sz w:val="20"/>
                <w:szCs w:val="20"/>
                <w:lang w:val="es-ES"/>
              </w:rPr>
              <w:t>de empresas y el registro de propiedad</w:t>
            </w:r>
            <w:r w:rsidR="00505E3F" w:rsidRPr="00BC4FAF">
              <w:rPr>
                <w:sz w:val="20"/>
                <w:szCs w:val="20"/>
                <w:lang w:val="es-ES"/>
              </w:rPr>
              <w:t xml:space="preserve"> inmueble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E7232F" w:rsidRPr="00BC4FAF" w:rsidDel="00C80A39" w:rsidRDefault="00E7486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SUNARP</w:t>
            </w:r>
            <w:r w:rsidR="00056F0B" w:rsidRPr="00BC4FAF">
              <w:rPr>
                <w:sz w:val="20"/>
                <w:szCs w:val="20"/>
                <w:lang w:val="es-ES"/>
              </w:rPr>
              <w:t>/ MEF(CNC)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E7232F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Plataforma en línea utilizando partes electrónicos y firma digital para la constitución de empresas</w:t>
            </w:r>
            <w:r w:rsidR="00E7486E" w:rsidRPr="00BC4FAF">
              <w:rPr>
                <w:sz w:val="20"/>
                <w:szCs w:val="20"/>
                <w:lang w:val="es-ES"/>
              </w:rPr>
              <w:t xml:space="preserve"> en línea</w:t>
            </w:r>
            <w:r w:rsidRPr="00BC4FAF">
              <w:rPr>
                <w:sz w:val="20"/>
                <w:szCs w:val="20"/>
                <w:lang w:val="es-ES"/>
              </w:rPr>
              <w:t xml:space="preserve">, implementada por SUNARP a nivel nacional. 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0216B5" w:rsidRPr="00BC4FAF" w:rsidRDefault="000216B5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Acta de conformidad de SUNARP del producto final </w:t>
            </w:r>
            <w:r w:rsidR="00EB3DDA">
              <w:rPr>
                <w:sz w:val="20"/>
                <w:szCs w:val="20"/>
                <w:lang w:val="es-ES"/>
              </w:rPr>
              <w:t xml:space="preserve">de </w:t>
            </w:r>
            <w:r w:rsidRPr="00BC4FAF">
              <w:rPr>
                <w:sz w:val="20"/>
                <w:szCs w:val="20"/>
                <w:lang w:val="es-ES"/>
              </w:rPr>
              <w:t>la consultoría que desarrolló la plataforma.</w:t>
            </w:r>
          </w:p>
          <w:p w:rsidR="000216B5" w:rsidRPr="00BC4FAF" w:rsidRDefault="000216B5" w:rsidP="00BC4FAF">
            <w:pPr>
              <w:rPr>
                <w:sz w:val="20"/>
                <w:szCs w:val="20"/>
                <w:lang w:val="es-ES"/>
              </w:rPr>
            </w:pPr>
          </w:p>
          <w:p w:rsidR="000216B5" w:rsidRPr="00BC4FAF" w:rsidRDefault="00D6488E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>upremo N° 007-2014-JUS publicado el 13 set.14,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A7513E" w:rsidRPr="00BC4FAF">
              <w:rPr>
                <w:sz w:val="20"/>
                <w:szCs w:val="20"/>
                <w:lang w:val="es-ES"/>
              </w:rPr>
              <w:t xml:space="preserve">que designa a SUNARP como responsable de </w:t>
            </w:r>
            <w:r>
              <w:rPr>
                <w:sz w:val="20"/>
                <w:szCs w:val="20"/>
                <w:lang w:val="es-ES"/>
              </w:rPr>
              <w:t>administrar el Sistema de Constitución de Empresas en Línea</w:t>
            </w:r>
            <w:r w:rsidR="000216B5" w:rsidRPr="00BC4FAF">
              <w:rPr>
                <w:sz w:val="20"/>
                <w:szCs w:val="20"/>
                <w:lang w:val="es-ES"/>
              </w:rPr>
              <w:t>.</w:t>
            </w:r>
          </w:p>
          <w:p w:rsidR="000216B5" w:rsidRPr="00BC4FAF" w:rsidRDefault="000216B5" w:rsidP="00BC4FAF">
            <w:pPr>
              <w:rPr>
                <w:sz w:val="20"/>
                <w:szCs w:val="20"/>
                <w:lang w:val="es-ES"/>
              </w:rPr>
            </w:pPr>
          </w:p>
          <w:p w:rsidR="000216B5" w:rsidRPr="00BC4FAF" w:rsidRDefault="00A7513E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Resolución de</w:t>
            </w:r>
            <w:r w:rsidR="00557EC6">
              <w:rPr>
                <w:sz w:val="20"/>
                <w:szCs w:val="20"/>
                <w:lang w:val="es-ES"/>
              </w:rPr>
              <w:t>l</w:t>
            </w:r>
            <w:r w:rsidRPr="00BC4FAF">
              <w:rPr>
                <w:sz w:val="20"/>
                <w:szCs w:val="20"/>
                <w:lang w:val="es-ES"/>
              </w:rPr>
              <w:t xml:space="preserve"> Superintenden</w:t>
            </w:r>
            <w:r w:rsidR="00557EC6">
              <w:rPr>
                <w:sz w:val="20"/>
                <w:szCs w:val="20"/>
                <w:lang w:val="es-ES"/>
              </w:rPr>
              <w:t>te</w:t>
            </w:r>
            <w:r w:rsidRPr="00BC4FAF">
              <w:rPr>
                <w:sz w:val="20"/>
                <w:szCs w:val="20"/>
                <w:lang w:val="es-ES"/>
              </w:rPr>
              <w:t xml:space="preserve"> Nacional </w:t>
            </w:r>
            <w:r w:rsidR="00557EC6">
              <w:rPr>
                <w:sz w:val="20"/>
                <w:szCs w:val="20"/>
                <w:lang w:val="es-ES"/>
              </w:rPr>
              <w:t xml:space="preserve">de los Registros Públicos N° 234-2014-SUNARP/SN del 17 set.14, </w:t>
            </w:r>
            <w:r w:rsidRPr="00BC4FAF">
              <w:rPr>
                <w:sz w:val="20"/>
                <w:szCs w:val="20"/>
                <w:lang w:val="es-ES"/>
              </w:rPr>
              <w:t xml:space="preserve">que aprueba </w:t>
            </w:r>
            <w:r w:rsidR="00534186">
              <w:rPr>
                <w:sz w:val="20"/>
                <w:szCs w:val="20"/>
                <w:lang w:val="es-ES"/>
              </w:rPr>
              <w:t>la Directiva N° 004-2014-SUNARP/SN, Directiva que regula la presentación electrónica del parte notarial con firma digital en el marco de la infraestructura oficial de firma electrónica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BE" w:rsidRPr="00BC4FAF" w:rsidRDefault="00796991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Cumplido </w:t>
            </w:r>
          </w:p>
          <w:p w:rsidR="00796991" w:rsidRPr="00BC4FAF" w:rsidRDefault="0079699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96991" w:rsidRPr="00BC4FAF" w:rsidRDefault="0079699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B383D" w:rsidRPr="00BC4FAF" w:rsidRDefault="00FB383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96991" w:rsidRPr="00BC4FAF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796991" w:rsidRPr="00BC4FAF">
              <w:rPr>
                <w:sz w:val="20"/>
                <w:szCs w:val="20"/>
                <w:lang w:val="es-ES"/>
              </w:rPr>
              <w:t>.</w:t>
            </w:r>
          </w:p>
          <w:p w:rsidR="00796991" w:rsidRPr="00BC4FAF" w:rsidRDefault="0079699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488E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488E" w:rsidRPr="00BC4FAF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96991" w:rsidRPr="00BC4FAF" w:rsidRDefault="00534186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74397B" w:rsidRPr="00BC4FAF">
              <w:rPr>
                <w:sz w:val="20"/>
                <w:szCs w:val="20"/>
                <w:lang w:val="es-ES"/>
              </w:rPr>
              <w:t>.</w:t>
            </w:r>
          </w:p>
        </w:tc>
      </w:tr>
      <w:tr w:rsidR="007E294F" w:rsidRPr="00BC4FAF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2F" w:rsidRPr="00BC4FAF" w:rsidRDefault="004559B2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B.</w:t>
            </w:r>
            <w:r w:rsidR="00631664" w:rsidRPr="00BC4FAF">
              <w:rPr>
                <w:b/>
                <w:smallCaps/>
                <w:sz w:val="20"/>
                <w:szCs w:val="20"/>
                <w:lang w:val="es-ES"/>
              </w:rPr>
              <w:t xml:space="preserve"> </w:t>
            </w:r>
            <w:r w:rsidR="00631664" w:rsidRPr="00BC4FAF">
              <w:rPr>
                <w:b/>
                <w:smallCaps/>
                <w:sz w:val="20"/>
                <w:szCs w:val="20"/>
                <w:lang w:val="es-ES"/>
              </w:rPr>
              <w:tab/>
            </w:r>
            <w:r w:rsidRPr="00BC4FAF">
              <w:rPr>
                <w:sz w:val="20"/>
                <w:szCs w:val="20"/>
                <w:lang w:val="es-ES"/>
              </w:rPr>
              <w:t xml:space="preserve">Reducir los trámites y tiempos para la realización de las inspecciones </w:t>
            </w:r>
            <w:r w:rsidRPr="00BC4FAF">
              <w:rPr>
                <w:sz w:val="20"/>
                <w:szCs w:val="20"/>
                <w:lang w:val="es-ES"/>
              </w:rPr>
              <w:lastRenderedPageBreak/>
              <w:t xml:space="preserve">técnicas de seguridad </w:t>
            </w:r>
            <w:r w:rsidR="004A2FD1" w:rsidRPr="00BC4FAF">
              <w:rPr>
                <w:sz w:val="20"/>
                <w:szCs w:val="20"/>
                <w:lang w:val="es-ES"/>
              </w:rPr>
              <w:t>en edificaciones</w:t>
            </w:r>
            <w:r w:rsidR="004A2FD1" w:rsidRPr="00BC4FAF">
              <w:rPr>
                <w:rStyle w:val="FootnoteReference"/>
                <w:sz w:val="20"/>
                <w:szCs w:val="20"/>
                <w:lang w:val="es-ES"/>
              </w:rPr>
              <w:footnoteReference w:id="1"/>
            </w:r>
            <w:r w:rsidR="004A2FD1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>previas a la obtención de la licencia de funcionamien</w:t>
            </w:r>
            <w:r w:rsidR="00BC4FAF" w:rsidRPr="00BC4FAF">
              <w:rPr>
                <w:sz w:val="20"/>
                <w:szCs w:val="20"/>
                <w:lang w:val="es-ES"/>
              </w:rPr>
              <w:t>to.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4559B2" w:rsidRPr="00BC4FAF" w:rsidDel="00C80A39" w:rsidRDefault="00CE6DA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 xml:space="preserve">MEF (CNC) / INDECI / </w:t>
            </w:r>
            <w:r w:rsidR="00EC17B7" w:rsidRPr="00BC4FAF">
              <w:rPr>
                <w:sz w:val="20"/>
                <w:szCs w:val="20"/>
                <w:lang w:val="es-ES"/>
              </w:rPr>
              <w:t xml:space="preserve">CENEPRED/ </w:t>
            </w:r>
            <w:r w:rsidRPr="00BC4FAF">
              <w:rPr>
                <w:sz w:val="20"/>
                <w:szCs w:val="20"/>
                <w:lang w:val="es-ES"/>
              </w:rPr>
              <w:t>PCM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041BEB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El CENEPRED ejerce sus nuevas funciones como ente competente para proponer lineamientos y normas en inspecciones técnicas de </w:t>
            </w:r>
            <w:r w:rsidRPr="00BC4FAF">
              <w:rPr>
                <w:sz w:val="20"/>
                <w:szCs w:val="20"/>
                <w:lang w:val="es-ES"/>
              </w:rPr>
              <w:lastRenderedPageBreak/>
              <w:t xml:space="preserve">seguridad en </w:t>
            </w:r>
            <w:r w:rsidR="004A2FD1" w:rsidRPr="00BC4FAF">
              <w:rPr>
                <w:sz w:val="20"/>
                <w:szCs w:val="20"/>
                <w:lang w:val="es-ES"/>
              </w:rPr>
              <w:t>edificaciones (ITSE)</w:t>
            </w:r>
            <w:r w:rsidRPr="00BC4FAF">
              <w:rPr>
                <w:sz w:val="20"/>
                <w:szCs w:val="20"/>
                <w:lang w:val="es-ES"/>
              </w:rPr>
              <w:t>, de acuerdo a los requerimientos de la nueva Ley del Sistema Nacional de Gestión de Riesgos de Desastres.</w:t>
            </w:r>
          </w:p>
          <w:p w:rsidR="00041BEB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4559B2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Nuevo procedimiento </w:t>
            </w:r>
            <w:r w:rsidR="004265C0" w:rsidRPr="00BC4FAF">
              <w:rPr>
                <w:sz w:val="20"/>
                <w:szCs w:val="20"/>
                <w:lang w:val="es-ES"/>
              </w:rPr>
              <w:t xml:space="preserve">administrativo </w:t>
            </w:r>
            <w:r w:rsidRPr="00BC4FAF">
              <w:rPr>
                <w:sz w:val="20"/>
                <w:szCs w:val="20"/>
                <w:lang w:val="es-ES"/>
              </w:rPr>
              <w:t xml:space="preserve">para </w:t>
            </w:r>
            <w:r w:rsidR="002250BD" w:rsidRPr="00BC4FAF">
              <w:rPr>
                <w:sz w:val="20"/>
                <w:szCs w:val="20"/>
                <w:lang w:val="es-ES"/>
              </w:rPr>
              <w:t>ITSE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D7413B" w:rsidRPr="00BC4FAF">
              <w:rPr>
                <w:sz w:val="20"/>
                <w:szCs w:val="20"/>
                <w:lang w:val="es-ES"/>
              </w:rPr>
              <w:t>vigente</w:t>
            </w:r>
            <w:r w:rsidR="009A7D96" w:rsidRPr="00BC4FAF">
              <w:rPr>
                <w:sz w:val="20"/>
                <w:szCs w:val="20"/>
                <w:lang w:val="es-ES"/>
              </w:rPr>
              <w:t>, que incluye: reducción de plazos de cada etapa del procedimiento, simplificación de requisitos para presentación de la solicitud,</w:t>
            </w:r>
            <w:r w:rsidR="00EA62C3" w:rsidRPr="00BC4FAF">
              <w:rPr>
                <w:sz w:val="20"/>
                <w:szCs w:val="20"/>
                <w:lang w:val="es-ES"/>
              </w:rPr>
              <w:t xml:space="preserve"> nuevos procedimientos para que los inspectores garanticen un nivel adecuado para obtener la certificación y acreditación</w:t>
            </w:r>
            <w:r w:rsidR="005A755B" w:rsidRPr="00BC4FAF">
              <w:rPr>
                <w:sz w:val="20"/>
                <w:szCs w:val="20"/>
                <w:lang w:val="es-ES"/>
              </w:rPr>
              <w:t xml:space="preserve">, </w:t>
            </w:r>
            <w:r w:rsidR="001E45F6" w:rsidRPr="00BC4FAF">
              <w:rPr>
                <w:sz w:val="20"/>
                <w:szCs w:val="20"/>
                <w:lang w:val="es-ES"/>
              </w:rPr>
              <w:t xml:space="preserve">y </w:t>
            </w:r>
            <w:r w:rsidR="005A755B" w:rsidRPr="00BC4FAF">
              <w:rPr>
                <w:sz w:val="20"/>
                <w:szCs w:val="20"/>
                <w:lang w:val="es-ES"/>
              </w:rPr>
              <w:t>facultades para delegar vía convenio la ejecución del procedimiento ITSE de detalle</w:t>
            </w:r>
            <w:r w:rsidR="00C52B92" w:rsidRPr="00BC4FAF">
              <w:rPr>
                <w:sz w:val="20"/>
                <w:szCs w:val="20"/>
                <w:lang w:val="es-ES"/>
              </w:rPr>
              <w:t>,</w:t>
            </w:r>
            <w:r w:rsidR="002250BD" w:rsidRPr="00BC4FAF">
              <w:rPr>
                <w:sz w:val="20"/>
                <w:szCs w:val="20"/>
                <w:lang w:val="es-ES"/>
              </w:rPr>
              <w:t xml:space="preserve"> y</w:t>
            </w:r>
            <w:r w:rsidR="00C52B92" w:rsidRPr="00BC4FAF">
              <w:rPr>
                <w:sz w:val="20"/>
                <w:szCs w:val="20"/>
                <w:lang w:val="es-ES"/>
              </w:rPr>
              <w:t xml:space="preserve"> la </w:t>
            </w:r>
            <w:r w:rsidR="000E2DF8" w:rsidRPr="00BC4FAF">
              <w:rPr>
                <w:sz w:val="20"/>
                <w:szCs w:val="20"/>
                <w:lang w:val="es-ES"/>
              </w:rPr>
              <w:t>facultad</w:t>
            </w:r>
            <w:r w:rsidR="00C52B92" w:rsidRPr="00BC4FAF">
              <w:rPr>
                <w:sz w:val="20"/>
                <w:szCs w:val="20"/>
                <w:lang w:val="es-ES"/>
              </w:rPr>
              <w:t xml:space="preserve"> de prestación de servicios por parte de los inspectores a nivel nacional.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2273BA" w:rsidRPr="00BC4FAF" w:rsidRDefault="00D779E2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>D</w:t>
            </w:r>
            <w:r w:rsidR="00A65955" w:rsidRPr="00BC4FAF"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 w:rsidR="00A65955" w:rsidRPr="00BC4FAF">
              <w:rPr>
                <w:sz w:val="20"/>
                <w:szCs w:val="20"/>
                <w:lang w:val="es-ES"/>
              </w:rPr>
              <w:t>upremo N°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EF4473" w:rsidRPr="00BC4FAF">
              <w:rPr>
                <w:sz w:val="20"/>
                <w:szCs w:val="20"/>
                <w:lang w:val="es-ES"/>
              </w:rPr>
              <w:t xml:space="preserve">043-2013-PCM </w:t>
            </w:r>
            <w:r w:rsidRPr="00BC4FAF">
              <w:rPr>
                <w:sz w:val="20"/>
                <w:szCs w:val="20"/>
                <w:lang w:val="es-ES"/>
              </w:rPr>
              <w:t>que aprueba el ROF del INDECI</w:t>
            </w:r>
            <w:r w:rsidR="00A65955" w:rsidRPr="00BC4FAF">
              <w:rPr>
                <w:sz w:val="20"/>
                <w:szCs w:val="20"/>
                <w:lang w:val="es-ES"/>
              </w:rPr>
              <w:t>, publicado el 19 abr.13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D779E2" w:rsidRPr="00BC4FAF" w:rsidRDefault="00D779E2" w:rsidP="00BC4FAF">
            <w:pPr>
              <w:rPr>
                <w:sz w:val="20"/>
                <w:szCs w:val="20"/>
                <w:lang w:val="es-ES"/>
              </w:rPr>
            </w:pPr>
          </w:p>
          <w:p w:rsidR="00D779E2" w:rsidRPr="00BC4FAF" w:rsidRDefault="00D779E2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Informe del CENEPRED </w:t>
            </w:r>
            <w:r w:rsidRPr="00BC4FAF">
              <w:rPr>
                <w:sz w:val="20"/>
                <w:szCs w:val="20"/>
                <w:lang w:val="es-ES"/>
              </w:rPr>
              <w:lastRenderedPageBreak/>
              <w:t xml:space="preserve">describiendo las actividades que están realizando como ente </w:t>
            </w:r>
            <w:r w:rsidR="00EF4473" w:rsidRPr="00BC4FAF">
              <w:rPr>
                <w:sz w:val="20"/>
                <w:szCs w:val="20"/>
                <w:lang w:val="es-ES"/>
              </w:rPr>
              <w:t>técnico</w:t>
            </w:r>
            <w:r w:rsidR="00035E0C" w:rsidRPr="00BC4FAF">
              <w:rPr>
                <w:sz w:val="20"/>
                <w:szCs w:val="20"/>
                <w:lang w:val="es-ES"/>
              </w:rPr>
              <w:t>-normativo</w:t>
            </w:r>
            <w:r w:rsidR="00EF4473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>del sistema</w:t>
            </w:r>
            <w:r w:rsidR="00B962FD" w:rsidRPr="00BC4FAF">
              <w:rPr>
                <w:sz w:val="20"/>
                <w:szCs w:val="20"/>
                <w:lang w:val="es-ES"/>
              </w:rPr>
              <w:t>, remitido mediante Oficio N° 348-2014-CENEPRED del 03 jun.14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5D13E5" w:rsidRPr="00BC4FAF" w:rsidRDefault="005D13E5" w:rsidP="00BC4FAF">
            <w:pPr>
              <w:rPr>
                <w:sz w:val="20"/>
                <w:szCs w:val="20"/>
                <w:lang w:val="es-ES"/>
              </w:rPr>
            </w:pPr>
          </w:p>
          <w:p w:rsidR="00183599" w:rsidRPr="00BC4FAF" w:rsidRDefault="00D6488E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>upremo N° 058-2014-PCM publicado el 14 set.14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183599" w:rsidRPr="00BC4FAF">
              <w:rPr>
                <w:sz w:val="20"/>
                <w:szCs w:val="20"/>
                <w:lang w:val="es-ES"/>
              </w:rPr>
              <w:t xml:space="preserve"> que aprueba el nuevo reglamento de </w:t>
            </w:r>
            <w:r>
              <w:rPr>
                <w:sz w:val="20"/>
                <w:szCs w:val="20"/>
                <w:lang w:val="es-ES"/>
              </w:rPr>
              <w:t>I</w:t>
            </w:r>
            <w:r w:rsidRPr="00BC4FAF">
              <w:rPr>
                <w:sz w:val="20"/>
                <w:szCs w:val="20"/>
                <w:lang w:val="es-ES"/>
              </w:rPr>
              <w:t xml:space="preserve">nspecciones </w:t>
            </w:r>
            <w:r>
              <w:rPr>
                <w:sz w:val="20"/>
                <w:szCs w:val="20"/>
                <w:lang w:val="es-ES"/>
              </w:rPr>
              <w:t>T</w:t>
            </w:r>
            <w:r w:rsidR="00183599" w:rsidRPr="00BC4FAF">
              <w:rPr>
                <w:sz w:val="20"/>
                <w:szCs w:val="20"/>
                <w:lang w:val="es-ES"/>
              </w:rPr>
              <w:t>écnicas</w:t>
            </w:r>
            <w:r>
              <w:rPr>
                <w:sz w:val="20"/>
                <w:szCs w:val="20"/>
                <w:lang w:val="es-ES"/>
              </w:rPr>
              <w:t xml:space="preserve"> de Seguridad en Edificaciones</w:t>
            </w:r>
            <w:r w:rsidR="00183599" w:rsidRPr="00BC4FAF">
              <w:rPr>
                <w:sz w:val="20"/>
                <w:szCs w:val="20"/>
                <w:lang w:val="es-ES"/>
              </w:rPr>
              <w:t>.</w:t>
            </w:r>
          </w:p>
          <w:p w:rsidR="00183599" w:rsidRPr="00BC4FAF" w:rsidRDefault="00183599" w:rsidP="00BC4FAF">
            <w:pPr>
              <w:rPr>
                <w:sz w:val="20"/>
                <w:szCs w:val="20"/>
                <w:lang w:val="es-ES"/>
              </w:rPr>
            </w:pPr>
          </w:p>
          <w:p w:rsidR="00183599" w:rsidRPr="00BC4FAF" w:rsidRDefault="00183599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Ley</w:t>
            </w:r>
            <w:r w:rsidR="00D34126">
              <w:rPr>
                <w:sz w:val="20"/>
                <w:szCs w:val="20"/>
                <w:lang w:val="es-ES"/>
              </w:rPr>
              <w:t xml:space="preserve"> N° 30230, 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D34126">
              <w:rPr>
                <w:sz w:val="20"/>
                <w:szCs w:val="20"/>
                <w:lang w:val="es-ES"/>
              </w:rPr>
              <w:t xml:space="preserve">Ley que establece medidas tributarias, simplificación de procedimientos y permisos para la promoción y dinamización de la inversión en el país, publicado el 12 jul.14, en donde se </w:t>
            </w:r>
            <w:r w:rsidRPr="00BC4FAF">
              <w:rPr>
                <w:sz w:val="20"/>
                <w:szCs w:val="20"/>
                <w:lang w:val="es-ES"/>
              </w:rPr>
              <w:t>modifica la ley marco de licencias de funcionamiento.</w:t>
            </w:r>
          </w:p>
          <w:p w:rsidR="00183599" w:rsidRPr="00BC4FAF" w:rsidRDefault="00183599" w:rsidP="00BC4FAF">
            <w:pPr>
              <w:rPr>
                <w:sz w:val="20"/>
                <w:szCs w:val="20"/>
                <w:lang w:val="es-ES"/>
              </w:rPr>
            </w:pPr>
          </w:p>
          <w:p w:rsidR="00E13C49" w:rsidRPr="00BC4FAF" w:rsidRDefault="00E13C49" w:rsidP="00BC4FAF">
            <w:pPr>
              <w:rPr>
                <w:sz w:val="20"/>
                <w:szCs w:val="20"/>
                <w:lang w:val="es-ES"/>
              </w:rPr>
            </w:pPr>
          </w:p>
          <w:p w:rsidR="004147DB" w:rsidRPr="00BC4FAF" w:rsidRDefault="004147DB" w:rsidP="00BC4FA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Pr="00BC4FAF" w:rsidRDefault="00EF447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>Cumplido.</w:t>
            </w:r>
          </w:p>
          <w:p w:rsidR="00EF4473" w:rsidRPr="00BC4FAF" w:rsidRDefault="00EF447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F4473" w:rsidRPr="00BC4FAF" w:rsidRDefault="00EF447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B1AEF" w:rsidRDefault="006B1AE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B383D" w:rsidRPr="00BC4FAF" w:rsidRDefault="00FB383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A7DF8" w:rsidRPr="00BC4FAF" w:rsidRDefault="00FC638A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 xml:space="preserve">Cumplido. </w:t>
            </w:r>
          </w:p>
          <w:p w:rsidR="005471B3" w:rsidRPr="00BC4FAF" w:rsidRDefault="005471B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471B3" w:rsidRPr="00BC4FAF" w:rsidRDefault="005471B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471B3" w:rsidRPr="00BC4FAF" w:rsidRDefault="005471B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471B3" w:rsidRPr="00BC4FAF" w:rsidRDefault="005471B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D13AC" w:rsidRPr="00BC4FAF" w:rsidRDefault="00AD13A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D13AC" w:rsidRPr="00BC4FAF" w:rsidRDefault="00AD13A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510DE" w:rsidRPr="00FD5F20" w:rsidRDefault="00F510D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441C6" w:rsidRPr="00BC4FAF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6C4B0A" w:rsidRPr="000D7DEF">
              <w:rPr>
                <w:sz w:val="20"/>
                <w:szCs w:val="20"/>
                <w:lang w:val="es-ES"/>
              </w:rPr>
              <w:t xml:space="preserve">. </w:t>
            </w:r>
          </w:p>
          <w:p w:rsidR="00D441C6" w:rsidRDefault="00D441C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510DE" w:rsidRDefault="00F510D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510DE" w:rsidRDefault="00F510D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488E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488E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488E" w:rsidRDefault="00D6488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E0652" w:rsidRPr="00BC4FAF" w:rsidRDefault="008F1FC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0B7CB3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0B7CB3" w:rsidRPr="00BC4FAF" w:rsidRDefault="000B7CB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E3E95" w:rsidRPr="00BC4FAF" w:rsidRDefault="009E3E9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4147DB" w:rsidRPr="00BC4FAF" w:rsidRDefault="009E3E9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 </w:t>
            </w:r>
          </w:p>
          <w:p w:rsidR="009E3E95" w:rsidRPr="00BC4FAF" w:rsidRDefault="009E3E9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95BDF" w:rsidRPr="00BC4FAF" w:rsidRDefault="006347E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7E294F" w:rsidRPr="005E0305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2F" w:rsidRPr="00BC4FAF" w:rsidRDefault="00E7232F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>C.</w:t>
            </w:r>
            <w:r w:rsidR="00631664" w:rsidRPr="00BC4FAF">
              <w:rPr>
                <w:b/>
                <w:smallCaps/>
                <w:sz w:val="20"/>
                <w:szCs w:val="20"/>
                <w:lang w:val="es-ES"/>
              </w:rPr>
              <w:t xml:space="preserve"> </w:t>
            </w:r>
            <w:r w:rsidR="00631664" w:rsidRPr="00BC4FAF">
              <w:rPr>
                <w:b/>
                <w:smallCaps/>
                <w:sz w:val="20"/>
                <w:szCs w:val="20"/>
                <w:lang w:val="es-ES"/>
              </w:rPr>
              <w:tab/>
            </w:r>
            <w:r w:rsidR="00BF7047" w:rsidRPr="00BC4FAF">
              <w:rPr>
                <w:sz w:val="20"/>
                <w:szCs w:val="20"/>
                <w:lang w:val="es-ES"/>
              </w:rPr>
              <w:t xml:space="preserve">Agilizar los procedimientos para </w:t>
            </w:r>
            <w:r w:rsidRPr="00BC4FAF">
              <w:rPr>
                <w:sz w:val="20"/>
                <w:szCs w:val="20"/>
                <w:lang w:val="es-ES"/>
              </w:rPr>
              <w:t>la obtención de permisos de edificación.</w:t>
            </w:r>
          </w:p>
          <w:p w:rsidR="005C3455" w:rsidRPr="00BC4FAF" w:rsidRDefault="005C345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C3455" w:rsidRPr="00BC4FAF" w:rsidRDefault="005C345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E7232F" w:rsidRPr="00BC4FAF" w:rsidRDefault="00E7232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MEF (CNC) / </w:t>
            </w:r>
          </w:p>
          <w:p w:rsidR="00E7232F" w:rsidRPr="00BC4FAF" w:rsidRDefault="00E7232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/ SEDAPAL /</w:t>
            </w:r>
          </w:p>
          <w:p w:rsidR="00E7232F" w:rsidRPr="00BC4FAF" w:rsidRDefault="00E7232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MVCS</w:t>
            </w:r>
            <w:r w:rsidR="008A194E" w:rsidRPr="00BC4FA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041BEB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Procesos de conexión de servicio de agua y alcantarillado en Lima y al menos otro </w:t>
            </w:r>
            <w:r w:rsidR="00EF66EE" w:rsidRPr="00BC4FAF">
              <w:rPr>
                <w:sz w:val="20"/>
                <w:szCs w:val="20"/>
                <w:lang w:val="es-ES"/>
              </w:rPr>
              <w:t xml:space="preserve">municipio </w:t>
            </w:r>
            <w:r w:rsidRPr="00BC4FAF">
              <w:rPr>
                <w:sz w:val="20"/>
                <w:szCs w:val="20"/>
                <w:lang w:val="es-ES"/>
              </w:rPr>
              <w:t xml:space="preserve">fuera de Lima disponibles a través de EPS como ventanillas únicas. </w:t>
            </w:r>
          </w:p>
          <w:p w:rsidR="00041BEB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717E0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>Tramitación de permisos de edificación mejorada a nivel de instrumentos</w:t>
            </w:r>
            <w:r w:rsidR="006D65CF" w:rsidRPr="00BC4FAF">
              <w:rPr>
                <w:sz w:val="20"/>
                <w:szCs w:val="20"/>
                <w:lang w:val="es-ES"/>
              </w:rPr>
              <w:t xml:space="preserve"> normativos, </w:t>
            </w:r>
            <w:r w:rsidR="003E0244" w:rsidRPr="00BC4FAF">
              <w:rPr>
                <w:sz w:val="20"/>
                <w:szCs w:val="20"/>
                <w:lang w:val="es-ES"/>
              </w:rPr>
              <w:t>que incluye</w:t>
            </w:r>
            <w:r w:rsidR="00C3551F" w:rsidRPr="00BC4FAF">
              <w:rPr>
                <w:sz w:val="20"/>
                <w:szCs w:val="20"/>
                <w:lang w:val="es-ES"/>
              </w:rPr>
              <w:t xml:space="preserve">: </w:t>
            </w:r>
          </w:p>
          <w:p w:rsidR="00F717E0" w:rsidRPr="00BC4FAF" w:rsidRDefault="00C3551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i)</w:t>
            </w:r>
            <w:r w:rsidR="00BB0CDD" w:rsidRPr="00BC4FAF">
              <w:rPr>
                <w:sz w:val="20"/>
                <w:szCs w:val="20"/>
                <w:lang w:val="es-ES"/>
              </w:rPr>
              <w:t xml:space="preserve"> agilización y refuerzo del proceso de revisión de seguridad en edificación</w:t>
            </w:r>
            <w:r w:rsidR="00F717E0" w:rsidRPr="00BC4FAF">
              <w:rPr>
                <w:sz w:val="20"/>
                <w:szCs w:val="20"/>
                <w:lang w:val="es-ES"/>
              </w:rPr>
              <w:t xml:space="preserve"> mediante la restructuración de la composición de la comisión técnica</w:t>
            </w:r>
            <w:r w:rsidR="00BB0CDD" w:rsidRPr="00BC4FAF">
              <w:rPr>
                <w:sz w:val="20"/>
                <w:szCs w:val="20"/>
                <w:lang w:val="es-ES"/>
              </w:rPr>
              <w:t xml:space="preserve">, </w:t>
            </w:r>
          </w:p>
          <w:p w:rsidR="00F717E0" w:rsidRPr="00BC4FAF" w:rsidRDefault="00C3551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ii) </w:t>
            </w:r>
            <w:r w:rsidR="00BB0CDD" w:rsidRPr="00BC4FAF">
              <w:rPr>
                <w:sz w:val="20"/>
                <w:szCs w:val="20"/>
                <w:lang w:val="es-ES"/>
              </w:rPr>
              <w:t>mejora del proceso sancionador ante la generación de una barrera burocrática,</w:t>
            </w:r>
            <w:r w:rsidR="00825DD0" w:rsidRPr="00BC4FAF">
              <w:rPr>
                <w:sz w:val="20"/>
                <w:szCs w:val="20"/>
                <w:lang w:val="es-ES"/>
              </w:rPr>
              <w:t xml:space="preserve"> </w:t>
            </w:r>
          </w:p>
          <w:p w:rsidR="00F717E0" w:rsidRPr="00BC4FAF" w:rsidRDefault="00C3551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iii)</w:t>
            </w:r>
            <w:r w:rsidR="00BB0CDD" w:rsidRPr="00BC4FAF">
              <w:rPr>
                <w:sz w:val="20"/>
                <w:szCs w:val="20"/>
                <w:lang w:val="es-ES"/>
              </w:rPr>
              <w:t xml:space="preserve"> </w:t>
            </w:r>
            <w:r w:rsidR="0004694A" w:rsidRPr="00BC4FAF">
              <w:rPr>
                <w:sz w:val="20"/>
                <w:szCs w:val="20"/>
                <w:lang w:val="es-ES"/>
              </w:rPr>
              <w:t>facilitación de licencias simplificadas para infraestructura y servicios básicos esenciales</w:t>
            </w:r>
            <w:r w:rsidR="00825DD0" w:rsidRPr="00BC4FAF">
              <w:rPr>
                <w:sz w:val="20"/>
                <w:szCs w:val="20"/>
                <w:lang w:val="es-ES"/>
              </w:rPr>
              <w:t xml:space="preserve">, </w:t>
            </w: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Pr="00BC4FAF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22A29" w:rsidRDefault="00022A2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Pr="00BC4FAF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41BEB" w:rsidRPr="00BC4FAF" w:rsidRDefault="00825DD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iv) adaptación al </w:t>
            </w:r>
            <w:r w:rsidR="003A2E0B">
              <w:rPr>
                <w:sz w:val="20"/>
                <w:szCs w:val="20"/>
                <w:lang w:val="es-ES"/>
              </w:rPr>
              <w:t>“</w:t>
            </w:r>
            <w:r w:rsidRPr="00BC4FAF">
              <w:rPr>
                <w:sz w:val="20"/>
                <w:szCs w:val="20"/>
                <w:lang w:val="es-ES"/>
              </w:rPr>
              <w:t>TUPA modelo de licencias de edificación</w:t>
            </w:r>
            <w:r w:rsidR="003A2E0B">
              <w:rPr>
                <w:sz w:val="20"/>
                <w:szCs w:val="20"/>
                <w:lang w:val="es-ES"/>
              </w:rPr>
              <w:t>”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483A06" w:rsidRPr="00BC4FAF">
              <w:rPr>
                <w:sz w:val="20"/>
                <w:szCs w:val="20"/>
                <w:lang w:val="es-ES"/>
              </w:rPr>
              <w:t>establecid</w:t>
            </w:r>
            <w:r w:rsidR="00483A06">
              <w:rPr>
                <w:sz w:val="20"/>
                <w:szCs w:val="20"/>
                <w:lang w:val="es-ES"/>
              </w:rPr>
              <w:t>a</w:t>
            </w:r>
            <w:r w:rsidR="00483A06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>como meta en el Plan de Incentivos</w:t>
            </w:r>
            <w:r w:rsidR="00930008">
              <w:rPr>
                <w:sz w:val="20"/>
                <w:szCs w:val="20"/>
                <w:lang w:val="es-ES"/>
              </w:rPr>
              <w:t xml:space="preserve">  (PI)</w:t>
            </w:r>
            <w:r w:rsidR="00041BEB" w:rsidRPr="00BC4FAF">
              <w:rPr>
                <w:sz w:val="20"/>
                <w:szCs w:val="20"/>
                <w:lang w:val="es-ES"/>
              </w:rPr>
              <w:t>.</w:t>
            </w:r>
          </w:p>
          <w:p w:rsidR="00825DD0" w:rsidRPr="00BC4FAF" w:rsidRDefault="00825DD0" w:rsidP="00BC4FAF">
            <w:pPr>
              <w:pStyle w:val="NoSpacing"/>
              <w:rPr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E7232F" w:rsidRPr="00EB7E01" w:rsidRDefault="0067122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EB7E01">
              <w:rPr>
                <w:sz w:val="20"/>
                <w:szCs w:val="20"/>
                <w:lang w:val="es-ES"/>
              </w:rPr>
              <w:lastRenderedPageBreak/>
              <w:t xml:space="preserve">Informe </w:t>
            </w:r>
            <w:r w:rsidR="000E46EA" w:rsidRPr="00F00724">
              <w:rPr>
                <w:sz w:val="20"/>
                <w:szCs w:val="20"/>
                <w:lang w:val="es-ES"/>
              </w:rPr>
              <w:t xml:space="preserve">N° 004-2014-ACHL </w:t>
            </w:r>
            <w:r w:rsidRPr="00EB7E01">
              <w:rPr>
                <w:sz w:val="20"/>
                <w:szCs w:val="20"/>
                <w:lang w:val="es-ES"/>
              </w:rPr>
              <w:t>del CNC</w:t>
            </w:r>
            <w:r w:rsidR="000E46EA" w:rsidRPr="00F00724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EB7E01">
              <w:rPr>
                <w:sz w:val="20"/>
                <w:szCs w:val="20"/>
                <w:lang w:val="es-ES"/>
              </w:rPr>
              <w:t xml:space="preserve"> detallando los avances de la implementación del proceso de conexión de servicio de agua y alcantarillado</w:t>
            </w:r>
            <w:r w:rsidR="008B5CAB" w:rsidRPr="00EB7E01">
              <w:rPr>
                <w:sz w:val="20"/>
                <w:szCs w:val="20"/>
                <w:lang w:val="es-ES"/>
              </w:rPr>
              <w:t xml:space="preserve"> en Lima y </w:t>
            </w:r>
            <w:r w:rsidR="000B6CD9" w:rsidRPr="00EB7E01">
              <w:rPr>
                <w:sz w:val="20"/>
                <w:szCs w:val="20"/>
                <w:lang w:val="es-ES"/>
              </w:rPr>
              <w:t>Tacna</w:t>
            </w:r>
            <w:r w:rsidR="00AB722C" w:rsidRPr="00EB7E01">
              <w:rPr>
                <w:sz w:val="20"/>
                <w:szCs w:val="20"/>
                <w:lang w:val="es-ES"/>
              </w:rPr>
              <w:t xml:space="preserve">, el cual se base en </w:t>
            </w:r>
            <w:r w:rsidR="00AB722C" w:rsidRPr="00EB7E01">
              <w:rPr>
                <w:sz w:val="20"/>
                <w:szCs w:val="20"/>
                <w:lang w:val="es-ES"/>
              </w:rPr>
              <w:lastRenderedPageBreak/>
              <w:t>información del municipio</w:t>
            </w:r>
            <w:r w:rsidR="000B6CD9" w:rsidRPr="00EB7E01">
              <w:rPr>
                <w:sz w:val="20"/>
                <w:szCs w:val="20"/>
                <w:lang w:val="es-ES"/>
              </w:rPr>
              <w:t xml:space="preserve"> y de las EPS</w:t>
            </w:r>
            <w:r w:rsidRPr="00EB7E01">
              <w:rPr>
                <w:sz w:val="20"/>
                <w:szCs w:val="20"/>
                <w:lang w:val="es-ES"/>
              </w:rPr>
              <w:t>.</w:t>
            </w:r>
          </w:p>
          <w:p w:rsidR="0067122C" w:rsidRPr="00EB7E01" w:rsidRDefault="0067122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7122C" w:rsidRPr="00EB7E01" w:rsidRDefault="00F717E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EB7E01">
              <w:rPr>
                <w:sz w:val="20"/>
                <w:szCs w:val="20"/>
                <w:lang w:val="es-ES"/>
              </w:rPr>
              <w:t xml:space="preserve">i), ii) y iii) </w:t>
            </w:r>
            <w:r w:rsidR="00055897" w:rsidRPr="00EB7E01">
              <w:rPr>
                <w:sz w:val="20"/>
                <w:szCs w:val="20"/>
                <w:lang w:val="es-ES"/>
              </w:rPr>
              <w:t>Ley 30056</w:t>
            </w:r>
            <w:r w:rsidR="00ED48B1" w:rsidRPr="00EB7E01">
              <w:rPr>
                <w:sz w:val="20"/>
                <w:szCs w:val="20"/>
                <w:lang w:val="es-ES"/>
              </w:rPr>
              <w:t>, Ley que modifica diversas leyes para facilitar la inversión, impulsar el desarrollo productivo y el crecimiento empresarial,</w:t>
            </w:r>
            <w:r w:rsidR="001F4A4A" w:rsidRPr="00EB7E01">
              <w:rPr>
                <w:sz w:val="20"/>
                <w:szCs w:val="20"/>
                <w:lang w:val="es-ES"/>
              </w:rPr>
              <w:t xml:space="preserve"> publicada el 02 jul.13,</w:t>
            </w:r>
            <w:r w:rsidR="00BB0CDD" w:rsidRPr="00EB7E01">
              <w:rPr>
                <w:sz w:val="20"/>
                <w:szCs w:val="20"/>
                <w:lang w:val="es-ES"/>
              </w:rPr>
              <w:t xml:space="preserve"> que incluye la restructuración de la composición de la comisión técnica que revisa los procesos de edificación</w:t>
            </w:r>
            <w:r w:rsidR="00055897" w:rsidRPr="00EB7E01">
              <w:rPr>
                <w:sz w:val="20"/>
                <w:szCs w:val="20"/>
                <w:lang w:val="es-ES"/>
              </w:rPr>
              <w:t>.</w:t>
            </w:r>
          </w:p>
          <w:p w:rsidR="00762BAC" w:rsidRPr="00EB7E01" w:rsidRDefault="00762BA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55897" w:rsidRPr="00EB7E01" w:rsidRDefault="00F717E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EB7E01">
              <w:rPr>
                <w:sz w:val="20"/>
                <w:szCs w:val="20"/>
                <w:lang w:val="es-ES"/>
              </w:rPr>
              <w:t xml:space="preserve">i), ii) y iii) </w:t>
            </w:r>
            <w:r w:rsidR="00D62BE5" w:rsidRPr="00EB7E01">
              <w:rPr>
                <w:sz w:val="20"/>
                <w:szCs w:val="20"/>
                <w:lang w:val="es-ES"/>
              </w:rPr>
              <w:t xml:space="preserve">Decreto Supremo N° 008-2013-VIVIENDA, </w:t>
            </w:r>
            <w:r w:rsidR="00055897" w:rsidRPr="00EB7E01">
              <w:rPr>
                <w:sz w:val="20"/>
                <w:szCs w:val="20"/>
                <w:lang w:val="es-ES"/>
              </w:rPr>
              <w:t>Reglamento</w:t>
            </w:r>
            <w:r w:rsidR="00D62BE5" w:rsidRPr="00EB7E01">
              <w:rPr>
                <w:sz w:val="20"/>
                <w:szCs w:val="20"/>
                <w:lang w:val="es-ES"/>
              </w:rPr>
              <w:t xml:space="preserve"> de Licencias  de Rehabilitación Urbana y Licencias de Edificación (</w:t>
            </w:r>
            <w:r w:rsidR="00055897" w:rsidRPr="00EB7E01">
              <w:rPr>
                <w:sz w:val="20"/>
                <w:szCs w:val="20"/>
                <w:lang w:val="es-ES"/>
              </w:rPr>
              <w:t>Ley 29090</w:t>
            </w:r>
            <w:r w:rsidR="00D62BE5" w:rsidRPr="00EB7E01">
              <w:rPr>
                <w:sz w:val="20"/>
                <w:szCs w:val="20"/>
                <w:lang w:val="es-ES"/>
              </w:rPr>
              <w:t>)</w:t>
            </w:r>
            <w:r w:rsidR="00055897" w:rsidRPr="00EB7E01">
              <w:rPr>
                <w:sz w:val="20"/>
                <w:szCs w:val="20"/>
                <w:lang w:val="es-ES"/>
              </w:rPr>
              <w:t>.</w:t>
            </w:r>
          </w:p>
          <w:p w:rsidR="00445FF2" w:rsidRPr="00EB7E01" w:rsidRDefault="00445FF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445FF2" w:rsidRPr="00EB7E01" w:rsidRDefault="00F717E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EB7E01">
              <w:rPr>
                <w:sz w:val="20"/>
                <w:szCs w:val="20"/>
                <w:lang w:val="es-ES"/>
              </w:rPr>
              <w:t xml:space="preserve">i), ii) y iii) </w:t>
            </w:r>
            <w:r w:rsidR="00445FF2" w:rsidRPr="00EB7E01">
              <w:rPr>
                <w:sz w:val="20"/>
                <w:szCs w:val="20"/>
                <w:lang w:val="es-ES"/>
              </w:rPr>
              <w:t>D</w:t>
            </w:r>
            <w:r w:rsidR="009F0F95" w:rsidRPr="00EB7E01">
              <w:rPr>
                <w:sz w:val="20"/>
                <w:szCs w:val="20"/>
                <w:lang w:val="es-ES"/>
              </w:rPr>
              <w:t xml:space="preserve">ecreto </w:t>
            </w:r>
            <w:r w:rsidR="00445FF2" w:rsidRPr="00EB7E01">
              <w:rPr>
                <w:sz w:val="20"/>
                <w:szCs w:val="20"/>
                <w:lang w:val="es-ES"/>
              </w:rPr>
              <w:t>S</w:t>
            </w:r>
            <w:r w:rsidR="009F0F95" w:rsidRPr="00EB7E01">
              <w:rPr>
                <w:sz w:val="20"/>
                <w:szCs w:val="20"/>
                <w:lang w:val="es-ES"/>
              </w:rPr>
              <w:t>upremo</w:t>
            </w:r>
            <w:r w:rsidR="00445FF2" w:rsidRPr="00EB7E01">
              <w:rPr>
                <w:sz w:val="20"/>
                <w:szCs w:val="20"/>
                <w:lang w:val="es-ES"/>
              </w:rPr>
              <w:t xml:space="preserve"> </w:t>
            </w:r>
            <w:r w:rsidR="00C3551F" w:rsidRPr="00EB7E01">
              <w:rPr>
                <w:sz w:val="20"/>
                <w:szCs w:val="20"/>
                <w:lang w:val="es-ES"/>
              </w:rPr>
              <w:t xml:space="preserve">N° </w:t>
            </w:r>
            <w:r w:rsidR="00445FF2" w:rsidRPr="00EB7E01">
              <w:rPr>
                <w:sz w:val="20"/>
                <w:szCs w:val="20"/>
                <w:lang w:val="es-ES"/>
              </w:rPr>
              <w:t>012-20</w:t>
            </w:r>
            <w:r w:rsidR="00C3551F" w:rsidRPr="00EB7E01">
              <w:rPr>
                <w:sz w:val="20"/>
                <w:szCs w:val="20"/>
                <w:lang w:val="es-ES"/>
              </w:rPr>
              <w:t>13-VIVIENDA</w:t>
            </w:r>
            <w:r w:rsidR="00AA7A40" w:rsidRPr="00EB7E01">
              <w:rPr>
                <w:sz w:val="20"/>
                <w:szCs w:val="20"/>
                <w:lang w:val="es-ES"/>
              </w:rPr>
              <w:t xml:space="preserve"> que modifica el Reglamento de Licencias de Habilitación Urbana y Licencias de Edificación, aprobado mediante Decreto Supremo N° 008-2013-VIVIENDA, publicado el 03 oct.13</w:t>
            </w:r>
            <w:r w:rsidR="00C3551F" w:rsidRPr="00EB7E01">
              <w:rPr>
                <w:sz w:val="20"/>
                <w:szCs w:val="20"/>
                <w:lang w:val="es-ES"/>
              </w:rPr>
              <w:t>.</w:t>
            </w:r>
          </w:p>
          <w:p w:rsidR="00223681" w:rsidRPr="00EB7E01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E72F7" w:rsidRPr="00EB7E01" w:rsidRDefault="00F717E0">
            <w:pPr>
              <w:pStyle w:val="NoSpacing"/>
              <w:rPr>
                <w:sz w:val="20"/>
                <w:szCs w:val="20"/>
                <w:lang w:val="es-ES"/>
              </w:rPr>
            </w:pPr>
            <w:r w:rsidRPr="00EB7E01">
              <w:rPr>
                <w:sz w:val="20"/>
                <w:szCs w:val="20"/>
                <w:lang w:val="es-ES"/>
              </w:rPr>
              <w:t xml:space="preserve">iv) </w:t>
            </w:r>
            <w:r w:rsidR="006D65CF" w:rsidRPr="00EB7E01">
              <w:rPr>
                <w:sz w:val="20"/>
                <w:szCs w:val="20"/>
                <w:lang w:val="es-ES"/>
              </w:rPr>
              <w:t>Informe del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="006D65CF" w:rsidRPr="00EB7E01">
              <w:rPr>
                <w:sz w:val="20"/>
                <w:szCs w:val="20"/>
                <w:lang w:val="es-ES"/>
              </w:rPr>
              <w:t xml:space="preserve"> describiendo </w:t>
            </w:r>
            <w:r w:rsidRPr="00EB7E01">
              <w:rPr>
                <w:sz w:val="20"/>
                <w:szCs w:val="20"/>
                <w:lang w:val="es-ES"/>
              </w:rPr>
              <w:t>la incorporación del TUPA modelo de licencias de edificación como meta en el PI 2014</w:t>
            </w:r>
            <w:r w:rsidR="00197360" w:rsidRPr="00EB7E01">
              <w:rPr>
                <w:sz w:val="20"/>
                <w:szCs w:val="20"/>
                <w:lang w:val="es-ES"/>
              </w:rPr>
              <w:t xml:space="preserve"> y los avances en su implementación</w:t>
            </w:r>
            <w:r w:rsidR="00825DD0" w:rsidRPr="00EB7E0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F" w:rsidRPr="00BC4FAF" w:rsidRDefault="00EB7E01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Cumplido</w:t>
            </w:r>
            <w:r w:rsidR="001B37CF" w:rsidRPr="00BC4FAF">
              <w:rPr>
                <w:sz w:val="20"/>
                <w:szCs w:val="20"/>
                <w:lang w:val="es-ES"/>
              </w:rPr>
              <w:t>.</w:t>
            </w:r>
          </w:p>
          <w:p w:rsidR="00C623FF" w:rsidRPr="00BC4FAF" w:rsidRDefault="00C623F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BC4FAF" w:rsidRDefault="00BC4FA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Pr="00BC4FAF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BC4FAF" w:rsidRPr="00BC4FAF" w:rsidRDefault="00BC4FA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F50E4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F50E4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F50E4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E3E95" w:rsidRPr="00BC4FAF" w:rsidRDefault="009F0F9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9E3E95" w:rsidRPr="00BC4FAF">
              <w:rPr>
                <w:sz w:val="20"/>
                <w:szCs w:val="20"/>
                <w:lang w:val="es-ES"/>
              </w:rPr>
              <w:t>.</w:t>
            </w: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Pr="00BC4FAF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0034" w:rsidRPr="00BC4FAF" w:rsidRDefault="0081003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055897" w:rsidRPr="00BC4FAF" w:rsidRDefault="00055897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C3A32" w:rsidRPr="00BC4FAF" w:rsidRDefault="006C3A3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223681" w:rsidRPr="00BC4FAF">
              <w:rPr>
                <w:sz w:val="20"/>
                <w:szCs w:val="20"/>
                <w:lang w:val="es-ES"/>
              </w:rPr>
              <w:t>.</w:t>
            </w: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223681" w:rsidRPr="00BC4FAF" w:rsidRDefault="0022368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C570B8" w:rsidRPr="00BC4FAF" w:rsidTr="00000B2F">
        <w:trPr>
          <w:trHeight w:val="3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70B8" w:rsidRPr="00BC4FAF" w:rsidRDefault="00C570B8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lastRenderedPageBreak/>
              <w:t>D. Mejora de los procesos en los municipios para la apertura de empresas.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PCM/ DGPP/CNC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Diseño de las metas del PI 2014 incorpora los resultados de la evaluación realizada en el 2013.</w:t>
            </w: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 la DGPP detallando los principales resultados de la evaluación del PMM utilizados en el diseño del PI 2014</w:t>
            </w:r>
            <w:r w:rsidR="00627AFC" w:rsidRPr="00BC4FAF">
              <w:rPr>
                <w:sz w:val="20"/>
                <w:szCs w:val="20"/>
                <w:lang w:val="es-ES"/>
              </w:rPr>
              <w:t>, remitido mediante Memorando N° 660-2014-EF/50.01 de la DGPP con fecha 20 may.14</w:t>
            </w:r>
            <w:r w:rsidR="004F704D">
              <w:rPr>
                <w:sz w:val="20"/>
                <w:szCs w:val="20"/>
                <w:lang w:val="es-ES"/>
              </w:rPr>
              <w:t>, y Memorando N° 0929-2014-EF/50.01 de la DGPP del 01 jul.14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 w:rsidR="003D22E6" w:rsidRPr="00BC4FAF">
              <w:rPr>
                <w:sz w:val="20"/>
                <w:szCs w:val="20"/>
                <w:lang w:val="es-ES"/>
              </w:rPr>
              <w:t>upremo N°</w:t>
            </w:r>
            <w:r w:rsidRPr="00BC4FAF">
              <w:rPr>
                <w:sz w:val="20"/>
                <w:szCs w:val="20"/>
                <w:lang w:val="es-ES"/>
              </w:rPr>
              <w:t xml:space="preserve"> 015-2014-EF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 que </w:t>
            </w:r>
            <w:r w:rsidRPr="00BC4FAF">
              <w:rPr>
                <w:sz w:val="20"/>
                <w:szCs w:val="20"/>
                <w:lang w:val="es-ES"/>
              </w:rPr>
              <w:t>apr</w:t>
            </w:r>
            <w:r w:rsidR="003D22E6" w:rsidRPr="00BC4FAF">
              <w:rPr>
                <w:sz w:val="20"/>
                <w:szCs w:val="20"/>
                <w:lang w:val="es-ES"/>
              </w:rPr>
              <w:t>ue</w:t>
            </w:r>
            <w:r w:rsidRPr="00BC4FAF">
              <w:rPr>
                <w:sz w:val="20"/>
                <w:szCs w:val="20"/>
                <w:lang w:val="es-ES"/>
              </w:rPr>
              <w:t>ba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 los procedimientos para el cumplimiento</w:t>
            </w:r>
            <w:r w:rsidRPr="00BC4FAF">
              <w:rPr>
                <w:sz w:val="20"/>
                <w:szCs w:val="20"/>
                <w:lang w:val="es-ES"/>
              </w:rPr>
              <w:t xml:space="preserve"> de metas 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y la asignación de los recursos </w:t>
            </w:r>
            <w:r w:rsidRPr="00BC4FAF">
              <w:rPr>
                <w:sz w:val="20"/>
                <w:szCs w:val="20"/>
                <w:lang w:val="es-ES"/>
              </w:rPr>
              <w:t>del P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lan de </w:t>
            </w:r>
            <w:r w:rsidRPr="00BC4FAF">
              <w:rPr>
                <w:sz w:val="20"/>
                <w:szCs w:val="20"/>
                <w:lang w:val="es-ES"/>
              </w:rPr>
              <w:t>I</w:t>
            </w:r>
            <w:r w:rsidR="003D22E6" w:rsidRPr="00BC4FAF">
              <w:rPr>
                <w:sz w:val="20"/>
                <w:szCs w:val="20"/>
                <w:lang w:val="es-ES"/>
              </w:rPr>
              <w:t>ncentivos a la mejora de la Gestión y Modernización Municipal d</w:t>
            </w:r>
            <w:r w:rsidRPr="00BC4FAF">
              <w:rPr>
                <w:sz w:val="20"/>
                <w:szCs w:val="20"/>
                <w:lang w:val="es-ES"/>
              </w:rPr>
              <w:t>el</w:t>
            </w:r>
            <w:r w:rsidR="003D22E6" w:rsidRPr="00BC4FAF">
              <w:rPr>
                <w:sz w:val="20"/>
                <w:szCs w:val="20"/>
                <w:lang w:val="es-ES"/>
              </w:rPr>
              <w:t xml:space="preserve"> año</w:t>
            </w:r>
            <w:r w:rsidRPr="00BC4FAF">
              <w:rPr>
                <w:sz w:val="20"/>
                <w:szCs w:val="20"/>
                <w:lang w:val="es-ES"/>
              </w:rPr>
              <w:t xml:space="preserve"> 2014.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8" w:rsidRPr="00BC4FAF" w:rsidRDefault="00A6291D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006533" w:rsidRPr="00BC4FAF">
              <w:rPr>
                <w:sz w:val="20"/>
                <w:szCs w:val="20"/>
                <w:lang w:val="es-ES"/>
              </w:rPr>
              <w:t>.</w:t>
            </w:r>
          </w:p>
          <w:p w:rsidR="00877F4C" w:rsidRPr="00BC4FAF" w:rsidRDefault="00877F4C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627AFC" w:rsidRPr="00BC4FAF" w:rsidRDefault="00627AFC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627AFC" w:rsidRPr="00BC4FAF" w:rsidRDefault="00627AFC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627AFC" w:rsidRPr="00BC4FAF" w:rsidRDefault="00627AFC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637962" w:rsidRPr="00BC4FAF" w:rsidRDefault="00637962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637962" w:rsidRPr="00BC4FAF" w:rsidRDefault="00637962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BC78C0" w:rsidRDefault="00BC78C0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BC78C0" w:rsidRDefault="00BC78C0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</w:p>
          <w:p w:rsidR="00C570B8" w:rsidRPr="00BC4FAF" w:rsidRDefault="003D22E6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</w:tc>
      </w:tr>
      <w:tr w:rsidR="00C570B8" w:rsidRPr="00BC4FAF" w:rsidTr="00FD5F20">
        <w:trPr>
          <w:trHeight w:val="1943"/>
        </w:trPr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70B8" w:rsidRPr="00BC4FAF" w:rsidRDefault="00C570B8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C570B8" w:rsidRPr="00BC4FAF" w:rsidRDefault="00D6488E" w:rsidP="003A2E0B">
            <w:pPr>
              <w:pStyle w:val="NoSpacing"/>
              <w:rPr>
                <w:sz w:val="20"/>
                <w:szCs w:val="20"/>
                <w:lang w:val="es-ES"/>
              </w:rPr>
            </w:pPr>
            <w:r w:rsidRPr="00EE134B">
              <w:rPr>
                <w:sz w:val="20"/>
                <w:lang w:val="es-PE"/>
              </w:rPr>
              <w:t xml:space="preserve">Procedimiento </w:t>
            </w:r>
            <w:r w:rsidR="00C570B8" w:rsidRPr="00BC4FAF">
              <w:rPr>
                <w:sz w:val="20"/>
                <w:szCs w:val="20"/>
                <w:lang w:val="es-ES"/>
              </w:rPr>
              <w:t xml:space="preserve">para la obtención de licencia de funcionamiento simplificado en 40 municipios </w:t>
            </w:r>
            <w:r w:rsidRPr="00EE134B">
              <w:rPr>
                <w:sz w:val="20"/>
                <w:szCs w:val="20"/>
                <w:lang w:val="es-PE"/>
              </w:rPr>
              <w:t>del país</w:t>
            </w:r>
            <w:r w:rsidR="009C7A57">
              <w:rPr>
                <w:sz w:val="20"/>
                <w:szCs w:val="20"/>
                <w:lang w:val="es-PE"/>
              </w:rPr>
              <w:t>,</w:t>
            </w:r>
            <w:r w:rsidRPr="00BC4FAF">
              <w:rPr>
                <w:sz w:val="20"/>
                <w:szCs w:val="20"/>
                <w:lang w:val="es-ES"/>
              </w:rPr>
              <w:t xml:space="preserve"> y </w:t>
            </w:r>
            <w:r w:rsidRPr="00EE134B">
              <w:rPr>
                <w:sz w:val="20"/>
                <w:lang w:val="es-PE"/>
              </w:rPr>
              <w:t>haber dado inicio al</w:t>
            </w:r>
            <w:r w:rsidRPr="00EE134B">
              <w:rPr>
                <w:color w:val="1F497D"/>
                <w:sz w:val="20"/>
                <w:lang w:val="es-PE"/>
              </w:rPr>
              <w:t xml:space="preserve"> pro</w:t>
            </w:r>
            <w:r w:rsidRPr="00EE134B">
              <w:rPr>
                <w:sz w:val="20"/>
                <w:lang w:val="es-PE"/>
              </w:rPr>
              <w:t>ceso del despliegue del aplicativo electrónico en por lo</w:t>
            </w:r>
            <w:r w:rsidRPr="00BC4FAF" w:rsidDel="00322384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 xml:space="preserve">menos 10 </w:t>
            </w:r>
            <w:r w:rsidRPr="00EE134B">
              <w:rPr>
                <w:sz w:val="20"/>
                <w:lang w:val="es-PE"/>
              </w:rPr>
              <w:t>de ell</w:t>
            </w:r>
            <w:r w:rsidR="003A2E0B">
              <w:rPr>
                <w:sz w:val="20"/>
                <w:lang w:val="es-PE"/>
              </w:rPr>
              <w:t>o</w:t>
            </w:r>
            <w:r w:rsidRPr="00EE134B">
              <w:rPr>
                <w:sz w:val="20"/>
                <w:lang w:val="es-PE"/>
              </w:rPr>
              <w:t>s</w:t>
            </w:r>
            <w:r w:rsidR="00C570B8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="00FB383D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 xml:space="preserve">detallando el número de municipios con Ordenanza aprobada y </w:t>
            </w:r>
            <w:r w:rsidR="00D6488E" w:rsidRPr="00EE134B">
              <w:rPr>
                <w:sz w:val="20"/>
                <w:lang w:val="es-PE"/>
              </w:rPr>
              <w:t>los avances en el despliegue del aplicativo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C570B8" w:rsidRPr="00BC4FAF" w:rsidRDefault="00C570B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A" w:rsidRPr="00BC4FAF" w:rsidDel="001F5700" w:rsidRDefault="008F50E4" w:rsidP="00D6488E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6C4B0A" w:rsidRPr="00BC4FAF">
              <w:rPr>
                <w:sz w:val="20"/>
                <w:szCs w:val="20"/>
                <w:lang w:val="es-ES"/>
              </w:rPr>
              <w:t xml:space="preserve">. </w:t>
            </w:r>
          </w:p>
        </w:tc>
      </w:tr>
      <w:tr w:rsidR="007E294F" w:rsidRPr="00BC4FAF" w:rsidTr="00000B2F"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E13" w:rsidRPr="00BC4FAF" w:rsidRDefault="001C4E13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E. Reducir los costos logísticos mediante la planificación e implantación de una red intermodal y logística de transportes, la agilización de los procesos de la cadena logística de comercio exterior y la mejora de la interoperabilidad de los organismos de control.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1C4E13" w:rsidRPr="00BC4FAF" w:rsidRDefault="001C4E1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MTC</w:t>
            </w:r>
            <w:r w:rsidR="00411078" w:rsidRPr="00BC4FAF">
              <w:rPr>
                <w:sz w:val="20"/>
                <w:szCs w:val="20"/>
                <w:lang w:val="es-ES"/>
              </w:rPr>
              <w:t xml:space="preserve"> (OGPP)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041BEB" w:rsidRPr="00BC4FAF" w:rsidRDefault="00041BEB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Plan de Desarrollo de los Servicios Logísticos en Transporte, </w:t>
            </w:r>
            <w:r w:rsidR="00592F58">
              <w:rPr>
                <w:sz w:val="20"/>
                <w:szCs w:val="20"/>
                <w:lang w:val="es-ES"/>
              </w:rPr>
              <w:t>publicado en la página web del MTC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041BEB" w:rsidRDefault="00041BEB" w:rsidP="00BC4FAF">
            <w:pPr>
              <w:rPr>
                <w:sz w:val="20"/>
                <w:szCs w:val="20"/>
                <w:lang w:val="es-ES"/>
              </w:rPr>
            </w:pPr>
          </w:p>
          <w:p w:rsidR="00C70628" w:rsidRDefault="00C70628" w:rsidP="00BC4FAF">
            <w:pPr>
              <w:rPr>
                <w:sz w:val="20"/>
                <w:szCs w:val="20"/>
                <w:lang w:val="es-ES"/>
              </w:rPr>
            </w:pPr>
          </w:p>
          <w:p w:rsidR="00C70628" w:rsidRDefault="00C70628" w:rsidP="00BC4FAF">
            <w:pPr>
              <w:rPr>
                <w:sz w:val="20"/>
                <w:szCs w:val="20"/>
                <w:lang w:val="es-ES"/>
              </w:rPr>
            </w:pPr>
          </w:p>
          <w:p w:rsidR="00C70628" w:rsidRPr="00BC4FAF" w:rsidRDefault="00C70628" w:rsidP="00BC4FAF">
            <w:pPr>
              <w:rPr>
                <w:sz w:val="20"/>
                <w:szCs w:val="20"/>
                <w:lang w:val="es-ES"/>
              </w:rPr>
            </w:pPr>
          </w:p>
          <w:p w:rsidR="001C4E13" w:rsidRPr="00BC4FAF" w:rsidRDefault="00041BE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Avances en la implementación del PAI y del PMLP</w:t>
            </w:r>
            <w:r w:rsidR="00C675D9">
              <w:rPr>
                <w:sz w:val="20"/>
                <w:szCs w:val="20"/>
                <w:lang w:val="es-ES"/>
              </w:rPr>
              <w:t xml:space="preserve"> </w:t>
            </w:r>
            <w:r w:rsidR="00C675D9" w:rsidRPr="003B07FB">
              <w:rPr>
                <w:sz w:val="20"/>
                <w:szCs w:val="20"/>
                <w:lang w:val="es-ES"/>
              </w:rPr>
              <w:t>del Plan de Desarrollo de los Servicios Logísticos en Transporte</w:t>
            </w:r>
            <w:r w:rsidR="0099091B" w:rsidRPr="00BC4FAF">
              <w:rPr>
                <w:sz w:val="20"/>
                <w:szCs w:val="20"/>
                <w:lang w:val="es-ES"/>
              </w:rPr>
              <w:t>, incluyendo: mecanismo de coordinación público-privado</w:t>
            </w:r>
            <w:r w:rsidR="00C5420C" w:rsidRPr="00BC4FAF">
              <w:rPr>
                <w:sz w:val="20"/>
                <w:szCs w:val="20"/>
                <w:lang w:val="es-ES"/>
              </w:rPr>
              <w:t xml:space="preserve"> para la consulta, coordinación y rendición de cuentas del Plan de Desarrollo de los Servicios Logísticos en Transporte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628" w:rsidRDefault="00C70628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Plan de Desarrollo de los Servicios Logísticos en Transporte, </w:t>
            </w:r>
            <w:r>
              <w:rPr>
                <w:sz w:val="20"/>
                <w:szCs w:val="20"/>
                <w:lang w:val="es-ES"/>
              </w:rPr>
              <w:t>publicado en la página web del MTC</w:t>
            </w:r>
            <w:r w:rsidR="00CB4E8E">
              <w:rPr>
                <w:sz w:val="20"/>
                <w:szCs w:val="20"/>
                <w:lang w:val="es-ES"/>
              </w:rPr>
              <w:t>:</w:t>
            </w:r>
          </w:p>
          <w:p w:rsidR="00CB4E8E" w:rsidRPr="00F00724" w:rsidRDefault="005E0305" w:rsidP="00F00724">
            <w:pPr>
              <w:rPr>
                <w:sz w:val="20"/>
                <w:szCs w:val="20"/>
                <w:lang w:val="es-ES"/>
              </w:rPr>
            </w:pPr>
            <w:hyperlink r:id="rId9" w:history="1">
              <w:r w:rsidR="00CB4E8E" w:rsidRPr="00F00724">
                <w:rPr>
                  <w:sz w:val="20"/>
                  <w:szCs w:val="20"/>
                  <w:lang w:val="es-ES"/>
                </w:rPr>
                <w:t>http://www.mtc.gob.pe/portal/ogpp/estudios.html</w:t>
              </w:r>
            </w:hyperlink>
          </w:p>
          <w:p w:rsidR="00592F58" w:rsidRPr="00BC4FAF" w:rsidRDefault="00592F58" w:rsidP="00BC4FAF">
            <w:pPr>
              <w:rPr>
                <w:sz w:val="20"/>
                <w:szCs w:val="20"/>
                <w:lang w:val="es-ES"/>
              </w:rPr>
            </w:pPr>
          </w:p>
          <w:p w:rsidR="00721D79" w:rsidRPr="00BC4FAF" w:rsidRDefault="00622983" w:rsidP="00BC4FA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Oficio N° 838-2014-MTC/09 del 11 ago.14, con el cual remiten el </w:t>
            </w:r>
            <w:r w:rsidRPr="00BC4FAF">
              <w:rPr>
                <w:sz w:val="20"/>
                <w:szCs w:val="20"/>
                <w:lang w:val="es-ES"/>
              </w:rPr>
              <w:t xml:space="preserve">Informe </w:t>
            </w:r>
            <w:r>
              <w:rPr>
                <w:sz w:val="20"/>
                <w:szCs w:val="20"/>
                <w:lang w:val="es-ES"/>
              </w:rPr>
              <w:t xml:space="preserve">N° 1026-2014-MTC/09 </w:t>
            </w:r>
            <w:r w:rsidR="00A15F91" w:rsidRPr="00BC4FAF">
              <w:rPr>
                <w:sz w:val="20"/>
                <w:szCs w:val="20"/>
                <w:lang w:val="es-ES"/>
              </w:rPr>
              <w:t xml:space="preserve">del MTC sobre las actividades de consulta, coordinación y rendición de cuentas al sector privado sobre implementación del </w:t>
            </w:r>
            <w:r w:rsidR="00FF5A6E" w:rsidRPr="00BC4FAF">
              <w:rPr>
                <w:sz w:val="20"/>
                <w:szCs w:val="20"/>
                <w:lang w:val="es-ES"/>
              </w:rPr>
              <w:t xml:space="preserve">Plan y sobre los </w:t>
            </w:r>
            <w:r w:rsidR="00A4719E" w:rsidRPr="00BC4FAF">
              <w:rPr>
                <w:sz w:val="20"/>
                <w:szCs w:val="20"/>
                <w:lang w:val="es-ES"/>
              </w:rPr>
              <w:t>avances en la implementación del PAI y PMLP.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8" w:rsidRDefault="00CB4E8E" w:rsidP="00BC4FA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Cumplido.</w:t>
            </w:r>
          </w:p>
          <w:p w:rsidR="00AC3C28" w:rsidRDefault="00AC3C28" w:rsidP="00BC4FAF">
            <w:pPr>
              <w:rPr>
                <w:sz w:val="20"/>
                <w:szCs w:val="20"/>
                <w:lang w:val="es-ES"/>
              </w:rPr>
            </w:pPr>
          </w:p>
          <w:p w:rsidR="00AC3C28" w:rsidRDefault="00AC3C28" w:rsidP="00BC4FAF">
            <w:pPr>
              <w:rPr>
                <w:sz w:val="20"/>
                <w:szCs w:val="20"/>
                <w:lang w:val="es-ES"/>
              </w:rPr>
            </w:pPr>
          </w:p>
          <w:p w:rsidR="00AC3C28" w:rsidRDefault="00AC3C28" w:rsidP="00BC4FAF">
            <w:pPr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rPr>
                <w:sz w:val="20"/>
                <w:szCs w:val="20"/>
                <w:lang w:val="es-ES"/>
              </w:rPr>
            </w:pPr>
          </w:p>
          <w:p w:rsidR="00A6291D" w:rsidRPr="00BC4FAF" w:rsidRDefault="00622983" w:rsidP="00BC4FAF">
            <w:pPr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A6291D" w:rsidRPr="00BC4FAF">
              <w:rPr>
                <w:sz w:val="20"/>
                <w:szCs w:val="20"/>
                <w:lang w:val="es-ES"/>
              </w:rPr>
              <w:t>.</w:t>
            </w:r>
          </w:p>
        </w:tc>
      </w:tr>
      <w:tr w:rsidR="007E294F" w:rsidRPr="00BC4FAF" w:rsidTr="00000B2F">
        <w:tc>
          <w:tcPr>
            <w:tcW w:w="802" w:type="pct"/>
            <w:vMerge/>
            <w:tcBorders>
              <w:left w:val="single" w:sz="4" w:space="0" w:color="auto"/>
            </w:tcBorders>
          </w:tcPr>
          <w:p w:rsidR="001C4E13" w:rsidRPr="00BC4FAF" w:rsidRDefault="001C4E13" w:rsidP="00BC4FAF">
            <w:pPr>
              <w:pStyle w:val="PlainText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1C4E13" w:rsidRPr="00BC4FAF" w:rsidRDefault="00BD0146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Superintendencia Nacional Adjunta de Aduanas -</w:t>
            </w:r>
            <w:r w:rsidR="001C4E13" w:rsidRPr="00BC4FAF">
              <w:rPr>
                <w:sz w:val="20"/>
                <w:szCs w:val="20"/>
                <w:lang w:val="es-ES"/>
              </w:rPr>
              <w:t>SUNAT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1C4E13" w:rsidRPr="00BC4FAF" w:rsidRDefault="007210B0" w:rsidP="009C7A57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Programa de certificación de </w:t>
            </w:r>
            <w:r w:rsidR="00584E55" w:rsidRPr="00BC4FAF">
              <w:rPr>
                <w:sz w:val="20"/>
                <w:szCs w:val="20"/>
                <w:lang w:val="es-ES"/>
              </w:rPr>
              <w:t>OEA</w:t>
            </w:r>
            <w:r w:rsidRPr="00BC4FAF">
              <w:rPr>
                <w:sz w:val="20"/>
                <w:szCs w:val="20"/>
                <w:lang w:val="es-ES"/>
              </w:rPr>
              <w:t xml:space="preserve"> en operación y con avances en la negociación para el reconocimiento mutuo con las </w:t>
            </w:r>
            <w:r w:rsidR="0014033A" w:rsidRPr="00BC4FAF">
              <w:rPr>
                <w:sz w:val="20"/>
                <w:szCs w:val="20"/>
                <w:lang w:val="es-ES"/>
              </w:rPr>
              <w:t xml:space="preserve">aduanas </w:t>
            </w:r>
            <w:r w:rsidRPr="00BC4FAF">
              <w:rPr>
                <w:sz w:val="20"/>
                <w:szCs w:val="20"/>
                <w:lang w:val="es-ES"/>
              </w:rPr>
              <w:t>de al menos dos países.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E13" w:rsidRPr="00BC4FAF" w:rsidRDefault="0009322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</w:t>
            </w:r>
            <w:r w:rsidR="00F9748F" w:rsidRPr="00BC4FAF">
              <w:rPr>
                <w:sz w:val="20"/>
                <w:szCs w:val="20"/>
                <w:lang w:val="es-ES"/>
              </w:rPr>
              <w:t xml:space="preserve"> de SUNAT</w:t>
            </w:r>
            <w:r w:rsidRPr="00BC4FAF">
              <w:rPr>
                <w:sz w:val="20"/>
                <w:szCs w:val="20"/>
                <w:lang w:val="es-ES"/>
              </w:rPr>
              <w:t>, donde se describa</w:t>
            </w:r>
            <w:r w:rsidR="006D1A57" w:rsidRPr="00BC4FAF">
              <w:rPr>
                <w:sz w:val="20"/>
                <w:szCs w:val="20"/>
                <w:lang w:val="es-ES"/>
              </w:rPr>
              <w:t>:</w:t>
            </w:r>
            <w:r w:rsidRPr="00BC4FAF">
              <w:rPr>
                <w:sz w:val="20"/>
                <w:szCs w:val="20"/>
                <w:lang w:val="es-ES"/>
              </w:rPr>
              <w:t xml:space="preserve"> el estado de operaciones actual</w:t>
            </w:r>
            <w:r w:rsidR="006D1A57" w:rsidRPr="00BC4FAF">
              <w:rPr>
                <w:sz w:val="20"/>
                <w:szCs w:val="20"/>
                <w:lang w:val="es-ES"/>
              </w:rPr>
              <w:t xml:space="preserve"> del OEA, y</w:t>
            </w:r>
            <w:r w:rsidR="001B7700" w:rsidRPr="00BC4FAF">
              <w:rPr>
                <w:sz w:val="20"/>
                <w:szCs w:val="20"/>
                <w:lang w:val="es-ES"/>
              </w:rPr>
              <w:t xml:space="preserve"> los avances realizados en torno al reconocimiento mutuo con las aduanas de al menos dos países</w:t>
            </w:r>
            <w:r w:rsidR="00727BC4" w:rsidRPr="00BC4FAF">
              <w:rPr>
                <w:sz w:val="20"/>
                <w:szCs w:val="20"/>
                <w:lang w:val="es-ES"/>
              </w:rPr>
              <w:t>, remitido mediante Oficio N° 144-2014-SUNAT/300000 del 03 jun.14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3" w:rsidRPr="00BC4FAF" w:rsidRDefault="00A6291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Cumplido. </w:t>
            </w:r>
          </w:p>
        </w:tc>
      </w:tr>
      <w:tr w:rsidR="007E294F" w:rsidRPr="00BC4FAF" w:rsidTr="00000B2F">
        <w:trPr>
          <w:trHeight w:val="1043"/>
        </w:trPr>
        <w:tc>
          <w:tcPr>
            <w:tcW w:w="802" w:type="pct"/>
            <w:vMerge/>
            <w:tcBorders>
              <w:left w:val="single" w:sz="4" w:space="0" w:color="auto"/>
            </w:tcBorders>
          </w:tcPr>
          <w:p w:rsidR="001C4E13" w:rsidRPr="00BC4FAF" w:rsidRDefault="001C4E13" w:rsidP="00BC4FAF">
            <w:pPr>
              <w:pStyle w:val="NoSpacing"/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1C4E13" w:rsidRPr="00685D41" w:rsidRDefault="001C4E13" w:rsidP="00BC4FAF">
            <w:pPr>
              <w:pStyle w:val="NoSpacing"/>
              <w:rPr>
                <w:sz w:val="20"/>
                <w:szCs w:val="20"/>
              </w:rPr>
            </w:pPr>
            <w:r w:rsidRPr="00685D41">
              <w:rPr>
                <w:sz w:val="20"/>
                <w:szCs w:val="20"/>
              </w:rPr>
              <w:t>MINCETUR / MEF (DGAEIC</w:t>
            </w:r>
            <w:r w:rsidR="00306981" w:rsidRPr="00685D41">
              <w:rPr>
                <w:sz w:val="20"/>
                <w:szCs w:val="20"/>
              </w:rPr>
              <w:t>Y</w:t>
            </w:r>
            <w:r w:rsidRPr="00685D41">
              <w:rPr>
                <w:sz w:val="20"/>
                <w:szCs w:val="20"/>
              </w:rPr>
              <w:t>P)/SUNAT/MTC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1C4E13" w:rsidRPr="00BC4FAF" w:rsidDel="00086D3A" w:rsidRDefault="00CA541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z w:val="20"/>
                <w:szCs w:val="20"/>
                <w:lang w:val="es-ES"/>
              </w:rPr>
              <w:t>Avance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>s</w:t>
            </w:r>
            <w:r w:rsidRPr="00BC4FAF">
              <w:rPr>
                <w:color w:val="000000"/>
                <w:sz w:val="20"/>
                <w:szCs w:val="20"/>
                <w:lang w:val="es-ES"/>
              </w:rPr>
              <w:t xml:space="preserve"> en </w:t>
            </w:r>
            <w:r w:rsidR="007210B0" w:rsidRPr="00BC4FAF">
              <w:rPr>
                <w:color w:val="000000"/>
                <w:sz w:val="20"/>
                <w:szCs w:val="20"/>
                <w:lang w:val="es-ES"/>
              </w:rPr>
              <w:t>el mejoramiento de la cadena logística</w:t>
            </w:r>
            <w:r w:rsidR="00691B6B" w:rsidRPr="00BC4FAF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 xml:space="preserve">de comercio exterior </w:t>
            </w:r>
            <w:r w:rsidR="00691B6B" w:rsidRPr="00BC4FAF">
              <w:rPr>
                <w:color w:val="000000"/>
                <w:sz w:val="20"/>
                <w:szCs w:val="20"/>
                <w:lang w:val="es-ES"/>
              </w:rPr>
              <w:t>que incluye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>n</w:t>
            </w:r>
            <w:r w:rsidR="00691B6B" w:rsidRPr="00BC4FAF">
              <w:rPr>
                <w:color w:val="000000"/>
                <w:sz w:val="20"/>
                <w:szCs w:val="20"/>
                <w:lang w:val="es-ES"/>
              </w:rPr>
              <w:t>:</w:t>
            </w:r>
            <w:r w:rsidR="00535B08" w:rsidRPr="00BC4FAF">
              <w:rPr>
                <w:color w:val="000000"/>
                <w:sz w:val="20"/>
                <w:szCs w:val="20"/>
                <w:lang w:val="es-ES"/>
              </w:rPr>
              <w:t xml:space="preserve"> i) </w:t>
            </w:r>
            <w:r w:rsidR="00E97864" w:rsidRPr="00BC4FAF">
              <w:rPr>
                <w:color w:val="000000"/>
                <w:sz w:val="20"/>
                <w:szCs w:val="20"/>
                <w:lang w:val="es-ES"/>
              </w:rPr>
              <w:t xml:space="preserve">la incorporación de un componente logístico </w:t>
            </w:r>
            <w:r w:rsidR="00897BC4" w:rsidRPr="00BC4FAF">
              <w:rPr>
                <w:color w:val="000000"/>
                <w:sz w:val="20"/>
                <w:szCs w:val="20"/>
                <w:lang w:val="es-ES"/>
              </w:rPr>
              <w:t>en</w:t>
            </w:r>
            <w:r w:rsidR="00E97864" w:rsidRPr="00BC4FAF">
              <w:rPr>
                <w:color w:val="000000"/>
                <w:sz w:val="20"/>
                <w:szCs w:val="20"/>
                <w:lang w:val="es-ES"/>
              </w:rPr>
              <w:t xml:space="preserve"> los </w:t>
            </w:r>
            <w:r w:rsidR="00535B08" w:rsidRPr="00BC4FAF">
              <w:rPr>
                <w:color w:val="000000"/>
                <w:sz w:val="20"/>
                <w:szCs w:val="20"/>
                <w:lang w:val="es-ES"/>
              </w:rPr>
              <w:t>lineamientos para el P</w:t>
            </w:r>
            <w:r w:rsidR="00691B6B" w:rsidRPr="00BC4FAF">
              <w:rPr>
                <w:color w:val="000000"/>
                <w:sz w:val="20"/>
                <w:szCs w:val="20"/>
                <w:lang w:val="es-ES"/>
              </w:rPr>
              <w:t xml:space="preserve">lan </w:t>
            </w:r>
            <w:r w:rsidR="00535B08" w:rsidRPr="00BC4FAF">
              <w:rPr>
                <w:color w:val="000000"/>
                <w:sz w:val="20"/>
                <w:szCs w:val="20"/>
                <w:lang w:val="es-ES"/>
              </w:rPr>
              <w:t>Estratégico Nacional E</w:t>
            </w:r>
            <w:r w:rsidR="00691B6B" w:rsidRPr="00BC4FAF">
              <w:rPr>
                <w:color w:val="000000"/>
                <w:sz w:val="20"/>
                <w:szCs w:val="20"/>
                <w:lang w:val="es-ES"/>
              </w:rPr>
              <w:t xml:space="preserve">xportador, 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 xml:space="preserve">ii) 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 xml:space="preserve">definición 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 xml:space="preserve"> de servicios para el mejoramiento de la cadena logística de comercio exterior en 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 xml:space="preserve">el perfil del proyecto de 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>la VUCE</w:t>
            </w:r>
            <w:r w:rsidR="00535B08" w:rsidRPr="00BC4FAF">
              <w:rPr>
                <w:color w:val="000000"/>
                <w:sz w:val="20"/>
                <w:szCs w:val="20"/>
                <w:lang w:val="es-ES"/>
              </w:rPr>
              <w:t xml:space="preserve">, 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 xml:space="preserve">y </w:t>
            </w:r>
            <w:r w:rsidR="00FA080B" w:rsidRPr="00BC4FAF">
              <w:rPr>
                <w:color w:val="000000"/>
                <w:sz w:val="20"/>
                <w:szCs w:val="20"/>
                <w:lang w:val="es-ES"/>
              </w:rPr>
              <w:t xml:space="preserve">iii) </w:t>
            </w:r>
            <w:r w:rsidR="00897BC4" w:rsidRPr="00BC4FAF">
              <w:rPr>
                <w:color w:val="000000"/>
                <w:sz w:val="20"/>
                <w:szCs w:val="20"/>
                <w:lang w:val="es-ES"/>
              </w:rPr>
              <w:t xml:space="preserve">implementación del 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 xml:space="preserve">programa de logística asistida de </w:t>
            </w:r>
            <w:proofErr w:type="spellStart"/>
            <w:r w:rsidR="003A1676" w:rsidRPr="00BC4FAF">
              <w:rPr>
                <w:color w:val="000000"/>
                <w:sz w:val="20"/>
                <w:szCs w:val="20"/>
                <w:lang w:val="es-ES"/>
              </w:rPr>
              <w:t>Promperu</w:t>
            </w:r>
            <w:proofErr w:type="spellEnd"/>
            <w:r w:rsidR="007210B0" w:rsidRPr="00BC4FAF">
              <w:rPr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</w:tcBorders>
          </w:tcPr>
          <w:p w:rsidR="00CE5E28" w:rsidRPr="00BC4FAF" w:rsidRDefault="00CE5E2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Informe de </w:t>
            </w:r>
            <w:proofErr w:type="spellStart"/>
            <w:r w:rsidRPr="00BC4FAF">
              <w:rPr>
                <w:sz w:val="20"/>
                <w:szCs w:val="20"/>
                <w:lang w:val="es-ES"/>
              </w:rPr>
              <w:t>Mincetur</w:t>
            </w:r>
            <w:proofErr w:type="spellEnd"/>
            <w:r w:rsidRPr="00BC4FAF">
              <w:rPr>
                <w:sz w:val="20"/>
                <w:szCs w:val="20"/>
                <w:lang w:val="es-ES"/>
              </w:rPr>
              <w:t xml:space="preserve"> describiendo avances en la implementación </w:t>
            </w:r>
            <w:r w:rsidR="00B76F28" w:rsidRPr="00BC4FAF">
              <w:rPr>
                <w:color w:val="000000"/>
                <w:sz w:val="20"/>
                <w:szCs w:val="20"/>
                <w:lang w:val="es-ES"/>
              </w:rPr>
              <w:t xml:space="preserve">de acciones 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>para el mejoramiento de la cadena logística</w:t>
            </w:r>
            <w:r w:rsidR="00622983">
              <w:rPr>
                <w:color w:val="000000"/>
                <w:sz w:val="20"/>
                <w:szCs w:val="20"/>
                <w:lang w:val="es-ES"/>
              </w:rPr>
              <w:t>, remitido mediante Oficio N° 647-2014-MINCETUR/SG del 15 ago.14</w:t>
            </w:r>
            <w:r w:rsidR="003A1676" w:rsidRPr="00BC4FAF">
              <w:rPr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</w:tcPr>
          <w:p w:rsidR="009E3E95" w:rsidRPr="00BC4FAF" w:rsidRDefault="0062298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7C2FDA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EA435E" w:rsidRPr="00BC4FAF" w:rsidRDefault="00EA435E" w:rsidP="00BC4FAF">
            <w:pPr>
              <w:pStyle w:val="NoSpacing"/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7E294F" w:rsidRPr="00F00724" w:rsidTr="00000B2F">
        <w:tc>
          <w:tcPr>
            <w:tcW w:w="802" w:type="pct"/>
            <w:vMerge/>
            <w:tcBorders>
              <w:left w:val="single" w:sz="4" w:space="0" w:color="auto"/>
            </w:tcBorders>
          </w:tcPr>
          <w:p w:rsidR="001C4E13" w:rsidRPr="00BC4FAF" w:rsidRDefault="001C4E1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E13" w:rsidRPr="00BC4FAF" w:rsidRDefault="001C4E1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MINCETUR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0B0" w:rsidRPr="00BC4FAF" w:rsidRDefault="00E96386" w:rsidP="00BC4FAF">
            <w:pPr>
              <w:pStyle w:val="NoSpacing"/>
              <w:rPr>
                <w:b/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116  </w:t>
            </w:r>
            <w:r w:rsidR="007210B0" w:rsidRPr="00BC4FAF">
              <w:rPr>
                <w:sz w:val="20"/>
                <w:szCs w:val="20"/>
                <w:lang w:val="es-ES"/>
              </w:rPr>
              <w:t>nuevos trámites automatizados incluidos en la VUCE</w:t>
            </w:r>
            <w:r w:rsidR="007210B0" w:rsidRPr="00BC4FAF">
              <w:rPr>
                <w:b/>
                <w:sz w:val="20"/>
                <w:szCs w:val="20"/>
                <w:lang w:val="es-ES"/>
              </w:rPr>
              <w:t>.</w:t>
            </w:r>
          </w:p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Componente portuario de la VUCE</w:t>
            </w:r>
            <w:r w:rsidR="00A05ACE" w:rsidRPr="00BC4FAF">
              <w:rPr>
                <w:sz w:val="20"/>
                <w:szCs w:val="20"/>
                <w:lang w:val="es-ES"/>
              </w:rPr>
              <w:t>,</w:t>
            </w:r>
            <w:r w:rsidRPr="00BC4FAF">
              <w:rPr>
                <w:sz w:val="20"/>
                <w:szCs w:val="20"/>
                <w:lang w:val="es-ES"/>
              </w:rPr>
              <w:t xml:space="preserve"> implementado con 5 procedimientos administrativos</w:t>
            </w:r>
            <w:r w:rsidR="00A05ACE" w:rsidRPr="00BC4FAF">
              <w:rPr>
                <w:sz w:val="20"/>
                <w:szCs w:val="20"/>
                <w:lang w:val="es-ES"/>
              </w:rPr>
              <w:t xml:space="preserve"> incorporados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Pr="00BC4FAF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C3259" w:rsidRDefault="003C325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1C4E13" w:rsidRPr="00BC4FAF" w:rsidRDefault="001E773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Avances en la i</w:t>
            </w:r>
            <w:r w:rsidR="007210B0" w:rsidRPr="00BC4FAF">
              <w:rPr>
                <w:sz w:val="20"/>
                <w:szCs w:val="20"/>
                <w:lang w:val="es-ES"/>
              </w:rPr>
              <w:t xml:space="preserve">nteroperabilidad </w:t>
            </w:r>
            <w:r w:rsidRPr="00BC4FAF">
              <w:rPr>
                <w:sz w:val="20"/>
                <w:szCs w:val="20"/>
                <w:lang w:val="es-ES"/>
              </w:rPr>
              <w:t xml:space="preserve">de la VUCE que incluyen: i) el componente de origen de la VUCE implementado, ii) incorporación del </w:t>
            </w:r>
            <w:r w:rsidR="00EF70D3" w:rsidRPr="00BC4FAF">
              <w:rPr>
                <w:sz w:val="20"/>
                <w:szCs w:val="20"/>
                <w:lang w:val="es-ES"/>
              </w:rPr>
              <w:t>módulo</w:t>
            </w:r>
            <w:r w:rsidRPr="00BC4FAF">
              <w:rPr>
                <w:sz w:val="20"/>
                <w:szCs w:val="20"/>
                <w:lang w:val="es-ES"/>
              </w:rPr>
              <w:t xml:space="preserve"> de interoperabilidad en el perfil del proyecto de la VUCE, y iii) marco normativo general para la interoperabilidad en los países de la Alianza del Pacifico  suscrito</w:t>
            </w:r>
            <w:r w:rsidR="007210B0" w:rsidRPr="00BC4FAF">
              <w:rPr>
                <w:sz w:val="20"/>
                <w:szCs w:val="20"/>
                <w:lang w:val="es-ES"/>
              </w:rPr>
              <w:t>.</w:t>
            </w:r>
          </w:p>
          <w:p w:rsidR="008619D7" w:rsidRPr="00BC4FAF" w:rsidRDefault="008619D7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619D7" w:rsidRPr="00BC4FAF" w:rsidRDefault="008619D7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FBB" w:rsidRDefault="00BB224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D67FBB">
              <w:rPr>
                <w:sz w:val="20"/>
                <w:szCs w:val="20"/>
                <w:lang w:val="es-ES"/>
              </w:rPr>
              <w:t>R</w:t>
            </w:r>
            <w:r w:rsidR="00536035" w:rsidRPr="00D67FBB">
              <w:rPr>
                <w:sz w:val="20"/>
                <w:szCs w:val="20"/>
                <w:lang w:val="es-ES"/>
              </w:rPr>
              <w:t xml:space="preserve">esoluciones </w:t>
            </w:r>
            <w:r w:rsidRPr="00D67FBB">
              <w:rPr>
                <w:sz w:val="20"/>
                <w:szCs w:val="20"/>
                <w:lang w:val="es-ES"/>
              </w:rPr>
              <w:t>M</w:t>
            </w:r>
            <w:r w:rsidR="00536035" w:rsidRPr="00D67FBB">
              <w:rPr>
                <w:sz w:val="20"/>
                <w:szCs w:val="20"/>
                <w:lang w:val="es-ES"/>
              </w:rPr>
              <w:t>inisteriale</w:t>
            </w:r>
            <w:r w:rsidR="00980320" w:rsidRPr="00D67FBB">
              <w:rPr>
                <w:sz w:val="20"/>
                <w:szCs w:val="20"/>
                <w:lang w:val="es-ES"/>
              </w:rPr>
              <w:t>s</w:t>
            </w:r>
            <w:r w:rsidRPr="00D67FBB">
              <w:rPr>
                <w:sz w:val="20"/>
                <w:szCs w:val="20"/>
                <w:lang w:val="es-ES"/>
              </w:rPr>
              <w:t xml:space="preserve"> </w:t>
            </w:r>
            <w:r w:rsidR="00CE21BE" w:rsidRPr="00D67FBB">
              <w:rPr>
                <w:sz w:val="20"/>
                <w:szCs w:val="20"/>
                <w:lang w:val="es-ES"/>
              </w:rPr>
              <w:t>N° 085, 234, 252-2012 MINCETUR, RM N° 039, 252, 274, 323-2013 MINCETUR, y R</w:t>
            </w:r>
            <w:r w:rsidR="00AA7085">
              <w:rPr>
                <w:sz w:val="20"/>
                <w:szCs w:val="20"/>
                <w:lang w:val="es-ES"/>
              </w:rPr>
              <w:t>esolución Ministerial N° 092-2014 MINCETUR que aprueban la incorporación de procedimientos administrativos que se tramitan a través de la Ventanilla única de Comercio Exterior-VUCE</w:t>
            </w:r>
            <w:r w:rsidR="00D67FBB">
              <w:rPr>
                <w:sz w:val="20"/>
                <w:szCs w:val="20"/>
                <w:lang w:val="es-ES"/>
              </w:rPr>
              <w:t>.</w:t>
            </w:r>
          </w:p>
          <w:p w:rsidR="00CE21BE" w:rsidRPr="00D67FBB" w:rsidRDefault="00CE21B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D67FBB">
              <w:rPr>
                <w:sz w:val="20"/>
                <w:szCs w:val="20"/>
                <w:lang w:val="es-ES"/>
              </w:rPr>
              <w:t xml:space="preserve"> </w:t>
            </w:r>
          </w:p>
          <w:p w:rsidR="00980320" w:rsidRPr="00D67FBB" w:rsidRDefault="00AA708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Decreto Supremo N° 012-2013-MINCETUR que aprueba el Reglamento Operativo del componente portuario de la Ventanilla única de Comercio Exterior.</w:t>
            </w:r>
          </w:p>
          <w:p w:rsidR="00980320" w:rsidRPr="00D67FBB" w:rsidRDefault="0098032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80320" w:rsidRP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Informe </w:t>
            </w:r>
            <w:r>
              <w:rPr>
                <w:sz w:val="20"/>
                <w:szCs w:val="20"/>
                <w:lang w:val="es-ES"/>
              </w:rPr>
              <w:t xml:space="preserve">Complementario N° 14-2014-MINCETUR/VMCE/DNC/ACHP </w:t>
            </w:r>
            <w:r w:rsidRPr="00BC4FAF">
              <w:rPr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BC4FAF">
              <w:rPr>
                <w:sz w:val="20"/>
                <w:szCs w:val="20"/>
                <w:lang w:val="es-ES"/>
              </w:rPr>
              <w:t>Mincetur</w:t>
            </w:r>
            <w:proofErr w:type="spellEnd"/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donde se detallan los dispositivos legales relacionados a </w:t>
            </w:r>
            <w:r w:rsidR="00980320" w:rsidRPr="00D67FBB">
              <w:rPr>
                <w:sz w:val="20"/>
                <w:szCs w:val="20"/>
                <w:lang w:val="es-ES"/>
              </w:rPr>
              <w:t xml:space="preserve">la incorporación de </w:t>
            </w:r>
            <w:r w:rsidR="00AA7085">
              <w:rPr>
                <w:sz w:val="20"/>
                <w:szCs w:val="20"/>
                <w:lang w:val="es-ES"/>
              </w:rPr>
              <w:t>5 procedimientos administrativos</w:t>
            </w:r>
            <w:r>
              <w:rPr>
                <w:sz w:val="20"/>
                <w:szCs w:val="20"/>
                <w:lang w:val="es-ES"/>
              </w:rPr>
              <w:t xml:space="preserve"> al piloto del componente portuario de la VUCE denominado Sistema </w:t>
            </w:r>
            <w:proofErr w:type="spellStart"/>
            <w:r>
              <w:rPr>
                <w:sz w:val="20"/>
                <w:szCs w:val="20"/>
                <w:lang w:val="es-ES"/>
              </w:rPr>
              <w:t>Redenaves</w:t>
            </w:r>
            <w:proofErr w:type="spellEnd"/>
            <w:r w:rsidR="00980320" w:rsidRPr="00D67FBB">
              <w:rPr>
                <w:sz w:val="20"/>
                <w:szCs w:val="20"/>
                <w:lang w:val="es-ES"/>
              </w:rPr>
              <w:t>.</w:t>
            </w:r>
          </w:p>
          <w:p w:rsidR="00F054F4" w:rsidRPr="00D67FBB" w:rsidRDefault="00F054F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F70D3" w:rsidRPr="00D67FBB" w:rsidRDefault="00EF70D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D67FBB">
              <w:rPr>
                <w:sz w:val="20"/>
                <w:szCs w:val="20"/>
                <w:lang w:val="es-ES"/>
              </w:rPr>
              <w:t>D</w:t>
            </w:r>
            <w:r w:rsidR="00D1055B" w:rsidRPr="00D67FBB">
              <w:rPr>
                <w:sz w:val="20"/>
                <w:szCs w:val="20"/>
                <w:lang w:val="es-ES"/>
              </w:rPr>
              <w:t xml:space="preserve">ecreto </w:t>
            </w:r>
            <w:r w:rsidRPr="00D67FBB">
              <w:rPr>
                <w:sz w:val="20"/>
                <w:szCs w:val="20"/>
                <w:lang w:val="es-ES"/>
              </w:rPr>
              <w:t>S</w:t>
            </w:r>
            <w:r w:rsidR="00D1055B" w:rsidRPr="00D67FBB">
              <w:rPr>
                <w:sz w:val="20"/>
                <w:szCs w:val="20"/>
                <w:lang w:val="es-ES"/>
              </w:rPr>
              <w:t>upremo N°</w:t>
            </w:r>
            <w:r w:rsidRPr="00D67FBB">
              <w:rPr>
                <w:sz w:val="20"/>
                <w:szCs w:val="20"/>
                <w:lang w:val="es-ES"/>
              </w:rPr>
              <w:t xml:space="preserve"> 006</w:t>
            </w:r>
            <w:r w:rsidR="00C26938" w:rsidRPr="00D67FBB">
              <w:rPr>
                <w:sz w:val="20"/>
                <w:szCs w:val="20"/>
                <w:lang w:val="es-ES"/>
              </w:rPr>
              <w:t>-</w:t>
            </w:r>
            <w:r w:rsidR="00AA7085">
              <w:rPr>
                <w:sz w:val="20"/>
                <w:szCs w:val="20"/>
                <w:lang w:val="es-ES"/>
              </w:rPr>
              <w:t>2013-MINCETUR que aprueba el Reglamento Operativo del componente de Origen.</w:t>
            </w:r>
          </w:p>
          <w:p w:rsidR="00EF70D3" w:rsidRPr="00D67FBB" w:rsidRDefault="00EF70D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008AA" w:rsidRP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Oficio N° 4355-2014-EF/63.01 del 05 set.14, con el cual el MEF comunica a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4FAF">
              <w:rPr>
                <w:sz w:val="20"/>
                <w:szCs w:val="20"/>
                <w:lang w:val="es-ES"/>
              </w:rPr>
              <w:t>Mincetur</w:t>
            </w:r>
            <w:proofErr w:type="spellEnd"/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aprobación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AC3C28">
              <w:rPr>
                <w:sz w:val="20"/>
                <w:szCs w:val="20"/>
                <w:lang w:val="es-ES"/>
              </w:rPr>
              <w:t xml:space="preserve">por parte del </w:t>
            </w:r>
            <w:proofErr w:type="spellStart"/>
            <w:r w:rsidR="00AC3C28">
              <w:rPr>
                <w:sz w:val="20"/>
                <w:szCs w:val="20"/>
                <w:lang w:val="es-ES"/>
              </w:rPr>
              <w:t>MEF</w:t>
            </w:r>
            <w:r>
              <w:rPr>
                <w:sz w:val="20"/>
                <w:szCs w:val="20"/>
                <w:lang w:val="es-ES"/>
              </w:rPr>
              <w:t>d</w:t>
            </w:r>
            <w:r w:rsidR="00EF70D3" w:rsidRPr="00D67FBB">
              <w:rPr>
                <w:sz w:val="20"/>
                <w:szCs w:val="20"/>
                <w:lang w:val="es-ES"/>
              </w:rPr>
              <w:t>el</w:t>
            </w:r>
            <w:proofErr w:type="spellEnd"/>
            <w:r w:rsidR="00EF70D3" w:rsidRPr="00D67FBB">
              <w:rPr>
                <w:sz w:val="20"/>
                <w:szCs w:val="20"/>
                <w:lang w:val="es-ES"/>
              </w:rPr>
              <w:t xml:space="preserve"> perfil </w:t>
            </w:r>
            <w:r w:rsidR="00397F3C" w:rsidRPr="00D67FBB">
              <w:rPr>
                <w:sz w:val="20"/>
                <w:szCs w:val="20"/>
                <w:lang w:val="es-ES"/>
              </w:rPr>
              <w:t xml:space="preserve">del PIP </w:t>
            </w:r>
            <w:r w:rsidR="00EF70D3" w:rsidRPr="00D67FBB">
              <w:rPr>
                <w:sz w:val="20"/>
                <w:szCs w:val="20"/>
                <w:lang w:val="es-ES"/>
              </w:rPr>
              <w:t>de la VUCE</w:t>
            </w:r>
            <w:r w:rsidR="00397F3C" w:rsidRPr="00D67FBB">
              <w:rPr>
                <w:sz w:val="20"/>
                <w:szCs w:val="20"/>
                <w:lang w:val="es-ES"/>
              </w:rPr>
              <w:t xml:space="preserve">, que incluye el </w:t>
            </w:r>
            <w:r w:rsidR="00AA7085">
              <w:rPr>
                <w:sz w:val="20"/>
                <w:szCs w:val="20"/>
                <w:lang w:val="es-ES"/>
              </w:rPr>
              <w:t>módulo de interoperabilidad</w:t>
            </w:r>
            <w:r w:rsidR="00AC3C28">
              <w:rPr>
                <w:sz w:val="20"/>
                <w:szCs w:val="20"/>
                <w:lang w:val="es-ES"/>
              </w:rPr>
              <w:t>, y autoriza la formulación del estudio de factibilidad</w:t>
            </w:r>
            <w:r w:rsidR="00AA7085">
              <w:rPr>
                <w:sz w:val="20"/>
                <w:szCs w:val="20"/>
                <w:lang w:val="es-ES"/>
              </w:rPr>
              <w:t>.</w:t>
            </w:r>
          </w:p>
          <w:p w:rsidR="00EF70D3" w:rsidRPr="00D67FBB" w:rsidRDefault="00EF70D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1C6E6C" w:rsidRPr="00D67FBB" w:rsidRDefault="00AA708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Adicional al Acuerdo marco de la Alianza del Pacífico que incluye el mandato de interoperabilidad.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B" w:rsidRPr="00BC4FAF" w:rsidRDefault="00412F5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865F6C" w:rsidRPr="00BC4FAF">
              <w:rPr>
                <w:sz w:val="20"/>
                <w:szCs w:val="20"/>
                <w:lang w:val="es-ES"/>
              </w:rPr>
              <w:t>.</w:t>
            </w:r>
            <w:r w:rsidR="002A6FA0" w:rsidRPr="00BC4FAF">
              <w:rPr>
                <w:sz w:val="20"/>
                <w:szCs w:val="20"/>
                <w:lang w:val="es-ES"/>
              </w:rPr>
              <w:t xml:space="preserve"> </w:t>
            </w: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1055B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C26938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D1055B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1C6E6C" w:rsidRPr="00BC4FAF" w:rsidRDefault="00D1055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  <w:r w:rsidR="00E008AA" w:rsidRPr="00BC4FAF">
              <w:rPr>
                <w:sz w:val="20"/>
                <w:szCs w:val="20"/>
                <w:lang w:val="es-ES"/>
              </w:rPr>
              <w:t xml:space="preserve"> </w:t>
            </w:r>
          </w:p>
          <w:p w:rsidR="00060DFC" w:rsidRPr="00BC4FAF" w:rsidRDefault="00060DF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60DFC" w:rsidRPr="00BC4FAF" w:rsidRDefault="00060DF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60DFC" w:rsidRPr="00BC4FAF" w:rsidRDefault="00060DF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60DFC" w:rsidRPr="00BC4FAF" w:rsidRDefault="00060DF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15D99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C26938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E15D99" w:rsidRPr="00BC4FAF" w:rsidRDefault="00E15D9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15D99" w:rsidRDefault="00E15D9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AE4038" w:rsidRPr="00BC4FAF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B383D" w:rsidRDefault="00FB383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E15D99" w:rsidRPr="00BC4FAF" w:rsidRDefault="00E15D99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</w:tc>
      </w:tr>
      <w:tr w:rsidR="007E294F" w:rsidRPr="00BC4FAF" w:rsidTr="00000B2F"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13" w:rsidRPr="00BC4FAF" w:rsidRDefault="001C4E1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1C4E13" w:rsidRPr="00BC4FAF" w:rsidRDefault="00BC4FA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z w:val="20"/>
                <w:szCs w:val="20"/>
                <w:lang w:val="es-ES"/>
              </w:rPr>
              <w:t>Comisión Especial de Implementa</w:t>
            </w:r>
            <w:r w:rsidRPr="00BC4FAF">
              <w:rPr>
                <w:color w:val="000000"/>
                <w:spacing w:val="-6"/>
                <w:sz w:val="20"/>
                <w:szCs w:val="20"/>
                <w:lang w:val="es-ES"/>
              </w:rPr>
              <w:t>ción de la VUCE (</w:t>
            </w:r>
            <w:r w:rsidRPr="00BC4FAF">
              <w:rPr>
                <w:color w:val="000000"/>
                <w:spacing w:val="-4"/>
                <w:sz w:val="20"/>
                <w:szCs w:val="20"/>
                <w:lang w:val="es-ES"/>
              </w:rPr>
              <w:t>representada por MINCETUR)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E13" w:rsidRPr="00BC4FAF" w:rsidRDefault="007210B0">
            <w:pPr>
              <w:pStyle w:val="NoSpacing"/>
              <w:rPr>
                <w:color w:val="FF0000"/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Mejoras en 50 trámites administrativos implementadas a nivel de procesos en</w:t>
            </w:r>
            <w:r w:rsidR="008B0122" w:rsidRPr="00BC4FAF">
              <w:rPr>
                <w:sz w:val="20"/>
                <w:szCs w:val="20"/>
                <w:lang w:val="es-ES"/>
              </w:rPr>
              <w:t>tre</w:t>
            </w:r>
            <w:r w:rsidRPr="00BC4FAF">
              <w:rPr>
                <w:sz w:val="20"/>
                <w:szCs w:val="20"/>
                <w:lang w:val="es-ES"/>
              </w:rPr>
              <w:t xml:space="preserve"> MTC, ITP, DIGESA, DIGEMID, PRODUCE, SENASA y Dirección General de Flora y Fauna del MINAG</w:t>
            </w:r>
            <w:r w:rsidR="00D67FBB">
              <w:rPr>
                <w:sz w:val="20"/>
                <w:szCs w:val="20"/>
                <w:lang w:val="es-ES"/>
              </w:rPr>
              <w:t>RI</w:t>
            </w:r>
            <w:r w:rsidRPr="00BC4FAF">
              <w:rPr>
                <w:sz w:val="20"/>
                <w:szCs w:val="20"/>
                <w:lang w:val="es-ES"/>
              </w:rPr>
              <w:t>, que representen la mayor carga administrativa de cada entidad</w:t>
            </w:r>
            <w:r w:rsidR="008B0122" w:rsidRPr="00BC4FAF">
              <w:rPr>
                <w:sz w:val="20"/>
                <w:szCs w:val="20"/>
                <w:lang w:val="es-ES"/>
              </w:rPr>
              <w:t xml:space="preserve"> en relación a mercancías restringidas.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E13" w:rsidRPr="00BC4FAF" w:rsidRDefault="00055F53" w:rsidP="00D67FBB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Informe </w:t>
            </w:r>
            <w:r w:rsidR="00D67FBB">
              <w:rPr>
                <w:sz w:val="20"/>
                <w:szCs w:val="20"/>
                <w:lang w:val="es-ES"/>
              </w:rPr>
              <w:t>N° 14-2014-MINCETUR/VMCE/DNC/IHP e Informe Complementario N° 14-2014-MINCETUR/VMCE/DNC/ACHP</w:t>
            </w:r>
            <w:r w:rsidR="00D67FBB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BC4FAF">
              <w:rPr>
                <w:sz w:val="20"/>
                <w:szCs w:val="20"/>
                <w:lang w:val="es-ES"/>
              </w:rPr>
              <w:t>Mincetur</w:t>
            </w:r>
            <w:proofErr w:type="spellEnd"/>
            <w:r w:rsidRPr="00BC4FAF">
              <w:rPr>
                <w:sz w:val="20"/>
                <w:szCs w:val="20"/>
                <w:lang w:val="es-ES"/>
              </w:rPr>
              <w:t xml:space="preserve"> describiendo los avances en las mejoras de los trámites administrativos.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3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572426" w:rsidRPr="00BC4FAF">
              <w:rPr>
                <w:sz w:val="20"/>
                <w:szCs w:val="20"/>
                <w:lang w:val="es-ES"/>
              </w:rPr>
              <w:t>.</w:t>
            </w:r>
          </w:p>
        </w:tc>
      </w:tr>
      <w:tr w:rsidR="00A7484A" w:rsidRPr="00BC4FAF" w:rsidTr="00000B2F">
        <w:tc>
          <w:tcPr>
            <w:tcW w:w="8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84A" w:rsidRPr="00FD5F20" w:rsidRDefault="00A7484A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FD5F20">
              <w:rPr>
                <w:sz w:val="20"/>
                <w:szCs w:val="20"/>
                <w:lang w:val="es-ES"/>
              </w:rPr>
              <w:t>F. Mejorar la efectividad y eficiencia del registro de garantías mobiliarias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A7484A" w:rsidRPr="00FD5F20" w:rsidRDefault="00DD6B5C" w:rsidP="00BC4FAF">
            <w:pPr>
              <w:pStyle w:val="NoSpacing"/>
              <w:rPr>
                <w:color w:val="000000"/>
                <w:sz w:val="20"/>
                <w:szCs w:val="20"/>
                <w:lang w:val="es-ES"/>
              </w:rPr>
            </w:pPr>
            <w:r w:rsidRPr="00FD5F20">
              <w:rPr>
                <w:color w:val="000000"/>
                <w:sz w:val="20"/>
                <w:szCs w:val="20"/>
                <w:lang w:val="es-ES"/>
              </w:rPr>
              <w:t>MEF</w:t>
            </w:r>
            <w:r w:rsidR="00E61F11" w:rsidRPr="00FD5F20">
              <w:rPr>
                <w:color w:val="000000"/>
                <w:sz w:val="20"/>
                <w:szCs w:val="20"/>
                <w:lang w:val="es-ES"/>
              </w:rPr>
              <w:t xml:space="preserve">- Dirección General de </w:t>
            </w:r>
            <w:r w:rsidR="00D520B3" w:rsidRPr="00FD5F20">
              <w:rPr>
                <w:color w:val="000000"/>
                <w:sz w:val="20"/>
                <w:szCs w:val="20"/>
                <w:lang w:val="es-ES"/>
              </w:rPr>
              <w:t>Mercados Financieros, Laboral y Previsionales/ CNC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84A" w:rsidRPr="00FD5F20" w:rsidRDefault="00DD6B5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FD5F20">
              <w:rPr>
                <w:sz w:val="20"/>
                <w:szCs w:val="20"/>
                <w:lang w:val="es-ES"/>
              </w:rPr>
              <w:t>Propuesta de reforma normativa del sistema de garantías mobiliarias, presentada al Congreso.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84A" w:rsidRPr="00FD5F20" w:rsidRDefault="00DD6B5C" w:rsidP="00D82FEE">
            <w:pPr>
              <w:pStyle w:val="NoSpacing"/>
              <w:rPr>
                <w:sz w:val="20"/>
                <w:szCs w:val="20"/>
                <w:lang w:val="es-ES"/>
              </w:rPr>
            </w:pPr>
            <w:r w:rsidRPr="00FD5F20">
              <w:rPr>
                <w:sz w:val="20"/>
                <w:szCs w:val="20"/>
                <w:lang w:val="es-ES"/>
              </w:rPr>
              <w:t>Proyecto de Ley que modifica la Ley de Garantías Mobiliarias enviado al Congreso</w:t>
            </w:r>
            <w:r w:rsidR="00D82FEE" w:rsidRPr="00FD5F20">
              <w:rPr>
                <w:sz w:val="20"/>
                <w:szCs w:val="20"/>
                <w:lang w:val="es-ES"/>
              </w:rPr>
              <w:t xml:space="preserve"> mediante Oficio N° 087-2014-PR del 17 jun.14</w:t>
            </w:r>
            <w:r w:rsidRPr="00FD5F20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A" w:rsidRPr="00FD5F20" w:rsidRDefault="00D82FE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FD5F20">
              <w:rPr>
                <w:sz w:val="20"/>
                <w:szCs w:val="20"/>
                <w:lang w:val="es-ES"/>
              </w:rPr>
              <w:t>Cumplido.</w:t>
            </w:r>
          </w:p>
        </w:tc>
      </w:tr>
      <w:tr w:rsidR="00624B69" w:rsidRPr="00EA7335" w:rsidTr="00FD5F20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4B69" w:rsidRPr="00BC4FAF" w:rsidRDefault="00624B69" w:rsidP="0050270B">
            <w:pPr>
              <w:pStyle w:val="NoSpacing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s-ES"/>
              </w:rPr>
            </w:pPr>
            <w:r w:rsidRPr="00BC4FAF">
              <w:rPr>
                <w:b/>
                <w:sz w:val="20"/>
                <w:szCs w:val="20"/>
                <w:lang w:val="es-ES"/>
              </w:rPr>
              <w:t xml:space="preserve">Institucionalidad e Instrumentos </w:t>
            </w:r>
            <w:r w:rsidR="002037A9">
              <w:rPr>
                <w:b/>
                <w:sz w:val="20"/>
                <w:szCs w:val="20"/>
                <w:lang w:val="es-ES"/>
              </w:rPr>
              <w:t>de apoyo a</w:t>
            </w:r>
            <w:r w:rsidR="002037A9" w:rsidRPr="00BC4FAF" w:rsidDel="002037A9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b/>
                <w:sz w:val="20"/>
                <w:szCs w:val="20"/>
                <w:lang w:val="es-ES"/>
              </w:rPr>
              <w:t>la Competitividad</w:t>
            </w:r>
          </w:p>
        </w:tc>
      </w:tr>
      <w:tr w:rsidR="007E294F" w:rsidRPr="00BC4FAF" w:rsidTr="00000B2F"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B" w:rsidRPr="00BC4FAF" w:rsidRDefault="00D2037B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 A. Mejora del funcionamiento de la institucionalidad de apoyo al sector privado y la competitividad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D2037B" w:rsidRPr="00BC4FAF" w:rsidRDefault="00D2037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CNC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D2037B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Agenda de Competitividad actualizada y reforma institucional del CNC aprobada. 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D2037B" w:rsidRDefault="00DB1CA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Agenda de Competitividad 2014-2018</w:t>
            </w:r>
            <w:r w:rsidR="002531A4" w:rsidRPr="00BC4FAF">
              <w:rPr>
                <w:sz w:val="20"/>
                <w:szCs w:val="20"/>
                <w:lang w:val="es-ES"/>
              </w:rPr>
              <w:t xml:space="preserve">, </w:t>
            </w:r>
            <w:r w:rsidR="00D67FBB" w:rsidRPr="009057A4">
              <w:rPr>
                <w:sz w:val="20"/>
                <w:szCs w:val="20"/>
                <w:lang w:val="es-ES"/>
              </w:rPr>
              <w:t xml:space="preserve">disponible en </w:t>
            </w:r>
            <w:r w:rsidR="009C7A57">
              <w:rPr>
                <w:sz w:val="20"/>
                <w:szCs w:val="20"/>
                <w:lang w:val="es-ES"/>
              </w:rPr>
              <w:t>la</w:t>
            </w:r>
            <w:r w:rsidR="00D67FBB" w:rsidRPr="009057A4">
              <w:rPr>
                <w:sz w:val="20"/>
                <w:szCs w:val="20"/>
                <w:lang w:val="es-ES"/>
              </w:rPr>
              <w:t xml:space="preserve"> página web </w:t>
            </w:r>
            <w:r w:rsidR="00536035" w:rsidRPr="00BC4FAF">
              <w:rPr>
                <w:sz w:val="20"/>
                <w:szCs w:val="20"/>
                <w:lang w:val="es-ES"/>
              </w:rPr>
              <w:t>del CNC</w:t>
            </w:r>
            <w:r w:rsidR="00971FC0">
              <w:rPr>
                <w:sz w:val="20"/>
                <w:szCs w:val="20"/>
                <w:lang w:val="es-ES"/>
              </w:rPr>
              <w:t>:</w:t>
            </w:r>
          </w:p>
          <w:p w:rsidR="00971FC0" w:rsidRDefault="00971FC0" w:rsidP="00BC4FAF">
            <w:pPr>
              <w:pStyle w:val="NoSpacing"/>
              <w:rPr>
                <w:sz w:val="20"/>
                <w:szCs w:val="20"/>
                <w:highlight w:val="yellow"/>
                <w:lang w:val="es-ES"/>
              </w:rPr>
            </w:pPr>
          </w:p>
          <w:p w:rsidR="00F43919" w:rsidRPr="00BC4FAF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971FC0">
              <w:rPr>
                <w:sz w:val="20"/>
                <w:szCs w:val="20"/>
                <w:lang w:val="es-ES"/>
              </w:rPr>
              <w:t>http://www.cnc.gob.pe/web/pagina.php?pID=1521</w:t>
            </w:r>
          </w:p>
          <w:p w:rsidR="00637962" w:rsidRPr="00BC4FAF" w:rsidRDefault="0063796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F35F5" w:rsidRPr="00BC4FAF" w:rsidRDefault="007F35F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Ley</w:t>
            </w:r>
            <w:r w:rsidR="009D588F" w:rsidRPr="00BC4FAF">
              <w:rPr>
                <w:sz w:val="20"/>
                <w:szCs w:val="20"/>
                <w:lang w:val="es-ES"/>
              </w:rPr>
              <w:t xml:space="preserve"> N° 30114, Ley</w:t>
            </w:r>
            <w:r w:rsidRPr="00BC4FAF">
              <w:rPr>
                <w:sz w:val="20"/>
                <w:szCs w:val="20"/>
                <w:lang w:val="es-ES"/>
              </w:rPr>
              <w:t xml:space="preserve"> de Presupuesto </w:t>
            </w:r>
            <w:r w:rsidR="009D588F" w:rsidRPr="00BC4FAF">
              <w:rPr>
                <w:sz w:val="20"/>
                <w:szCs w:val="20"/>
                <w:lang w:val="es-ES"/>
              </w:rPr>
              <w:t xml:space="preserve">del Sector Público para el Año Fiscal </w:t>
            </w:r>
            <w:r w:rsidRPr="00BC4FAF">
              <w:rPr>
                <w:sz w:val="20"/>
                <w:szCs w:val="20"/>
                <w:lang w:val="es-ES"/>
              </w:rPr>
              <w:t>2014</w:t>
            </w:r>
            <w:r w:rsidR="00CE648A" w:rsidRPr="00BC4FAF">
              <w:rPr>
                <w:sz w:val="20"/>
                <w:szCs w:val="20"/>
                <w:lang w:val="es-ES"/>
              </w:rPr>
              <w:t xml:space="preserve">, </w:t>
            </w:r>
            <w:r w:rsidR="0072483A" w:rsidRPr="00BC4FAF">
              <w:rPr>
                <w:sz w:val="20"/>
                <w:szCs w:val="20"/>
                <w:lang w:val="es-ES"/>
              </w:rPr>
              <w:t xml:space="preserve">publicado el 02 dic.13, </w:t>
            </w:r>
            <w:r w:rsidR="00CE648A" w:rsidRPr="00BC4FAF">
              <w:rPr>
                <w:sz w:val="20"/>
                <w:szCs w:val="20"/>
                <w:lang w:val="es-ES"/>
              </w:rPr>
              <w:t>el cual incluye</w:t>
            </w:r>
            <w:r w:rsidRPr="00BC4FAF">
              <w:rPr>
                <w:sz w:val="20"/>
                <w:szCs w:val="20"/>
                <w:lang w:val="es-ES"/>
              </w:rPr>
              <w:t xml:space="preserve"> vinculación de Planes de sectores con metas de la agenda de competitividad.</w:t>
            </w:r>
          </w:p>
          <w:p w:rsidR="003B4698" w:rsidRPr="00BC4FAF" w:rsidRDefault="003B469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80AF3" w:rsidRPr="00BC4FAF" w:rsidRDefault="002531A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 w:rsidR="00536035" w:rsidRPr="00BC4FAF"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 w:rsidR="00536035" w:rsidRPr="00BC4FAF">
              <w:rPr>
                <w:sz w:val="20"/>
                <w:szCs w:val="20"/>
                <w:lang w:val="es-ES"/>
              </w:rPr>
              <w:t xml:space="preserve">upremo N° 117-2014-EF que aprueba </w:t>
            </w:r>
            <w:r w:rsidRPr="00BC4FAF">
              <w:rPr>
                <w:sz w:val="20"/>
                <w:szCs w:val="20"/>
                <w:lang w:val="es-ES"/>
              </w:rPr>
              <w:t xml:space="preserve"> el ROF del MEF, donde aparece el CNC como un órgano no estructurado del MEF</w:t>
            </w:r>
            <w:r w:rsidR="002F6368" w:rsidRPr="00BC4FAF">
              <w:rPr>
                <w:sz w:val="20"/>
                <w:szCs w:val="20"/>
                <w:lang w:val="es-ES"/>
              </w:rPr>
              <w:t>, publicado el 23 may.14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</w:tcPr>
          <w:p w:rsidR="00CA044F" w:rsidRPr="00BC4FAF" w:rsidRDefault="00AE403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Cumplido. </w:t>
            </w:r>
          </w:p>
          <w:p w:rsidR="007C2FDA" w:rsidRPr="00BC4FAF" w:rsidRDefault="007C2FDA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C2FDA" w:rsidRPr="00BC4FAF" w:rsidRDefault="007C2FDA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4B68" w:rsidRDefault="008E4B6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Pr="00BC4FAF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B4698" w:rsidRPr="00BC4FAF" w:rsidRDefault="009D588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3B4698" w:rsidRPr="00BC4FAF" w:rsidRDefault="003B469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D588F" w:rsidRPr="00BC4FAF" w:rsidRDefault="009D588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71FC0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37962" w:rsidRDefault="0063796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971FC0">
              <w:rPr>
                <w:sz w:val="20"/>
                <w:szCs w:val="20"/>
                <w:lang w:val="es-ES"/>
              </w:rPr>
              <w:t>.</w:t>
            </w:r>
          </w:p>
          <w:p w:rsidR="00971FC0" w:rsidRPr="00BC4FAF" w:rsidRDefault="00971FC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6C2" w:rsidRPr="00BC4FAF" w:rsidRDefault="00D556C2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B. Mejorar la calidad de las estadísticas empresariales.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:rsidR="009C5C86" w:rsidRPr="00BC4FAF" w:rsidRDefault="009C5C8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5C86" w:rsidRPr="00BC4FAF" w:rsidRDefault="009C5C8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5C86" w:rsidRPr="00BC4FAF" w:rsidRDefault="009C5C8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5C86" w:rsidRPr="00BC4FAF" w:rsidRDefault="009C5C8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556C2" w:rsidRPr="00BC4FAF" w:rsidRDefault="00D556C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INEI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</w:tcBorders>
          </w:tcPr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Avances en la implementación del Plan de Acción</w:t>
            </w:r>
            <w:r w:rsidR="00F43919">
              <w:rPr>
                <w:sz w:val="20"/>
                <w:szCs w:val="20"/>
                <w:lang w:val="es-ES"/>
              </w:rPr>
              <w:t xml:space="preserve"> </w:t>
            </w:r>
            <w:r w:rsidR="00F43919" w:rsidRPr="00F00724">
              <w:rPr>
                <w:sz w:val="20"/>
                <w:szCs w:val="20"/>
                <w:lang w:val="es-ES"/>
              </w:rPr>
              <w:t>para  Mejorar la Calidad de las Estadísticas Empresariales</w:t>
            </w:r>
            <w:r w:rsidRPr="00BC4FAF">
              <w:rPr>
                <w:sz w:val="20"/>
                <w:szCs w:val="20"/>
                <w:lang w:val="es-ES"/>
              </w:rPr>
              <w:t xml:space="preserve">, que </w:t>
            </w:r>
            <w:r w:rsidR="00A62D7A" w:rsidRPr="00BC4FAF">
              <w:rPr>
                <w:sz w:val="20"/>
                <w:szCs w:val="20"/>
                <w:lang w:val="es-ES"/>
              </w:rPr>
              <w:t>incluy</w:t>
            </w:r>
            <w:r w:rsidR="00A62D7A">
              <w:rPr>
                <w:sz w:val="20"/>
                <w:szCs w:val="20"/>
                <w:lang w:val="es-ES"/>
              </w:rPr>
              <w:t>e</w:t>
            </w:r>
            <w:r w:rsidR="00A62D7A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>al menos:</w:t>
            </w:r>
          </w:p>
          <w:p w:rsidR="00D556C2" w:rsidRPr="00BC4FAF" w:rsidRDefault="007210B0" w:rsidP="00BC4FAF">
            <w:pPr>
              <w:pStyle w:val="NoSpacing"/>
              <w:numPr>
                <w:ilvl w:val="0"/>
                <w:numId w:val="28"/>
              </w:numPr>
              <w:ind w:left="490" w:hanging="490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Base de datos, preservando el secreto estadístico, y resultados de la EEA ejercicios 2010 al 201</w:t>
            </w:r>
            <w:r w:rsidR="00047EB9" w:rsidRPr="00BC4FAF">
              <w:rPr>
                <w:sz w:val="20"/>
                <w:szCs w:val="20"/>
                <w:lang w:val="es-ES"/>
              </w:rPr>
              <w:t>3</w:t>
            </w:r>
            <w:r w:rsidRPr="00BC4FAF">
              <w:rPr>
                <w:sz w:val="20"/>
                <w:szCs w:val="20"/>
                <w:lang w:val="es-ES"/>
              </w:rPr>
              <w:t>, difundidos a 4 dígitos</w:t>
            </w:r>
            <w:r w:rsidR="00BC4FAF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</w:tcBorders>
          </w:tcPr>
          <w:p w:rsidR="00D556C2" w:rsidRPr="00BC4FAF" w:rsidRDefault="0079457A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L</w:t>
            </w:r>
            <w:r w:rsidR="00D411BE" w:rsidRPr="00BC4FAF">
              <w:rPr>
                <w:sz w:val="20"/>
                <w:szCs w:val="20"/>
                <w:lang w:val="es-ES"/>
              </w:rPr>
              <w:t>a base de datos de la EEA desde el 2007-201</w:t>
            </w:r>
            <w:r w:rsidR="00047EB9" w:rsidRPr="00BC4FAF">
              <w:rPr>
                <w:sz w:val="20"/>
                <w:szCs w:val="20"/>
                <w:lang w:val="es-ES"/>
              </w:rPr>
              <w:t>3</w:t>
            </w:r>
            <w:r w:rsidR="00D411BE" w:rsidRPr="00BC4FAF">
              <w:rPr>
                <w:sz w:val="20"/>
                <w:szCs w:val="20"/>
                <w:lang w:val="es-ES"/>
              </w:rPr>
              <w:t xml:space="preserve"> a 4 dígitos difundida en sitio web del INEI</w:t>
            </w:r>
            <w:r w:rsidR="00A77722" w:rsidRPr="00BC4FAF">
              <w:rPr>
                <w:sz w:val="20"/>
                <w:szCs w:val="20"/>
                <w:lang w:val="es-ES"/>
              </w:rPr>
              <w:t>:</w:t>
            </w:r>
          </w:p>
          <w:p w:rsidR="00A77722" w:rsidRPr="00BC4FAF" w:rsidRDefault="005E030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hyperlink r:id="rId10" w:history="1">
              <w:r w:rsidR="006D2F2A" w:rsidRPr="00BC4FAF">
                <w:rPr>
                  <w:rStyle w:val="Hyperlink"/>
                  <w:sz w:val="20"/>
                  <w:szCs w:val="20"/>
                  <w:lang w:val="es-ES"/>
                </w:rPr>
                <w:t>http://iinei.inei.gob.pe/microdatos/</w:t>
              </w:r>
            </w:hyperlink>
          </w:p>
          <w:p w:rsidR="006D2F2A" w:rsidRPr="00BC4FAF" w:rsidRDefault="006D2F2A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FD1" w:rsidRPr="00BC4FAF" w:rsidRDefault="0044190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Cumplido. </w:t>
            </w:r>
          </w:p>
        </w:tc>
      </w:tr>
      <w:tr w:rsidR="007E294F" w:rsidRPr="00BC4FAF" w:rsidTr="00000B2F">
        <w:trPr>
          <w:trHeight w:val="99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6C2" w:rsidRPr="00BC4FAF" w:rsidRDefault="00D556C2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D556C2" w:rsidRPr="00BC4FAF" w:rsidRDefault="00D556C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D556C2" w:rsidRPr="00BC4FAF" w:rsidRDefault="00D556C2" w:rsidP="00BC4FAF">
            <w:pPr>
              <w:pStyle w:val="NoSpacing"/>
              <w:numPr>
                <w:ilvl w:val="0"/>
                <w:numId w:val="28"/>
              </w:numPr>
              <w:ind w:left="490" w:hanging="490"/>
              <w:rPr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</w:tcPr>
          <w:p w:rsidR="00D556C2" w:rsidRPr="00BC4FAF" w:rsidRDefault="00D556C2" w:rsidP="00BC4FAF">
            <w:pPr>
              <w:pStyle w:val="NoSpacing"/>
              <w:numPr>
                <w:ilvl w:val="0"/>
                <w:numId w:val="34"/>
              </w:numPr>
              <w:ind w:left="342" w:hanging="299"/>
              <w:rPr>
                <w:sz w:val="20"/>
                <w:szCs w:val="20"/>
                <w:lang w:val="es-ES"/>
              </w:rPr>
            </w:pPr>
          </w:p>
        </w:tc>
        <w:tc>
          <w:tcPr>
            <w:tcW w:w="11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56C2" w:rsidRPr="00BC4FAF" w:rsidRDefault="00D556C2" w:rsidP="00BC4FAF">
            <w:pPr>
              <w:pStyle w:val="NoSpacing"/>
              <w:numPr>
                <w:ilvl w:val="0"/>
                <w:numId w:val="21"/>
              </w:numPr>
              <w:ind w:left="435" w:hanging="425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910" w:rsidRPr="00BC4FAF" w:rsidRDefault="00F81910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F81910" w:rsidRPr="00BC4FAF" w:rsidRDefault="00A5765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INEI</w:t>
            </w:r>
          </w:p>
          <w:p w:rsidR="00F81910" w:rsidRPr="00BC4FAF" w:rsidRDefault="00F8191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81910" w:rsidRPr="00BC4FAF" w:rsidRDefault="007210B0" w:rsidP="00BC4FAF">
            <w:pPr>
              <w:pStyle w:val="NoSpacing"/>
              <w:numPr>
                <w:ilvl w:val="0"/>
                <w:numId w:val="28"/>
              </w:numPr>
              <w:ind w:left="490" w:hanging="490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Información de la muestra panel extendida al 201</w:t>
            </w:r>
            <w:r w:rsidR="0008302E" w:rsidRPr="00BC4FAF">
              <w:rPr>
                <w:sz w:val="20"/>
                <w:szCs w:val="20"/>
                <w:lang w:val="es-ES"/>
              </w:rPr>
              <w:t>2</w:t>
            </w:r>
            <w:r w:rsidRPr="00BC4FAF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F81910" w:rsidRPr="00BC4FAF" w:rsidRDefault="0079457A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pacing w:val="-4"/>
                <w:sz w:val="20"/>
                <w:szCs w:val="20"/>
                <w:lang w:val="es-ES"/>
              </w:rPr>
              <w:t>Panel de datos 2007-201</w:t>
            </w:r>
            <w:r w:rsidR="0008302E" w:rsidRPr="00BC4FAF">
              <w:rPr>
                <w:spacing w:val="-4"/>
                <w:sz w:val="20"/>
                <w:szCs w:val="20"/>
                <w:lang w:val="es-ES"/>
              </w:rPr>
              <w:t>2</w:t>
            </w:r>
            <w:r w:rsidRPr="00BC4FAF">
              <w:rPr>
                <w:spacing w:val="-4"/>
                <w:sz w:val="20"/>
                <w:szCs w:val="20"/>
                <w:lang w:val="es-ES"/>
              </w:rPr>
              <w:t xml:space="preserve"> difundida </w:t>
            </w:r>
            <w:r w:rsidRPr="00BC4FAF">
              <w:rPr>
                <w:sz w:val="20"/>
                <w:szCs w:val="20"/>
                <w:lang w:val="es-ES"/>
              </w:rPr>
              <w:t>en sitio web del INEI</w:t>
            </w:r>
            <w:r w:rsidR="00047EB9" w:rsidRPr="00BC4FAF">
              <w:rPr>
                <w:sz w:val="20"/>
                <w:szCs w:val="20"/>
                <w:lang w:val="es-ES"/>
              </w:rPr>
              <w:t>:</w:t>
            </w:r>
          </w:p>
          <w:p w:rsidR="00047EB9" w:rsidRDefault="0008302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 </w:t>
            </w:r>
          </w:p>
          <w:p w:rsidR="00971FC0" w:rsidRPr="00BC4FAF" w:rsidRDefault="005E0305" w:rsidP="00BC4FAF">
            <w:pPr>
              <w:pStyle w:val="NoSpacing"/>
              <w:rPr>
                <w:spacing w:val="-4"/>
                <w:sz w:val="20"/>
                <w:szCs w:val="20"/>
                <w:lang w:val="es-ES"/>
              </w:rPr>
            </w:pPr>
            <w:hyperlink r:id="rId11" w:history="1">
              <w:r w:rsidR="007A7116" w:rsidRPr="003853FB">
                <w:rPr>
                  <w:rStyle w:val="Hyperlink"/>
                  <w:sz w:val="20"/>
                  <w:szCs w:val="20"/>
                  <w:lang w:val="es-ES"/>
                </w:rPr>
                <w:t>http://proyectos.inei.gob.pe/eea/redatam/</w:t>
              </w:r>
            </w:hyperlink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0" w:rsidRPr="00BC4FAF" w:rsidRDefault="00441908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Cumplido. </w:t>
            </w:r>
          </w:p>
        </w:tc>
      </w:tr>
      <w:tr w:rsidR="007E294F" w:rsidRPr="00BC4FAF" w:rsidTr="00000B2F">
        <w:tc>
          <w:tcPr>
            <w:tcW w:w="802" w:type="pct"/>
            <w:tcBorders>
              <w:top w:val="nil"/>
              <w:left w:val="single" w:sz="4" w:space="0" w:color="auto"/>
              <w:bottom w:val="nil"/>
            </w:tcBorders>
          </w:tcPr>
          <w:p w:rsidR="007A4C21" w:rsidRPr="00BC4FAF" w:rsidRDefault="007A4C21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7A4C21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INEI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7210B0" w:rsidP="00BC4FAF">
            <w:pPr>
              <w:pStyle w:val="NoSpacing"/>
              <w:numPr>
                <w:ilvl w:val="0"/>
                <w:numId w:val="28"/>
              </w:numPr>
              <w:ind w:left="490" w:hanging="490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Código de buenas prácticas es</w:t>
            </w:r>
            <w:r w:rsidR="00BC4FAF" w:rsidRPr="00BC4FAF">
              <w:rPr>
                <w:sz w:val="20"/>
                <w:szCs w:val="20"/>
                <w:lang w:val="es-ES"/>
              </w:rPr>
              <w:t>tadísticas en implementación.</w:t>
            </w:r>
            <w:r w:rsidR="007A4C21" w:rsidRPr="00BC4FA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4D561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Directiva </w:t>
            </w:r>
            <w:r w:rsidR="00D67FBB">
              <w:rPr>
                <w:sz w:val="20"/>
                <w:szCs w:val="20"/>
                <w:lang w:val="es-ES"/>
              </w:rPr>
              <w:t>N° 002-2014-INEI “Lineamientos para la</w:t>
            </w:r>
            <w:r w:rsidR="00D67FBB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>implementación del Código de Buenas Prácticas</w:t>
            </w:r>
            <w:r w:rsidR="00D67FBB">
              <w:rPr>
                <w:sz w:val="20"/>
                <w:szCs w:val="20"/>
                <w:lang w:val="es-ES"/>
              </w:rPr>
              <w:t xml:space="preserve"> del Perú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BE450E" w:rsidRPr="00BC4FAF">
              <w:rPr>
                <w:sz w:val="20"/>
                <w:szCs w:val="20"/>
                <w:lang w:val="es-ES"/>
              </w:rPr>
              <w:t>en el Sistema Estadístico Nacional (SEN)</w:t>
            </w:r>
            <w:r w:rsidR="00D67FBB">
              <w:rPr>
                <w:sz w:val="20"/>
                <w:szCs w:val="20"/>
                <w:lang w:val="es-ES"/>
              </w:rPr>
              <w:t>”,</w:t>
            </w:r>
            <w:r w:rsidR="00BE450E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 xml:space="preserve">aprobada mediante Resolución </w:t>
            </w:r>
            <w:proofErr w:type="spellStart"/>
            <w:r w:rsidRPr="00BC4FAF">
              <w:rPr>
                <w:sz w:val="20"/>
                <w:szCs w:val="20"/>
                <w:lang w:val="es-ES"/>
              </w:rPr>
              <w:t>Jefatural</w:t>
            </w:r>
            <w:proofErr w:type="spellEnd"/>
            <w:r w:rsidR="00BE450E" w:rsidRPr="00BC4FAF">
              <w:rPr>
                <w:sz w:val="20"/>
                <w:szCs w:val="20"/>
                <w:lang w:val="es-ES"/>
              </w:rPr>
              <w:t xml:space="preserve"> </w:t>
            </w:r>
            <w:r w:rsidR="00D67FBB">
              <w:rPr>
                <w:sz w:val="20"/>
                <w:szCs w:val="20"/>
                <w:lang w:val="es-ES"/>
              </w:rPr>
              <w:t xml:space="preserve">N° 237-2014-INEI </w:t>
            </w:r>
            <w:r w:rsidR="00BE450E" w:rsidRPr="00BC4FAF">
              <w:rPr>
                <w:sz w:val="20"/>
                <w:szCs w:val="20"/>
                <w:lang w:val="es-ES"/>
              </w:rPr>
              <w:t>del INEI</w:t>
            </w:r>
            <w:r w:rsidRPr="00BC4FAF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DB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AB79D6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F019DB" w:rsidRPr="00BC4FAF" w:rsidRDefault="00F019D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B21A0B" w:rsidRPr="00BC4FAF" w:rsidRDefault="00B21A0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nil"/>
              <w:left w:val="single" w:sz="4" w:space="0" w:color="auto"/>
              <w:bottom w:val="nil"/>
            </w:tcBorders>
          </w:tcPr>
          <w:p w:rsidR="007A4C21" w:rsidRPr="00BC4FAF" w:rsidRDefault="007A4C21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AB7497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INEI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064A17" w:rsidP="00BC4FAF">
            <w:pPr>
              <w:pStyle w:val="NoSpacing"/>
              <w:numPr>
                <w:ilvl w:val="0"/>
                <w:numId w:val="28"/>
              </w:numPr>
              <w:ind w:left="492" w:hanging="49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Avances en la adecuación de la estructura orgánica-funcional del INEI a la nueva Ley del Servicio Civil</w:t>
            </w:r>
            <w:r w:rsidR="00BC4FAF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064A17" w:rsidRPr="00BC4FAF" w:rsidRDefault="00064A17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Informe </w:t>
            </w:r>
            <w:r w:rsidR="00D67FBB">
              <w:rPr>
                <w:sz w:val="20"/>
                <w:szCs w:val="20"/>
                <w:lang w:val="es-ES"/>
              </w:rPr>
              <w:t xml:space="preserve">N° 001-2014-INEI/OTPP </w:t>
            </w:r>
            <w:r w:rsidRPr="00BC4FAF">
              <w:rPr>
                <w:sz w:val="20"/>
                <w:szCs w:val="20"/>
                <w:lang w:val="es-ES"/>
              </w:rPr>
              <w:t>del INE</w:t>
            </w:r>
            <w:r w:rsidR="00B760E9" w:rsidRPr="00BC4FAF">
              <w:rPr>
                <w:sz w:val="20"/>
                <w:szCs w:val="20"/>
                <w:lang w:val="es-ES"/>
              </w:rPr>
              <w:t>I</w:t>
            </w:r>
            <w:r w:rsidRPr="00BC4FAF">
              <w:rPr>
                <w:sz w:val="20"/>
                <w:szCs w:val="20"/>
                <w:lang w:val="es-ES"/>
              </w:rPr>
              <w:t xml:space="preserve"> detallando los avances en la adecuación a la </w:t>
            </w:r>
            <w:r w:rsidR="00772D9E" w:rsidRPr="00BC4FAF">
              <w:rPr>
                <w:sz w:val="20"/>
                <w:szCs w:val="20"/>
                <w:lang w:val="es-ES"/>
              </w:rPr>
              <w:t xml:space="preserve">nueva </w:t>
            </w:r>
            <w:r w:rsidRPr="00BC4FAF">
              <w:rPr>
                <w:sz w:val="20"/>
                <w:szCs w:val="20"/>
                <w:lang w:val="es-ES"/>
              </w:rPr>
              <w:t>Ley del Servicio Civil</w:t>
            </w:r>
            <w:r w:rsidR="008D0D40" w:rsidRPr="00BC4FAF">
              <w:rPr>
                <w:sz w:val="20"/>
                <w:szCs w:val="20"/>
                <w:lang w:val="es-ES"/>
              </w:rPr>
              <w:t xml:space="preserve">, adjuntando la </w:t>
            </w:r>
            <w:r w:rsidR="00B760E9" w:rsidRPr="00BC4FAF">
              <w:rPr>
                <w:sz w:val="20"/>
                <w:szCs w:val="20"/>
                <w:lang w:val="es-ES"/>
              </w:rPr>
              <w:t>R</w:t>
            </w:r>
            <w:r w:rsidR="00F7359C" w:rsidRPr="00BC4FAF">
              <w:rPr>
                <w:sz w:val="20"/>
                <w:szCs w:val="20"/>
                <w:lang w:val="es-ES"/>
              </w:rPr>
              <w:t xml:space="preserve">esolución </w:t>
            </w:r>
            <w:proofErr w:type="spellStart"/>
            <w:r w:rsidR="00B760E9" w:rsidRPr="00BC4FAF">
              <w:rPr>
                <w:sz w:val="20"/>
                <w:szCs w:val="20"/>
                <w:lang w:val="es-ES"/>
              </w:rPr>
              <w:t>J</w:t>
            </w:r>
            <w:r w:rsidR="00F7359C" w:rsidRPr="00BC4FAF">
              <w:rPr>
                <w:sz w:val="20"/>
                <w:szCs w:val="20"/>
                <w:lang w:val="es-ES"/>
              </w:rPr>
              <w:t>efatural</w:t>
            </w:r>
            <w:proofErr w:type="spellEnd"/>
            <w:r w:rsidR="00F7359C" w:rsidRPr="00BC4FAF">
              <w:rPr>
                <w:sz w:val="20"/>
                <w:szCs w:val="20"/>
                <w:lang w:val="es-ES"/>
              </w:rPr>
              <w:t xml:space="preserve"> N° 003-2014-INEI</w:t>
            </w:r>
            <w:r w:rsidR="00B760E9" w:rsidRPr="00BC4FAF">
              <w:rPr>
                <w:sz w:val="20"/>
                <w:szCs w:val="20"/>
                <w:lang w:val="es-ES"/>
              </w:rPr>
              <w:t xml:space="preserve"> que conforma el Comité </w:t>
            </w:r>
            <w:r w:rsidR="00F7359C" w:rsidRPr="00BC4FAF">
              <w:rPr>
                <w:sz w:val="20"/>
                <w:szCs w:val="20"/>
                <w:lang w:val="es-ES"/>
              </w:rPr>
              <w:t>de Tránsito al Régimen del Servicio Civil del INEI</w:t>
            </w:r>
            <w:r w:rsidR="00B760E9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6" w:rsidRPr="00BC4FAF" w:rsidRDefault="00AB79D6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0B4D35" w:rsidRPr="00BC4FAF" w:rsidRDefault="000B4D35" w:rsidP="000D7DE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nil"/>
              <w:left w:val="single" w:sz="4" w:space="0" w:color="auto"/>
              <w:bottom w:val="nil"/>
            </w:tcBorders>
          </w:tcPr>
          <w:p w:rsidR="007A4C21" w:rsidRPr="00BC4FAF" w:rsidRDefault="007A4C21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AB7497" w:rsidRPr="00BC4FAF" w:rsidRDefault="00AB7497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PRODUCE</w:t>
            </w:r>
          </w:p>
          <w:p w:rsidR="007A4C21" w:rsidRPr="00BC4FAF" w:rsidRDefault="007A4C21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A4C21" w:rsidRPr="00BC4FAF" w:rsidRDefault="007210B0" w:rsidP="00BC4FAF">
            <w:pPr>
              <w:pStyle w:val="NoSpacing"/>
              <w:numPr>
                <w:ilvl w:val="0"/>
                <w:numId w:val="28"/>
              </w:numPr>
              <w:ind w:left="490" w:hanging="490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Área de estudios económicos de PRODUCE en funcionamiento y desarrollando estadísticas, estudios sectoriales productivos y </w:t>
            </w:r>
            <w:r w:rsidR="00DD2936" w:rsidRPr="00BC4FAF">
              <w:rPr>
                <w:sz w:val="20"/>
                <w:szCs w:val="20"/>
                <w:lang w:val="es-ES"/>
              </w:rPr>
              <w:t xml:space="preserve">mapeo </w:t>
            </w:r>
            <w:r w:rsidRPr="00BC4FAF">
              <w:rPr>
                <w:sz w:val="20"/>
                <w:szCs w:val="20"/>
                <w:lang w:val="es-ES"/>
              </w:rPr>
              <w:t xml:space="preserve">de </w:t>
            </w:r>
            <w:r w:rsidR="00DD2936" w:rsidRPr="00BC4FAF">
              <w:rPr>
                <w:sz w:val="20"/>
                <w:szCs w:val="20"/>
                <w:lang w:val="es-ES"/>
              </w:rPr>
              <w:t xml:space="preserve">intervenciones </w:t>
            </w:r>
            <w:r w:rsidRPr="00BC4FAF">
              <w:rPr>
                <w:sz w:val="20"/>
                <w:szCs w:val="20"/>
                <w:lang w:val="es-ES"/>
              </w:rPr>
              <w:t>de apoyo al desarrollo productivo</w:t>
            </w:r>
            <w:r w:rsidR="00DD2936" w:rsidRPr="00BC4FAF">
              <w:rPr>
                <w:sz w:val="20"/>
                <w:szCs w:val="20"/>
                <w:lang w:val="es-ES"/>
              </w:rPr>
              <w:t xml:space="preserve"> en regiones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DE2BED" w:rsidRPr="00BC4FAF" w:rsidRDefault="0023099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 PRODUCE donde describe las actividades del área de estudios econ</w:t>
            </w:r>
            <w:r w:rsidR="009B558B" w:rsidRPr="00BC4FAF">
              <w:rPr>
                <w:sz w:val="20"/>
                <w:szCs w:val="20"/>
                <w:lang w:val="es-ES"/>
              </w:rPr>
              <w:t xml:space="preserve">ómicos, adjuntando los avances en la implementación del </w:t>
            </w:r>
            <w:r w:rsidR="00DE2BED" w:rsidRPr="00BC4FAF">
              <w:rPr>
                <w:sz w:val="20"/>
                <w:szCs w:val="20"/>
                <w:lang w:val="es-ES"/>
              </w:rPr>
              <w:t>POI 2013</w:t>
            </w:r>
            <w:r w:rsidR="009B558B" w:rsidRPr="00BC4FAF">
              <w:rPr>
                <w:sz w:val="20"/>
                <w:szCs w:val="20"/>
                <w:lang w:val="es-ES"/>
              </w:rPr>
              <w:t xml:space="preserve"> y el </w:t>
            </w:r>
            <w:r w:rsidR="00DE2BED" w:rsidRPr="00BC4FAF">
              <w:rPr>
                <w:sz w:val="20"/>
                <w:szCs w:val="20"/>
                <w:lang w:val="es-ES"/>
              </w:rPr>
              <w:t>POI 2014</w:t>
            </w:r>
            <w:r w:rsidR="00643049" w:rsidRPr="00BC4FAF">
              <w:rPr>
                <w:sz w:val="20"/>
                <w:szCs w:val="20"/>
                <w:lang w:val="es-ES"/>
              </w:rPr>
              <w:t xml:space="preserve">, remitido mediante Oficio N° 0101-2012/PRODUCE/DVMYPE-I/DIGECOMTE </w:t>
            </w:r>
            <w:r w:rsidR="00B962FD" w:rsidRPr="00BC4FAF">
              <w:rPr>
                <w:sz w:val="20"/>
                <w:szCs w:val="20"/>
                <w:lang w:val="es-ES"/>
              </w:rPr>
              <w:t>del</w:t>
            </w:r>
            <w:r w:rsidR="00643049" w:rsidRPr="00BC4FAF">
              <w:rPr>
                <w:sz w:val="20"/>
                <w:szCs w:val="20"/>
                <w:lang w:val="es-ES"/>
              </w:rPr>
              <w:t xml:space="preserve"> 02 jun.14</w:t>
            </w:r>
            <w:r w:rsidR="00DE2BED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0" w:rsidRPr="00BC4FAF" w:rsidRDefault="00F32BE1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</w:t>
            </w:r>
            <w:r w:rsidR="00816F50" w:rsidRPr="00BC4FAF">
              <w:rPr>
                <w:sz w:val="20"/>
                <w:szCs w:val="20"/>
                <w:lang w:val="es-ES"/>
              </w:rPr>
              <w:t>.</w:t>
            </w:r>
          </w:p>
          <w:p w:rsidR="00675056" w:rsidRPr="00BC4FAF" w:rsidRDefault="00675056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6F50" w:rsidRPr="00BC4FAF" w:rsidRDefault="00816F5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16F50" w:rsidRPr="00BC4FAF" w:rsidRDefault="00816F5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3D0C19" w:rsidRPr="00BC4FAF" w:rsidRDefault="003D0C19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33" w:rsidRPr="00BC4FAF" w:rsidRDefault="008A0633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C. Fortalecer el marco institucional del Sistema Nacional de Calidad (SNC)</w:t>
            </w:r>
          </w:p>
        </w:tc>
        <w:tc>
          <w:tcPr>
            <w:tcW w:w="870" w:type="pct"/>
            <w:tcBorders>
              <w:bottom w:val="nil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MEF (DGAEICYP/ CNC)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8A0633" w:rsidRPr="00BC4FAF" w:rsidRDefault="00C6034F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Avances en la i</w:t>
            </w:r>
            <w:r w:rsidR="007210B0" w:rsidRPr="00BC4FAF">
              <w:rPr>
                <w:sz w:val="20"/>
                <w:szCs w:val="20"/>
                <w:lang w:val="es-ES"/>
              </w:rPr>
              <w:t xml:space="preserve">mplementación del Plan de Acción </w:t>
            </w:r>
            <w:r w:rsidR="0079309F" w:rsidRPr="00BC4FAF">
              <w:rPr>
                <w:sz w:val="20"/>
                <w:szCs w:val="20"/>
                <w:lang w:val="es-ES"/>
              </w:rPr>
              <w:t xml:space="preserve">para la reforma </w:t>
            </w:r>
            <w:r w:rsidR="007210B0" w:rsidRPr="00BC4FAF">
              <w:rPr>
                <w:sz w:val="20"/>
                <w:szCs w:val="20"/>
                <w:lang w:val="es-ES"/>
              </w:rPr>
              <w:t>del SNC incluyendo un nuevo arreglo institucional</w:t>
            </w:r>
            <w:r w:rsidR="00C912CB" w:rsidRPr="00BC4FAF">
              <w:rPr>
                <w:sz w:val="20"/>
                <w:szCs w:val="20"/>
                <w:lang w:val="es-ES"/>
              </w:rPr>
              <w:t>,</w:t>
            </w:r>
            <w:r w:rsidR="00FE29F3" w:rsidRPr="00BC4FAF">
              <w:rPr>
                <w:sz w:val="20"/>
                <w:szCs w:val="20"/>
                <w:lang w:val="es-ES"/>
              </w:rPr>
              <w:t xml:space="preserve"> </w:t>
            </w:r>
            <w:r w:rsidR="007210B0" w:rsidRPr="00BC4FAF">
              <w:rPr>
                <w:sz w:val="20"/>
                <w:szCs w:val="20"/>
                <w:lang w:val="es-ES"/>
              </w:rPr>
              <w:t>que tome en consideración los principios de eficiencia y eficacia, imparcialidad, transparencia</w:t>
            </w:r>
            <w:r w:rsidR="00C912CB" w:rsidRPr="00BC4FAF">
              <w:rPr>
                <w:sz w:val="20"/>
                <w:szCs w:val="20"/>
                <w:lang w:val="es-ES"/>
              </w:rPr>
              <w:t>,</w:t>
            </w:r>
            <w:r w:rsidR="00FE29F3" w:rsidRPr="00BC4FAF">
              <w:rPr>
                <w:sz w:val="20"/>
                <w:szCs w:val="20"/>
                <w:lang w:val="es-ES"/>
              </w:rPr>
              <w:t xml:space="preserve"> </w:t>
            </w:r>
            <w:r w:rsidR="007210B0" w:rsidRPr="00BC4FAF">
              <w:rPr>
                <w:sz w:val="20"/>
                <w:szCs w:val="20"/>
                <w:lang w:val="es-ES"/>
              </w:rPr>
              <w:t>y que incluya los  tres pilares del SNC (normalización, acreditación, metrología).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A0633" w:rsidRPr="00BC4FAF" w:rsidRDefault="002B7F3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Ley </w:t>
            </w:r>
            <w:r w:rsidR="00F8334C">
              <w:rPr>
                <w:sz w:val="20"/>
                <w:szCs w:val="20"/>
                <w:lang w:val="es-ES"/>
              </w:rPr>
              <w:t xml:space="preserve">N° 30224, Ley </w:t>
            </w:r>
            <w:r w:rsidR="00743A0A">
              <w:rPr>
                <w:sz w:val="20"/>
                <w:szCs w:val="20"/>
                <w:lang w:val="es-ES"/>
              </w:rPr>
              <w:t xml:space="preserve">que </w:t>
            </w:r>
            <w:r w:rsidR="00F8334C">
              <w:rPr>
                <w:sz w:val="20"/>
                <w:szCs w:val="20"/>
                <w:lang w:val="es-ES"/>
              </w:rPr>
              <w:t xml:space="preserve">crea el Sistema Nacional para la Calidad y el Instituto Nacional de Calidad, publicado el 11 jul.14. </w:t>
            </w:r>
          </w:p>
          <w:p w:rsidR="00B60D2E" w:rsidRPr="00BC4FAF" w:rsidRDefault="00B60D2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B60D2E" w:rsidRPr="00BC4FAF" w:rsidRDefault="00B60D2E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describiendo los avances en implementación</w:t>
            </w:r>
            <w:r w:rsidR="005B302F" w:rsidRPr="00BC4FAF">
              <w:rPr>
                <w:sz w:val="20"/>
                <w:szCs w:val="20"/>
                <w:lang w:val="es-ES"/>
              </w:rPr>
              <w:t xml:space="preserve"> del Plan de Acción para</w:t>
            </w:r>
            <w:r w:rsidR="00FE29F3" w:rsidRPr="00BC4FAF">
              <w:rPr>
                <w:sz w:val="20"/>
                <w:szCs w:val="20"/>
                <w:lang w:val="es-ES"/>
              </w:rPr>
              <w:t xml:space="preserve"> </w:t>
            </w:r>
            <w:r w:rsidR="00D842CD" w:rsidRPr="00BC4FAF">
              <w:rPr>
                <w:sz w:val="20"/>
                <w:szCs w:val="20"/>
                <w:lang w:val="es-ES"/>
              </w:rPr>
              <w:t xml:space="preserve">la reforma </w:t>
            </w:r>
            <w:r w:rsidRPr="00BC4FAF">
              <w:rPr>
                <w:sz w:val="20"/>
                <w:szCs w:val="20"/>
                <w:lang w:val="es-ES"/>
              </w:rPr>
              <w:t>del SNC.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</w:tcPr>
          <w:p w:rsidR="00A26567" w:rsidRPr="00BC4FAF" w:rsidRDefault="00F8334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AE2C03" w:rsidRPr="00BC4FAF">
              <w:rPr>
                <w:sz w:val="20"/>
                <w:szCs w:val="20"/>
                <w:lang w:val="es-ES"/>
              </w:rPr>
              <w:t>.</w:t>
            </w: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6018" w:rsidRDefault="009C601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6018" w:rsidRDefault="009C601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6018" w:rsidRDefault="009C601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6018" w:rsidRDefault="009C6018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1E5199" w:rsidRPr="00BC4FAF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1E5199" w:rsidRPr="00BC4FAF">
              <w:rPr>
                <w:sz w:val="20"/>
                <w:szCs w:val="20"/>
                <w:lang w:val="es-ES"/>
              </w:rPr>
              <w:t>.</w:t>
            </w:r>
          </w:p>
          <w:p w:rsidR="00B60D2E" w:rsidRPr="00BC4FAF" w:rsidRDefault="00B60D2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left w:val="single" w:sz="4" w:space="0" w:color="auto"/>
              <w:bottom w:val="nil"/>
            </w:tcBorders>
          </w:tcPr>
          <w:p w:rsidR="008A0633" w:rsidRPr="00BC4FAF" w:rsidRDefault="008A0633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D. Fortalecer el sistema de apoyo al desarrollo productivo.</w:t>
            </w:r>
          </w:p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685D41" w:rsidRDefault="008A0633" w:rsidP="00BC4FAF">
            <w:pPr>
              <w:pStyle w:val="NoSpacing"/>
              <w:rPr>
                <w:sz w:val="20"/>
                <w:szCs w:val="20"/>
              </w:rPr>
            </w:pPr>
            <w:r w:rsidRPr="00685D41">
              <w:rPr>
                <w:sz w:val="20"/>
                <w:szCs w:val="20"/>
              </w:rPr>
              <w:t>MEF (DGAEICYP/ CNC) /</w:t>
            </w:r>
          </w:p>
          <w:p w:rsidR="008A0633" w:rsidRPr="00685D41" w:rsidRDefault="008A0633" w:rsidP="00BC4FAF">
            <w:pPr>
              <w:pStyle w:val="NoSpacing"/>
              <w:rPr>
                <w:sz w:val="20"/>
                <w:szCs w:val="20"/>
              </w:rPr>
            </w:pPr>
            <w:r w:rsidRPr="00685D41">
              <w:rPr>
                <w:sz w:val="20"/>
                <w:szCs w:val="20"/>
              </w:rPr>
              <w:t>PRODUCE / MINCETUR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210B0" w:rsidRPr="00BC4FAF" w:rsidRDefault="00854D91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="007210B0" w:rsidRPr="00BC4FAF">
              <w:rPr>
                <w:sz w:val="20"/>
                <w:szCs w:val="20"/>
                <w:lang w:val="es-ES"/>
              </w:rPr>
              <w:t>l primer grupo de instrumentos de desarrollo productivo priorizados</w:t>
            </w:r>
            <w:r>
              <w:rPr>
                <w:sz w:val="20"/>
                <w:szCs w:val="20"/>
                <w:lang w:val="es-ES"/>
              </w:rPr>
              <w:t xml:space="preserve"> se encuentra en operación</w:t>
            </w:r>
            <w:r w:rsidR="007210B0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7210B0" w:rsidRPr="00BC4FAF" w:rsidRDefault="00A62D7A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s</w:t>
            </w:r>
            <w:r w:rsidR="001A73A2" w:rsidRPr="00BC4FAF">
              <w:rPr>
                <w:sz w:val="20"/>
                <w:szCs w:val="20"/>
                <w:lang w:val="es-ES"/>
              </w:rPr>
              <w:t xml:space="preserve">egundo </w:t>
            </w:r>
            <w:r w:rsidR="007210B0" w:rsidRPr="00BC4FAF">
              <w:rPr>
                <w:sz w:val="20"/>
                <w:szCs w:val="20"/>
                <w:lang w:val="es-ES"/>
              </w:rPr>
              <w:t xml:space="preserve">grupo de instrumentos de desarrollo productivo </w:t>
            </w:r>
            <w:r>
              <w:rPr>
                <w:sz w:val="20"/>
                <w:szCs w:val="20"/>
                <w:lang w:val="es-ES"/>
              </w:rPr>
              <w:t xml:space="preserve">ha sido </w:t>
            </w:r>
            <w:r w:rsidR="001A73A2" w:rsidRPr="00BC4FAF">
              <w:rPr>
                <w:sz w:val="20"/>
                <w:szCs w:val="20"/>
                <w:lang w:val="es-ES"/>
              </w:rPr>
              <w:t>aprobado</w:t>
            </w:r>
            <w:r w:rsidR="007210B0" w:rsidRPr="00BC4FAF">
              <w:rPr>
                <w:sz w:val="20"/>
                <w:szCs w:val="20"/>
                <w:lang w:val="es-ES"/>
              </w:rPr>
              <w:t>.</w:t>
            </w:r>
          </w:p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F60DEC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</w:t>
            </w:r>
            <w:r w:rsidR="007D2266">
              <w:rPr>
                <w:sz w:val="20"/>
                <w:szCs w:val="20"/>
                <w:lang w:val="es-ES"/>
              </w:rPr>
              <w:t>l</w:t>
            </w:r>
            <w:r w:rsidRPr="00BC4FAF">
              <w:rPr>
                <w:sz w:val="20"/>
                <w:szCs w:val="20"/>
                <w:lang w:val="es-ES"/>
              </w:rPr>
              <w:t xml:space="preserve">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4601CE" w:rsidRPr="00BC4FAF">
              <w:rPr>
                <w:sz w:val="20"/>
                <w:szCs w:val="20"/>
                <w:lang w:val="es-ES"/>
              </w:rPr>
              <w:t xml:space="preserve">detallando los avances en el diseño y lanzamiento de nuevos instrumentos de apoyo al desarrollo empresarial y productivo, </w:t>
            </w:r>
            <w:r w:rsidR="000C1441" w:rsidRPr="00BC4FAF">
              <w:rPr>
                <w:sz w:val="20"/>
                <w:szCs w:val="20"/>
                <w:lang w:val="es-ES"/>
              </w:rPr>
              <w:t xml:space="preserve">remitiendo el Plan </w:t>
            </w:r>
            <w:r w:rsidR="00162ACB" w:rsidRPr="00BC4FAF">
              <w:rPr>
                <w:sz w:val="20"/>
                <w:szCs w:val="20"/>
                <w:lang w:val="es-ES"/>
              </w:rPr>
              <w:t>de Diversificación Productiva</w:t>
            </w:r>
            <w:r w:rsidR="004601CE" w:rsidRPr="00BC4FAF">
              <w:rPr>
                <w:sz w:val="20"/>
                <w:szCs w:val="20"/>
                <w:lang w:val="es-ES"/>
              </w:rPr>
              <w:t xml:space="preserve">, </w:t>
            </w:r>
            <w:r w:rsidR="001C2F97" w:rsidRPr="00BC4FAF">
              <w:rPr>
                <w:sz w:val="20"/>
                <w:szCs w:val="20"/>
                <w:lang w:val="es-ES"/>
              </w:rPr>
              <w:t xml:space="preserve">y </w:t>
            </w:r>
            <w:r w:rsidR="004601CE" w:rsidRPr="00BC4FAF">
              <w:rPr>
                <w:sz w:val="20"/>
                <w:szCs w:val="20"/>
                <w:lang w:val="es-ES"/>
              </w:rPr>
              <w:t xml:space="preserve">documentación del </w:t>
            </w:r>
            <w:r w:rsidR="00B82317" w:rsidRPr="00BC4FAF">
              <w:rPr>
                <w:sz w:val="20"/>
                <w:szCs w:val="20"/>
                <w:lang w:val="es-ES"/>
              </w:rPr>
              <w:t>FIDECOM</w:t>
            </w:r>
            <w:r w:rsidR="001A73A2" w:rsidRPr="00BC4FAF">
              <w:rPr>
                <w:sz w:val="20"/>
                <w:szCs w:val="20"/>
                <w:lang w:val="es-ES"/>
              </w:rPr>
              <w:t>, FOMITEC</w:t>
            </w:r>
            <w:r w:rsidR="00B82317" w:rsidRPr="00BC4FAF">
              <w:rPr>
                <w:sz w:val="20"/>
                <w:szCs w:val="20"/>
                <w:lang w:val="es-ES"/>
              </w:rPr>
              <w:t xml:space="preserve"> y </w:t>
            </w:r>
            <w:proofErr w:type="spellStart"/>
            <w:r w:rsidR="00B82317" w:rsidRPr="00BC4FAF">
              <w:rPr>
                <w:sz w:val="20"/>
                <w:szCs w:val="20"/>
                <w:lang w:val="es-ES"/>
              </w:rPr>
              <w:t>FINCyT</w:t>
            </w:r>
            <w:proofErr w:type="spellEnd"/>
            <w:r w:rsidR="00B82317" w:rsidRPr="00BC4FAF">
              <w:rPr>
                <w:sz w:val="20"/>
                <w:szCs w:val="20"/>
                <w:lang w:val="es-ES"/>
              </w:rPr>
              <w:t xml:space="preserve"> </w:t>
            </w:r>
            <w:r w:rsidR="004601CE" w:rsidRPr="00BC4FAF">
              <w:rPr>
                <w:sz w:val="20"/>
                <w:szCs w:val="20"/>
                <w:lang w:val="es-ES"/>
              </w:rPr>
              <w:t>sobre nuevos instrumentos.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FD" w:rsidRPr="00BC4FAF" w:rsidRDefault="008F50E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3555FD" w:rsidRPr="00BC4FAF">
              <w:rPr>
                <w:sz w:val="20"/>
                <w:szCs w:val="20"/>
                <w:lang w:val="es-ES"/>
              </w:rPr>
              <w:t xml:space="preserve">. </w:t>
            </w:r>
          </w:p>
          <w:p w:rsidR="0012375C" w:rsidRPr="00BC4FAF" w:rsidRDefault="0012375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</w:tr>
      <w:tr w:rsidR="007E294F" w:rsidRPr="00BC4FAF" w:rsidTr="00000B2F"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497" w:rsidRPr="00BC4FAF" w:rsidRDefault="00AB7497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AB7497" w:rsidRPr="00BC4FAF" w:rsidRDefault="00D07D7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ITP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210B0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Aprobación del nuevo modelo institucional y avances en la implementación de la reforma de los CITES</w:t>
            </w:r>
            <w:r w:rsidR="0079324E" w:rsidRPr="00BC4FAF">
              <w:rPr>
                <w:sz w:val="20"/>
                <w:szCs w:val="20"/>
                <w:lang w:val="es-ES"/>
              </w:rPr>
              <w:t>, que incluye</w:t>
            </w:r>
            <w:r w:rsidR="00DB7912" w:rsidRPr="00BC4FAF">
              <w:rPr>
                <w:sz w:val="20"/>
                <w:szCs w:val="20"/>
                <w:lang w:val="es-ES"/>
              </w:rPr>
              <w:t>: i)</w:t>
            </w:r>
            <w:r w:rsidR="0079324E" w:rsidRPr="00BC4FAF">
              <w:rPr>
                <w:sz w:val="20"/>
                <w:szCs w:val="20"/>
                <w:lang w:val="es-ES"/>
              </w:rPr>
              <w:t xml:space="preserve"> mayor autonomía</w:t>
            </w:r>
            <w:r w:rsidR="00DB7912" w:rsidRPr="00BC4FAF">
              <w:rPr>
                <w:sz w:val="20"/>
                <w:szCs w:val="20"/>
                <w:lang w:val="es-ES"/>
              </w:rPr>
              <w:t xml:space="preserve"> administrativa, presupuestal y funcional</w:t>
            </w:r>
            <w:r w:rsidR="0079324E" w:rsidRPr="00BC4FAF">
              <w:rPr>
                <w:sz w:val="20"/>
                <w:szCs w:val="20"/>
                <w:lang w:val="es-ES"/>
              </w:rPr>
              <w:t>,</w:t>
            </w:r>
            <w:r w:rsidR="00DB7912" w:rsidRPr="00BC4FAF">
              <w:rPr>
                <w:sz w:val="20"/>
                <w:szCs w:val="20"/>
                <w:lang w:val="es-ES"/>
              </w:rPr>
              <w:t xml:space="preserve"> ii) </w:t>
            </w:r>
            <w:r w:rsidR="0079324E" w:rsidRPr="00BC4FAF">
              <w:rPr>
                <w:sz w:val="20"/>
                <w:szCs w:val="20"/>
                <w:lang w:val="es-ES"/>
              </w:rPr>
              <w:t xml:space="preserve"> el fortalecimiento de las capacidades de articulación</w:t>
            </w:r>
            <w:r w:rsidR="003E4D12" w:rsidRPr="00BC4FAF">
              <w:rPr>
                <w:sz w:val="20"/>
                <w:szCs w:val="20"/>
                <w:lang w:val="es-ES"/>
              </w:rPr>
              <w:t xml:space="preserve">, </w:t>
            </w:r>
            <w:r w:rsidR="00DB7912" w:rsidRPr="00BC4FAF">
              <w:rPr>
                <w:sz w:val="20"/>
                <w:szCs w:val="20"/>
                <w:lang w:val="es-ES"/>
              </w:rPr>
              <w:t xml:space="preserve"> </w:t>
            </w:r>
            <w:r w:rsidR="003E4D12" w:rsidRPr="00BC4FAF">
              <w:rPr>
                <w:sz w:val="20"/>
                <w:szCs w:val="20"/>
                <w:lang w:val="es-ES"/>
              </w:rPr>
              <w:t>mayor  cobertura geográfica y sectorial</w:t>
            </w:r>
            <w:r w:rsidR="0079324E" w:rsidRPr="00BC4FAF">
              <w:rPr>
                <w:sz w:val="20"/>
                <w:szCs w:val="20"/>
                <w:lang w:val="es-ES"/>
              </w:rPr>
              <w:t>, y  nuevos servicios de los CITES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  <w:p w:rsidR="00AB7497" w:rsidRPr="00BC4FAF" w:rsidRDefault="00AB7497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BA5EC4" w:rsidRPr="00BC4FAF" w:rsidRDefault="006E0E3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i) </w:t>
            </w:r>
            <w:r w:rsidR="00BA5EC4" w:rsidRPr="00BC4FAF">
              <w:rPr>
                <w:sz w:val="20"/>
                <w:szCs w:val="20"/>
                <w:lang w:val="es-ES"/>
              </w:rPr>
              <w:t xml:space="preserve">Ley </w:t>
            </w:r>
            <w:r w:rsidR="00676755" w:rsidRPr="00BC4FAF">
              <w:rPr>
                <w:sz w:val="20"/>
                <w:szCs w:val="20"/>
                <w:lang w:val="es-ES"/>
              </w:rPr>
              <w:t>N° 2995</w:t>
            </w:r>
            <w:r w:rsidR="00080ADD">
              <w:rPr>
                <w:sz w:val="20"/>
                <w:szCs w:val="20"/>
                <w:lang w:val="es-ES"/>
              </w:rPr>
              <w:t>1</w:t>
            </w:r>
            <w:r w:rsidR="00676755" w:rsidRPr="00BC4FAF">
              <w:rPr>
                <w:sz w:val="20"/>
                <w:szCs w:val="20"/>
                <w:lang w:val="es-ES"/>
              </w:rPr>
              <w:t xml:space="preserve">, Ley </w:t>
            </w:r>
            <w:r w:rsidR="00BA5EC4" w:rsidRPr="00BC4FAF">
              <w:rPr>
                <w:sz w:val="20"/>
                <w:szCs w:val="20"/>
                <w:lang w:val="es-ES"/>
              </w:rPr>
              <w:t xml:space="preserve">de Presupuesto </w:t>
            </w:r>
            <w:r w:rsidR="00676755" w:rsidRPr="00BC4FAF">
              <w:rPr>
                <w:sz w:val="20"/>
                <w:szCs w:val="20"/>
                <w:lang w:val="es-ES"/>
              </w:rPr>
              <w:t xml:space="preserve">del Sector Público para el Año Fiscal </w:t>
            </w:r>
            <w:r w:rsidR="00BA5EC4" w:rsidRPr="00BC4FAF">
              <w:rPr>
                <w:sz w:val="20"/>
                <w:szCs w:val="20"/>
                <w:lang w:val="es-ES"/>
              </w:rPr>
              <w:t xml:space="preserve">2013, </w:t>
            </w:r>
            <w:r w:rsidR="00676755" w:rsidRPr="00BC4FAF">
              <w:rPr>
                <w:sz w:val="20"/>
                <w:szCs w:val="20"/>
                <w:lang w:val="es-ES"/>
              </w:rPr>
              <w:t xml:space="preserve">publicado el 04 dic.12, </w:t>
            </w:r>
            <w:r w:rsidR="00BA5EC4" w:rsidRPr="00BC4FAF">
              <w:rPr>
                <w:sz w:val="20"/>
                <w:szCs w:val="20"/>
                <w:lang w:val="es-ES"/>
              </w:rPr>
              <w:t xml:space="preserve">que convierte el </w:t>
            </w:r>
            <w:proofErr w:type="spellStart"/>
            <w:r w:rsidR="00BA5EC4" w:rsidRPr="00BC4FAF">
              <w:rPr>
                <w:sz w:val="20"/>
                <w:szCs w:val="20"/>
                <w:lang w:val="es-ES"/>
              </w:rPr>
              <w:t>ITPesca</w:t>
            </w:r>
            <w:proofErr w:type="spellEnd"/>
            <w:r w:rsidR="00BA5EC4" w:rsidRPr="00BC4FAF">
              <w:rPr>
                <w:sz w:val="20"/>
                <w:szCs w:val="20"/>
                <w:lang w:val="es-ES"/>
              </w:rPr>
              <w:t xml:space="preserve"> en Instituto Tecnológico de la Producción. </w:t>
            </w:r>
          </w:p>
          <w:p w:rsidR="006E0E35" w:rsidRPr="00BC4FAF" w:rsidRDefault="006E0E3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E0E35" w:rsidRPr="00BC4FAF" w:rsidRDefault="006E0E3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 w:rsidR="00080ADD" w:rsidRPr="00FD5F20"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 w:rsidR="00080ADD" w:rsidRPr="00FD5F20">
              <w:rPr>
                <w:sz w:val="20"/>
                <w:szCs w:val="20"/>
                <w:lang w:val="es-ES"/>
              </w:rPr>
              <w:t xml:space="preserve">upremo 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080ADD" w:rsidRPr="00FD5F20">
              <w:rPr>
                <w:sz w:val="20"/>
                <w:szCs w:val="20"/>
                <w:lang w:val="es-ES"/>
              </w:rPr>
              <w:t xml:space="preserve">N° 233-2013-EF publicado el 18 set.13, que autoriza la </w:t>
            </w:r>
            <w:r w:rsidRPr="00BC4FAF">
              <w:rPr>
                <w:sz w:val="20"/>
                <w:szCs w:val="20"/>
                <w:lang w:val="es-ES"/>
              </w:rPr>
              <w:t>transferencia de recursos al ITP</w:t>
            </w:r>
          </w:p>
          <w:p w:rsidR="00BA5EC4" w:rsidRPr="00BC4FAF" w:rsidRDefault="00BA5EC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7DDD" w:rsidRPr="00BC4FAF" w:rsidRDefault="008E7DD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D</w:t>
            </w:r>
            <w:r w:rsidR="009C02D2" w:rsidRPr="00BC4FAF">
              <w:rPr>
                <w:sz w:val="20"/>
                <w:szCs w:val="20"/>
                <w:lang w:val="es-ES"/>
              </w:rPr>
              <w:t xml:space="preserve">ecreto </w:t>
            </w:r>
            <w:r w:rsidRPr="00BC4FAF">
              <w:rPr>
                <w:sz w:val="20"/>
                <w:szCs w:val="20"/>
                <w:lang w:val="es-ES"/>
              </w:rPr>
              <w:t>S</w:t>
            </w:r>
            <w:r w:rsidR="009C02D2" w:rsidRPr="00BC4FAF">
              <w:rPr>
                <w:sz w:val="20"/>
                <w:szCs w:val="20"/>
                <w:lang w:val="es-ES"/>
              </w:rPr>
              <w:t>upremo No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 w:rsidR="004C563E" w:rsidRPr="00BC4FAF">
              <w:rPr>
                <w:sz w:val="20"/>
                <w:szCs w:val="20"/>
                <w:lang w:val="es-ES"/>
              </w:rPr>
              <w:t>003</w:t>
            </w:r>
            <w:r w:rsidR="009C02D2" w:rsidRPr="00BC4FAF">
              <w:rPr>
                <w:sz w:val="20"/>
                <w:szCs w:val="20"/>
                <w:lang w:val="es-ES"/>
              </w:rPr>
              <w:t>-</w:t>
            </w:r>
            <w:r w:rsidR="004C563E" w:rsidRPr="00BC4FAF">
              <w:rPr>
                <w:sz w:val="20"/>
                <w:szCs w:val="20"/>
                <w:lang w:val="es-ES"/>
              </w:rPr>
              <w:t xml:space="preserve"> 2013</w:t>
            </w:r>
            <w:r w:rsidR="009C02D2" w:rsidRPr="00BC4FAF">
              <w:rPr>
                <w:sz w:val="20"/>
                <w:szCs w:val="20"/>
                <w:lang w:val="es-ES"/>
              </w:rPr>
              <w:t>-</w:t>
            </w:r>
            <w:r w:rsidR="004C563E" w:rsidRPr="00BC4FAF">
              <w:rPr>
                <w:sz w:val="20"/>
                <w:szCs w:val="20"/>
                <w:lang w:val="es-ES"/>
              </w:rPr>
              <w:t xml:space="preserve"> PRODUCE</w:t>
            </w:r>
            <w:r w:rsidR="00080ADD" w:rsidRPr="00FD5F20">
              <w:rPr>
                <w:sz w:val="20"/>
                <w:szCs w:val="20"/>
                <w:lang w:val="es-ES"/>
              </w:rPr>
              <w:t xml:space="preserve">, publicado el 26 mar.13, </w:t>
            </w:r>
            <w:r w:rsidR="004C563E" w:rsidRPr="00BC4FAF">
              <w:rPr>
                <w:sz w:val="20"/>
                <w:szCs w:val="20"/>
                <w:lang w:val="es-ES"/>
              </w:rPr>
              <w:t xml:space="preserve"> </w:t>
            </w:r>
            <w:r w:rsidRPr="00BC4FAF">
              <w:rPr>
                <w:sz w:val="20"/>
                <w:szCs w:val="20"/>
                <w:lang w:val="es-ES"/>
              </w:rPr>
              <w:t xml:space="preserve">que </w:t>
            </w:r>
            <w:r w:rsidR="00080ADD" w:rsidRPr="00FD5F20">
              <w:rPr>
                <w:sz w:val="20"/>
                <w:szCs w:val="20"/>
                <w:lang w:val="es-ES"/>
              </w:rPr>
              <w:t xml:space="preserve">aprueba el inicio </w:t>
            </w:r>
            <w:r w:rsidR="00080ADD">
              <w:rPr>
                <w:sz w:val="20"/>
                <w:szCs w:val="20"/>
                <w:lang w:val="es-ES"/>
              </w:rPr>
              <w:t>d</w:t>
            </w:r>
            <w:r w:rsidR="004C563E" w:rsidRPr="00BC4FAF">
              <w:rPr>
                <w:sz w:val="20"/>
                <w:szCs w:val="20"/>
                <w:lang w:val="es-ES"/>
              </w:rPr>
              <w:t>el proceso de adscripción de los cites al ITP.</w:t>
            </w:r>
          </w:p>
          <w:p w:rsidR="003078DC" w:rsidRPr="00BC4FAF" w:rsidRDefault="003078D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E7DDD" w:rsidRPr="00BC4FAF" w:rsidRDefault="00C97889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ii) </w:t>
            </w:r>
            <w:r w:rsidR="008E7DDD" w:rsidRPr="00BC4FAF">
              <w:rPr>
                <w:sz w:val="20"/>
                <w:szCs w:val="20"/>
                <w:lang w:val="es-ES"/>
              </w:rPr>
              <w:t>Informe del ITP describiendo los avances del proceso de reforma</w:t>
            </w:r>
            <w:r w:rsidR="00E2242B" w:rsidRPr="00BC4FAF">
              <w:rPr>
                <w:sz w:val="20"/>
                <w:szCs w:val="20"/>
                <w:lang w:val="es-ES"/>
              </w:rPr>
              <w:t>, tales como</w:t>
            </w:r>
            <w:r w:rsidR="00863663" w:rsidRPr="00BC4FAF">
              <w:rPr>
                <w:sz w:val="20"/>
                <w:szCs w:val="20"/>
                <w:lang w:val="es-ES"/>
              </w:rPr>
              <w:t>:</w:t>
            </w:r>
            <w:r w:rsidR="00E2242B" w:rsidRPr="00BC4FAF">
              <w:rPr>
                <w:sz w:val="20"/>
                <w:szCs w:val="20"/>
                <w:lang w:val="es-ES"/>
              </w:rPr>
              <w:t xml:space="preserve"> </w:t>
            </w:r>
            <w:r w:rsidR="00863663" w:rsidRPr="00BC4FAF">
              <w:rPr>
                <w:sz w:val="20"/>
                <w:szCs w:val="20"/>
                <w:lang w:val="es-ES"/>
              </w:rPr>
              <w:t>el fortalecimiento de las capacidades de articulación,  mayor  cobertura geográfica y sectorial, y  nuevos servicios de los CITES.</w:t>
            </w:r>
            <w:r w:rsidR="004C563E" w:rsidRPr="00BC4FAF">
              <w:rPr>
                <w:sz w:val="20"/>
                <w:szCs w:val="20"/>
                <w:lang w:val="es-ES"/>
              </w:rPr>
              <w:t>,  lineamientos estratégicos del ITP</w:t>
            </w:r>
            <w:r w:rsidR="006B0747" w:rsidRPr="00BC4FAF">
              <w:rPr>
                <w:sz w:val="20"/>
                <w:szCs w:val="20"/>
                <w:lang w:val="es-ES"/>
              </w:rPr>
              <w:t xml:space="preserve">, y el </w:t>
            </w:r>
            <w:r w:rsidR="003C7117" w:rsidRPr="00BC4FAF">
              <w:rPr>
                <w:sz w:val="20"/>
                <w:szCs w:val="20"/>
                <w:lang w:val="es-ES"/>
              </w:rPr>
              <w:t>Acta del Directorio del ITP aprobando PEI 2014 - 2016</w:t>
            </w:r>
            <w:r w:rsidR="00080ADD" w:rsidRPr="00FD5F20">
              <w:rPr>
                <w:sz w:val="20"/>
                <w:szCs w:val="20"/>
                <w:lang w:val="es-ES"/>
              </w:rPr>
              <w:t>, remitido mediante Oficio N° 417-2014-ITP/DEC DEL 16 jun.14</w:t>
            </w:r>
            <w:r w:rsidR="003C7117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4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76755" w:rsidRPr="00BC4FAF" w:rsidRDefault="0067675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676755" w:rsidRPr="00BC4FAF" w:rsidRDefault="00676755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5C1584" w:rsidRPr="00BC4FAF" w:rsidRDefault="005C1584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F510DE" w:rsidRPr="00BC4FAF" w:rsidRDefault="00F510DE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Cumplido.</w:t>
            </w: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C02D2" w:rsidRPr="00BC4FAF" w:rsidRDefault="009C02D2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910C1C" w:rsidRPr="00BC4FAF" w:rsidRDefault="00910C1C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080ADD" w:rsidRDefault="00080ADD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07D74" w:rsidRPr="00BC4FAF" w:rsidRDefault="00080AD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FD3651" w:rsidRPr="00BC4FAF">
              <w:rPr>
                <w:sz w:val="20"/>
                <w:szCs w:val="20"/>
                <w:lang w:val="es-ES"/>
              </w:rPr>
              <w:t>.</w:t>
            </w:r>
          </w:p>
        </w:tc>
      </w:tr>
      <w:tr w:rsidR="007E294F" w:rsidRPr="00BC4FAF" w:rsidTr="00F00724">
        <w:trPr>
          <w:trHeight w:val="1884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ind w:left="252" w:hanging="25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E. Incrementar la eficacia y eficiencia de la política y el gasto público en ciencia, tecnología e innovación.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MEF (DGAEICYP/CNC)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7210B0" w:rsidP="00BC4FAF">
            <w:pPr>
              <w:pStyle w:val="NoSpacing"/>
              <w:jc w:val="both"/>
              <w:rPr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z w:val="20"/>
                <w:szCs w:val="20"/>
                <w:lang w:val="es-ES"/>
              </w:rPr>
              <w:t>Consolidación del esquema institucional para el direccionamiento y funcionamiento del sector de ciencia</w:t>
            </w:r>
            <w:r w:rsidR="007D2266">
              <w:rPr>
                <w:color w:val="000000"/>
                <w:sz w:val="20"/>
                <w:szCs w:val="20"/>
                <w:lang w:val="es-ES"/>
              </w:rPr>
              <w:t>,</w:t>
            </w:r>
            <w:r w:rsidRPr="00BC4FAF">
              <w:rPr>
                <w:color w:val="000000"/>
                <w:sz w:val="20"/>
                <w:szCs w:val="20"/>
                <w:lang w:val="es-ES"/>
              </w:rPr>
              <w:t xml:space="preserve"> tecnología e innovación.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8669B7" w:rsidRPr="00BC4FAF" w:rsidRDefault="002454D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detallando el cumplimiento de las metas relacionadas a ciencia, tecnología e innovación de la Agenda de Competitividad 2012-2013.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3" w:rsidRPr="00BC4FAF" w:rsidRDefault="008F50E4" w:rsidP="00BC4FAF">
            <w:pPr>
              <w:pStyle w:val="NoSpacing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Cumplido</w:t>
            </w:r>
            <w:r w:rsidR="002D13BA" w:rsidRPr="00BC4FAF">
              <w:rPr>
                <w:sz w:val="20"/>
                <w:szCs w:val="20"/>
                <w:lang w:val="es-ES"/>
              </w:rPr>
              <w:t>.</w:t>
            </w:r>
            <w:r w:rsidR="00F30DE2" w:rsidRPr="00BC4FAF">
              <w:rPr>
                <w:sz w:val="20"/>
                <w:szCs w:val="20"/>
                <w:lang w:val="es-ES"/>
              </w:rPr>
              <w:t xml:space="preserve">  </w:t>
            </w:r>
          </w:p>
        </w:tc>
      </w:tr>
      <w:tr w:rsidR="007E294F" w:rsidRPr="00BC4FAF" w:rsidTr="00000B2F"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CNC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3" w:rsidRPr="00BC4FAF" w:rsidRDefault="007210B0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Acciones que evidencien avances en la  implementación de recomendaciones </w:t>
            </w:r>
            <w:r w:rsidRPr="00BC4FAF">
              <w:rPr>
                <w:spacing w:val="-4"/>
                <w:sz w:val="20"/>
                <w:szCs w:val="20"/>
                <w:lang w:val="es-ES"/>
              </w:rPr>
              <w:t>de la OCD</w:t>
            </w:r>
            <w:r w:rsidR="00EA7335">
              <w:rPr>
                <w:spacing w:val="-4"/>
                <w:sz w:val="20"/>
                <w:szCs w:val="20"/>
                <w:lang w:val="es-ES"/>
              </w:rPr>
              <w:t>E</w:t>
            </w:r>
            <w:r w:rsidRPr="00BC4FAF">
              <w:rPr>
                <w:spacing w:val="-4"/>
                <w:sz w:val="20"/>
                <w:szCs w:val="20"/>
                <w:lang w:val="es-ES"/>
              </w:rPr>
              <w:t xml:space="preserve"> y la Agenda de Competitividad.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8" w:rsidRPr="00BC4FAF" w:rsidRDefault="0089387E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CNC</w:t>
            </w:r>
            <w:r w:rsidR="008F50E4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detallando el cumplimiento de las metas relacionadas a ciencia, tecnología e innovación de la Agenda de Competitividad 2012-2013, y los avances en la implementación de las recomendaciones de la OCD</w:t>
            </w:r>
            <w:r w:rsidR="007E5714">
              <w:rPr>
                <w:sz w:val="20"/>
                <w:szCs w:val="20"/>
                <w:lang w:val="es-ES"/>
              </w:rPr>
              <w:t>E</w:t>
            </w:r>
            <w:r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3" w:rsidRPr="00BC4FAF" w:rsidRDefault="008F50E4" w:rsidP="00BC4FAF">
            <w:pPr>
              <w:pStyle w:val="NoSpacing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Cumplido</w:t>
            </w:r>
            <w:r w:rsidR="002D13BA" w:rsidRPr="00BC4FAF">
              <w:rPr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7E294F" w:rsidRPr="00BC4FAF" w:rsidTr="00000B2F"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INEI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7210B0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pacing w:val="-4"/>
                <w:sz w:val="20"/>
                <w:szCs w:val="20"/>
                <w:lang w:val="es-ES"/>
              </w:rPr>
              <w:t>Resultados de la encuesta de innovación publicados y encuesta institucionalizada para ser realizada en lapsos regulares.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86221D" w:rsidRPr="00BC4FAF" w:rsidRDefault="00D256C4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Publicación de los resultados de la encuesta de innovación disponibles en el s</w:t>
            </w:r>
            <w:r w:rsidR="00AC79BB" w:rsidRPr="00BC4FAF">
              <w:rPr>
                <w:sz w:val="20"/>
                <w:szCs w:val="20"/>
                <w:lang w:val="es-ES"/>
              </w:rPr>
              <w:t>itio web del INEI</w:t>
            </w:r>
            <w:r w:rsidR="0086221D" w:rsidRPr="00BC4FAF">
              <w:rPr>
                <w:sz w:val="20"/>
                <w:szCs w:val="20"/>
                <w:lang w:val="es-ES"/>
              </w:rPr>
              <w:t>:</w:t>
            </w:r>
          </w:p>
          <w:p w:rsidR="00AC79BB" w:rsidRPr="00BC4FAF" w:rsidRDefault="0086221D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http://iinei.inei.gob.pe/microdatos/</w:t>
            </w:r>
          </w:p>
          <w:p w:rsidR="00AC79BB" w:rsidRDefault="00AC79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D67FBB" w:rsidRPr="00F00724" w:rsidRDefault="005E0305" w:rsidP="00D67FBB">
            <w:pPr>
              <w:pStyle w:val="NoSpacing"/>
              <w:rPr>
                <w:rStyle w:val="Hyperlink"/>
                <w:lang w:val="es-ES"/>
              </w:rPr>
            </w:pPr>
            <w:hyperlink r:id="rId12" w:history="1">
              <w:r w:rsidR="00D67FBB" w:rsidRPr="00247C12">
                <w:rPr>
                  <w:rStyle w:val="Hyperlink"/>
                  <w:sz w:val="20"/>
                  <w:szCs w:val="20"/>
                  <w:lang w:val="es-ES"/>
                </w:rPr>
                <w:t>http://www.inei.gob.pe/media/MenuRecursivo/publicaciones_digitales/Est/Lib1076/index.html</w:t>
              </w:r>
            </w:hyperlink>
          </w:p>
          <w:p w:rsidR="00D67FBB" w:rsidRPr="00BC4FAF" w:rsidRDefault="00D67FBB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  <w:p w:rsidR="008A0633" w:rsidRPr="00BC4FAF" w:rsidRDefault="00E46C0B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CNC</w:t>
            </w:r>
            <w:r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detallando la m</w:t>
            </w:r>
            <w:r w:rsidRPr="00BC4FAF">
              <w:rPr>
                <w:sz w:val="20"/>
                <w:szCs w:val="20"/>
                <w:lang w:val="es-ES"/>
              </w:rPr>
              <w:t xml:space="preserve">eta </w:t>
            </w:r>
            <w:r w:rsidR="00D256C4" w:rsidRPr="00BC4FAF">
              <w:rPr>
                <w:sz w:val="20"/>
                <w:szCs w:val="20"/>
                <w:lang w:val="es-ES"/>
              </w:rPr>
              <w:t xml:space="preserve">sobre la institucionalización </w:t>
            </w:r>
            <w:r w:rsidR="007D2266">
              <w:rPr>
                <w:sz w:val="20"/>
                <w:szCs w:val="20"/>
                <w:lang w:val="es-ES"/>
              </w:rPr>
              <w:t xml:space="preserve">de la </w:t>
            </w:r>
            <w:r w:rsidR="00D256C4" w:rsidRPr="00BC4FAF">
              <w:rPr>
                <w:sz w:val="20"/>
                <w:szCs w:val="20"/>
                <w:lang w:val="es-ES"/>
              </w:rPr>
              <w:t xml:space="preserve">encuesta de innovación 2015 incluida en </w:t>
            </w:r>
            <w:r w:rsidR="00DA6CED" w:rsidRPr="00BC4FAF">
              <w:rPr>
                <w:sz w:val="20"/>
                <w:szCs w:val="20"/>
                <w:lang w:val="es-ES"/>
              </w:rPr>
              <w:t>la agenda de competitividad 2014-2018</w:t>
            </w:r>
            <w:r w:rsidR="001F301A" w:rsidRPr="00BC4FA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3" w:rsidRPr="00BC4FAF" w:rsidRDefault="00576200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pacing w:val="-4"/>
                <w:sz w:val="20"/>
                <w:szCs w:val="20"/>
                <w:lang w:val="es-ES"/>
              </w:rPr>
              <w:t xml:space="preserve">Cumplido. </w:t>
            </w:r>
            <w:r w:rsidR="00962D53" w:rsidRPr="00BC4FAF">
              <w:rPr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</w:p>
          <w:p w:rsidR="00FE29F3" w:rsidRPr="00BC4FAF" w:rsidRDefault="00FE29F3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5603B1" w:rsidRPr="00BC4FAF" w:rsidRDefault="005603B1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6E1055" w:rsidRPr="00BC4FAF" w:rsidRDefault="006E1055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000B2F" w:rsidRPr="00BC4FAF" w:rsidRDefault="00000B2F" w:rsidP="00BC4FAF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D67FBB" w:rsidRDefault="00D67FBB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D67FBB" w:rsidRDefault="00D67FBB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D67FBB" w:rsidRDefault="00D67FBB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D67FBB" w:rsidRDefault="00D67FBB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971FC0" w:rsidRDefault="00971FC0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971FC0" w:rsidRDefault="00971FC0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</w:p>
          <w:p w:rsidR="003854B5" w:rsidRPr="00BC4FAF" w:rsidRDefault="00E46C0B" w:rsidP="00AE4038">
            <w:pPr>
              <w:pStyle w:val="NoSpacing"/>
              <w:rPr>
                <w:color w:val="000000"/>
                <w:spacing w:val="-4"/>
                <w:sz w:val="20"/>
                <w:szCs w:val="20"/>
                <w:lang w:val="es-ES"/>
              </w:rPr>
            </w:pPr>
            <w:r>
              <w:rPr>
                <w:color w:val="000000"/>
                <w:spacing w:val="-4"/>
                <w:sz w:val="20"/>
                <w:szCs w:val="20"/>
                <w:lang w:val="es-ES"/>
              </w:rPr>
              <w:t>Cumplido</w:t>
            </w:r>
            <w:r w:rsidR="00FA3377" w:rsidRPr="00BC4FAF">
              <w:rPr>
                <w:color w:val="000000"/>
                <w:spacing w:val="-4"/>
                <w:sz w:val="20"/>
                <w:szCs w:val="20"/>
                <w:lang w:val="es-ES"/>
              </w:rPr>
              <w:t xml:space="preserve">. </w:t>
            </w:r>
          </w:p>
        </w:tc>
      </w:tr>
      <w:tr w:rsidR="007E294F" w:rsidRPr="00BC4FAF" w:rsidTr="00000B2F"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3" w:rsidRPr="00BC4FAF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F00724" w:rsidRDefault="008A0633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F00724">
              <w:rPr>
                <w:sz w:val="20"/>
                <w:szCs w:val="20"/>
                <w:lang w:val="es-ES"/>
              </w:rPr>
              <w:t xml:space="preserve">MEF (CNC) / MEF (DGAEICIP) / </w:t>
            </w:r>
            <w:proofErr w:type="spellStart"/>
            <w:r w:rsidRPr="00F00724">
              <w:rPr>
                <w:sz w:val="20"/>
                <w:szCs w:val="20"/>
                <w:lang w:val="es-ES"/>
              </w:rPr>
              <w:t>FINCyT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7210B0" w:rsidRPr="00BC4FAF" w:rsidRDefault="007210B0" w:rsidP="00BC4FAF">
            <w:pPr>
              <w:pStyle w:val="NoSpacing"/>
              <w:rPr>
                <w:color w:val="000000"/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z w:val="20"/>
                <w:szCs w:val="20"/>
                <w:lang w:val="es-ES"/>
              </w:rPr>
              <w:t>Avances en la implementación de las recomendaciones sobre:</w:t>
            </w:r>
          </w:p>
          <w:p w:rsidR="00653E99" w:rsidRPr="00BC4FAF" w:rsidRDefault="007210B0" w:rsidP="00BC4FAF">
            <w:pPr>
              <w:numPr>
                <w:ilvl w:val="0"/>
                <w:numId w:val="23"/>
              </w:numPr>
              <w:ind w:left="252" w:hanging="242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 xml:space="preserve">Los mecanismos de gobierno y </w:t>
            </w:r>
            <w:r w:rsidRPr="00BC4FAF">
              <w:rPr>
                <w:color w:val="000000"/>
                <w:sz w:val="20"/>
                <w:szCs w:val="20"/>
                <w:lang w:val="es-ES"/>
              </w:rPr>
              <w:t>articulación</w:t>
            </w:r>
            <w:r w:rsidRPr="00BC4FAF">
              <w:rPr>
                <w:sz w:val="20"/>
                <w:szCs w:val="20"/>
                <w:lang w:val="es-ES"/>
              </w:rPr>
              <w:t xml:space="preserve"> de los institutos de investigación.</w:t>
            </w:r>
          </w:p>
          <w:p w:rsidR="008A0633" w:rsidRPr="00BC4FAF" w:rsidRDefault="007210B0" w:rsidP="00BC4FAF">
            <w:pPr>
              <w:numPr>
                <w:ilvl w:val="0"/>
                <w:numId w:val="23"/>
              </w:numPr>
              <w:ind w:left="252" w:hanging="242"/>
              <w:rPr>
                <w:sz w:val="20"/>
                <w:szCs w:val="20"/>
                <w:lang w:val="es-ES"/>
              </w:rPr>
            </w:pPr>
            <w:r w:rsidRPr="00BC4FAF">
              <w:rPr>
                <w:color w:val="000000"/>
                <w:sz w:val="20"/>
                <w:szCs w:val="20"/>
                <w:lang w:val="es-ES"/>
              </w:rPr>
              <w:t xml:space="preserve">El esquema de </w:t>
            </w:r>
            <w:r w:rsidR="0053631A" w:rsidRPr="00BC4FAF">
              <w:rPr>
                <w:color w:val="000000"/>
                <w:sz w:val="20"/>
                <w:szCs w:val="20"/>
                <w:lang w:val="es-ES"/>
              </w:rPr>
              <w:t xml:space="preserve">fortalecimiento </w:t>
            </w:r>
            <w:r w:rsidRPr="00BC4FAF">
              <w:rPr>
                <w:color w:val="000000"/>
                <w:sz w:val="20"/>
                <w:szCs w:val="20"/>
                <w:lang w:val="es-ES"/>
              </w:rPr>
              <w:t>de los institutos de investigación.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8A0633" w:rsidRPr="00BC4FAF" w:rsidRDefault="007D2625" w:rsidP="00BC4FAF">
            <w:pPr>
              <w:pStyle w:val="NoSpacing"/>
              <w:rPr>
                <w:sz w:val="20"/>
                <w:szCs w:val="20"/>
                <w:lang w:val="es-ES"/>
              </w:rPr>
            </w:pPr>
            <w:r w:rsidRPr="00BC4FAF">
              <w:rPr>
                <w:sz w:val="20"/>
                <w:szCs w:val="20"/>
                <w:lang w:val="es-ES"/>
              </w:rPr>
              <w:t>Informe del CNC</w:t>
            </w:r>
            <w:r w:rsidR="00E46C0B" w:rsidRPr="003853FB">
              <w:rPr>
                <w:sz w:val="20"/>
                <w:szCs w:val="20"/>
                <w:lang w:val="es-ES"/>
              </w:rPr>
              <w:t>, remitido mediante Memorando N° 299-2014-EF/35.01,</w:t>
            </w:r>
            <w:r w:rsidRPr="00BC4FAF">
              <w:rPr>
                <w:sz w:val="20"/>
                <w:szCs w:val="20"/>
                <w:lang w:val="es-ES"/>
              </w:rPr>
              <w:t xml:space="preserve"> detallando los avances en la implementación de recomendaciones.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Pr="00BC4FAF" w:rsidRDefault="00E46C0B" w:rsidP="00BC4FAF">
            <w:pP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Cumplido</w:t>
            </w:r>
            <w:r w:rsidR="0015563B" w:rsidRPr="00BC4FAF">
              <w:rPr>
                <w:color w:val="000000"/>
                <w:sz w:val="20"/>
                <w:szCs w:val="20"/>
                <w:lang w:val="es-ES"/>
              </w:rPr>
              <w:t>.</w:t>
            </w:r>
          </w:p>
          <w:p w:rsidR="008A0633" w:rsidRPr="00BC4FAF" w:rsidRDefault="008A0633" w:rsidP="00BC4FAF">
            <w:pPr>
              <w:rPr>
                <w:color w:val="000000"/>
                <w:sz w:val="20"/>
                <w:szCs w:val="20"/>
                <w:lang w:val="es-ES"/>
              </w:rPr>
            </w:pPr>
          </w:p>
          <w:p w:rsidR="0053631A" w:rsidRPr="00BC4FAF" w:rsidRDefault="0053631A" w:rsidP="00BC4FAF">
            <w:pPr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30DF0" w:rsidRPr="0005786E" w:rsidRDefault="00730DF0" w:rsidP="00937D1B">
      <w:pPr>
        <w:tabs>
          <w:tab w:val="left" w:pos="5115"/>
        </w:tabs>
        <w:rPr>
          <w:sz w:val="2"/>
          <w:szCs w:val="2"/>
          <w:lang w:val="es-ES_tradnl"/>
        </w:rPr>
      </w:pPr>
    </w:p>
    <w:sectPr w:rsidR="00730DF0" w:rsidRPr="0005786E" w:rsidSect="00000B2F">
      <w:headerReference w:type="default" r:id="rId13"/>
      <w:pgSz w:w="15840" w:h="12240" w:orient="landscape"/>
      <w:pgMar w:top="1440" w:right="1800" w:bottom="11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52" w:rsidRDefault="00131252">
      <w:r>
        <w:separator/>
      </w:r>
    </w:p>
  </w:endnote>
  <w:endnote w:type="continuationSeparator" w:id="0">
    <w:p w:rsidR="00131252" w:rsidRDefault="001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52" w:rsidRDefault="00131252">
      <w:r>
        <w:separator/>
      </w:r>
    </w:p>
  </w:footnote>
  <w:footnote w:type="continuationSeparator" w:id="0">
    <w:p w:rsidR="00131252" w:rsidRDefault="00131252">
      <w:r>
        <w:continuationSeparator/>
      </w:r>
    </w:p>
  </w:footnote>
  <w:footnote w:id="1">
    <w:p w:rsidR="004A2FD1" w:rsidRPr="00000B2F" w:rsidRDefault="004A2FD1" w:rsidP="00000B2F">
      <w:pPr>
        <w:pStyle w:val="FootnoteText"/>
        <w:rPr>
          <w:lang w:val="es-ES_tradnl"/>
        </w:rPr>
      </w:pPr>
      <w:r w:rsidRPr="00000B2F">
        <w:rPr>
          <w:rStyle w:val="FootnoteReference"/>
        </w:rPr>
        <w:footnoteRef/>
      </w:r>
      <w:r w:rsidRPr="00000B2F">
        <w:rPr>
          <w:lang w:val="es-ES"/>
        </w:rPr>
        <w:t xml:space="preserve"> </w:t>
      </w:r>
      <w:r w:rsidRPr="00000B2F">
        <w:rPr>
          <w:lang w:val="es-ES_tradnl"/>
        </w:rPr>
        <w:t>Con los DS Nº 104-2012-PCM y N° 043-2013-PCM cambia la denominación de Inspecciones Técnicas de Seguridad en Defensa Civil por Inspecciones Técnicas de Seguridad en Edificaciones.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F" w:rsidRPr="00FD5F20" w:rsidRDefault="00000B2F" w:rsidP="003A3355">
    <w:pPr>
      <w:jc w:val="right"/>
      <w:rPr>
        <w:sz w:val="20"/>
        <w:szCs w:val="20"/>
        <w:lang w:val="pt-BR"/>
      </w:rPr>
    </w:pPr>
    <w:r w:rsidRPr="00FD5F20">
      <w:rPr>
        <w:sz w:val="20"/>
        <w:szCs w:val="20"/>
        <w:lang w:val="pt-BR"/>
      </w:rPr>
      <w:t>PE-L1099</w:t>
    </w:r>
  </w:p>
  <w:p w:rsidR="003A3355" w:rsidRPr="00FD5F20" w:rsidRDefault="003A3355" w:rsidP="00000B2F">
    <w:pPr>
      <w:jc w:val="right"/>
      <w:rPr>
        <w:sz w:val="20"/>
        <w:szCs w:val="20"/>
        <w:lang w:val="es-ES_tradnl"/>
      </w:rPr>
    </w:pPr>
    <w:r w:rsidRPr="00FD5F20">
      <w:rPr>
        <w:sz w:val="20"/>
        <w:szCs w:val="20"/>
        <w:lang w:val="es-ES_tradnl"/>
      </w:rPr>
      <w:t xml:space="preserve">Página </w:t>
    </w:r>
    <w:r w:rsidR="00AA7085" w:rsidRPr="00FD5F20">
      <w:rPr>
        <w:sz w:val="20"/>
        <w:szCs w:val="20"/>
      </w:rPr>
      <w:fldChar w:fldCharType="begin"/>
    </w:r>
    <w:r w:rsidRPr="00FD5F20">
      <w:rPr>
        <w:sz w:val="20"/>
        <w:szCs w:val="20"/>
        <w:lang w:val="es-ES_tradnl"/>
      </w:rPr>
      <w:instrText xml:space="preserve"> PAGE </w:instrText>
    </w:r>
    <w:r w:rsidR="00AA7085" w:rsidRPr="00FD5F20">
      <w:rPr>
        <w:sz w:val="20"/>
        <w:szCs w:val="20"/>
      </w:rPr>
      <w:fldChar w:fldCharType="separate"/>
    </w:r>
    <w:r w:rsidR="005E0305">
      <w:rPr>
        <w:noProof/>
        <w:sz w:val="20"/>
        <w:szCs w:val="20"/>
        <w:lang w:val="es-ES_tradnl"/>
      </w:rPr>
      <w:t>1</w:t>
    </w:r>
    <w:r w:rsidR="00AA7085" w:rsidRPr="00FD5F20">
      <w:rPr>
        <w:sz w:val="20"/>
        <w:szCs w:val="20"/>
      </w:rPr>
      <w:fldChar w:fldCharType="end"/>
    </w:r>
    <w:r w:rsidRPr="00FD5F20">
      <w:rPr>
        <w:sz w:val="20"/>
        <w:szCs w:val="20"/>
        <w:lang w:val="es-ES_tradnl"/>
      </w:rPr>
      <w:t xml:space="preserve"> de </w:t>
    </w:r>
    <w:r w:rsidR="00AA7085" w:rsidRPr="00FD5F20">
      <w:rPr>
        <w:sz w:val="20"/>
        <w:szCs w:val="20"/>
      </w:rPr>
      <w:fldChar w:fldCharType="begin"/>
    </w:r>
    <w:r w:rsidRPr="00FD5F20">
      <w:rPr>
        <w:sz w:val="20"/>
        <w:szCs w:val="20"/>
        <w:lang w:val="es-ES_tradnl"/>
      </w:rPr>
      <w:instrText xml:space="preserve"> NUMPAGES  </w:instrText>
    </w:r>
    <w:r w:rsidR="00AA7085" w:rsidRPr="00FD5F20">
      <w:rPr>
        <w:sz w:val="20"/>
        <w:szCs w:val="20"/>
      </w:rPr>
      <w:fldChar w:fldCharType="separate"/>
    </w:r>
    <w:r w:rsidR="005E0305">
      <w:rPr>
        <w:noProof/>
        <w:sz w:val="20"/>
        <w:szCs w:val="20"/>
        <w:lang w:val="es-ES_tradnl"/>
      </w:rPr>
      <w:t>12</w:t>
    </w:r>
    <w:r w:rsidR="00AA7085" w:rsidRPr="00FD5F2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9C5"/>
    <w:multiLevelType w:val="hybridMultilevel"/>
    <w:tmpl w:val="BAE0BF92"/>
    <w:lvl w:ilvl="0" w:tplc="0BDEB4CE">
      <w:start w:val="1"/>
      <w:numFmt w:val="lowerRoman"/>
      <w:lvlText w:val="%1)"/>
      <w:lvlJc w:val="left"/>
      <w:pPr>
        <w:ind w:left="7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C2E75D7"/>
    <w:multiLevelType w:val="hybridMultilevel"/>
    <w:tmpl w:val="DFBCBDFE"/>
    <w:lvl w:ilvl="0" w:tplc="D1683F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5CE4"/>
    <w:multiLevelType w:val="hybridMultilevel"/>
    <w:tmpl w:val="D12C3BC4"/>
    <w:lvl w:ilvl="0" w:tplc="0BDEB4CE">
      <w:start w:val="1"/>
      <w:numFmt w:val="lowerRoman"/>
      <w:lvlText w:val="%1)"/>
      <w:lvlJc w:val="left"/>
      <w:pPr>
        <w:ind w:left="7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15D95167"/>
    <w:multiLevelType w:val="hybridMultilevel"/>
    <w:tmpl w:val="FB14E160"/>
    <w:lvl w:ilvl="0" w:tplc="6B66964A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16B12FEA"/>
    <w:multiLevelType w:val="hybridMultilevel"/>
    <w:tmpl w:val="51D029BE"/>
    <w:lvl w:ilvl="0" w:tplc="C24A0522">
      <w:start w:val="1"/>
      <w:numFmt w:val="lowerRoman"/>
      <w:lvlText w:val="(%1)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5">
    <w:nsid w:val="1D7E3466"/>
    <w:multiLevelType w:val="hybridMultilevel"/>
    <w:tmpl w:val="F48E8670"/>
    <w:lvl w:ilvl="0" w:tplc="00E6F1BC">
      <w:start w:val="5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612"/>
    <w:multiLevelType w:val="hybridMultilevel"/>
    <w:tmpl w:val="666E0CDA"/>
    <w:lvl w:ilvl="0" w:tplc="FC526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6274"/>
    <w:multiLevelType w:val="hybridMultilevel"/>
    <w:tmpl w:val="A9FC9E7C"/>
    <w:lvl w:ilvl="0" w:tplc="3808D576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2B4F280E"/>
    <w:multiLevelType w:val="hybridMultilevel"/>
    <w:tmpl w:val="6F2C651E"/>
    <w:lvl w:ilvl="0" w:tplc="19F2C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D22"/>
    <w:multiLevelType w:val="hybridMultilevel"/>
    <w:tmpl w:val="B406FAAA"/>
    <w:lvl w:ilvl="0" w:tplc="81B0ACF8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03118">
      <w:start w:val="3102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9AF8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FEE0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2A4E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6C33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E23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E4F5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923D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6AF1A7F"/>
    <w:multiLevelType w:val="hybridMultilevel"/>
    <w:tmpl w:val="BB66BBFC"/>
    <w:lvl w:ilvl="0" w:tplc="748C87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B0E"/>
    <w:multiLevelType w:val="hybridMultilevel"/>
    <w:tmpl w:val="FBEC4398"/>
    <w:lvl w:ilvl="0" w:tplc="CB24D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407D"/>
    <w:multiLevelType w:val="hybridMultilevel"/>
    <w:tmpl w:val="B2921528"/>
    <w:lvl w:ilvl="0" w:tplc="15B062A2">
      <w:start w:val="1"/>
      <w:numFmt w:val="lowerRoman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63F3F"/>
    <w:multiLevelType w:val="hybridMultilevel"/>
    <w:tmpl w:val="DAC2C2FC"/>
    <w:lvl w:ilvl="0" w:tplc="0BDEB4CE">
      <w:start w:val="1"/>
      <w:numFmt w:val="lowerRoman"/>
      <w:lvlText w:val="%1)"/>
      <w:lvlJc w:val="left"/>
      <w:pPr>
        <w:ind w:left="7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3DF2372E"/>
    <w:multiLevelType w:val="hybridMultilevel"/>
    <w:tmpl w:val="C464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03121"/>
    <w:multiLevelType w:val="hybridMultilevel"/>
    <w:tmpl w:val="DE46E3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073E5"/>
    <w:multiLevelType w:val="hybridMultilevel"/>
    <w:tmpl w:val="BA247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612A8A"/>
    <w:multiLevelType w:val="hybridMultilevel"/>
    <w:tmpl w:val="16063524"/>
    <w:lvl w:ilvl="0" w:tplc="0BDEB4CE">
      <w:start w:val="1"/>
      <w:numFmt w:val="lowerRoman"/>
      <w:lvlText w:val="%1)"/>
      <w:lvlJc w:val="left"/>
      <w:pPr>
        <w:ind w:left="7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466C570D"/>
    <w:multiLevelType w:val="hybridMultilevel"/>
    <w:tmpl w:val="87A654EC"/>
    <w:lvl w:ilvl="0" w:tplc="5614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703118">
      <w:start w:val="3102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9AF8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FEE0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2A4E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6C33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E23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E4F5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923D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7B7977"/>
    <w:multiLevelType w:val="hybridMultilevel"/>
    <w:tmpl w:val="47FE4C3A"/>
    <w:lvl w:ilvl="0" w:tplc="EF3A076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9570D"/>
    <w:multiLevelType w:val="hybridMultilevel"/>
    <w:tmpl w:val="67C2D8B8"/>
    <w:lvl w:ilvl="0" w:tplc="B97A1ED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2057B"/>
    <w:multiLevelType w:val="hybridMultilevel"/>
    <w:tmpl w:val="223259AE"/>
    <w:lvl w:ilvl="0" w:tplc="BF98D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63B1"/>
    <w:multiLevelType w:val="hybridMultilevel"/>
    <w:tmpl w:val="9EDE4108"/>
    <w:lvl w:ilvl="0" w:tplc="15B062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126CB"/>
    <w:multiLevelType w:val="hybridMultilevel"/>
    <w:tmpl w:val="BED44594"/>
    <w:lvl w:ilvl="0" w:tplc="F69449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606D3"/>
    <w:multiLevelType w:val="hybridMultilevel"/>
    <w:tmpl w:val="6D90B818"/>
    <w:lvl w:ilvl="0" w:tplc="E88A79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335C0"/>
    <w:multiLevelType w:val="hybridMultilevel"/>
    <w:tmpl w:val="67C2D8B8"/>
    <w:lvl w:ilvl="0" w:tplc="B97A1ED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871"/>
    <w:multiLevelType w:val="hybridMultilevel"/>
    <w:tmpl w:val="DAC2C2FC"/>
    <w:lvl w:ilvl="0" w:tplc="0BDEB4CE">
      <w:start w:val="1"/>
      <w:numFmt w:val="lowerRoman"/>
      <w:lvlText w:val="%1)"/>
      <w:lvlJc w:val="left"/>
      <w:pPr>
        <w:ind w:left="76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>
    <w:nsid w:val="552532EF"/>
    <w:multiLevelType w:val="hybridMultilevel"/>
    <w:tmpl w:val="4E0A5282"/>
    <w:lvl w:ilvl="0" w:tplc="8DBE54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8E1"/>
    <w:multiLevelType w:val="hybridMultilevel"/>
    <w:tmpl w:val="FA2023FE"/>
    <w:lvl w:ilvl="0" w:tplc="8B1E9ABE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>
    <w:nsid w:val="6012586E"/>
    <w:multiLevelType w:val="hybridMultilevel"/>
    <w:tmpl w:val="51964AA8"/>
    <w:lvl w:ilvl="0" w:tplc="B97A1ED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55D0E"/>
    <w:multiLevelType w:val="hybridMultilevel"/>
    <w:tmpl w:val="8FCE4FE8"/>
    <w:lvl w:ilvl="0" w:tplc="22404AF2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1">
    <w:nsid w:val="69BA5701"/>
    <w:multiLevelType w:val="hybridMultilevel"/>
    <w:tmpl w:val="5C90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C7C5E"/>
    <w:multiLevelType w:val="hybridMultilevel"/>
    <w:tmpl w:val="AF94562C"/>
    <w:lvl w:ilvl="0" w:tplc="9F0AE3F4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>
    <w:nsid w:val="6F211892"/>
    <w:multiLevelType w:val="hybridMultilevel"/>
    <w:tmpl w:val="C3563040"/>
    <w:lvl w:ilvl="0" w:tplc="FECC6E9C">
      <w:start w:val="1"/>
      <w:numFmt w:val="lowerRoman"/>
      <w:lvlText w:val="%1)"/>
      <w:lvlJc w:val="left"/>
      <w:pPr>
        <w:ind w:left="11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6573"/>
    <w:multiLevelType w:val="hybridMultilevel"/>
    <w:tmpl w:val="FCAAA8D4"/>
    <w:lvl w:ilvl="0" w:tplc="C8A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B31E5"/>
    <w:multiLevelType w:val="hybridMultilevel"/>
    <w:tmpl w:val="C354FE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B27B5"/>
    <w:multiLevelType w:val="hybridMultilevel"/>
    <w:tmpl w:val="A1327D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C192B92"/>
    <w:multiLevelType w:val="hybridMultilevel"/>
    <w:tmpl w:val="ED6E3832"/>
    <w:lvl w:ilvl="0" w:tplc="15B062A2">
      <w:start w:val="1"/>
      <w:numFmt w:val="lowerRoman"/>
      <w:lvlText w:val="%1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FB1E5E"/>
    <w:multiLevelType w:val="hybridMultilevel"/>
    <w:tmpl w:val="F68E6F1E"/>
    <w:lvl w:ilvl="0" w:tplc="91666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9"/>
  </w:num>
  <w:num w:numId="5">
    <w:abstractNumId w:val="1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4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20"/>
  </w:num>
  <w:num w:numId="17">
    <w:abstractNumId w:val="28"/>
  </w:num>
  <w:num w:numId="18">
    <w:abstractNumId w:val="30"/>
  </w:num>
  <w:num w:numId="19">
    <w:abstractNumId w:val="7"/>
  </w:num>
  <w:num w:numId="20">
    <w:abstractNumId w:val="13"/>
  </w:num>
  <w:num w:numId="21">
    <w:abstractNumId w:val="3"/>
  </w:num>
  <w:num w:numId="22">
    <w:abstractNumId w:val="32"/>
  </w:num>
  <w:num w:numId="23">
    <w:abstractNumId w:val="33"/>
  </w:num>
  <w:num w:numId="24">
    <w:abstractNumId w:val="27"/>
  </w:num>
  <w:num w:numId="25">
    <w:abstractNumId w:val="22"/>
  </w:num>
  <w:num w:numId="26">
    <w:abstractNumId w:val="23"/>
  </w:num>
  <w:num w:numId="27">
    <w:abstractNumId w:val="4"/>
  </w:num>
  <w:num w:numId="28">
    <w:abstractNumId w:val="37"/>
  </w:num>
  <w:num w:numId="29">
    <w:abstractNumId w:val="25"/>
  </w:num>
  <w:num w:numId="30">
    <w:abstractNumId w:val="5"/>
  </w:num>
  <w:num w:numId="31">
    <w:abstractNumId w:val="0"/>
  </w:num>
  <w:num w:numId="32">
    <w:abstractNumId w:val="17"/>
  </w:num>
  <w:num w:numId="33">
    <w:abstractNumId w:val="26"/>
  </w:num>
  <w:num w:numId="34">
    <w:abstractNumId w:val="2"/>
  </w:num>
  <w:num w:numId="35">
    <w:abstractNumId w:val="29"/>
  </w:num>
  <w:num w:numId="36">
    <w:abstractNumId w:val="16"/>
  </w:num>
  <w:num w:numId="37">
    <w:abstractNumId w:val="15"/>
  </w:num>
  <w:num w:numId="38">
    <w:abstractNumId w:val="34"/>
  </w:num>
  <w:num w:numId="39">
    <w:abstractNumId w:val="3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aro Vargas, Jennie Maria">
    <w15:presenceInfo w15:providerId="AD" w15:userId="S-1-5-21-1917429353-2879448487-1527431210-4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A"/>
    <w:rsid w:val="00000795"/>
    <w:rsid w:val="00000B2F"/>
    <w:rsid w:val="00001646"/>
    <w:rsid w:val="00001F75"/>
    <w:rsid w:val="00004F1A"/>
    <w:rsid w:val="00005404"/>
    <w:rsid w:val="000057F4"/>
    <w:rsid w:val="0000594B"/>
    <w:rsid w:val="00005EAC"/>
    <w:rsid w:val="00006533"/>
    <w:rsid w:val="000065BD"/>
    <w:rsid w:val="000067C3"/>
    <w:rsid w:val="000069B6"/>
    <w:rsid w:val="00010774"/>
    <w:rsid w:val="00010D76"/>
    <w:rsid w:val="00010ED1"/>
    <w:rsid w:val="00011135"/>
    <w:rsid w:val="0001125E"/>
    <w:rsid w:val="0001240C"/>
    <w:rsid w:val="0001280A"/>
    <w:rsid w:val="00013DE5"/>
    <w:rsid w:val="000141B2"/>
    <w:rsid w:val="00015043"/>
    <w:rsid w:val="00017501"/>
    <w:rsid w:val="00017FBE"/>
    <w:rsid w:val="0002032F"/>
    <w:rsid w:val="000214BB"/>
    <w:rsid w:val="000216B5"/>
    <w:rsid w:val="000219DA"/>
    <w:rsid w:val="00022A29"/>
    <w:rsid w:val="000258B0"/>
    <w:rsid w:val="00025A99"/>
    <w:rsid w:val="00026A43"/>
    <w:rsid w:val="000278D7"/>
    <w:rsid w:val="00030298"/>
    <w:rsid w:val="000312C5"/>
    <w:rsid w:val="000335FC"/>
    <w:rsid w:val="00034DD6"/>
    <w:rsid w:val="00035E0C"/>
    <w:rsid w:val="00035F28"/>
    <w:rsid w:val="00037D1E"/>
    <w:rsid w:val="00040B5C"/>
    <w:rsid w:val="00041214"/>
    <w:rsid w:val="00041BEB"/>
    <w:rsid w:val="00043403"/>
    <w:rsid w:val="00044FF2"/>
    <w:rsid w:val="0004540F"/>
    <w:rsid w:val="0004649C"/>
    <w:rsid w:val="0004694A"/>
    <w:rsid w:val="00047EB9"/>
    <w:rsid w:val="00050119"/>
    <w:rsid w:val="000509A0"/>
    <w:rsid w:val="00050F52"/>
    <w:rsid w:val="0005124D"/>
    <w:rsid w:val="00052FCB"/>
    <w:rsid w:val="00054109"/>
    <w:rsid w:val="00054D08"/>
    <w:rsid w:val="000556D8"/>
    <w:rsid w:val="00055897"/>
    <w:rsid w:val="00055F53"/>
    <w:rsid w:val="00056F0B"/>
    <w:rsid w:val="0005786E"/>
    <w:rsid w:val="000602A8"/>
    <w:rsid w:val="000604C4"/>
    <w:rsid w:val="00060C0E"/>
    <w:rsid w:val="00060DFC"/>
    <w:rsid w:val="00063CC1"/>
    <w:rsid w:val="0006449D"/>
    <w:rsid w:val="00064A17"/>
    <w:rsid w:val="00064DA7"/>
    <w:rsid w:val="00065384"/>
    <w:rsid w:val="00067792"/>
    <w:rsid w:val="00070A39"/>
    <w:rsid w:val="000718C7"/>
    <w:rsid w:val="00075199"/>
    <w:rsid w:val="00076889"/>
    <w:rsid w:val="00077529"/>
    <w:rsid w:val="00080AAB"/>
    <w:rsid w:val="00080ADD"/>
    <w:rsid w:val="00080C22"/>
    <w:rsid w:val="00081A65"/>
    <w:rsid w:val="00082909"/>
    <w:rsid w:val="0008302E"/>
    <w:rsid w:val="00083131"/>
    <w:rsid w:val="00084750"/>
    <w:rsid w:val="00085AF8"/>
    <w:rsid w:val="00086D3A"/>
    <w:rsid w:val="00086DF6"/>
    <w:rsid w:val="0009094A"/>
    <w:rsid w:val="00090BC8"/>
    <w:rsid w:val="00090CFC"/>
    <w:rsid w:val="000917D9"/>
    <w:rsid w:val="00092038"/>
    <w:rsid w:val="00093147"/>
    <w:rsid w:val="00093228"/>
    <w:rsid w:val="00095ACA"/>
    <w:rsid w:val="00096F89"/>
    <w:rsid w:val="000A0EC1"/>
    <w:rsid w:val="000A2E1B"/>
    <w:rsid w:val="000A36C0"/>
    <w:rsid w:val="000A406A"/>
    <w:rsid w:val="000A4CFB"/>
    <w:rsid w:val="000A5A01"/>
    <w:rsid w:val="000A5BF7"/>
    <w:rsid w:val="000A6193"/>
    <w:rsid w:val="000A6799"/>
    <w:rsid w:val="000A7264"/>
    <w:rsid w:val="000B0C6A"/>
    <w:rsid w:val="000B10A2"/>
    <w:rsid w:val="000B25EE"/>
    <w:rsid w:val="000B31ED"/>
    <w:rsid w:val="000B4711"/>
    <w:rsid w:val="000B4D35"/>
    <w:rsid w:val="000B6CD9"/>
    <w:rsid w:val="000B7CB3"/>
    <w:rsid w:val="000C1441"/>
    <w:rsid w:val="000D0202"/>
    <w:rsid w:val="000D0D50"/>
    <w:rsid w:val="000D2322"/>
    <w:rsid w:val="000D26B8"/>
    <w:rsid w:val="000D2A3C"/>
    <w:rsid w:val="000D3C8C"/>
    <w:rsid w:val="000D3EAD"/>
    <w:rsid w:val="000D71C8"/>
    <w:rsid w:val="000D7DEF"/>
    <w:rsid w:val="000E0413"/>
    <w:rsid w:val="000E12AC"/>
    <w:rsid w:val="000E2DF8"/>
    <w:rsid w:val="000E2EFD"/>
    <w:rsid w:val="000E46EA"/>
    <w:rsid w:val="000E52A2"/>
    <w:rsid w:val="000E5C41"/>
    <w:rsid w:val="000E61A5"/>
    <w:rsid w:val="000E65EB"/>
    <w:rsid w:val="000E76D7"/>
    <w:rsid w:val="000F13CB"/>
    <w:rsid w:val="000F33BF"/>
    <w:rsid w:val="000F53FF"/>
    <w:rsid w:val="000F5930"/>
    <w:rsid w:val="000F5EBA"/>
    <w:rsid w:val="000F6511"/>
    <w:rsid w:val="00101A5C"/>
    <w:rsid w:val="00101BF3"/>
    <w:rsid w:val="00102449"/>
    <w:rsid w:val="00102AC7"/>
    <w:rsid w:val="00102DF8"/>
    <w:rsid w:val="001032BC"/>
    <w:rsid w:val="00105DB7"/>
    <w:rsid w:val="00106378"/>
    <w:rsid w:val="001064E4"/>
    <w:rsid w:val="00106A6C"/>
    <w:rsid w:val="001075D1"/>
    <w:rsid w:val="00107D41"/>
    <w:rsid w:val="001109C0"/>
    <w:rsid w:val="001116C7"/>
    <w:rsid w:val="001123D0"/>
    <w:rsid w:val="001138EE"/>
    <w:rsid w:val="00113E68"/>
    <w:rsid w:val="0011703A"/>
    <w:rsid w:val="00117797"/>
    <w:rsid w:val="00120BB0"/>
    <w:rsid w:val="00120D90"/>
    <w:rsid w:val="0012179F"/>
    <w:rsid w:val="00121A83"/>
    <w:rsid w:val="00122CF0"/>
    <w:rsid w:val="001234BC"/>
    <w:rsid w:val="0012375C"/>
    <w:rsid w:val="00124310"/>
    <w:rsid w:val="00124FFF"/>
    <w:rsid w:val="001250C8"/>
    <w:rsid w:val="0012634F"/>
    <w:rsid w:val="001266B4"/>
    <w:rsid w:val="00126EE4"/>
    <w:rsid w:val="00131252"/>
    <w:rsid w:val="001335D9"/>
    <w:rsid w:val="00133FFC"/>
    <w:rsid w:val="001344C3"/>
    <w:rsid w:val="00135A99"/>
    <w:rsid w:val="00135B11"/>
    <w:rsid w:val="0014033A"/>
    <w:rsid w:val="00140651"/>
    <w:rsid w:val="00140A75"/>
    <w:rsid w:val="0014122C"/>
    <w:rsid w:val="00141FE4"/>
    <w:rsid w:val="00143029"/>
    <w:rsid w:val="001435FE"/>
    <w:rsid w:val="00143EC0"/>
    <w:rsid w:val="00144086"/>
    <w:rsid w:val="00144863"/>
    <w:rsid w:val="0014675E"/>
    <w:rsid w:val="00146A94"/>
    <w:rsid w:val="0015088D"/>
    <w:rsid w:val="00151897"/>
    <w:rsid w:val="00154AD9"/>
    <w:rsid w:val="00155527"/>
    <w:rsid w:val="0015563B"/>
    <w:rsid w:val="00156B93"/>
    <w:rsid w:val="00157F3B"/>
    <w:rsid w:val="001602AE"/>
    <w:rsid w:val="0016048F"/>
    <w:rsid w:val="00160EBB"/>
    <w:rsid w:val="00161094"/>
    <w:rsid w:val="00162ACB"/>
    <w:rsid w:val="00164098"/>
    <w:rsid w:val="001646D2"/>
    <w:rsid w:val="00165545"/>
    <w:rsid w:val="00166FB1"/>
    <w:rsid w:val="00167026"/>
    <w:rsid w:val="0016780B"/>
    <w:rsid w:val="00170038"/>
    <w:rsid w:val="0017041C"/>
    <w:rsid w:val="001713E7"/>
    <w:rsid w:val="00171DE7"/>
    <w:rsid w:val="001720A1"/>
    <w:rsid w:val="001736DC"/>
    <w:rsid w:val="001736F5"/>
    <w:rsid w:val="00173BAA"/>
    <w:rsid w:val="00173CA7"/>
    <w:rsid w:val="00174C0C"/>
    <w:rsid w:val="00176203"/>
    <w:rsid w:val="00176221"/>
    <w:rsid w:val="001772D0"/>
    <w:rsid w:val="0017761C"/>
    <w:rsid w:val="0018062C"/>
    <w:rsid w:val="00181D29"/>
    <w:rsid w:val="00183599"/>
    <w:rsid w:val="00183958"/>
    <w:rsid w:val="00184009"/>
    <w:rsid w:val="001846D0"/>
    <w:rsid w:val="00184B7E"/>
    <w:rsid w:val="00185494"/>
    <w:rsid w:val="001858D1"/>
    <w:rsid w:val="001869EF"/>
    <w:rsid w:val="00186E37"/>
    <w:rsid w:val="00187887"/>
    <w:rsid w:val="00190121"/>
    <w:rsid w:val="001911B1"/>
    <w:rsid w:val="001937D6"/>
    <w:rsid w:val="00193DEA"/>
    <w:rsid w:val="00195228"/>
    <w:rsid w:val="00195CB3"/>
    <w:rsid w:val="00195F9B"/>
    <w:rsid w:val="00197360"/>
    <w:rsid w:val="001A03EB"/>
    <w:rsid w:val="001A10E9"/>
    <w:rsid w:val="001A195B"/>
    <w:rsid w:val="001A1C47"/>
    <w:rsid w:val="001A2DFC"/>
    <w:rsid w:val="001A3A07"/>
    <w:rsid w:val="001A4DA7"/>
    <w:rsid w:val="001A5423"/>
    <w:rsid w:val="001A5C8D"/>
    <w:rsid w:val="001A6DB9"/>
    <w:rsid w:val="001A6DC0"/>
    <w:rsid w:val="001A73A2"/>
    <w:rsid w:val="001B0140"/>
    <w:rsid w:val="001B036F"/>
    <w:rsid w:val="001B10F6"/>
    <w:rsid w:val="001B28EF"/>
    <w:rsid w:val="001B37CF"/>
    <w:rsid w:val="001B40C2"/>
    <w:rsid w:val="001B5496"/>
    <w:rsid w:val="001B7700"/>
    <w:rsid w:val="001B7B61"/>
    <w:rsid w:val="001C2F97"/>
    <w:rsid w:val="001C4825"/>
    <w:rsid w:val="001C4E13"/>
    <w:rsid w:val="001C4F22"/>
    <w:rsid w:val="001C6E6C"/>
    <w:rsid w:val="001C700D"/>
    <w:rsid w:val="001D1EFE"/>
    <w:rsid w:val="001D2E02"/>
    <w:rsid w:val="001D4123"/>
    <w:rsid w:val="001D4542"/>
    <w:rsid w:val="001D4C3B"/>
    <w:rsid w:val="001D60F2"/>
    <w:rsid w:val="001D62CE"/>
    <w:rsid w:val="001D7993"/>
    <w:rsid w:val="001E0B43"/>
    <w:rsid w:val="001E1AB7"/>
    <w:rsid w:val="001E24E8"/>
    <w:rsid w:val="001E25F7"/>
    <w:rsid w:val="001E45F6"/>
    <w:rsid w:val="001E4D64"/>
    <w:rsid w:val="001E4DF2"/>
    <w:rsid w:val="001E50AA"/>
    <w:rsid w:val="001E5199"/>
    <w:rsid w:val="001E5EFD"/>
    <w:rsid w:val="001E6379"/>
    <w:rsid w:val="001E705B"/>
    <w:rsid w:val="001E756D"/>
    <w:rsid w:val="001E773C"/>
    <w:rsid w:val="001E7799"/>
    <w:rsid w:val="001F1F2D"/>
    <w:rsid w:val="001F301A"/>
    <w:rsid w:val="001F4A4A"/>
    <w:rsid w:val="001F4B23"/>
    <w:rsid w:val="001F5700"/>
    <w:rsid w:val="001F5798"/>
    <w:rsid w:val="001F588E"/>
    <w:rsid w:val="001F5D21"/>
    <w:rsid w:val="001F6C0A"/>
    <w:rsid w:val="001F70D9"/>
    <w:rsid w:val="00200186"/>
    <w:rsid w:val="0020111D"/>
    <w:rsid w:val="00201662"/>
    <w:rsid w:val="002037A9"/>
    <w:rsid w:val="00203972"/>
    <w:rsid w:val="00205B86"/>
    <w:rsid w:val="00206868"/>
    <w:rsid w:val="00206CCC"/>
    <w:rsid w:val="0020792D"/>
    <w:rsid w:val="002106D2"/>
    <w:rsid w:val="002135E4"/>
    <w:rsid w:val="00213697"/>
    <w:rsid w:val="00214558"/>
    <w:rsid w:val="00214B72"/>
    <w:rsid w:val="00215CC2"/>
    <w:rsid w:val="0021632D"/>
    <w:rsid w:val="00223681"/>
    <w:rsid w:val="00223F28"/>
    <w:rsid w:val="002246A6"/>
    <w:rsid w:val="002250BD"/>
    <w:rsid w:val="0022556F"/>
    <w:rsid w:val="00225BB6"/>
    <w:rsid w:val="00225DB6"/>
    <w:rsid w:val="002273BA"/>
    <w:rsid w:val="00227BE2"/>
    <w:rsid w:val="00230992"/>
    <w:rsid w:val="00230F2D"/>
    <w:rsid w:val="00231D24"/>
    <w:rsid w:val="002321A6"/>
    <w:rsid w:val="00235750"/>
    <w:rsid w:val="002366EA"/>
    <w:rsid w:val="00236851"/>
    <w:rsid w:val="00236879"/>
    <w:rsid w:val="0023688D"/>
    <w:rsid w:val="00240D51"/>
    <w:rsid w:val="00243D8E"/>
    <w:rsid w:val="0024409E"/>
    <w:rsid w:val="0024540C"/>
    <w:rsid w:val="002454D4"/>
    <w:rsid w:val="002467B1"/>
    <w:rsid w:val="0024706B"/>
    <w:rsid w:val="00252008"/>
    <w:rsid w:val="002531A4"/>
    <w:rsid w:val="00253F5C"/>
    <w:rsid w:val="00256800"/>
    <w:rsid w:val="00257F69"/>
    <w:rsid w:val="00260165"/>
    <w:rsid w:val="0026236F"/>
    <w:rsid w:val="0026281D"/>
    <w:rsid w:val="00263A68"/>
    <w:rsid w:val="00263E02"/>
    <w:rsid w:val="00264006"/>
    <w:rsid w:val="002642FC"/>
    <w:rsid w:val="00264503"/>
    <w:rsid w:val="00264C74"/>
    <w:rsid w:val="00264D04"/>
    <w:rsid w:val="00264E68"/>
    <w:rsid w:val="0026771B"/>
    <w:rsid w:val="002677EE"/>
    <w:rsid w:val="00267C39"/>
    <w:rsid w:val="0027280B"/>
    <w:rsid w:val="002743D6"/>
    <w:rsid w:val="00274C1D"/>
    <w:rsid w:val="002759D2"/>
    <w:rsid w:val="00277B09"/>
    <w:rsid w:val="0028057F"/>
    <w:rsid w:val="00280ABF"/>
    <w:rsid w:val="0028146C"/>
    <w:rsid w:val="002844D7"/>
    <w:rsid w:val="002847D9"/>
    <w:rsid w:val="00285868"/>
    <w:rsid w:val="0028639F"/>
    <w:rsid w:val="002868B4"/>
    <w:rsid w:val="00287B77"/>
    <w:rsid w:val="00290FFE"/>
    <w:rsid w:val="002910FF"/>
    <w:rsid w:val="0029236F"/>
    <w:rsid w:val="002944D8"/>
    <w:rsid w:val="002954B5"/>
    <w:rsid w:val="00295DA1"/>
    <w:rsid w:val="002967FE"/>
    <w:rsid w:val="00296B71"/>
    <w:rsid w:val="002A1AA2"/>
    <w:rsid w:val="002A1B79"/>
    <w:rsid w:val="002A303E"/>
    <w:rsid w:val="002A3461"/>
    <w:rsid w:val="002A370F"/>
    <w:rsid w:val="002A3E4A"/>
    <w:rsid w:val="002A65D5"/>
    <w:rsid w:val="002A6FA0"/>
    <w:rsid w:val="002A701C"/>
    <w:rsid w:val="002A766B"/>
    <w:rsid w:val="002B0891"/>
    <w:rsid w:val="002B2777"/>
    <w:rsid w:val="002B60B2"/>
    <w:rsid w:val="002B627C"/>
    <w:rsid w:val="002B7C32"/>
    <w:rsid w:val="002B7F3C"/>
    <w:rsid w:val="002B7F62"/>
    <w:rsid w:val="002C0D44"/>
    <w:rsid w:val="002C1692"/>
    <w:rsid w:val="002C1CD3"/>
    <w:rsid w:val="002C381A"/>
    <w:rsid w:val="002C64BD"/>
    <w:rsid w:val="002C7A60"/>
    <w:rsid w:val="002C7AEB"/>
    <w:rsid w:val="002D03D7"/>
    <w:rsid w:val="002D05BC"/>
    <w:rsid w:val="002D0E47"/>
    <w:rsid w:val="002D0E70"/>
    <w:rsid w:val="002D13BA"/>
    <w:rsid w:val="002D50F5"/>
    <w:rsid w:val="002D5F11"/>
    <w:rsid w:val="002D638D"/>
    <w:rsid w:val="002D677B"/>
    <w:rsid w:val="002D68D9"/>
    <w:rsid w:val="002D6CD0"/>
    <w:rsid w:val="002D7ECD"/>
    <w:rsid w:val="002E0225"/>
    <w:rsid w:val="002E0652"/>
    <w:rsid w:val="002E09D4"/>
    <w:rsid w:val="002E1C9A"/>
    <w:rsid w:val="002E4F84"/>
    <w:rsid w:val="002E52D8"/>
    <w:rsid w:val="002E61A0"/>
    <w:rsid w:val="002E62D4"/>
    <w:rsid w:val="002E7924"/>
    <w:rsid w:val="002E7F59"/>
    <w:rsid w:val="002F1062"/>
    <w:rsid w:val="002F292D"/>
    <w:rsid w:val="002F3347"/>
    <w:rsid w:val="002F34E7"/>
    <w:rsid w:val="002F380D"/>
    <w:rsid w:val="002F4977"/>
    <w:rsid w:val="002F5093"/>
    <w:rsid w:val="002F6368"/>
    <w:rsid w:val="002F70C2"/>
    <w:rsid w:val="002F7CB8"/>
    <w:rsid w:val="00302334"/>
    <w:rsid w:val="00303564"/>
    <w:rsid w:val="00304DC9"/>
    <w:rsid w:val="003054DF"/>
    <w:rsid w:val="00306981"/>
    <w:rsid w:val="003078DC"/>
    <w:rsid w:val="003101D4"/>
    <w:rsid w:val="003103D6"/>
    <w:rsid w:val="00311500"/>
    <w:rsid w:val="0031294D"/>
    <w:rsid w:val="00312A46"/>
    <w:rsid w:val="00312C35"/>
    <w:rsid w:val="00313F0A"/>
    <w:rsid w:val="00315A8B"/>
    <w:rsid w:val="00315B9B"/>
    <w:rsid w:val="003166D6"/>
    <w:rsid w:val="0031774C"/>
    <w:rsid w:val="00320BAE"/>
    <w:rsid w:val="003211B0"/>
    <w:rsid w:val="003228D7"/>
    <w:rsid w:val="00323935"/>
    <w:rsid w:val="00325018"/>
    <w:rsid w:val="00325BF9"/>
    <w:rsid w:val="00326F15"/>
    <w:rsid w:val="00327A8C"/>
    <w:rsid w:val="003302C1"/>
    <w:rsid w:val="00330A61"/>
    <w:rsid w:val="00330B3A"/>
    <w:rsid w:val="0033215C"/>
    <w:rsid w:val="00333637"/>
    <w:rsid w:val="00333F3A"/>
    <w:rsid w:val="0033539A"/>
    <w:rsid w:val="00335810"/>
    <w:rsid w:val="003365A3"/>
    <w:rsid w:val="0033750D"/>
    <w:rsid w:val="00337C77"/>
    <w:rsid w:val="00341116"/>
    <w:rsid w:val="00341EFA"/>
    <w:rsid w:val="003431E1"/>
    <w:rsid w:val="00345996"/>
    <w:rsid w:val="003479A9"/>
    <w:rsid w:val="00350AA3"/>
    <w:rsid w:val="0035113C"/>
    <w:rsid w:val="00351932"/>
    <w:rsid w:val="00353DDB"/>
    <w:rsid w:val="00353E48"/>
    <w:rsid w:val="003555FD"/>
    <w:rsid w:val="00360AFD"/>
    <w:rsid w:val="00360D4D"/>
    <w:rsid w:val="003616C1"/>
    <w:rsid w:val="00362E82"/>
    <w:rsid w:val="00363ADD"/>
    <w:rsid w:val="00364A2F"/>
    <w:rsid w:val="00365C33"/>
    <w:rsid w:val="00367464"/>
    <w:rsid w:val="0037083A"/>
    <w:rsid w:val="00371DA3"/>
    <w:rsid w:val="00373BE5"/>
    <w:rsid w:val="00374390"/>
    <w:rsid w:val="00376B43"/>
    <w:rsid w:val="00377716"/>
    <w:rsid w:val="0038091C"/>
    <w:rsid w:val="00380FBB"/>
    <w:rsid w:val="00382640"/>
    <w:rsid w:val="003826CF"/>
    <w:rsid w:val="00384D8D"/>
    <w:rsid w:val="003854B5"/>
    <w:rsid w:val="003867E2"/>
    <w:rsid w:val="00386FB0"/>
    <w:rsid w:val="00387DDD"/>
    <w:rsid w:val="00390B4C"/>
    <w:rsid w:val="00391457"/>
    <w:rsid w:val="00391C32"/>
    <w:rsid w:val="003920E2"/>
    <w:rsid w:val="003922AD"/>
    <w:rsid w:val="003928A0"/>
    <w:rsid w:val="00393A81"/>
    <w:rsid w:val="00393CE7"/>
    <w:rsid w:val="00394295"/>
    <w:rsid w:val="00394E03"/>
    <w:rsid w:val="003975C3"/>
    <w:rsid w:val="00397A59"/>
    <w:rsid w:val="00397F3C"/>
    <w:rsid w:val="003A1676"/>
    <w:rsid w:val="003A2E0B"/>
    <w:rsid w:val="003A3355"/>
    <w:rsid w:val="003A48DD"/>
    <w:rsid w:val="003A5577"/>
    <w:rsid w:val="003A5FD2"/>
    <w:rsid w:val="003A65CE"/>
    <w:rsid w:val="003A775D"/>
    <w:rsid w:val="003A7A0E"/>
    <w:rsid w:val="003B002B"/>
    <w:rsid w:val="003B065C"/>
    <w:rsid w:val="003B0E6D"/>
    <w:rsid w:val="003B189A"/>
    <w:rsid w:val="003B2FE5"/>
    <w:rsid w:val="003B467A"/>
    <w:rsid w:val="003B4698"/>
    <w:rsid w:val="003B491B"/>
    <w:rsid w:val="003B7CB1"/>
    <w:rsid w:val="003C174A"/>
    <w:rsid w:val="003C1855"/>
    <w:rsid w:val="003C1D01"/>
    <w:rsid w:val="003C234C"/>
    <w:rsid w:val="003C2C05"/>
    <w:rsid w:val="003C3259"/>
    <w:rsid w:val="003C4A54"/>
    <w:rsid w:val="003C5F30"/>
    <w:rsid w:val="003C6522"/>
    <w:rsid w:val="003C7117"/>
    <w:rsid w:val="003C7687"/>
    <w:rsid w:val="003D0839"/>
    <w:rsid w:val="003D0C19"/>
    <w:rsid w:val="003D0F27"/>
    <w:rsid w:val="003D22E6"/>
    <w:rsid w:val="003D259F"/>
    <w:rsid w:val="003D2934"/>
    <w:rsid w:val="003D387E"/>
    <w:rsid w:val="003D38D2"/>
    <w:rsid w:val="003D6924"/>
    <w:rsid w:val="003D7373"/>
    <w:rsid w:val="003E0244"/>
    <w:rsid w:val="003E0BF5"/>
    <w:rsid w:val="003E0F7E"/>
    <w:rsid w:val="003E29A8"/>
    <w:rsid w:val="003E2A45"/>
    <w:rsid w:val="003E3971"/>
    <w:rsid w:val="003E4D12"/>
    <w:rsid w:val="003E6329"/>
    <w:rsid w:val="003E6CDA"/>
    <w:rsid w:val="003E78AA"/>
    <w:rsid w:val="003F07B7"/>
    <w:rsid w:val="003F2936"/>
    <w:rsid w:val="003F3964"/>
    <w:rsid w:val="003F49D8"/>
    <w:rsid w:val="003F5A47"/>
    <w:rsid w:val="003F7A04"/>
    <w:rsid w:val="00400B56"/>
    <w:rsid w:val="00401906"/>
    <w:rsid w:val="00401C8B"/>
    <w:rsid w:val="0040549B"/>
    <w:rsid w:val="00405872"/>
    <w:rsid w:val="0040604B"/>
    <w:rsid w:val="0040636F"/>
    <w:rsid w:val="0040660C"/>
    <w:rsid w:val="00406946"/>
    <w:rsid w:val="00411078"/>
    <w:rsid w:val="00412F5F"/>
    <w:rsid w:val="0041307C"/>
    <w:rsid w:val="00413A91"/>
    <w:rsid w:val="0041440B"/>
    <w:rsid w:val="00414481"/>
    <w:rsid w:val="004147DB"/>
    <w:rsid w:val="004161D8"/>
    <w:rsid w:val="00416A57"/>
    <w:rsid w:val="00416F92"/>
    <w:rsid w:val="00417AA6"/>
    <w:rsid w:val="00417CBD"/>
    <w:rsid w:val="0042215B"/>
    <w:rsid w:val="0042223E"/>
    <w:rsid w:val="00422BAB"/>
    <w:rsid w:val="00424A04"/>
    <w:rsid w:val="00425F34"/>
    <w:rsid w:val="004265C0"/>
    <w:rsid w:val="00427A33"/>
    <w:rsid w:val="00431978"/>
    <w:rsid w:val="004323B3"/>
    <w:rsid w:val="0043248D"/>
    <w:rsid w:val="0043262E"/>
    <w:rsid w:val="00433130"/>
    <w:rsid w:val="00433272"/>
    <w:rsid w:val="0043393C"/>
    <w:rsid w:val="00433E07"/>
    <w:rsid w:val="00434372"/>
    <w:rsid w:val="0043578A"/>
    <w:rsid w:val="00437B61"/>
    <w:rsid w:val="00437D6A"/>
    <w:rsid w:val="0044083E"/>
    <w:rsid w:val="004408C9"/>
    <w:rsid w:val="004415BD"/>
    <w:rsid w:val="00441908"/>
    <w:rsid w:val="00442636"/>
    <w:rsid w:val="0044465F"/>
    <w:rsid w:val="0044473B"/>
    <w:rsid w:val="00444ECF"/>
    <w:rsid w:val="00444F0C"/>
    <w:rsid w:val="00445541"/>
    <w:rsid w:val="004458C1"/>
    <w:rsid w:val="00445A64"/>
    <w:rsid w:val="00445AE6"/>
    <w:rsid w:val="00445F1B"/>
    <w:rsid w:val="00445FF2"/>
    <w:rsid w:val="0044684C"/>
    <w:rsid w:val="00446911"/>
    <w:rsid w:val="004476FB"/>
    <w:rsid w:val="0045038C"/>
    <w:rsid w:val="00452ED9"/>
    <w:rsid w:val="004541B9"/>
    <w:rsid w:val="00454B81"/>
    <w:rsid w:val="004559B2"/>
    <w:rsid w:val="004576E7"/>
    <w:rsid w:val="004601CE"/>
    <w:rsid w:val="00462181"/>
    <w:rsid w:val="00463E9F"/>
    <w:rsid w:val="004673DC"/>
    <w:rsid w:val="004679EC"/>
    <w:rsid w:val="00471524"/>
    <w:rsid w:val="00471B47"/>
    <w:rsid w:val="00471C06"/>
    <w:rsid w:val="00472267"/>
    <w:rsid w:val="00472DB5"/>
    <w:rsid w:val="0047339E"/>
    <w:rsid w:val="00473F8D"/>
    <w:rsid w:val="00474232"/>
    <w:rsid w:val="004742D9"/>
    <w:rsid w:val="00474ED5"/>
    <w:rsid w:val="00475EF4"/>
    <w:rsid w:val="00475F43"/>
    <w:rsid w:val="0047671E"/>
    <w:rsid w:val="00477A3E"/>
    <w:rsid w:val="00477FC4"/>
    <w:rsid w:val="00480799"/>
    <w:rsid w:val="004821FD"/>
    <w:rsid w:val="0048252F"/>
    <w:rsid w:val="00483A06"/>
    <w:rsid w:val="004855F3"/>
    <w:rsid w:val="00487ACA"/>
    <w:rsid w:val="004922D7"/>
    <w:rsid w:val="004942EE"/>
    <w:rsid w:val="0049467C"/>
    <w:rsid w:val="00495C43"/>
    <w:rsid w:val="00496DB4"/>
    <w:rsid w:val="004A0051"/>
    <w:rsid w:val="004A16C0"/>
    <w:rsid w:val="004A17C2"/>
    <w:rsid w:val="004A29A2"/>
    <w:rsid w:val="004A2FD1"/>
    <w:rsid w:val="004A4192"/>
    <w:rsid w:val="004A5157"/>
    <w:rsid w:val="004A5BA4"/>
    <w:rsid w:val="004A5CC4"/>
    <w:rsid w:val="004A62EE"/>
    <w:rsid w:val="004A6823"/>
    <w:rsid w:val="004B03B3"/>
    <w:rsid w:val="004B0494"/>
    <w:rsid w:val="004B1B3C"/>
    <w:rsid w:val="004B2480"/>
    <w:rsid w:val="004B2D40"/>
    <w:rsid w:val="004B346B"/>
    <w:rsid w:val="004B45C6"/>
    <w:rsid w:val="004C1375"/>
    <w:rsid w:val="004C182C"/>
    <w:rsid w:val="004C4300"/>
    <w:rsid w:val="004C51EA"/>
    <w:rsid w:val="004C563E"/>
    <w:rsid w:val="004C5F16"/>
    <w:rsid w:val="004C7C17"/>
    <w:rsid w:val="004C7CD1"/>
    <w:rsid w:val="004D010D"/>
    <w:rsid w:val="004D2A18"/>
    <w:rsid w:val="004D4A07"/>
    <w:rsid w:val="004D561D"/>
    <w:rsid w:val="004D5AE0"/>
    <w:rsid w:val="004D64E9"/>
    <w:rsid w:val="004D71ED"/>
    <w:rsid w:val="004D7954"/>
    <w:rsid w:val="004D7A23"/>
    <w:rsid w:val="004D7A33"/>
    <w:rsid w:val="004D7BD0"/>
    <w:rsid w:val="004E02A1"/>
    <w:rsid w:val="004E0F3E"/>
    <w:rsid w:val="004E1BA7"/>
    <w:rsid w:val="004E23B0"/>
    <w:rsid w:val="004E282D"/>
    <w:rsid w:val="004E2D6B"/>
    <w:rsid w:val="004E530B"/>
    <w:rsid w:val="004E63D3"/>
    <w:rsid w:val="004F00A7"/>
    <w:rsid w:val="004F104C"/>
    <w:rsid w:val="004F16C5"/>
    <w:rsid w:val="004F27F8"/>
    <w:rsid w:val="004F3F75"/>
    <w:rsid w:val="004F41AF"/>
    <w:rsid w:val="004F4509"/>
    <w:rsid w:val="004F4EE8"/>
    <w:rsid w:val="004F538A"/>
    <w:rsid w:val="004F66D9"/>
    <w:rsid w:val="004F704D"/>
    <w:rsid w:val="00500339"/>
    <w:rsid w:val="00501D97"/>
    <w:rsid w:val="0050270B"/>
    <w:rsid w:val="005036A4"/>
    <w:rsid w:val="0050370C"/>
    <w:rsid w:val="00503CC4"/>
    <w:rsid w:val="005048FC"/>
    <w:rsid w:val="00504BB4"/>
    <w:rsid w:val="00505E3F"/>
    <w:rsid w:val="005062FE"/>
    <w:rsid w:val="0050681E"/>
    <w:rsid w:val="00506A8C"/>
    <w:rsid w:val="005079EA"/>
    <w:rsid w:val="0051127B"/>
    <w:rsid w:val="005123EC"/>
    <w:rsid w:val="00513C06"/>
    <w:rsid w:val="00514091"/>
    <w:rsid w:val="005143A3"/>
    <w:rsid w:val="0051467C"/>
    <w:rsid w:val="00514794"/>
    <w:rsid w:val="0051574A"/>
    <w:rsid w:val="00515916"/>
    <w:rsid w:val="00516DDA"/>
    <w:rsid w:val="005178FC"/>
    <w:rsid w:val="00525349"/>
    <w:rsid w:val="00525EDD"/>
    <w:rsid w:val="00526B8B"/>
    <w:rsid w:val="00526EB9"/>
    <w:rsid w:val="005275EE"/>
    <w:rsid w:val="0052780B"/>
    <w:rsid w:val="00531C96"/>
    <w:rsid w:val="00534186"/>
    <w:rsid w:val="00534735"/>
    <w:rsid w:val="005352C4"/>
    <w:rsid w:val="00535483"/>
    <w:rsid w:val="00535B08"/>
    <w:rsid w:val="00536035"/>
    <w:rsid w:val="0053631A"/>
    <w:rsid w:val="005378E5"/>
    <w:rsid w:val="00537B07"/>
    <w:rsid w:val="005411B0"/>
    <w:rsid w:val="00542108"/>
    <w:rsid w:val="005421A5"/>
    <w:rsid w:val="005423B6"/>
    <w:rsid w:val="005426F2"/>
    <w:rsid w:val="00543AED"/>
    <w:rsid w:val="005447D4"/>
    <w:rsid w:val="005458A8"/>
    <w:rsid w:val="00546899"/>
    <w:rsid w:val="00546A1E"/>
    <w:rsid w:val="005471B3"/>
    <w:rsid w:val="0055238A"/>
    <w:rsid w:val="00555BAC"/>
    <w:rsid w:val="00557EC6"/>
    <w:rsid w:val="00557FBB"/>
    <w:rsid w:val="005603B1"/>
    <w:rsid w:val="00561908"/>
    <w:rsid w:val="00564BEF"/>
    <w:rsid w:val="00565195"/>
    <w:rsid w:val="0056575F"/>
    <w:rsid w:val="00566EFE"/>
    <w:rsid w:val="0056731A"/>
    <w:rsid w:val="005716C3"/>
    <w:rsid w:val="00571AA5"/>
    <w:rsid w:val="00571EC8"/>
    <w:rsid w:val="00572426"/>
    <w:rsid w:val="0057360B"/>
    <w:rsid w:val="005749C9"/>
    <w:rsid w:val="00574AF8"/>
    <w:rsid w:val="0057541C"/>
    <w:rsid w:val="00575CB1"/>
    <w:rsid w:val="00576200"/>
    <w:rsid w:val="00580AF3"/>
    <w:rsid w:val="005816F2"/>
    <w:rsid w:val="00584E55"/>
    <w:rsid w:val="00586539"/>
    <w:rsid w:val="00587FA1"/>
    <w:rsid w:val="00587FC0"/>
    <w:rsid w:val="00592F58"/>
    <w:rsid w:val="00593476"/>
    <w:rsid w:val="00594B91"/>
    <w:rsid w:val="00594D7A"/>
    <w:rsid w:val="005A06C4"/>
    <w:rsid w:val="005A11D2"/>
    <w:rsid w:val="005A1447"/>
    <w:rsid w:val="005A2951"/>
    <w:rsid w:val="005A2AE0"/>
    <w:rsid w:val="005A2CA8"/>
    <w:rsid w:val="005A5496"/>
    <w:rsid w:val="005A5B05"/>
    <w:rsid w:val="005A605C"/>
    <w:rsid w:val="005A755B"/>
    <w:rsid w:val="005B022B"/>
    <w:rsid w:val="005B0726"/>
    <w:rsid w:val="005B07C2"/>
    <w:rsid w:val="005B1899"/>
    <w:rsid w:val="005B302F"/>
    <w:rsid w:val="005B43E0"/>
    <w:rsid w:val="005B5135"/>
    <w:rsid w:val="005B63D1"/>
    <w:rsid w:val="005B70C4"/>
    <w:rsid w:val="005C022E"/>
    <w:rsid w:val="005C1584"/>
    <w:rsid w:val="005C19DE"/>
    <w:rsid w:val="005C33FA"/>
    <w:rsid w:val="005C3455"/>
    <w:rsid w:val="005C354A"/>
    <w:rsid w:val="005C3607"/>
    <w:rsid w:val="005D13E5"/>
    <w:rsid w:val="005D2DB8"/>
    <w:rsid w:val="005D43DF"/>
    <w:rsid w:val="005D45C3"/>
    <w:rsid w:val="005D78DD"/>
    <w:rsid w:val="005E0305"/>
    <w:rsid w:val="005E0BD2"/>
    <w:rsid w:val="005E1B54"/>
    <w:rsid w:val="005E34D6"/>
    <w:rsid w:val="005E3A17"/>
    <w:rsid w:val="005E46FB"/>
    <w:rsid w:val="005E6495"/>
    <w:rsid w:val="005E651B"/>
    <w:rsid w:val="005E72F7"/>
    <w:rsid w:val="005E77B9"/>
    <w:rsid w:val="005F0A6C"/>
    <w:rsid w:val="005F1A66"/>
    <w:rsid w:val="005F49D6"/>
    <w:rsid w:val="005F52E0"/>
    <w:rsid w:val="005F5B22"/>
    <w:rsid w:val="005F77CF"/>
    <w:rsid w:val="00601288"/>
    <w:rsid w:val="00603F3A"/>
    <w:rsid w:val="00604A13"/>
    <w:rsid w:val="00605019"/>
    <w:rsid w:val="00605F7B"/>
    <w:rsid w:val="00606914"/>
    <w:rsid w:val="0060738E"/>
    <w:rsid w:val="006109C1"/>
    <w:rsid w:val="00610F83"/>
    <w:rsid w:val="00610FC9"/>
    <w:rsid w:val="00611175"/>
    <w:rsid w:val="00611532"/>
    <w:rsid w:val="0061296E"/>
    <w:rsid w:val="0061579F"/>
    <w:rsid w:val="00620AE6"/>
    <w:rsid w:val="00621635"/>
    <w:rsid w:val="00622983"/>
    <w:rsid w:val="00622B02"/>
    <w:rsid w:val="00623CFA"/>
    <w:rsid w:val="00623EFA"/>
    <w:rsid w:val="0062419A"/>
    <w:rsid w:val="0062485B"/>
    <w:rsid w:val="00624A2A"/>
    <w:rsid w:val="00624B69"/>
    <w:rsid w:val="00627065"/>
    <w:rsid w:val="006276BD"/>
    <w:rsid w:val="00627AFC"/>
    <w:rsid w:val="00631664"/>
    <w:rsid w:val="00633B0A"/>
    <w:rsid w:val="006347E0"/>
    <w:rsid w:val="0063588E"/>
    <w:rsid w:val="00636C94"/>
    <w:rsid w:val="00637962"/>
    <w:rsid w:val="00641E82"/>
    <w:rsid w:val="00642F25"/>
    <w:rsid w:val="00643049"/>
    <w:rsid w:val="00643535"/>
    <w:rsid w:val="006443DB"/>
    <w:rsid w:val="006447CD"/>
    <w:rsid w:val="00644E6D"/>
    <w:rsid w:val="00645CFF"/>
    <w:rsid w:val="00645EF7"/>
    <w:rsid w:val="006460EF"/>
    <w:rsid w:val="00650FD7"/>
    <w:rsid w:val="00652838"/>
    <w:rsid w:val="00652D54"/>
    <w:rsid w:val="00653724"/>
    <w:rsid w:val="00653A3B"/>
    <w:rsid w:val="00653E99"/>
    <w:rsid w:val="00654078"/>
    <w:rsid w:val="006548A9"/>
    <w:rsid w:val="00654C66"/>
    <w:rsid w:val="00656223"/>
    <w:rsid w:val="00656542"/>
    <w:rsid w:val="00656AF9"/>
    <w:rsid w:val="006571F3"/>
    <w:rsid w:val="006577B0"/>
    <w:rsid w:val="00660A40"/>
    <w:rsid w:val="00660C21"/>
    <w:rsid w:val="00662240"/>
    <w:rsid w:val="00662E3A"/>
    <w:rsid w:val="00665186"/>
    <w:rsid w:val="006670CD"/>
    <w:rsid w:val="00667A72"/>
    <w:rsid w:val="00667F4D"/>
    <w:rsid w:val="0067041D"/>
    <w:rsid w:val="00670C9B"/>
    <w:rsid w:val="0067122C"/>
    <w:rsid w:val="00672A7A"/>
    <w:rsid w:val="00674121"/>
    <w:rsid w:val="00675056"/>
    <w:rsid w:val="00676755"/>
    <w:rsid w:val="0068014E"/>
    <w:rsid w:val="0068043A"/>
    <w:rsid w:val="00681F2C"/>
    <w:rsid w:val="006825B5"/>
    <w:rsid w:val="0068288C"/>
    <w:rsid w:val="00683F1A"/>
    <w:rsid w:val="00685735"/>
    <w:rsid w:val="00685D41"/>
    <w:rsid w:val="00686679"/>
    <w:rsid w:val="006869F4"/>
    <w:rsid w:val="0069015F"/>
    <w:rsid w:val="00690446"/>
    <w:rsid w:val="00690D1E"/>
    <w:rsid w:val="00691B6B"/>
    <w:rsid w:val="0069256D"/>
    <w:rsid w:val="006938E8"/>
    <w:rsid w:val="00693AF9"/>
    <w:rsid w:val="00693F6A"/>
    <w:rsid w:val="00695A25"/>
    <w:rsid w:val="006964BA"/>
    <w:rsid w:val="00696752"/>
    <w:rsid w:val="00696DF4"/>
    <w:rsid w:val="006A0CC1"/>
    <w:rsid w:val="006A2D8E"/>
    <w:rsid w:val="006A35B7"/>
    <w:rsid w:val="006A3D4E"/>
    <w:rsid w:val="006A6538"/>
    <w:rsid w:val="006A7E05"/>
    <w:rsid w:val="006B045A"/>
    <w:rsid w:val="006B0747"/>
    <w:rsid w:val="006B1AEF"/>
    <w:rsid w:val="006B1C93"/>
    <w:rsid w:val="006B2EEA"/>
    <w:rsid w:val="006B410F"/>
    <w:rsid w:val="006B43FC"/>
    <w:rsid w:val="006B4EDA"/>
    <w:rsid w:val="006B5144"/>
    <w:rsid w:val="006B68B8"/>
    <w:rsid w:val="006B6B52"/>
    <w:rsid w:val="006B7845"/>
    <w:rsid w:val="006C18EC"/>
    <w:rsid w:val="006C25EC"/>
    <w:rsid w:val="006C26E5"/>
    <w:rsid w:val="006C3A32"/>
    <w:rsid w:val="006C4B0A"/>
    <w:rsid w:val="006C51C5"/>
    <w:rsid w:val="006C6538"/>
    <w:rsid w:val="006C70A3"/>
    <w:rsid w:val="006D0F7F"/>
    <w:rsid w:val="006D169B"/>
    <w:rsid w:val="006D1A57"/>
    <w:rsid w:val="006D2F2A"/>
    <w:rsid w:val="006D4370"/>
    <w:rsid w:val="006D4423"/>
    <w:rsid w:val="006D4A62"/>
    <w:rsid w:val="006D51A3"/>
    <w:rsid w:val="006D65CF"/>
    <w:rsid w:val="006D6F10"/>
    <w:rsid w:val="006D7910"/>
    <w:rsid w:val="006D7D5D"/>
    <w:rsid w:val="006E0E35"/>
    <w:rsid w:val="006E1055"/>
    <w:rsid w:val="006E29FD"/>
    <w:rsid w:val="006E3BF0"/>
    <w:rsid w:val="006E5052"/>
    <w:rsid w:val="006E78DC"/>
    <w:rsid w:val="006F15B8"/>
    <w:rsid w:val="006F200D"/>
    <w:rsid w:val="006F2840"/>
    <w:rsid w:val="006F565D"/>
    <w:rsid w:val="006F62FA"/>
    <w:rsid w:val="006F74CA"/>
    <w:rsid w:val="006F7BC1"/>
    <w:rsid w:val="007009BE"/>
    <w:rsid w:val="00701501"/>
    <w:rsid w:val="00701EF6"/>
    <w:rsid w:val="00703B20"/>
    <w:rsid w:val="00705492"/>
    <w:rsid w:val="00706430"/>
    <w:rsid w:val="00707927"/>
    <w:rsid w:val="00710CAF"/>
    <w:rsid w:val="0071120A"/>
    <w:rsid w:val="007112B0"/>
    <w:rsid w:val="00713E42"/>
    <w:rsid w:val="00714AA8"/>
    <w:rsid w:val="00716532"/>
    <w:rsid w:val="007167CC"/>
    <w:rsid w:val="007178B8"/>
    <w:rsid w:val="007210B0"/>
    <w:rsid w:val="007210E7"/>
    <w:rsid w:val="00721D79"/>
    <w:rsid w:val="00722833"/>
    <w:rsid w:val="00722848"/>
    <w:rsid w:val="00722905"/>
    <w:rsid w:val="00723811"/>
    <w:rsid w:val="0072483A"/>
    <w:rsid w:val="00725D7B"/>
    <w:rsid w:val="0072702F"/>
    <w:rsid w:val="00727A4E"/>
    <w:rsid w:val="00727BC4"/>
    <w:rsid w:val="00730C10"/>
    <w:rsid w:val="00730DF0"/>
    <w:rsid w:val="007317DB"/>
    <w:rsid w:val="00731A53"/>
    <w:rsid w:val="00731A60"/>
    <w:rsid w:val="00731CFE"/>
    <w:rsid w:val="00731EC6"/>
    <w:rsid w:val="00734985"/>
    <w:rsid w:val="00735A63"/>
    <w:rsid w:val="00736472"/>
    <w:rsid w:val="007365F2"/>
    <w:rsid w:val="0073774F"/>
    <w:rsid w:val="00737AEA"/>
    <w:rsid w:val="00737AF3"/>
    <w:rsid w:val="0074035F"/>
    <w:rsid w:val="0074066C"/>
    <w:rsid w:val="00741023"/>
    <w:rsid w:val="00741F01"/>
    <w:rsid w:val="00742AD1"/>
    <w:rsid w:val="00742DD2"/>
    <w:rsid w:val="0074397B"/>
    <w:rsid w:val="00743A0A"/>
    <w:rsid w:val="00746760"/>
    <w:rsid w:val="007468A8"/>
    <w:rsid w:val="007475F0"/>
    <w:rsid w:val="00747940"/>
    <w:rsid w:val="007517D0"/>
    <w:rsid w:val="007532C3"/>
    <w:rsid w:val="00753D58"/>
    <w:rsid w:val="00754136"/>
    <w:rsid w:val="00754F63"/>
    <w:rsid w:val="00755261"/>
    <w:rsid w:val="00757158"/>
    <w:rsid w:val="007612FE"/>
    <w:rsid w:val="0076164B"/>
    <w:rsid w:val="00762BAC"/>
    <w:rsid w:val="00762CFE"/>
    <w:rsid w:val="00763396"/>
    <w:rsid w:val="00764DBC"/>
    <w:rsid w:val="00767315"/>
    <w:rsid w:val="00771FEB"/>
    <w:rsid w:val="00772D01"/>
    <w:rsid w:val="00772D9E"/>
    <w:rsid w:val="00773209"/>
    <w:rsid w:val="00774AE1"/>
    <w:rsid w:val="00783943"/>
    <w:rsid w:val="00784C91"/>
    <w:rsid w:val="007852A3"/>
    <w:rsid w:val="007866ED"/>
    <w:rsid w:val="007912C1"/>
    <w:rsid w:val="00792507"/>
    <w:rsid w:val="0079263F"/>
    <w:rsid w:val="0079309F"/>
    <w:rsid w:val="0079324E"/>
    <w:rsid w:val="007932A0"/>
    <w:rsid w:val="0079361B"/>
    <w:rsid w:val="00793B41"/>
    <w:rsid w:val="0079457A"/>
    <w:rsid w:val="00795948"/>
    <w:rsid w:val="00796991"/>
    <w:rsid w:val="007A0C22"/>
    <w:rsid w:val="007A2EC0"/>
    <w:rsid w:val="007A2F0D"/>
    <w:rsid w:val="007A4C21"/>
    <w:rsid w:val="007A7116"/>
    <w:rsid w:val="007A7B44"/>
    <w:rsid w:val="007B1F35"/>
    <w:rsid w:val="007B2EAD"/>
    <w:rsid w:val="007B5846"/>
    <w:rsid w:val="007B7AD2"/>
    <w:rsid w:val="007C1B28"/>
    <w:rsid w:val="007C2287"/>
    <w:rsid w:val="007C2FDA"/>
    <w:rsid w:val="007C3A68"/>
    <w:rsid w:val="007C3F61"/>
    <w:rsid w:val="007C50CF"/>
    <w:rsid w:val="007C5233"/>
    <w:rsid w:val="007C5784"/>
    <w:rsid w:val="007C61E5"/>
    <w:rsid w:val="007C6359"/>
    <w:rsid w:val="007C63C5"/>
    <w:rsid w:val="007C6723"/>
    <w:rsid w:val="007D2266"/>
    <w:rsid w:val="007D2625"/>
    <w:rsid w:val="007D2DF5"/>
    <w:rsid w:val="007D4870"/>
    <w:rsid w:val="007D65DF"/>
    <w:rsid w:val="007D7518"/>
    <w:rsid w:val="007D769A"/>
    <w:rsid w:val="007E0DD4"/>
    <w:rsid w:val="007E1D77"/>
    <w:rsid w:val="007E1EFF"/>
    <w:rsid w:val="007E294F"/>
    <w:rsid w:val="007E2A3B"/>
    <w:rsid w:val="007E357B"/>
    <w:rsid w:val="007E3703"/>
    <w:rsid w:val="007E40ED"/>
    <w:rsid w:val="007E5714"/>
    <w:rsid w:val="007E7A12"/>
    <w:rsid w:val="007F033F"/>
    <w:rsid w:val="007F0BB1"/>
    <w:rsid w:val="007F210C"/>
    <w:rsid w:val="007F252D"/>
    <w:rsid w:val="007F2628"/>
    <w:rsid w:val="007F2A5C"/>
    <w:rsid w:val="007F2A74"/>
    <w:rsid w:val="007F2F3C"/>
    <w:rsid w:val="007F35F5"/>
    <w:rsid w:val="007F3C2F"/>
    <w:rsid w:val="007F61B2"/>
    <w:rsid w:val="007F66FB"/>
    <w:rsid w:val="007F7CA4"/>
    <w:rsid w:val="00801648"/>
    <w:rsid w:val="008018D5"/>
    <w:rsid w:val="00801D8D"/>
    <w:rsid w:val="00804667"/>
    <w:rsid w:val="00805DF8"/>
    <w:rsid w:val="00806204"/>
    <w:rsid w:val="00806901"/>
    <w:rsid w:val="00810034"/>
    <w:rsid w:val="0081042B"/>
    <w:rsid w:val="0081073A"/>
    <w:rsid w:val="00811527"/>
    <w:rsid w:val="00811F24"/>
    <w:rsid w:val="00813A6A"/>
    <w:rsid w:val="00813C80"/>
    <w:rsid w:val="00814B29"/>
    <w:rsid w:val="00816F50"/>
    <w:rsid w:val="00817CAC"/>
    <w:rsid w:val="00817CBE"/>
    <w:rsid w:val="00820F45"/>
    <w:rsid w:val="00822170"/>
    <w:rsid w:val="008224D4"/>
    <w:rsid w:val="0082341B"/>
    <w:rsid w:val="00825DD0"/>
    <w:rsid w:val="008262D6"/>
    <w:rsid w:val="008277C9"/>
    <w:rsid w:val="00827F2D"/>
    <w:rsid w:val="00830B96"/>
    <w:rsid w:val="00831CAC"/>
    <w:rsid w:val="008342C2"/>
    <w:rsid w:val="008354D4"/>
    <w:rsid w:val="00835873"/>
    <w:rsid w:val="00840E90"/>
    <w:rsid w:val="008413DF"/>
    <w:rsid w:val="008414BB"/>
    <w:rsid w:val="00841ACA"/>
    <w:rsid w:val="008433FF"/>
    <w:rsid w:val="0084483B"/>
    <w:rsid w:val="008449A9"/>
    <w:rsid w:val="00844C83"/>
    <w:rsid w:val="0084585B"/>
    <w:rsid w:val="00845B21"/>
    <w:rsid w:val="0084699C"/>
    <w:rsid w:val="00851C4B"/>
    <w:rsid w:val="00854C6E"/>
    <w:rsid w:val="00854D91"/>
    <w:rsid w:val="00854E54"/>
    <w:rsid w:val="00854F77"/>
    <w:rsid w:val="0085588B"/>
    <w:rsid w:val="00860172"/>
    <w:rsid w:val="008611B6"/>
    <w:rsid w:val="00861792"/>
    <w:rsid w:val="008619D7"/>
    <w:rsid w:val="0086221D"/>
    <w:rsid w:val="0086308A"/>
    <w:rsid w:val="00863663"/>
    <w:rsid w:val="00863ACB"/>
    <w:rsid w:val="00865F6C"/>
    <w:rsid w:val="008669B7"/>
    <w:rsid w:val="00866A8E"/>
    <w:rsid w:val="00867381"/>
    <w:rsid w:val="00867FEC"/>
    <w:rsid w:val="00870F50"/>
    <w:rsid w:val="00874D2C"/>
    <w:rsid w:val="00876501"/>
    <w:rsid w:val="008765F3"/>
    <w:rsid w:val="00876BDC"/>
    <w:rsid w:val="00877F4C"/>
    <w:rsid w:val="008800C0"/>
    <w:rsid w:val="0088077E"/>
    <w:rsid w:val="00880EC1"/>
    <w:rsid w:val="0088163F"/>
    <w:rsid w:val="008847F6"/>
    <w:rsid w:val="008847FC"/>
    <w:rsid w:val="0088581F"/>
    <w:rsid w:val="00885BF9"/>
    <w:rsid w:val="00885FCB"/>
    <w:rsid w:val="008876D8"/>
    <w:rsid w:val="00887D85"/>
    <w:rsid w:val="00887E9E"/>
    <w:rsid w:val="0089004A"/>
    <w:rsid w:val="00890895"/>
    <w:rsid w:val="0089387E"/>
    <w:rsid w:val="00896218"/>
    <w:rsid w:val="00897BC4"/>
    <w:rsid w:val="008A0633"/>
    <w:rsid w:val="008A194E"/>
    <w:rsid w:val="008A3BDA"/>
    <w:rsid w:val="008A4B94"/>
    <w:rsid w:val="008A4C98"/>
    <w:rsid w:val="008A51BC"/>
    <w:rsid w:val="008A5378"/>
    <w:rsid w:val="008A62D3"/>
    <w:rsid w:val="008A7B3F"/>
    <w:rsid w:val="008B0122"/>
    <w:rsid w:val="008B1A28"/>
    <w:rsid w:val="008B3031"/>
    <w:rsid w:val="008B562F"/>
    <w:rsid w:val="008B5CAB"/>
    <w:rsid w:val="008B6479"/>
    <w:rsid w:val="008C2A9B"/>
    <w:rsid w:val="008C3E95"/>
    <w:rsid w:val="008C3EBB"/>
    <w:rsid w:val="008C4CEE"/>
    <w:rsid w:val="008C5C0E"/>
    <w:rsid w:val="008C5CC9"/>
    <w:rsid w:val="008C5F3D"/>
    <w:rsid w:val="008C6BC4"/>
    <w:rsid w:val="008C7832"/>
    <w:rsid w:val="008D01B4"/>
    <w:rsid w:val="008D0D40"/>
    <w:rsid w:val="008D1D93"/>
    <w:rsid w:val="008D3A84"/>
    <w:rsid w:val="008D40A6"/>
    <w:rsid w:val="008D41C2"/>
    <w:rsid w:val="008D562A"/>
    <w:rsid w:val="008D6114"/>
    <w:rsid w:val="008D7E2C"/>
    <w:rsid w:val="008E1866"/>
    <w:rsid w:val="008E2990"/>
    <w:rsid w:val="008E2DD9"/>
    <w:rsid w:val="008E30B7"/>
    <w:rsid w:val="008E3A7A"/>
    <w:rsid w:val="008E3EA9"/>
    <w:rsid w:val="008E4348"/>
    <w:rsid w:val="008E4B68"/>
    <w:rsid w:val="008E4D70"/>
    <w:rsid w:val="008E5296"/>
    <w:rsid w:val="008E5E9D"/>
    <w:rsid w:val="008E6924"/>
    <w:rsid w:val="008E7063"/>
    <w:rsid w:val="008E7DDD"/>
    <w:rsid w:val="008F14CB"/>
    <w:rsid w:val="008F17B7"/>
    <w:rsid w:val="008F1FC3"/>
    <w:rsid w:val="008F2265"/>
    <w:rsid w:val="008F2CF3"/>
    <w:rsid w:val="008F3C47"/>
    <w:rsid w:val="008F42D5"/>
    <w:rsid w:val="008F50E4"/>
    <w:rsid w:val="008F512D"/>
    <w:rsid w:val="008F5636"/>
    <w:rsid w:val="008F7531"/>
    <w:rsid w:val="008F7A32"/>
    <w:rsid w:val="008F7FBB"/>
    <w:rsid w:val="00902B67"/>
    <w:rsid w:val="00904177"/>
    <w:rsid w:val="00906750"/>
    <w:rsid w:val="00906A89"/>
    <w:rsid w:val="009076E5"/>
    <w:rsid w:val="00910C1C"/>
    <w:rsid w:val="00912283"/>
    <w:rsid w:val="00912D80"/>
    <w:rsid w:val="009133AB"/>
    <w:rsid w:val="00913603"/>
    <w:rsid w:val="009140C3"/>
    <w:rsid w:val="0091421A"/>
    <w:rsid w:val="00915CAF"/>
    <w:rsid w:val="00916EAA"/>
    <w:rsid w:val="00917C78"/>
    <w:rsid w:val="00920018"/>
    <w:rsid w:val="0092100F"/>
    <w:rsid w:val="0092112D"/>
    <w:rsid w:val="009211AB"/>
    <w:rsid w:val="00921B42"/>
    <w:rsid w:val="00922691"/>
    <w:rsid w:val="009242A6"/>
    <w:rsid w:val="00924DD2"/>
    <w:rsid w:val="00925164"/>
    <w:rsid w:val="00925CA1"/>
    <w:rsid w:val="00926220"/>
    <w:rsid w:val="009267E7"/>
    <w:rsid w:val="0092705D"/>
    <w:rsid w:val="00927147"/>
    <w:rsid w:val="00930008"/>
    <w:rsid w:val="00930C45"/>
    <w:rsid w:val="00931BAC"/>
    <w:rsid w:val="00937D1B"/>
    <w:rsid w:val="00941C38"/>
    <w:rsid w:val="00944C3B"/>
    <w:rsid w:val="00944CD4"/>
    <w:rsid w:val="009458FF"/>
    <w:rsid w:val="00946243"/>
    <w:rsid w:val="0094776E"/>
    <w:rsid w:val="009502A6"/>
    <w:rsid w:val="00950439"/>
    <w:rsid w:val="00951E30"/>
    <w:rsid w:val="009539B4"/>
    <w:rsid w:val="00953A88"/>
    <w:rsid w:val="00953FC0"/>
    <w:rsid w:val="00954556"/>
    <w:rsid w:val="00954FFD"/>
    <w:rsid w:val="009559C7"/>
    <w:rsid w:val="00957093"/>
    <w:rsid w:val="0096205F"/>
    <w:rsid w:val="00962810"/>
    <w:rsid w:val="00962D53"/>
    <w:rsid w:val="00962F67"/>
    <w:rsid w:val="009662C6"/>
    <w:rsid w:val="00966A0C"/>
    <w:rsid w:val="00966F53"/>
    <w:rsid w:val="00967802"/>
    <w:rsid w:val="009714B7"/>
    <w:rsid w:val="00971FC0"/>
    <w:rsid w:val="0097278A"/>
    <w:rsid w:val="009727E0"/>
    <w:rsid w:val="0097295F"/>
    <w:rsid w:val="00973386"/>
    <w:rsid w:val="009734AB"/>
    <w:rsid w:val="0097351B"/>
    <w:rsid w:val="009742E2"/>
    <w:rsid w:val="0097662F"/>
    <w:rsid w:val="00980320"/>
    <w:rsid w:val="009815CA"/>
    <w:rsid w:val="009818EF"/>
    <w:rsid w:val="00984F0A"/>
    <w:rsid w:val="00986800"/>
    <w:rsid w:val="0098781D"/>
    <w:rsid w:val="00990091"/>
    <w:rsid w:val="0099091B"/>
    <w:rsid w:val="0099111D"/>
    <w:rsid w:val="00992CBF"/>
    <w:rsid w:val="009931F0"/>
    <w:rsid w:val="009954DE"/>
    <w:rsid w:val="00996D81"/>
    <w:rsid w:val="009972FF"/>
    <w:rsid w:val="009A0FCA"/>
    <w:rsid w:val="009A23F2"/>
    <w:rsid w:val="009A3141"/>
    <w:rsid w:val="009A4110"/>
    <w:rsid w:val="009A41D9"/>
    <w:rsid w:val="009A5960"/>
    <w:rsid w:val="009A76A5"/>
    <w:rsid w:val="009A7D96"/>
    <w:rsid w:val="009A7F8F"/>
    <w:rsid w:val="009B0323"/>
    <w:rsid w:val="009B04D0"/>
    <w:rsid w:val="009B0DDB"/>
    <w:rsid w:val="009B15BD"/>
    <w:rsid w:val="009B2EA2"/>
    <w:rsid w:val="009B3839"/>
    <w:rsid w:val="009B3B01"/>
    <w:rsid w:val="009B4721"/>
    <w:rsid w:val="009B4D4B"/>
    <w:rsid w:val="009B558B"/>
    <w:rsid w:val="009B5AE3"/>
    <w:rsid w:val="009B6FC4"/>
    <w:rsid w:val="009B707C"/>
    <w:rsid w:val="009C02D2"/>
    <w:rsid w:val="009C2A06"/>
    <w:rsid w:val="009C2DAB"/>
    <w:rsid w:val="009C30ED"/>
    <w:rsid w:val="009C3FD9"/>
    <w:rsid w:val="009C4049"/>
    <w:rsid w:val="009C444B"/>
    <w:rsid w:val="009C5C86"/>
    <w:rsid w:val="009C6018"/>
    <w:rsid w:val="009C7A57"/>
    <w:rsid w:val="009D02F1"/>
    <w:rsid w:val="009D0C7F"/>
    <w:rsid w:val="009D1C87"/>
    <w:rsid w:val="009D2CA1"/>
    <w:rsid w:val="009D3D77"/>
    <w:rsid w:val="009D537A"/>
    <w:rsid w:val="009D588F"/>
    <w:rsid w:val="009D669D"/>
    <w:rsid w:val="009D73A2"/>
    <w:rsid w:val="009D7A80"/>
    <w:rsid w:val="009D7D1D"/>
    <w:rsid w:val="009E1257"/>
    <w:rsid w:val="009E2DDA"/>
    <w:rsid w:val="009E3957"/>
    <w:rsid w:val="009E3E95"/>
    <w:rsid w:val="009E46AC"/>
    <w:rsid w:val="009E7942"/>
    <w:rsid w:val="009E7E6F"/>
    <w:rsid w:val="009F0F95"/>
    <w:rsid w:val="009F1F0D"/>
    <w:rsid w:val="009F2331"/>
    <w:rsid w:val="009F5BDC"/>
    <w:rsid w:val="009F6929"/>
    <w:rsid w:val="009F6C75"/>
    <w:rsid w:val="009F74C8"/>
    <w:rsid w:val="00A0144D"/>
    <w:rsid w:val="00A034FC"/>
    <w:rsid w:val="00A04478"/>
    <w:rsid w:val="00A04B1E"/>
    <w:rsid w:val="00A05ACE"/>
    <w:rsid w:val="00A05FD8"/>
    <w:rsid w:val="00A05FE8"/>
    <w:rsid w:val="00A06CE2"/>
    <w:rsid w:val="00A11E6B"/>
    <w:rsid w:val="00A15F91"/>
    <w:rsid w:val="00A16E73"/>
    <w:rsid w:val="00A206AA"/>
    <w:rsid w:val="00A20CC0"/>
    <w:rsid w:val="00A22CD0"/>
    <w:rsid w:val="00A233EA"/>
    <w:rsid w:val="00A234D1"/>
    <w:rsid w:val="00A26567"/>
    <w:rsid w:val="00A300C5"/>
    <w:rsid w:val="00A31F76"/>
    <w:rsid w:val="00A3235D"/>
    <w:rsid w:val="00A34673"/>
    <w:rsid w:val="00A34BD7"/>
    <w:rsid w:val="00A34F4D"/>
    <w:rsid w:val="00A35354"/>
    <w:rsid w:val="00A36057"/>
    <w:rsid w:val="00A361BD"/>
    <w:rsid w:val="00A375C4"/>
    <w:rsid w:val="00A40534"/>
    <w:rsid w:val="00A409FB"/>
    <w:rsid w:val="00A419F2"/>
    <w:rsid w:val="00A41FC0"/>
    <w:rsid w:val="00A4238E"/>
    <w:rsid w:val="00A426A4"/>
    <w:rsid w:val="00A42A26"/>
    <w:rsid w:val="00A42D67"/>
    <w:rsid w:val="00A42FE9"/>
    <w:rsid w:val="00A43659"/>
    <w:rsid w:val="00A438B1"/>
    <w:rsid w:val="00A44C50"/>
    <w:rsid w:val="00A45400"/>
    <w:rsid w:val="00A4719E"/>
    <w:rsid w:val="00A52B2D"/>
    <w:rsid w:val="00A533DD"/>
    <w:rsid w:val="00A53758"/>
    <w:rsid w:val="00A55A84"/>
    <w:rsid w:val="00A56F62"/>
    <w:rsid w:val="00A574D3"/>
    <w:rsid w:val="00A57654"/>
    <w:rsid w:val="00A5794E"/>
    <w:rsid w:val="00A6291D"/>
    <w:rsid w:val="00A62D7A"/>
    <w:rsid w:val="00A64B1C"/>
    <w:rsid w:val="00A65955"/>
    <w:rsid w:val="00A67F50"/>
    <w:rsid w:val="00A70119"/>
    <w:rsid w:val="00A7212A"/>
    <w:rsid w:val="00A72303"/>
    <w:rsid w:val="00A72F5F"/>
    <w:rsid w:val="00A73624"/>
    <w:rsid w:val="00A7484A"/>
    <w:rsid w:val="00A7513E"/>
    <w:rsid w:val="00A756E9"/>
    <w:rsid w:val="00A77722"/>
    <w:rsid w:val="00A802A1"/>
    <w:rsid w:val="00A83B6A"/>
    <w:rsid w:val="00A84338"/>
    <w:rsid w:val="00A86408"/>
    <w:rsid w:val="00A8751C"/>
    <w:rsid w:val="00A8769A"/>
    <w:rsid w:val="00A87BFB"/>
    <w:rsid w:val="00A90732"/>
    <w:rsid w:val="00A90A8B"/>
    <w:rsid w:val="00A93E03"/>
    <w:rsid w:val="00A956A3"/>
    <w:rsid w:val="00A964A3"/>
    <w:rsid w:val="00A97DD4"/>
    <w:rsid w:val="00AA172A"/>
    <w:rsid w:val="00AA18EE"/>
    <w:rsid w:val="00AA1EB7"/>
    <w:rsid w:val="00AA58B0"/>
    <w:rsid w:val="00AA5A1A"/>
    <w:rsid w:val="00AA5E2E"/>
    <w:rsid w:val="00AA68AA"/>
    <w:rsid w:val="00AA7085"/>
    <w:rsid w:val="00AA7A40"/>
    <w:rsid w:val="00AB0A8A"/>
    <w:rsid w:val="00AB0CE3"/>
    <w:rsid w:val="00AB13C6"/>
    <w:rsid w:val="00AB15A5"/>
    <w:rsid w:val="00AB1E04"/>
    <w:rsid w:val="00AB3E4E"/>
    <w:rsid w:val="00AB48CA"/>
    <w:rsid w:val="00AB6A7C"/>
    <w:rsid w:val="00AB722C"/>
    <w:rsid w:val="00AB7497"/>
    <w:rsid w:val="00AB79D6"/>
    <w:rsid w:val="00AB7EE5"/>
    <w:rsid w:val="00AB7F8E"/>
    <w:rsid w:val="00AC0321"/>
    <w:rsid w:val="00AC29B3"/>
    <w:rsid w:val="00AC3622"/>
    <w:rsid w:val="00AC3BE3"/>
    <w:rsid w:val="00AC3C28"/>
    <w:rsid w:val="00AC5165"/>
    <w:rsid w:val="00AC6564"/>
    <w:rsid w:val="00AC79BB"/>
    <w:rsid w:val="00AD13AC"/>
    <w:rsid w:val="00AD23A1"/>
    <w:rsid w:val="00AD63B8"/>
    <w:rsid w:val="00AD6568"/>
    <w:rsid w:val="00AE1C60"/>
    <w:rsid w:val="00AE2C03"/>
    <w:rsid w:val="00AE3311"/>
    <w:rsid w:val="00AE3687"/>
    <w:rsid w:val="00AE37BA"/>
    <w:rsid w:val="00AE4038"/>
    <w:rsid w:val="00AE5CAB"/>
    <w:rsid w:val="00AF1804"/>
    <w:rsid w:val="00AF32BF"/>
    <w:rsid w:val="00AF3A41"/>
    <w:rsid w:val="00AF3CCD"/>
    <w:rsid w:val="00AF4040"/>
    <w:rsid w:val="00AF40C8"/>
    <w:rsid w:val="00AF552D"/>
    <w:rsid w:val="00AF5D27"/>
    <w:rsid w:val="00AF6C63"/>
    <w:rsid w:val="00AF6E1D"/>
    <w:rsid w:val="00B00B61"/>
    <w:rsid w:val="00B01082"/>
    <w:rsid w:val="00B025AD"/>
    <w:rsid w:val="00B02EB4"/>
    <w:rsid w:val="00B03838"/>
    <w:rsid w:val="00B04582"/>
    <w:rsid w:val="00B0523E"/>
    <w:rsid w:val="00B0569D"/>
    <w:rsid w:val="00B05F5A"/>
    <w:rsid w:val="00B0718F"/>
    <w:rsid w:val="00B075D1"/>
    <w:rsid w:val="00B11644"/>
    <w:rsid w:val="00B118EF"/>
    <w:rsid w:val="00B11CC2"/>
    <w:rsid w:val="00B14BB1"/>
    <w:rsid w:val="00B1545A"/>
    <w:rsid w:val="00B1572B"/>
    <w:rsid w:val="00B161F4"/>
    <w:rsid w:val="00B164D9"/>
    <w:rsid w:val="00B166B3"/>
    <w:rsid w:val="00B21322"/>
    <w:rsid w:val="00B21532"/>
    <w:rsid w:val="00B21A0B"/>
    <w:rsid w:val="00B229EB"/>
    <w:rsid w:val="00B23413"/>
    <w:rsid w:val="00B245B8"/>
    <w:rsid w:val="00B249B3"/>
    <w:rsid w:val="00B25230"/>
    <w:rsid w:val="00B25396"/>
    <w:rsid w:val="00B26340"/>
    <w:rsid w:val="00B30A8E"/>
    <w:rsid w:val="00B31D4F"/>
    <w:rsid w:val="00B31E0F"/>
    <w:rsid w:val="00B31E11"/>
    <w:rsid w:val="00B339BA"/>
    <w:rsid w:val="00B3521A"/>
    <w:rsid w:val="00B35C9D"/>
    <w:rsid w:val="00B37288"/>
    <w:rsid w:val="00B373E1"/>
    <w:rsid w:val="00B37532"/>
    <w:rsid w:val="00B37C14"/>
    <w:rsid w:val="00B409B4"/>
    <w:rsid w:val="00B41555"/>
    <w:rsid w:val="00B42016"/>
    <w:rsid w:val="00B4636D"/>
    <w:rsid w:val="00B46A6B"/>
    <w:rsid w:val="00B46D91"/>
    <w:rsid w:val="00B479F7"/>
    <w:rsid w:val="00B47FCE"/>
    <w:rsid w:val="00B50796"/>
    <w:rsid w:val="00B521E2"/>
    <w:rsid w:val="00B537E7"/>
    <w:rsid w:val="00B53F8A"/>
    <w:rsid w:val="00B55661"/>
    <w:rsid w:val="00B56CA0"/>
    <w:rsid w:val="00B570D1"/>
    <w:rsid w:val="00B607D3"/>
    <w:rsid w:val="00B60D2E"/>
    <w:rsid w:val="00B60D78"/>
    <w:rsid w:val="00B6137A"/>
    <w:rsid w:val="00B6198A"/>
    <w:rsid w:val="00B63442"/>
    <w:rsid w:val="00B64206"/>
    <w:rsid w:val="00B64911"/>
    <w:rsid w:val="00B64935"/>
    <w:rsid w:val="00B6497B"/>
    <w:rsid w:val="00B649EF"/>
    <w:rsid w:val="00B65374"/>
    <w:rsid w:val="00B667DA"/>
    <w:rsid w:val="00B701AC"/>
    <w:rsid w:val="00B714F7"/>
    <w:rsid w:val="00B71B47"/>
    <w:rsid w:val="00B72CA9"/>
    <w:rsid w:val="00B72E21"/>
    <w:rsid w:val="00B74685"/>
    <w:rsid w:val="00B7474B"/>
    <w:rsid w:val="00B74D7D"/>
    <w:rsid w:val="00B752D5"/>
    <w:rsid w:val="00B75733"/>
    <w:rsid w:val="00B75C77"/>
    <w:rsid w:val="00B760E9"/>
    <w:rsid w:val="00B76F28"/>
    <w:rsid w:val="00B82317"/>
    <w:rsid w:val="00B828F6"/>
    <w:rsid w:val="00B83FED"/>
    <w:rsid w:val="00B86027"/>
    <w:rsid w:val="00B861C9"/>
    <w:rsid w:val="00B86971"/>
    <w:rsid w:val="00B86B53"/>
    <w:rsid w:val="00B87206"/>
    <w:rsid w:val="00B91211"/>
    <w:rsid w:val="00B95781"/>
    <w:rsid w:val="00B95B20"/>
    <w:rsid w:val="00B962FD"/>
    <w:rsid w:val="00BA00AC"/>
    <w:rsid w:val="00BA2AFA"/>
    <w:rsid w:val="00BA5EC4"/>
    <w:rsid w:val="00BA67EC"/>
    <w:rsid w:val="00BA697F"/>
    <w:rsid w:val="00BA6E3F"/>
    <w:rsid w:val="00BB09D5"/>
    <w:rsid w:val="00BB0CDD"/>
    <w:rsid w:val="00BB224E"/>
    <w:rsid w:val="00BC09C4"/>
    <w:rsid w:val="00BC1031"/>
    <w:rsid w:val="00BC4FAF"/>
    <w:rsid w:val="00BC50DD"/>
    <w:rsid w:val="00BC5F81"/>
    <w:rsid w:val="00BC7043"/>
    <w:rsid w:val="00BC78C0"/>
    <w:rsid w:val="00BD0146"/>
    <w:rsid w:val="00BD0E50"/>
    <w:rsid w:val="00BD106D"/>
    <w:rsid w:val="00BD4E56"/>
    <w:rsid w:val="00BD5F29"/>
    <w:rsid w:val="00BD6844"/>
    <w:rsid w:val="00BD6D51"/>
    <w:rsid w:val="00BD6D52"/>
    <w:rsid w:val="00BD7A41"/>
    <w:rsid w:val="00BE007A"/>
    <w:rsid w:val="00BE09CF"/>
    <w:rsid w:val="00BE0AAD"/>
    <w:rsid w:val="00BE0C64"/>
    <w:rsid w:val="00BE122D"/>
    <w:rsid w:val="00BE450E"/>
    <w:rsid w:val="00BE5522"/>
    <w:rsid w:val="00BE5699"/>
    <w:rsid w:val="00BE65E0"/>
    <w:rsid w:val="00BF0E32"/>
    <w:rsid w:val="00BF0EDC"/>
    <w:rsid w:val="00BF2861"/>
    <w:rsid w:val="00BF3F19"/>
    <w:rsid w:val="00BF42C2"/>
    <w:rsid w:val="00BF435D"/>
    <w:rsid w:val="00BF6D7A"/>
    <w:rsid w:val="00BF7047"/>
    <w:rsid w:val="00BF75C3"/>
    <w:rsid w:val="00BF7873"/>
    <w:rsid w:val="00BF7F17"/>
    <w:rsid w:val="00C01310"/>
    <w:rsid w:val="00C02523"/>
    <w:rsid w:val="00C025A4"/>
    <w:rsid w:val="00C030AB"/>
    <w:rsid w:val="00C04E23"/>
    <w:rsid w:val="00C109DF"/>
    <w:rsid w:val="00C1241D"/>
    <w:rsid w:val="00C128C1"/>
    <w:rsid w:val="00C12A4D"/>
    <w:rsid w:val="00C15468"/>
    <w:rsid w:val="00C173FC"/>
    <w:rsid w:val="00C20403"/>
    <w:rsid w:val="00C2184E"/>
    <w:rsid w:val="00C2185E"/>
    <w:rsid w:val="00C21F38"/>
    <w:rsid w:val="00C2256B"/>
    <w:rsid w:val="00C233AD"/>
    <w:rsid w:val="00C23A3A"/>
    <w:rsid w:val="00C23E2C"/>
    <w:rsid w:val="00C23E83"/>
    <w:rsid w:val="00C262A8"/>
    <w:rsid w:val="00C26361"/>
    <w:rsid w:val="00C26938"/>
    <w:rsid w:val="00C2710D"/>
    <w:rsid w:val="00C27B37"/>
    <w:rsid w:val="00C30186"/>
    <w:rsid w:val="00C30386"/>
    <w:rsid w:val="00C30B29"/>
    <w:rsid w:val="00C35123"/>
    <w:rsid w:val="00C3551F"/>
    <w:rsid w:val="00C36FB4"/>
    <w:rsid w:val="00C413A5"/>
    <w:rsid w:val="00C4227F"/>
    <w:rsid w:val="00C42A3A"/>
    <w:rsid w:val="00C42DF6"/>
    <w:rsid w:val="00C4302D"/>
    <w:rsid w:val="00C45CCC"/>
    <w:rsid w:val="00C46920"/>
    <w:rsid w:val="00C470AE"/>
    <w:rsid w:val="00C472EB"/>
    <w:rsid w:val="00C4734A"/>
    <w:rsid w:val="00C47559"/>
    <w:rsid w:val="00C476C2"/>
    <w:rsid w:val="00C510A4"/>
    <w:rsid w:val="00C51B1F"/>
    <w:rsid w:val="00C529CE"/>
    <w:rsid w:val="00C52B92"/>
    <w:rsid w:val="00C53B96"/>
    <w:rsid w:val="00C53E21"/>
    <w:rsid w:val="00C5420C"/>
    <w:rsid w:val="00C54262"/>
    <w:rsid w:val="00C5438D"/>
    <w:rsid w:val="00C56A48"/>
    <w:rsid w:val="00C56BCE"/>
    <w:rsid w:val="00C570B8"/>
    <w:rsid w:val="00C6034F"/>
    <w:rsid w:val="00C60EB5"/>
    <w:rsid w:val="00C61161"/>
    <w:rsid w:val="00C611FE"/>
    <w:rsid w:val="00C623FF"/>
    <w:rsid w:val="00C6369F"/>
    <w:rsid w:val="00C64228"/>
    <w:rsid w:val="00C675D9"/>
    <w:rsid w:val="00C67C08"/>
    <w:rsid w:val="00C70628"/>
    <w:rsid w:val="00C70C33"/>
    <w:rsid w:val="00C71C1E"/>
    <w:rsid w:val="00C721D3"/>
    <w:rsid w:val="00C72CB7"/>
    <w:rsid w:val="00C74CE6"/>
    <w:rsid w:val="00C759CA"/>
    <w:rsid w:val="00C75E68"/>
    <w:rsid w:val="00C82846"/>
    <w:rsid w:val="00C839E1"/>
    <w:rsid w:val="00C87C06"/>
    <w:rsid w:val="00C910EC"/>
    <w:rsid w:val="00C912CB"/>
    <w:rsid w:val="00C91DFC"/>
    <w:rsid w:val="00C92E06"/>
    <w:rsid w:val="00C93EC1"/>
    <w:rsid w:val="00C93F6D"/>
    <w:rsid w:val="00C9509E"/>
    <w:rsid w:val="00C97202"/>
    <w:rsid w:val="00C97889"/>
    <w:rsid w:val="00CA044F"/>
    <w:rsid w:val="00CA06C3"/>
    <w:rsid w:val="00CA1C35"/>
    <w:rsid w:val="00CA2513"/>
    <w:rsid w:val="00CA3288"/>
    <w:rsid w:val="00CA34DD"/>
    <w:rsid w:val="00CA4CAE"/>
    <w:rsid w:val="00CA5366"/>
    <w:rsid w:val="00CA5414"/>
    <w:rsid w:val="00CA5DE9"/>
    <w:rsid w:val="00CA6918"/>
    <w:rsid w:val="00CA7FCF"/>
    <w:rsid w:val="00CB25AD"/>
    <w:rsid w:val="00CB2B64"/>
    <w:rsid w:val="00CB4E8E"/>
    <w:rsid w:val="00CB4E94"/>
    <w:rsid w:val="00CB60E8"/>
    <w:rsid w:val="00CB62A8"/>
    <w:rsid w:val="00CB7564"/>
    <w:rsid w:val="00CC10A9"/>
    <w:rsid w:val="00CC11D4"/>
    <w:rsid w:val="00CC1B49"/>
    <w:rsid w:val="00CC2CBB"/>
    <w:rsid w:val="00CC6913"/>
    <w:rsid w:val="00CC7267"/>
    <w:rsid w:val="00CC7DB3"/>
    <w:rsid w:val="00CD0CE8"/>
    <w:rsid w:val="00CD2E2C"/>
    <w:rsid w:val="00CD3474"/>
    <w:rsid w:val="00CD687E"/>
    <w:rsid w:val="00CD7BAC"/>
    <w:rsid w:val="00CE0146"/>
    <w:rsid w:val="00CE1A0E"/>
    <w:rsid w:val="00CE1D98"/>
    <w:rsid w:val="00CE1EBB"/>
    <w:rsid w:val="00CE21BE"/>
    <w:rsid w:val="00CE4379"/>
    <w:rsid w:val="00CE4E13"/>
    <w:rsid w:val="00CE5471"/>
    <w:rsid w:val="00CE5E28"/>
    <w:rsid w:val="00CE5F4E"/>
    <w:rsid w:val="00CE648A"/>
    <w:rsid w:val="00CE6DA4"/>
    <w:rsid w:val="00CF1BA9"/>
    <w:rsid w:val="00CF3895"/>
    <w:rsid w:val="00CF50EB"/>
    <w:rsid w:val="00CF55B4"/>
    <w:rsid w:val="00CF6798"/>
    <w:rsid w:val="00CF690B"/>
    <w:rsid w:val="00CF6988"/>
    <w:rsid w:val="00CF7D7B"/>
    <w:rsid w:val="00D00BA8"/>
    <w:rsid w:val="00D02096"/>
    <w:rsid w:val="00D0259D"/>
    <w:rsid w:val="00D025FF"/>
    <w:rsid w:val="00D02E26"/>
    <w:rsid w:val="00D033D8"/>
    <w:rsid w:val="00D03CF6"/>
    <w:rsid w:val="00D04DF8"/>
    <w:rsid w:val="00D068AE"/>
    <w:rsid w:val="00D072C6"/>
    <w:rsid w:val="00D07D74"/>
    <w:rsid w:val="00D07F63"/>
    <w:rsid w:val="00D102D7"/>
    <w:rsid w:val="00D1055B"/>
    <w:rsid w:val="00D10708"/>
    <w:rsid w:val="00D1082E"/>
    <w:rsid w:val="00D117D8"/>
    <w:rsid w:val="00D11F03"/>
    <w:rsid w:val="00D1522D"/>
    <w:rsid w:val="00D16E35"/>
    <w:rsid w:val="00D2037B"/>
    <w:rsid w:val="00D21A18"/>
    <w:rsid w:val="00D23CA4"/>
    <w:rsid w:val="00D24D33"/>
    <w:rsid w:val="00D24DBA"/>
    <w:rsid w:val="00D256C4"/>
    <w:rsid w:val="00D264E4"/>
    <w:rsid w:val="00D27D8E"/>
    <w:rsid w:val="00D33AE1"/>
    <w:rsid w:val="00D34126"/>
    <w:rsid w:val="00D34584"/>
    <w:rsid w:val="00D347D8"/>
    <w:rsid w:val="00D35B7E"/>
    <w:rsid w:val="00D36AB9"/>
    <w:rsid w:val="00D36E02"/>
    <w:rsid w:val="00D374E8"/>
    <w:rsid w:val="00D37DC3"/>
    <w:rsid w:val="00D40308"/>
    <w:rsid w:val="00D4092E"/>
    <w:rsid w:val="00D411BE"/>
    <w:rsid w:val="00D41CF9"/>
    <w:rsid w:val="00D41E7C"/>
    <w:rsid w:val="00D43B2F"/>
    <w:rsid w:val="00D441C6"/>
    <w:rsid w:val="00D445F6"/>
    <w:rsid w:val="00D448A8"/>
    <w:rsid w:val="00D448D4"/>
    <w:rsid w:val="00D46495"/>
    <w:rsid w:val="00D4726C"/>
    <w:rsid w:val="00D47D9D"/>
    <w:rsid w:val="00D520B3"/>
    <w:rsid w:val="00D525CD"/>
    <w:rsid w:val="00D5483A"/>
    <w:rsid w:val="00D556C2"/>
    <w:rsid w:val="00D56DB9"/>
    <w:rsid w:val="00D57A78"/>
    <w:rsid w:val="00D61ADC"/>
    <w:rsid w:val="00D62BE5"/>
    <w:rsid w:val="00D63981"/>
    <w:rsid w:val="00D6488E"/>
    <w:rsid w:val="00D659D5"/>
    <w:rsid w:val="00D67B92"/>
    <w:rsid w:val="00D67FBB"/>
    <w:rsid w:val="00D7003B"/>
    <w:rsid w:val="00D702B1"/>
    <w:rsid w:val="00D70FD8"/>
    <w:rsid w:val="00D7413B"/>
    <w:rsid w:val="00D74C59"/>
    <w:rsid w:val="00D7550F"/>
    <w:rsid w:val="00D7595C"/>
    <w:rsid w:val="00D7618B"/>
    <w:rsid w:val="00D779E2"/>
    <w:rsid w:val="00D81004"/>
    <w:rsid w:val="00D819F1"/>
    <w:rsid w:val="00D81F27"/>
    <w:rsid w:val="00D820B8"/>
    <w:rsid w:val="00D82D8D"/>
    <w:rsid w:val="00D82FEE"/>
    <w:rsid w:val="00D842CD"/>
    <w:rsid w:val="00D8431A"/>
    <w:rsid w:val="00D8462F"/>
    <w:rsid w:val="00D86D3B"/>
    <w:rsid w:val="00D876FC"/>
    <w:rsid w:val="00D92A8B"/>
    <w:rsid w:val="00D93207"/>
    <w:rsid w:val="00D95710"/>
    <w:rsid w:val="00D960B3"/>
    <w:rsid w:val="00D96776"/>
    <w:rsid w:val="00DA007A"/>
    <w:rsid w:val="00DA0290"/>
    <w:rsid w:val="00DA4BA8"/>
    <w:rsid w:val="00DA5420"/>
    <w:rsid w:val="00DA6362"/>
    <w:rsid w:val="00DA674A"/>
    <w:rsid w:val="00DA6A51"/>
    <w:rsid w:val="00DA6CED"/>
    <w:rsid w:val="00DA6DB4"/>
    <w:rsid w:val="00DA7DF8"/>
    <w:rsid w:val="00DB03D1"/>
    <w:rsid w:val="00DB0477"/>
    <w:rsid w:val="00DB1944"/>
    <w:rsid w:val="00DB1CAB"/>
    <w:rsid w:val="00DB352A"/>
    <w:rsid w:val="00DB37DC"/>
    <w:rsid w:val="00DB40B1"/>
    <w:rsid w:val="00DB52C7"/>
    <w:rsid w:val="00DB5F7B"/>
    <w:rsid w:val="00DB7912"/>
    <w:rsid w:val="00DB795C"/>
    <w:rsid w:val="00DB7C87"/>
    <w:rsid w:val="00DB7DA1"/>
    <w:rsid w:val="00DC15E4"/>
    <w:rsid w:val="00DC168D"/>
    <w:rsid w:val="00DC2317"/>
    <w:rsid w:val="00DC3C41"/>
    <w:rsid w:val="00DC5AAE"/>
    <w:rsid w:val="00DC6030"/>
    <w:rsid w:val="00DD030F"/>
    <w:rsid w:val="00DD18D3"/>
    <w:rsid w:val="00DD25E0"/>
    <w:rsid w:val="00DD2936"/>
    <w:rsid w:val="00DD66C2"/>
    <w:rsid w:val="00DD6B5C"/>
    <w:rsid w:val="00DE11B9"/>
    <w:rsid w:val="00DE221D"/>
    <w:rsid w:val="00DE290B"/>
    <w:rsid w:val="00DE2BED"/>
    <w:rsid w:val="00DE30FF"/>
    <w:rsid w:val="00DE6C95"/>
    <w:rsid w:val="00DE7AF6"/>
    <w:rsid w:val="00DF0543"/>
    <w:rsid w:val="00DF0A42"/>
    <w:rsid w:val="00DF1061"/>
    <w:rsid w:val="00DF22B2"/>
    <w:rsid w:val="00DF23E0"/>
    <w:rsid w:val="00DF345D"/>
    <w:rsid w:val="00DF34D5"/>
    <w:rsid w:val="00DF3537"/>
    <w:rsid w:val="00DF494B"/>
    <w:rsid w:val="00DF5FF8"/>
    <w:rsid w:val="00DF7416"/>
    <w:rsid w:val="00DF79F1"/>
    <w:rsid w:val="00E008AA"/>
    <w:rsid w:val="00E01A55"/>
    <w:rsid w:val="00E03F8A"/>
    <w:rsid w:val="00E048A9"/>
    <w:rsid w:val="00E050E5"/>
    <w:rsid w:val="00E05556"/>
    <w:rsid w:val="00E06BAB"/>
    <w:rsid w:val="00E06E64"/>
    <w:rsid w:val="00E0701E"/>
    <w:rsid w:val="00E121FD"/>
    <w:rsid w:val="00E13C49"/>
    <w:rsid w:val="00E14269"/>
    <w:rsid w:val="00E1496C"/>
    <w:rsid w:val="00E15ABE"/>
    <w:rsid w:val="00E15D99"/>
    <w:rsid w:val="00E168D7"/>
    <w:rsid w:val="00E171C6"/>
    <w:rsid w:val="00E17C85"/>
    <w:rsid w:val="00E20A3B"/>
    <w:rsid w:val="00E2242B"/>
    <w:rsid w:val="00E2343F"/>
    <w:rsid w:val="00E24952"/>
    <w:rsid w:val="00E2581F"/>
    <w:rsid w:val="00E26BB7"/>
    <w:rsid w:val="00E277AF"/>
    <w:rsid w:val="00E27A88"/>
    <w:rsid w:val="00E305CA"/>
    <w:rsid w:val="00E324BE"/>
    <w:rsid w:val="00E33E82"/>
    <w:rsid w:val="00E343EF"/>
    <w:rsid w:val="00E3666F"/>
    <w:rsid w:val="00E367DF"/>
    <w:rsid w:val="00E41099"/>
    <w:rsid w:val="00E4184B"/>
    <w:rsid w:val="00E42295"/>
    <w:rsid w:val="00E4303E"/>
    <w:rsid w:val="00E43069"/>
    <w:rsid w:val="00E43416"/>
    <w:rsid w:val="00E43A40"/>
    <w:rsid w:val="00E45399"/>
    <w:rsid w:val="00E45B4A"/>
    <w:rsid w:val="00E467BA"/>
    <w:rsid w:val="00E468CF"/>
    <w:rsid w:val="00E46C0B"/>
    <w:rsid w:val="00E47B84"/>
    <w:rsid w:val="00E47C9E"/>
    <w:rsid w:val="00E51383"/>
    <w:rsid w:val="00E52881"/>
    <w:rsid w:val="00E52C00"/>
    <w:rsid w:val="00E52C14"/>
    <w:rsid w:val="00E53CF6"/>
    <w:rsid w:val="00E56059"/>
    <w:rsid w:val="00E57C1D"/>
    <w:rsid w:val="00E57D0E"/>
    <w:rsid w:val="00E61F11"/>
    <w:rsid w:val="00E62A75"/>
    <w:rsid w:val="00E63323"/>
    <w:rsid w:val="00E63A8B"/>
    <w:rsid w:val="00E64ADA"/>
    <w:rsid w:val="00E651B2"/>
    <w:rsid w:val="00E6642B"/>
    <w:rsid w:val="00E67751"/>
    <w:rsid w:val="00E71669"/>
    <w:rsid w:val="00E7232F"/>
    <w:rsid w:val="00E7486E"/>
    <w:rsid w:val="00E748A3"/>
    <w:rsid w:val="00E74E14"/>
    <w:rsid w:val="00E801B6"/>
    <w:rsid w:val="00E81267"/>
    <w:rsid w:val="00E82A5B"/>
    <w:rsid w:val="00E83176"/>
    <w:rsid w:val="00E83AAA"/>
    <w:rsid w:val="00E853A6"/>
    <w:rsid w:val="00E90D76"/>
    <w:rsid w:val="00E91331"/>
    <w:rsid w:val="00E93A5B"/>
    <w:rsid w:val="00E93FA5"/>
    <w:rsid w:val="00E95285"/>
    <w:rsid w:val="00E95BDF"/>
    <w:rsid w:val="00E96386"/>
    <w:rsid w:val="00E96581"/>
    <w:rsid w:val="00E97864"/>
    <w:rsid w:val="00E979F2"/>
    <w:rsid w:val="00E97F4B"/>
    <w:rsid w:val="00EA091D"/>
    <w:rsid w:val="00EA0A57"/>
    <w:rsid w:val="00EA2059"/>
    <w:rsid w:val="00EA435E"/>
    <w:rsid w:val="00EA471D"/>
    <w:rsid w:val="00EA62C3"/>
    <w:rsid w:val="00EA68FE"/>
    <w:rsid w:val="00EA7335"/>
    <w:rsid w:val="00EB0C2F"/>
    <w:rsid w:val="00EB1579"/>
    <w:rsid w:val="00EB1B35"/>
    <w:rsid w:val="00EB20E1"/>
    <w:rsid w:val="00EB27C9"/>
    <w:rsid w:val="00EB330F"/>
    <w:rsid w:val="00EB3DDA"/>
    <w:rsid w:val="00EB3F66"/>
    <w:rsid w:val="00EB7E01"/>
    <w:rsid w:val="00EC0036"/>
    <w:rsid w:val="00EC10CA"/>
    <w:rsid w:val="00EC1629"/>
    <w:rsid w:val="00EC17B7"/>
    <w:rsid w:val="00EC29C8"/>
    <w:rsid w:val="00EC468D"/>
    <w:rsid w:val="00EC4EB7"/>
    <w:rsid w:val="00EC696F"/>
    <w:rsid w:val="00EC71A4"/>
    <w:rsid w:val="00EC7E67"/>
    <w:rsid w:val="00ED0354"/>
    <w:rsid w:val="00ED0FB7"/>
    <w:rsid w:val="00ED16AC"/>
    <w:rsid w:val="00ED22B9"/>
    <w:rsid w:val="00ED2F40"/>
    <w:rsid w:val="00ED35FE"/>
    <w:rsid w:val="00ED3AE7"/>
    <w:rsid w:val="00ED435A"/>
    <w:rsid w:val="00ED48B1"/>
    <w:rsid w:val="00ED4937"/>
    <w:rsid w:val="00ED68A4"/>
    <w:rsid w:val="00ED6B78"/>
    <w:rsid w:val="00ED7C81"/>
    <w:rsid w:val="00EE118B"/>
    <w:rsid w:val="00EE282B"/>
    <w:rsid w:val="00EE2DBC"/>
    <w:rsid w:val="00EE30C7"/>
    <w:rsid w:val="00EE50D0"/>
    <w:rsid w:val="00EE5966"/>
    <w:rsid w:val="00EE64C9"/>
    <w:rsid w:val="00EF4473"/>
    <w:rsid w:val="00EF4D40"/>
    <w:rsid w:val="00EF66EE"/>
    <w:rsid w:val="00EF6C1F"/>
    <w:rsid w:val="00EF70D3"/>
    <w:rsid w:val="00F00724"/>
    <w:rsid w:val="00F00F80"/>
    <w:rsid w:val="00F010DF"/>
    <w:rsid w:val="00F0153E"/>
    <w:rsid w:val="00F0154D"/>
    <w:rsid w:val="00F019DB"/>
    <w:rsid w:val="00F01F0B"/>
    <w:rsid w:val="00F02131"/>
    <w:rsid w:val="00F0341E"/>
    <w:rsid w:val="00F04E06"/>
    <w:rsid w:val="00F05070"/>
    <w:rsid w:val="00F054F4"/>
    <w:rsid w:val="00F058C8"/>
    <w:rsid w:val="00F064C2"/>
    <w:rsid w:val="00F07C17"/>
    <w:rsid w:val="00F13371"/>
    <w:rsid w:val="00F146AA"/>
    <w:rsid w:val="00F150BD"/>
    <w:rsid w:val="00F1584B"/>
    <w:rsid w:val="00F15E13"/>
    <w:rsid w:val="00F161D1"/>
    <w:rsid w:val="00F16D33"/>
    <w:rsid w:val="00F17847"/>
    <w:rsid w:val="00F2035E"/>
    <w:rsid w:val="00F20B93"/>
    <w:rsid w:val="00F22473"/>
    <w:rsid w:val="00F2254B"/>
    <w:rsid w:val="00F23B8E"/>
    <w:rsid w:val="00F24FF7"/>
    <w:rsid w:val="00F2555A"/>
    <w:rsid w:val="00F27883"/>
    <w:rsid w:val="00F27D11"/>
    <w:rsid w:val="00F30DE2"/>
    <w:rsid w:val="00F319D5"/>
    <w:rsid w:val="00F32BE1"/>
    <w:rsid w:val="00F3431B"/>
    <w:rsid w:val="00F34B3D"/>
    <w:rsid w:val="00F35554"/>
    <w:rsid w:val="00F361B0"/>
    <w:rsid w:val="00F36C55"/>
    <w:rsid w:val="00F40772"/>
    <w:rsid w:val="00F41409"/>
    <w:rsid w:val="00F423C8"/>
    <w:rsid w:val="00F42FE9"/>
    <w:rsid w:val="00F43664"/>
    <w:rsid w:val="00F43919"/>
    <w:rsid w:val="00F4611A"/>
    <w:rsid w:val="00F470C9"/>
    <w:rsid w:val="00F50537"/>
    <w:rsid w:val="00F510DE"/>
    <w:rsid w:val="00F51A62"/>
    <w:rsid w:val="00F534A2"/>
    <w:rsid w:val="00F55573"/>
    <w:rsid w:val="00F55853"/>
    <w:rsid w:val="00F56C9F"/>
    <w:rsid w:val="00F60CC3"/>
    <w:rsid w:val="00F60DEC"/>
    <w:rsid w:val="00F644EC"/>
    <w:rsid w:val="00F65A0B"/>
    <w:rsid w:val="00F65DC5"/>
    <w:rsid w:val="00F66FAE"/>
    <w:rsid w:val="00F70DE7"/>
    <w:rsid w:val="00F717E0"/>
    <w:rsid w:val="00F7251D"/>
    <w:rsid w:val="00F72969"/>
    <w:rsid w:val="00F7359C"/>
    <w:rsid w:val="00F73E10"/>
    <w:rsid w:val="00F74F27"/>
    <w:rsid w:val="00F75043"/>
    <w:rsid w:val="00F7513C"/>
    <w:rsid w:val="00F7723C"/>
    <w:rsid w:val="00F775AB"/>
    <w:rsid w:val="00F81910"/>
    <w:rsid w:val="00F823AF"/>
    <w:rsid w:val="00F8334C"/>
    <w:rsid w:val="00F85826"/>
    <w:rsid w:val="00F863EA"/>
    <w:rsid w:val="00F87136"/>
    <w:rsid w:val="00F877D7"/>
    <w:rsid w:val="00F87A3D"/>
    <w:rsid w:val="00F909A2"/>
    <w:rsid w:val="00F91AD6"/>
    <w:rsid w:val="00F9212D"/>
    <w:rsid w:val="00F95CFD"/>
    <w:rsid w:val="00F965F3"/>
    <w:rsid w:val="00F96DA7"/>
    <w:rsid w:val="00F9748F"/>
    <w:rsid w:val="00F97FB8"/>
    <w:rsid w:val="00FA080B"/>
    <w:rsid w:val="00FA1C99"/>
    <w:rsid w:val="00FA3377"/>
    <w:rsid w:val="00FA3FBE"/>
    <w:rsid w:val="00FA4055"/>
    <w:rsid w:val="00FA5199"/>
    <w:rsid w:val="00FA53B7"/>
    <w:rsid w:val="00FB065B"/>
    <w:rsid w:val="00FB0663"/>
    <w:rsid w:val="00FB1262"/>
    <w:rsid w:val="00FB1C8C"/>
    <w:rsid w:val="00FB2948"/>
    <w:rsid w:val="00FB383D"/>
    <w:rsid w:val="00FB388C"/>
    <w:rsid w:val="00FB4013"/>
    <w:rsid w:val="00FB50D6"/>
    <w:rsid w:val="00FB674A"/>
    <w:rsid w:val="00FB77CB"/>
    <w:rsid w:val="00FC0DD8"/>
    <w:rsid w:val="00FC10BB"/>
    <w:rsid w:val="00FC1949"/>
    <w:rsid w:val="00FC2AB6"/>
    <w:rsid w:val="00FC4BF0"/>
    <w:rsid w:val="00FC4D06"/>
    <w:rsid w:val="00FC638A"/>
    <w:rsid w:val="00FC6EA5"/>
    <w:rsid w:val="00FC6FD1"/>
    <w:rsid w:val="00FC733D"/>
    <w:rsid w:val="00FD126E"/>
    <w:rsid w:val="00FD2159"/>
    <w:rsid w:val="00FD277C"/>
    <w:rsid w:val="00FD2B8D"/>
    <w:rsid w:val="00FD3651"/>
    <w:rsid w:val="00FD4EE6"/>
    <w:rsid w:val="00FD5F20"/>
    <w:rsid w:val="00FD6FD8"/>
    <w:rsid w:val="00FD7DDE"/>
    <w:rsid w:val="00FE1048"/>
    <w:rsid w:val="00FE29F3"/>
    <w:rsid w:val="00FE301E"/>
    <w:rsid w:val="00FE3D92"/>
    <w:rsid w:val="00FE564F"/>
    <w:rsid w:val="00FE5EA2"/>
    <w:rsid w:val="00FE6F57"/>
    <w:rsid w:val="00FF0128"/>
    <w:rsid w:val="00FF07F3"/>
    <w:rsid w:val="00FF0AD4"/>
    <w:rsid w:val="00FF1C33"/>
    <w:rsid w:val="00FF2113"/>
    <w:rsid w:val="00FF2D84"/>
    <w:rsid w:val="00FF2F67"/>
    <w:rsid w:val="00FF3F9C"/>
    <w:rsid w:val="00FF5A6E"/>
    <w:rsid w:val="00FF5B7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A6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autoRedefine/>
    <w:semiHidden/>
    <w:rsid w:val="00000B2F"/>
    <w:pPr>
      <w:tabs>
        <w:tab w:val="left" w:pos="180"/>
      </w:tabs>
      <w:ind w:left="187" w:hanging="187"/>
      <w:jc w:val="both"/>
    </w:pPr>
    <w:rPr>
      <w:sz w:val="20"/>
      <w:szCs w:val="20"/>
    </w:rPr>
  </w:style>
  <w:style w:type="table" w:styleId="TableGrid">
    <w:name w:val="Table Grid"/>
    <w:basedOn w:val="TableNormal"/>
    <w:rsid w:val="00D4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C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5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C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5C70"/>
    <w:rPr>
      <w:sz w:val="24"/>
      <w:szCs w:val="24"/>
    </w:rPr>
  </w:style>
  <w:style w:type="paragraph" w:styleId="NoSpacing">
    <w:name w:val="No Spacing"/>
    <w:qFormat/>
    <w:rsid w:val="001A6DC0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650FD7"/>
    <w:rPr>
      <w:vertAlign w:val="superscript"/>
    </w:rPr>
  </w:style>
  <w:style w:type="paragraph" w:customStyle="1" w:styleId="Car1CarCarCar">
    <w:name w:val="Car1 Car Car Car"/>
    <w:basedOn w:val="Normal"/>
    <w:rsid w:val="005A295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</w:rPr>
  </w:style>
  <w:style w:type="paragraph" w:styleId="Revision">
    <w:name w:val="Revision"/>
    <w:hidden/>
    <w:uiPriority w:val="99"/>
    <w:semiHidden/>
    <w:rsid w:val="005A5496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C128C1"/>
    <w:rPr>
      <w:sz w:val="16"/>
      <w:szCs w:val="16"/>
    </w:rPr>
  </w:style>
  <w:style w:type="paragraph" w:styleId="CommentText">
    <w:name w:val="annotation text"/>
    <w:basedOn w:val="Normal"/>
    <w:semiHidden/>
    <w:rsid w:val="00C128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28C1"/>
    <w:rPr>
      <w:b/>
      <w:bCs/>
    </w:rPr>
  </w:style>
  <w:style w:type="paragraph" w:styleId="NormalWeb">
    <w:name w:val="Normal (Web)"/>
    <w:basedOn w:val="Normal"/>
    <w:unhideWhenUsed/>
    <w:rsid w:val="005A11D2"/>
    <w:pPr>
      <w:spacing w:before="100" w:beforeAutospacing="1" w:after="100" w:afterAutospacing="1"/>
    </w:pPr>
    <w:rPr>
      <w:lang w:val="es-ES" w:eastAsia="es-ES"/>
    </w:rPr>
  </w:style>
  <w:style w:type="paragraph" w:customStyle="1" w:styleId="Sinespaciado1">
    <w:name w:val="Sin espaciado1"/>
    <w:qFormat/>
    <w:rsid w:val="00E3666F"/>
    <w:rPr>
      <w:sz w:val="24"/>
      <w:szCs w:val="24"/>
      <w:lang w:val="en-US" w:eastAsia="en-US"/>
    </w:rPr>
  </w:style>
  <w:style w:type="paragraph" w:customStyle="1" w:styleId="Revisin1">
    <w:name w:val="Revisión1"/>
    <w:hidden/>
    <w:uiPriority w:val="99"/>
    <w:semiHidden/>
    <w:rsid w:val="00E3666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922AD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922A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22A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083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A6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autoRedefine/>
    <w:semiHidden/>
    <w:rsid w:val="00000B2F"/>
    <w:pPr>
      <w:tabs>
        <w:tab w:val="left" w:pos="180"/>
      </w:tabs>
      <w:ind w:left="187" w:hanging="187"/>
      <w:jc w:val="both"/>
    </w:pPr>
    <w:rPr>
      <w:sz w:val="20"/>
      <w:szCs w:val="20"/>
    </w:rPr>
  </w:style>
  <w:style w:type="table" w:styleId="TableGrid">
    <w:name w:val="Table Grid"/>
    <w:basedOn w:val="TableNormal"/>
    <w:rsid w:val="00D4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C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5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C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5C70"/>
    <w:rPr>
      <w:sz w:val="24"/>
      <w:szCs w:val="24"/>
    </w:rPr>
  </w:style>
  <w:style w:type="paragraph" w:styleId="NoSpacing">
    <w:name w:val="No Spacing"/>
    <w:qFormat/>
    <w:rsid w:val="001A6DC0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650FD7"/>
    <w:rPr>
      <w:vertAlign w:val="superscript"/>
    </w:rPr>
  </w:style>
  <w:style w:type="paragraph" w:customStyle="1" w:styleId="Car1CarCarCar">
    <w:name w:val="Car1 Car Car Car"/>
    <w:basedOn w:val="Normal"/>
    <w:rsid w:val="005A295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</w:rPr>
  </w:style>
  <w:style w:type="paragraph" w:styleId="Revision">
    <w:name w:val="Revision"/>
    <w:hidden/>
    <w:uiPriority w:val="99"/>
    <w:semiHidden/>
    <w:rsid w:val="005A5496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C128C1"/>
    <w:rPr>
      <w:sz w:val="16"/>
      <w:szCs w:val="16"/>
    </w:rPr>
  </w:style>
  <w:style w:type="paragraph" w:styleId="CommentText">
    <w:name w:val="annotation text"/>
    <w:basedOn w:val="Normal"/>
    <w:semiHidden/>
    <w:rsid w:val="00C128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28C1"/>
    <w:rPr>
      <w:b/>
      <w:bCs/>
    </w:rPr>
  </w:style>
  <w:style w:type="paragraph" w:styleId="NormalWeb">
    <w:name w:val="Normal (Web)"/>
    <w:basedOn w:val="Normal"/>
    <w:unhideWhenUsed/>
    <w:rsid w:val="005A11D2"/>
    <w:pPr>
      <w:spacing w:before="100" w:beforeAutospacing="1" w:after="100" w:afterAutospacing="1"/>
    </w:pPr>
    <w:rPr>
      <w:lang w:val="es-ES" w:eastAsia="es-ES"/>
    </w:rPr>
  </w:style>
  <w:style w:type="paragraph" w:customStyle="1" w:styleId="Sinespaciado1">
    <w:name w:val="Sin espaciado1"/>
    <w:qFormat/>
    <w:rsid w:val="00E3666F"/>
    <w:rPr>
      <w:sz w:val="24"/>
      <w:szCs w:val="24"/>
      <w:lang w:val="en-US" w:eastAsia="en-US"/>
    </w:rPr>
  </w:style>
  <w:style w:type="paragraph" w:customStyle="1" w:styleId="Revisin1">
    <w:name w:val="Revisión1"/>
    <w:hidden/>
    <w:uiPriority w:val="99"/>
    <w:semiHidden/>
    <w:rsid w:val="00E3666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922AD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922A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22A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0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ei.gob.pe/media/MenuRecursivo/publicaciones_digitales/Est/Lib1076/index.htm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yectos.inei.gob.pe/eea/redat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inei.inei.gob.pe/microdat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c.gob.pe/portal/ogpp/estudi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873C-53B3-48B4-B76E-819206A9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2708</Words>
  <Characters>15440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</vt:lpstr>
      <vt:lpstr>PERU</vt:lpstr>
    </vt:vector>
  </TitlesOfParts>
  <Company>Consultant</Company>
  <LinksUpToDate>false</LinksUpToDate>
  <CharactersWithSpaces>18112</CharactersWithSpaces>
  <SharedDoc>false</SharedDoc>
  <HLinks>
    <vt:vector size="18" baseType="variant">
      <vt:variant>
        <vt:i4>4980782</vt:i4>
      </vt:variant>
      <vt:variant>
        <vt:i4>6</vt:i4>
      </vt:variant>
      <vt:variant>
        <vt:i4>0</vt:i4>
      </vt:variant>
      <vt:variant>
        <vt:i4>5</vt:i4>
      </vt:variant>
      <vt:variant>
        <vt:lpwstr>http://www.inei.gob.pe/media/MenuRecursivo/publicaciones_digitales/Est/Lib1076/index.html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http://economicas.inei.gob.pe/eea/redatam/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http://iinei.inei.gob.pe/microdatos/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</dc:title>
  <dc:creator>Hunt Howell</dc:creator>
  <cp:lastModifiedBy>Blanca Torrico</cp:lastModifiedBy>
  <cp:revision>3</cp:revision>
  <cp:lastPrinted>2014-09-19T14:39:00Z</cp:lastPrinted>
  <dcterms:created xsi:type="dcterms:W3CDTF">2014-10-02T21:19:00Z</dcterms:created>
  <dcterms:modified xsi:type="dcterms:W3CDTF">2014-10-02T23:06:00Z</dcterms:modified>
</cp:coreProperties>
</file>