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2E7B1" w14:textId="77777777" w:rsidR="000A30ED" w:rsidRDefault="00B076FC" w:rsidP="000A30ED">
      <w:pPr>
        <w:jc w:val="center"/>
        <w:rPr>
          <w:rFonts w:ascii="Arial" w:hAnsi="Arial" w:cs="Arial"/>
          <w:b/>
          <w:smallCaps/>
        </w:rPr>
      </w:pPr>
      <w:bookmarkStart w:id="0" w:name="_Toc193012681"/>
      <w:bookmarkStart w:id="1" w:name="_Toc193013165"/>
      <w:r>
        <w:rPr>
          <w:rFonts w:ascii="Arial" w:hAnsi="Arial" w:cs="Arial"/>
          <w:b/>
          <w:smallCaps/>
        </w:rPr>
        <w:t xml:space="preserve">Cambios en las </w:t>
      </w:r>
      <w:r w:rsidR="000A30ED">
        <w:rPr>
          <w:rFonts w:ascii="Arial" w:hAnsi="Arial" w:cs="Arial"/>
          <w:b/>
          <w:smallCaps/>
        </w:rPr>
        <w:t xml:space="preserve">Condiciones acordadas para la segunda operación vs. condiciones acordadas en la propuesta de préstamo </w:t>
      </w:r>
      <w:r>
        <w:rPr>
          <w:rFonts w:ascii="Arial" w:hAnsi="Arial" w:cs="Arial"/>
          <w:b/>
          <w:smallCaps/>
        </w:rPr>
        <w:t xml:space="preserve">de la primera operación </w:t>
      </w:r>
    </w:p>
    <w:p w14:paraId="6F7F3243" w14:textId="77777777" w:rsidR="00810255" w:rsidRPr="0045225C" w:rsidRDefault="00BC6FF0" w:rsidP="00745CB4">
      <w:pPr>
        <w:pStyle w:val="Header"/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2"/>
          <w:szCs w:val="22"/>
          <w:lang w:val="es-ES_tradnl"/>
        </w:rPr>
      </w:pPr>
      <w:r w:rsidRPr="0045225C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</w:p>
    <w:p w14:paraId="082692E2" w14:textId="5C55BC8E" w:rsidR="00D720CB" w:rsidRPr="0045225C" w:rsidRDefault="00D720CB" w:rsidP="0045225C">
      <w:pPr>
        <w:pStyle w:val="Header"/>
        <w:tabs>
          <w:tab w:val="clear" w:pos="4320"/>
          <w:tab w:val="clear" w:pos="8640"/>
        </w:tabs>
        <w:spacing w:before="60" w:after="6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5225C">
        <w:rPr>
          <w:rFonts w:ascii="Arial" w:hAnsi="Arial" w:cs="Arial"/>
          <w:b/>
          <w:sz w:val="18"/>
          <w:szCs w:val="18"/>
          <w:lang w:val="es-ES_tradnl"/>
        </w:rPr>
        <w:t xml:space="preserve">NOTA: </w:t>
      </w:r>
      <w:r w:rsidR="003D6A2D" w:rsidRPr="003D6A2D">
        <w:rPr>
          <w:rFonts w:ascii="Arial" w:hAnsi="Arial" w:cs="Arial"/>
          <w:b/>
          <w:sz w:val="18"/>
          <w:szCs w:val="18"/>
          <w:lang w:val="es-ES_tradnl"/>
        </w:rPr>
        <w:t>EN LA MATRIZ DE POLÍTICA ÚNICAMENTE SE HAN AÑADIDO ACCIONES DE POLÍTICA EN NINGÚN CASO SE HAN MODIFICADO LAS CONDICIONES INICIALMENTE CONTEMPLADAS PARA ESTA SEGUNDA OPERACIÓN DE LA SERIE</w:t>
      </w:r>
      <w:r w:rsidR="003D6A2D" w:rsidRPr="003D6A2D">
        <w:rPr>
          <w:rFonts w:ascii="Arial" w:hAnsi="Arial" w:cs="Arial"/>
          <w:b/>
          <w:sz w:val="22"/>
          <w:szCs w:val="22"/>
          <w:lang w:val="es-ES_tradnl"/>
        </w:rPr>
        <w:t>.</w:t>
      </w:r>
      <w:r w:rsidRPr="0045225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70AB7EFB" w14:textId="77777777" w:rsidR="00D720CB" w:rsidRPr="0045225C" w:rsidRDefault="00D720CB" w:rsidP="00745CB4">
      <w:pPr>
        <w:pStyle w:val="Header"/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970"/>
        <w:gridCol w:w="3060"/>
        <w:gridCol w:w="4701"/>
      </w:tblGrid>
      <w:tr w:rsidR="00F12EB4" w:rsidRPr="003D6A2D" w14:paraId="51829A49" w14:textId="77777777" w:rsidTr="00CF50F8">
        <w:trPr>
          <w:trHeight w:val="130"/>
          <w:tblHeader/>
        </w:trPr>
        <w:tc>
          <w:tcPr>
            <w:tcW w:w="2445" w:type="dxa"/>
            <w:shd w:val="clear" w:color="auto" w:fill="B6DDE8" w:themeFill="accent5" w:themeFillTint="66"/>
            <w:vAlign w:val="center"/>
            <w:hideMark/>
          </w:tcPr>
          <w:bookmarkEnd w:id="0"/>
          <w:bookmarkEnd w:id="1"/>
          <w:p w14:paraId="7DB820AF" w14:textId="77777777" w:rsidR="00EB594C" w:rsidRPr="003D6A2D" w:rsidRDefault="002835C6" w:rsidP="00CF50F8">
            <w:pPr>
              <w:spacing w:before="60" w:after="6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D6A2D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Objetivos de Política</w:t>
            </w:r>
          </w:p>
        </w:tc>
        <w:tc>
          <w:tcPr>
            <w:tcW w:w="2970" w:type="dxa"/>
            <w:shd w:val="clear" w:color="auto" w:fill="B6DDE8" w:themeFill="accent5" w:themeFillTint="66"/>
            <w:vAlign w:val="center"/>
            <w:hideMark/>
          </w:tcPr>
          <w:p w14:paraId="1BCACC71" w14:textId="77777777" w:rsidR="00EB594C" w:rsidRPr="003D6A2D" w:rsidRDefault="002835C6" w:rsidP="00CF50F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</w:pPr>
            <w:r w:rsidRPr="003D6A2D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  <w:t>Acuerdos para la Segunda Operación Acordados en el 1er Pbp</w:t>
            </w:r>
          </w:p>
        </w:tc>
        <w:tc>
          <w:tcPr>
            <w:tcW w:w="3060" w:type="dxa"/>
            <w:shd w:val="clear" w:color="auto" w:fill="B6DDE8" w:themeFill="accent5" w:themeFillTint="66"/>
            <w:vAlign w:val="center"/>
          </w:tcPr>
          <w:p w14:paraId="4E11D00F" w14:textId="77777777" w:rsidR="00EB594C" w:rsidRPr="003D6A2D" w:rsidRDefault="002835C6" w:rsidP="00CF50F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</w:pPr>
            <w:r w:rsidRPr="003D6A2D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  <w:t>Acuerdos para la Segunda Operación revisadas y Acordadas</w:t>
            </w:r>
          </w:p>
        </w:tc>
        <w:tc>
          <w:tcPr>
            <w:tcW w:w="4701" w:type="dxa"/>
            <w:shd w:val="clear" w:color="auto" w:fill="B6DDE8" w:themeFill="accent5" w:themeFillTint="66"/>
            <w:vAlign w:val="center"/>
          </w:tcPr>
          <w:p w14:paraId="1C67B474" w14:textId="77777777" w:rsidR="00EB594C" w:rsidRPr="003D6A2D" w:rsidRDefault="002835C6" w:rsidP="00CF50F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</w:pPr>
            <w:r w:rsidRPr="003D6A2D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_tradnl"/>
              </w:rPr>
              <w:t>Explicaciones</w:t>
            </w:r>
          </w:p>
        </w:tc>
      </w:tr>
      <w:tr w:rsidR="00F12EB4" w:rsidRPr="008E09A8" w14:paraId="1FEFA418" w14:textId="77777777" w:rsidTr="00293697">
        <w:trPr>
          <w:trHeight w:val="130"/>
        </w:trPr>
        <w:tc>
          <w:tcPr>
            <w:tcW w:w="8475" w:type="dxa"/>
            <w:gridSpan w:val="3"/>
            <w:shd w:val="clear" w:color="auto" w:fill="B6DDE8" w:themeFill="accent5" w:themeFillTint="66"/>
            <w:vAlign w:val="center"/>
          </w:tcPr>
          <w:p w14:paraId="1A65BBB0" w14:textId="77777777" w:rsidR="00EB594C" w:rsidRPr="008E09A8" w:rsidRDefault="00EB594C" w:rsidP="0089051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8E09A8">
              <w:rPr>
                <w:rFonts w:ascii="Arial" w:hAnsi="Arial" w:cs="Arial"/>
                <w:b/>
                <w:sz w:val="20"/>
                <w:szCs w:val="20"/>
              </w:rPr>
              <w:t>Componente I: Sostenibilidad Macroeconómica</w:t>
            </w:r>
          </w:p>
        </w:tc>
        <w:tc>
          <w:tcPr>
            <w:tcW w:w="4701" w:type="dxa"/>
            <w:shd w:val="clear" w:color="auto" w:fill="B6DDE8" w:themeFill="accent5" w:themeFillTint="66"/>
          </w:tcPr>
          <w:p w14:paraId="4BDE0842" w14:textId="77777777" w:rsidR="00EB594C" w:rsidRPr="008E09A8" w:rsidRDefault="00EB594C" w:rsidP="0029369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EB4" w:rsidRPr="008E09A8" w14:paraId="2FDBF0A5" w14:textId="77777777" w:rsidTr="00293697">
        <w:trPr>
          <w:trHeight w:val="878"/>
        </w:trPr>
        <w:tc>
          <w:tcPr>
            <w:tcW w:w="2445" w:type="dxa"/>
            <w:shd w:val="clear" w:color="auto" w:fill="auto"/>
            <w:hideMark/>
          </w:tcPr>
          <w:p w14:paraId="4776F792" w14:textId="77777777" w:rsidR="00EB594C" w:rsidRPr="00F91160" w:rsidRDefault="00EB594C" w:rsidP="00293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1160">
              <w:rPr>
                <w:rFonts w:ascii="Arial" w:hAnsi="Arial" w:cs="Arial"/>
                <w:b/>
                <w:sz w:val="20"/>
                <w:szCs w:val="20"/>
              </w:rPr>
              <w:t xml:space="preserve">Mantener un entorno Macroeconómico estable, consistente </w:t>
            </w:r>
            <w:r w:rsidR="00F91160">
              <w:rPr>
                <w:rFonts w:ascii="Arial" w:hAnsi="Arial" w:cs="Arial"/>
                <w:b/>
                <w:sz w:val="20"/>
                <w:szCs w:val="20"/>
              </w:rPr>
              <w:t>con los objetivos del programa</w:t>
            </w:r>
          </w:p>
        </w:tc>
        <w:tc>
          <w:tcPr>
            <w:tcW w:w="2970" w:type="dxa"/>
            <w:shd w:val="clear" w:color="auto" w:fill="auto"/>
            <w:hideMark/>
          </w:tcPr>
          <w:p w14:paraId="3A04877D" w14:textId="77777777" w:rsidR="00EB594C" w:rsidRPr="008E09A8" w:rsidRDefault="00EB594C" w:rsidP="00293697">
            <w:pPr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hAnsi="Arial" w:cs="Arial"/>
                <w:sz w:val="20"/>
                <w:szCs w:val="20"/>
                <w:lang w:val="es-ES_tradnl"/>
              </w:rPr>
              <w:t>Mantener un marco de políticas macroeconómicas consistente con los objetivos del Programa.</w:t>
            </w:r>
          </w:p>
        </w:tc>
        <w:tc>
          <w:tcPr>
            <w:tcW w:w="3060" w:type="dxa"/>
          </w:tcPr>
          <w:p w14:paraId="5ACE8C04" w14:textId="77777777" w:rsidR="00EB594C" w:rsidRPr="008E09A8" w:rsidRDefault="00EB594C" w:rsidP="0029369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E09A8">
              <w:rPr>
                <w:rFonts w:ascii="Arial" w:hAnsi="Arial" w:cs="Arial"/>
                <w:sz w:val="20"/>
                <w:szCs w:val="20"/>
                <w:lang w:val="es-ES_tradnl"/>
              </w:rPr>
              <w:t>Mantener un marco de políticas macroeconómicas congruente con los objetivos del Programa.</w:t>
            </w:r>
          </w:p>
        </w:tc>
        <w:tc>
          <w:tcPr>
            <w:tcW w:w="4701" w:type="dxa"/>
          </w:tcPr>
          <w:p w14:paraId="40DE6BD7" w14:textId="27C588EC" w:rsidR="00EB594C" w:rsidRPr="008E09A8" w:rsidRDefault="00EF4E8E" w:rsidP="009C24E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</w:t>
            </w:r>
            <w:r w:rsidR="009C24E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ha precisado la redacción de la condición. </w:t>
            </w:r>
          </w:p>
        </w:tc>
      </w:tr>
      <w:tr w:rsidR="002D6849" w:rsidRPr="008E09A8" w14:paraId="0FDBBD52" w14:textId="77777777" w:rsidTr="00532820">
        <w:trPr>
          <w:trHeight w:val="430"/>
        </w:trPr>
        <w:tc>
          <w:tcPr>
            <w:tcW w:w="13176" w:type="dxa"/>
            <w:gridSpan w:val="4"/>
            <w:shd w:val="clear" w:color="auto" w:fill="B6DDE8" w:themeFill="accent5" w:themeFillTint="66"/>
            <w:vAlign w:val="center"/>
          </w:tcPr>
          <w:p w14:paraId="23ABC61B" w14:textId="77777777" w:rsidR="002D6849" w:rsidRPr="008E09A8" w:rsidRDefault="002D6849" w:rsidP="00293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9A8">
              <w:rPr>
                <w:rFonts w:ascii="Arial" w:hAnsi="Arial" w:cs="Arial"/>
                <w:b/>
                <w:sz w:val="20"/>
                <w:szCs w:val="20"/>
              </w:rPr>
              <w:t>Componente II: Fortalecimiento de la regulación financiera para la mejora de la productividad</w:t>
            </w:r>
          </w:p>
        </w:tc>
      </w:tr>
      <w:tr w:rsidR="00F12EB4" w:rsidRPr="008E09A8" w14:paraId="0CAA5050" w14:textId="77777777" w:rsidTr="00293697">
        <w:trPr>
          <w:trHeight w:val="268"/>
        </w:trPr>
        <w:tc>
          <w:tcPr>
            <w:tcW w:w="2445" w:type="dxa"/>
            <w:shd w:val="clear" w:color="auto" w:fill="auto"/>
          </w:tcPr>
          <w:p w14:paraId="7BFABF83" w14:textId="77777777" w:rsidR="00EB594C" w:rsidRPr="008E09A8" w:rsidRDefault="00EB594C" w:rsidP="00293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9A8">
              <w:rPr>
                <w:rFonts w:ascii="Arial" w:hAnsi="Arial" w:cs="Arial"/>
                <w:b/>
                <w:sz w:val="20"/>
                <w:szCs w:val="20"/>
              </w:rPr>
              <w:t>Mejoras en la regulació</w:t>
            </w:r>
            <w:r w:rsidR="00F91160">
              <w:rPr>
                <w:rFonts w:ascii="Arial" w:hAnsi="Arial" w:cs="Arial"/>
                <w:b/>
                <w:sz w:val="20"/>
                <w:szCs w:val="20"/>
              </w:rPr>
              <w:t>n y supervisión microprudencial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5D9204CA" w14:textId="77777777" w:rsidR="00EB594C" w:rsidRPr="008E09A8" w:rsidRDefault="00EB594C" w:rsidP="00293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17E" w14:textId="77777777" w:rsidR="00EB594C" w:rsidRPr="008E09A8" w:rsidRDefault="00EB594C" w:rsidP="00293697">
            <w:pPr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hAnsi="Arial" w:cs="Arial"/>
                <w:sz w:val="20"/>
                <w:szCs w:val="20"/>
              </w:rPr>
              <w:t>Entrada en vigor de la regulación del riesgo de liquidez y del nivel de apalancamiento siguiendo los principios de Basilea III.</w:t>
            </w:r>
          </w:p>
          <w:p w14:paraId="257C0F22" w14:textId="77777777" w:rsidR="00EB594C" w:rsidRPr="008E09A8" w:rsidRDefault="00EB594C" w:rsidP="00293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575" w14:textId="77777777" w:rsidR="00EB594C" w:rsidRPr="008E09A8" w:rsidRDefault="00E02AD4" w:rsidP="00293697">
            <w:pPr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hAnsi="Arial" w:cs="Arial"/>
                <w:sz w:val="20"/>
                <w:szCs w:val="20"/>
              </w:rPr>
              <w:t>Esta condición se introduce debido a su importancia para la regulación del sistema. La introducción de metas de reporte y de cumplimiento con el indicador de liquidez sugerido en los principios de Basilea III es un avance relevante en cuanto complementa la actual regulación en materia de gestión de riesgos y proporciona mayor credibilidad y estabilidad al sistema financ</w:t>
            </w:r>
            <w:r w:rsidR="00E344C7" w:rsidRPr="008E09A8">
              <w:rPr>
                <w:rFonts w:ascii="Arial" w:hAnsi="Arial" w:cs="Arial"/>
                <w:sz w:val="20"/>
                <w:szCs w:val="20"/>
              </w:rPr>
              <w:t>iero. Por otro lado, la introducción de una regulación que limite los niveles de apalancamiento también sigue los principios de Basilea III y contribuye a mejorar la estabilidad general del sistema financiero y de las entidades particulares.</w:t>
            </w:r>
          </w:p>
          <w:p w14:paraId="4EA435A1" w14:textId="77777777" w:rsidR="00E02AD4" w:rsidRPr="008E09A8" w:rsidRDefault="00E02AD4" w:rsidP="00293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9D0" w:rsidRPr="008E09A8" w14:paraId="0B8FF8CB" w14:textId="77777777" w:rsidTr="00F91160">
        <w:trPr>
          <w:trHeight w:val="1772"/>
        </w:trPr>
        <w:tc>
          <w:tcPr>
            <w:tcW w:w="2445" w:type="dxa"/>
            <w:shd w:val="clear" w:color="auto" w:fill="auto"/>
          </w:tcPr>
          <w:p w14:paraId="7CD7B2F9" w14:textId="77777777" w:rsidR="00C469D0" w:rsidRPr="008E09A8" w:rsidRDefault="00C469D0" w:rsidP="00293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9A8">
              <w:rPr>
                <w:rFonts w:ascii="Arial" w:hAnsi="Arial" w:cs="Arial"/>
                <w:b/>
                <w:sz w:val="20"/>
                <w:szCs w:val="20"/>
              </w:rPr>
              <w:lastRenderedPageBreak/>
              <w:t>Mejoras en la transparencia y desarrollo de nuevos instrumentos para el acceso al financiamient</w:t>
            </w:r>
            <w:r w:rsidR="00F91160">
              <w:rPr>
                <w:rFonts w:ascii="Arial" w:hAnsi="Arial" w:cs="Arial"/>
                <w:b/>
                <w:sz w:val="20"/>
                <w:szCs w:val="20"/>
              </w:rPr>
              <w:t>o para el desarrollo productivo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79F9F736" w14:textId="77777777" w:rsidR="00C469D0" w:rsidRPr="008E09A8" w:rsidRDefault="00C469D0" w:rsidP="0029369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  <w:r w:rsidRPr="008E09A8">
              <w:rPr>
                <w:rFonts w:ascii="Arial" w:eastAsia="Calibri" w:hAnsi="Arial" w:cs="Arial"/>
                <w:sz w:val="20"/>
                <w:szCs w:val="20"/>
                <w:lang w:eastAsia="es-AR"/>
              </w:rPr>
              <w:t>Informe de evaluación de la competencia en el</w:t>
            </w:r>
          </w:p>
          <w:p w14:paraId="058DBD18" w14:textId="77777777" w:rsidR="00C469D0" w:rsidRPr="008E09A8" w:rsidRDefault="00C469D0" w:rsidP="00293697">
            <w:pPr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eastAsia="Calibri" w:hAnsi="Arial" w:cs="Arial"/>
                <w:sz w:val="20"/>
                <w:szCs w:val="20"/>
                <w:lang w:eastAsia="es-AR"/>
              </w:rPr>
              <w:t>sistema financiero por parte de la SIBOIF.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BF98B" w14:textId="77777777" w:rsidR="00C469D0" w:rsidRPr="008E09A8" w:rsidRDefault="00C469D0" w:rsidP="00293697">
            <w:pPr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hAnsi="Arial" w:cs="Arial"/>
                <w:sz w:val="20"/>
                <w:szCs w:val="20"/>
              </w:rPr>
              <w:t>Elaboración y aprobación de un Informe de evaluación de la competencia en el sistema financiero por parte de la SIBOIF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10955" w14:textId="77777777" w:rsidR="00C469D0" w:rsidRPr="008E09A8" w:rsidRDefault="00C469D0" w:rsidP="00293697">
            <w:pPr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hAnsi="Arial" w:cs="Arial"/>
                <w:sz w:val="20"/>
                <w:szCs w:val="20"/>
              </w:rPr>
              <w:t xml:space="preserve">Este es un cambio de precisión en el lenguaje. </w:t>
            </w:r>
          </w:p>
        </w:tc>
      </w:tr>
      <w:tr w:rsidR="00F12EB4" w:rsidRPr="008E09A8" w14:paraId="01703926" w14:textId="77777777" w:rsidTr="00293697">
        <w:trPr>
          <w:trHeight w:val="448"/>
        </w:trPr>
        <w:tc>
          <w:tcPr>
            <w:tcW w:w="2445" w:type="dxa"/>
            <w:shd w:val="clear" w:color="auto" w:fill="auto"/>
          </w:tcPr>
          <w:p w14:paraId="2D484157" w14:textId="77777777" w:rsidR="00EB594C" w:rsidRPr="008E09A8" w:rsidRDefault="00EB594C" w:rsidP="008E0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9A8">
              <w:rPr>
                <w:rFonts w:ascii="Arial" w:hAnsi="Arial" w:cs="Arial"/>
                <w:b/>
                <w:sz w:val="20"/>
                <w:szCs w:val="20"/>
              </w:rPr>
              <w:t xml:space="preserve">Mejora en la eficiencia y el funcionamiento de la </w:t>
            </w:r>
            <w:r w:rsidR="00F91160">
              <w:rPr>
                <w:rFonts w:ascii="Arial" w:hAnsi="Arial" w:cs="Arial"/>
                <w:b/>
                <w:sz w:val="20"/>
                <w:szCs w:val="20"/>
              </w:rPr>
              <w:t>banca pública de desarrollo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65EB" w14:textId="77777777" w:rsidR="00EB594C" w:rsidRPr="008E09A8" w:rsidRDefault="00EB594C" w:rsidP="00240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D4DE" w14:textId="77777777" w:rsidR="00EB594C" w:rsidRPr="008E09A8" w:rsidRDefault="00EB594C" w:rsidP="002D70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hAnsi="Arial" w:cs="Arial"/>
                <w:sz w:val="20"/>
                <w:szCs w:val="20"/>
              </w:rPr>
              <w:t xml:space="preserve">Definición de un plan estratégico para el BFP que define los instrumentos y las áreas de acciones prioritarias de actuación a medio plazo. </w:t>
            </w:r>
          </w:p>
          <w:p w14:paraId="10F42317" w14:textId="77777777" w:rsidR="00EB594C" w:rsidRPr="008E09A8" w:rsidRDefault="00EB594C" w:rsidP="00C47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60D" w14:textId="77777777" w:rsidR="005D76F8" w:rsidRPr="008E09A8" w:rsidRDefault="005D76F8" w:rsidP="00293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aprobación del Plan Estratégico del BFP institucionaliza una nueva dirección estratégica y actuación del BFP que se vendrá reflejando en las prioridades y prácticas de sus líneas de negocios.. </w:t>
            </w:r>
            <w:r w:rsidR="005276C2" w:rsidRPr="008E09A8">
              <w:rPr>
                <w:rFonts w:ascii="Arial" w:hAnsi="Arial" w:cs="Arial"/>
                <w:sz w:val="20"/>
                <w:szCs w:val="20"/>
              </w:rPr>
              <w:t>Esa condición se ha incorporado con la intención de reforzar el cambio estratégico en el BFP y, en especial, su vinculación con elementos clave del programa como son el financiamiento a cadenas de valor y sectores estratégicos.</w:t>
            </w:r>
            <w:r>
              <w:rPr>
                <w:rFonts w:ascii="Arial" w:hAnsi="Arial" w:cs="Arial"/>
                <w:sz w:val="20"/>
                <w:szCs w:val="20"/>
              </w:rPr>
              <w:t xml:space="preserve"> El trabajo con las cadenas de valor llevará al BFP a priorizar sectores de actividad y, </w:t>
            </w:r>
            <w:r w:rsidR="00927FC5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 xml:space="preserve">ejemplo, potenciar su actividad </w:t>
            </w:r>
            <w:r w:rsidR="00927FC5">
              <w:rPr>
                <w:rFonts w:ascii="Arial" w:hAnsi="Arial" w:cs="Arial"/>
                <w:sz w:val="20"/>
                <w:szCs w:val="20"/>
              </w:rPr>
              <w:t>con los municipios</w:t>
            </w:r>
            <w:r>
              <w:rPr>
                <w:rFonts w:ascii="Arial" w:hAnsi="Arial" w:cs="Arial"/>
                <w:sz w:val="20"/>
                <w:szCs w:val="20"/>
              </w:rPr>
              <w:t>, en la que operan muchas PYMES, que requieren de mejores obras civiles para  rebajar sus costes de transporte.</w:t>
            </w:r>
          </w:p>
        </w:tc>
      </w:tr>
      <w:tr w:rsidR="00811143" w:rsidRPr="008E09A8" w14:paraId="2CAB8834" w14:textId="77777777" w:rsidTr="00293697">
        <w:trPr>
          <w:trHeight w:val="430"/>
        </w:trPr>
        <w:tc>
          <w:tcPr>
            <w:tcW w:w="13176" w:type="dxa"/>
            <w:gridSpan w:val="4"/>
            <w:shd w:val="clear" w:color="auto" w:fill="B6DDE8" w:themeFill="accent5" w:themeFillTint="66"/>
            <w:vAlign w:val="center"/>
          </w:tcPr>
          <w:p w14:paraId="494D11AA" w14:textId="77777777" w:rsidR="00811143" w:rsidRPr="008E09A8" w:rsidRDefault="00811143" w:rsidP="00293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9A8">
              <w:rPr>
                <w:rFonts w:ascii="Arial" w:hAnsi="Arial" w:cs="Arial"/>
                <w:b/>
                <w:sz w:val="20"/>
                <w:szCs w:val="20"/>
              </w:rPr>
              <w:t>Componente III: Mejora del Clima de Negocios</w:t>
            </w:r>
          </w:p>
        </w:tc>
      </w:tr>
      <w:tr w:rsidR="00223166" w:rsidRPr="008E09A8" w14:paraId="308A0B0F" w14:textId="77777777" w:rsidTr="00CB7F23">
        <w:trPr>
          <w:trHeight w:val="73"/>
        </w:trPr>
        <w:tc>
          <w:tcPr>
            <w:tcW w:w="2445" w:type="dxa"/>
            <w:tcBorders>
              <w:bottom w:val="nil"/>
            </w:tcBorders>
            <w:shd w:val="clear" w:color="auto" w:fill="auto"/>
          </w:tcPr>
          <w:p w14:paraId="4B94EB29" w14:textId="77777777" w:rsidR="00223166" w:rsidRPr="008E09A8" w:rsidRDefault="00223166" w:rsidP="008E0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9A8">
              <w:rPr>
                <w:rFonts w:ascii="Arial" w:hAnsi="Arial" w:cs="Arial"/>
                <w:b/>
                <w:sz w:val="20"/>
                <w:szCs w:val="20"/>
              </w:rPr>
              <w:t xml:space="preserve">Mejora regulatoria y simplificación de procesos </w:t>
            </w:r>
          </w:p>
        </w:tc>
        <w:tc>
          <w:tcPr>
            <w:tcW w:w="29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B0E6D8C" w14:textId="77777777" w:rsidR="00536F6E" w:rsidRPr="008E09A8" w:rsidRDefault="00223166" w:rsidP="00F911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eastAsia="Calibri" w:hAnsi="Arial" w:cs="Arial"/>
                <w:sz w:val="20"/>
                <w:szCs w:val="20"/>
                <w:lang w:eastAsia="es-AR"/>
              </w:rPr>
              <w:t xml:space="preserve">Mejoras en la simplificación de procesos en materia de licencias y permisos medidos dentro del reporte del </w:t>
            </w:r>
            <w:r w:rsidRPr="008E09A8">
              <w:rPr>
                <w:rFonts w:ascii="Arial" w:eastAsia="Calibri" w:hAnsi="Arial" w:cs="Arial"/>
                <w:i/>
                <w:iCs/>
                <w:sz w:val="20"/>
                <w:szCs w:val="20"/>
                <w:lang w:eastAsia="es-AR"/>
              </w:rPr>
              <w:t xml:space="preserve">Doing Business </w:t>
            </w:r>
            <w:r w:rsidRPr="008E09A8">
              <w:rPr>
                <w:rFonts w:ascii="Arial" w:eastAsia="Calibri" w:hAnsi="Arial" w:cs="Arial"/>
                <w:sz w:val="20"/>
                <w:szCs w:val="20"/>
                <w:lang w:eastAsia="es-AR"/>
              </w:rPr>
              <w:t>en las áreas de registros de propiedad, apertura de una empresa, simplificación del pago de impuestos, comercio transfronterizo, incluyendo al nivel subnacional.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D4BAE" w14:textId="77777777" w:rsidR="00536F6E" w:rsidRPr="008E09A8" w:rsidRDefault="00223166" w:rsidP="00F911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eastAsia="Calibri" w:hAnsi="Arial" w:cs="Arial"/>
                <w:sz w:val="20"/>
                <w:szCs w:val="20"/>
                <w:lang w:eastAsia="es-AR"/>
              </w:rPr>
              <w:t xml:space="preserve">Mejoras en la simplificación de procesos en materia de licencias y permisos medidos dentro del reporte del </w:t>
            </w:r>
            <w:r w:rsidRPr="008E09A8">
              <w:rPr>
                <w:rFonts w:ascii="Arial" w:eastAsia="Calibri" w:hAnsi="Arial" w:cs="Arial"/>
                <w:i/>
                <w:iCs/>
                <w:sz w:val="20"/>
                <w:szCs w:val="20"/>
                <w:lang w:eastAsia="es-AR"/>
              </w:rPr>
              <w:t xml:space="preserve">Doing Business </w:t>
            </w:r>
            <w:r w:rsidRPr="008E09A8">
              <w:rPr>
                <w:rFonts w:ascii="Arial" w:eastAsia="Calibri" w:hAnsi="Arial" w:cs="Arial"/>
                <w:sz w:val="20"/>
                <w:szCs w:val="20"/>
                <w:lang w:eastAsia="es-AR"/>
              </w:rPr>
              <w:t>en las áreas de registros de propiedad, apertura de una empresa, simplificación del pago de impuestos, comercio Transfronterizo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D386A" w14:textId="77777777" w:rsidR="00536F6E" w:rsidRPr="008E09A8" w:rsidRDefault="00223166" w:rsidP="00F91160">
            <w:pPr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hAnsi="Arial" w:cs="Arial"/>
                <w:sz w:val="20"/>
                <w:szCs w:val="20"/>
              </w:rPr>
              <w:t>Se ha eliminado “incluyendo el nivel subnacional” porque las reformas de simplificación de trámites no se prevé que alcancen a los gobiernos subnacionales de una forma suficientemente amplia y medible como para ser verificable por el programa. Por tanto se ajusta el objetivo de esta medida, que pasa a tener un alcance más limitado por la razón comentada anteriormente</w:t>
            </w:r>
          </w:p>
        </w:tc>
      </w:tr>
      <w:tr w:rsidR="00223166" w:rsidRPr="008E09A8" w14:paraId="1017BF01" w14:textId="77777777" w:rsidTr="00CB7F23">
        <w:trPr>
          <w:trHeight w:val="629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FC0A" w14:textId="77777777" w:rsidR="00223166" w:rsidRPr="008E09A8" w:rsidRDefault="00223166" w:rsidP="00811143">
            <w:pPr>
              <w:pStyle w:val="ListParagraph"/>
              <w:ind w:left="357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FF14F" w14:textId="77777777" w:rsidR="00223166" w:rsidRPr="008E09A8" w:rsidRDefault="00223166" w:rsidP="008E09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033" w14:textId="77777777" w:rsidR="00223166" w:rsidRPr="008E09A8" w:rsidRDefault="00223166" w:rsidP="008E09A8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ue"/>
              </w:rPr>
            </w:pPr>
          </w:p>
        </w:tc>
        <w:tc>
          <w:tcPr>
            <w:tcW w:w="4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89B" w14:textId="77777777" w:rsidR="00223166" w:rsidRPr="008E09A8" w:rsidRDefault="00223166" w:rsidP="00293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65B" w:rsidRPr="008E09A8" w14:paraId="6D33B21C" w14:textId="77777777" w:rsidTr="00F91160">
        <w:trPr>
          <w:trHeight w:val="629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</w:tcPr>
          <w:p w14:paraId="7A074D48" w14:textId="77777777" w:rsidR="0022565B" w:rsidRPr="008E09A8" w:rsidRDefault="00300F48" w:rsidP="008E09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E09A8">
              <w:rPr>
                <w:rFonts w:ascii="Arial" w:eastAsia="Calibri" w:hAnsi="Arial" w:cs="Arial"/>
                <w:b/>
                <w:bCs/>
                <w:sz w:val="20"/>
                <w:szCs w:val="20"/>
                <w:lang w:eastAsia="es-AR"/>
              </w:rPr>
              <w:lastRenderedPageBreak/>
              <w:t>Fortalecimiento de la gobernanza de la regulación en materia de compe</w:t>
            </w:r>
            <w:r w:rsidR="00F91160">
              <w:rPr>
                <w:rFonts w:ascii="Arial" w:eastAsia="Calibri" w:hAnsi="Arial" w:cs="Arial"/>
                <w:b/>
                <w:bCs/>
                <w:sz w:val="20"/>
                <w:szCs w:val="20"/>
                <w:lang w:eastAsia="es-AR"/>
              </w:rPr>
              <w:t>tencia y defensa del consumidor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052CC965" w14:textId="77777777" w:rsidR="0022565B" w:rsidRPr="008E09A8" w:rsidRDefault="002256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D7B9" w14:textId="77777777" w:rsidR="0022565B" w:rsidRPr="008E09A8" w:rsidRDefault="00300F48" w:rsidP="002D70C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E09A8">
              <w:rPr>
                <w:rFonts w:ascii="Arial" w:hAnsi="Arial" w:cs="Arial"/>
                <w:sz w:val="20"/>
                <w:szCs w:val="20"/>
                <w:lang w:val="es-ES_tradnl"/>
              </w:rPr>
              <w:t>Análisis de las barreras de competencia en los sectores de turismo, lácteo, y madera.</w:t>
            </w:r>
          </w:p>
          <w:p w14:paraId="2CFE983E" w14:textId="77777777" w:rsidR="00300F48" w:rsidRPr="008E09A8" w:rsidRDefault="00300F48" w:rsidP="002D70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9AA" w14:textId="77777777" w:rsidR="00300F48" w:rsidRPr="008E09A8" w:rsidRDefault="00300F48" w:rsidP="00293697">
            <w:pPr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hAnsi="Arial" w:cs="Arial"/>
                <w:sz w:val="20"/>
                <w:szCs w:val="20"/>
              </w:rPr>
              <w:t xml:space="preserve">Esta condición se agrega </w:t>
            </w:r>
            <w:r w:rsidR="00E246ED" w:rsidRPr="008E09A8">
              <w:rPr>
                <w:rFonts w:ascii="Arial" w:hAnsi="Arial" w:cs="Arial"/>
                <w:sz w:val="20"/>
                <w:szCs w:val="20"/>
              </w:rPr>
              <w:t xml:space="preserve">a las condiciones de política de la segunda operación </w:t>
            </w:r>
            <w:r w:rsidRPr="008E09A8">
              <w:rPr>
                <w:rFonts w:ascii="Arial" w:hAnsi="Arial" w:cs="Arial"/>
                <w:sz w:val="20"/>
                <w:szCs w:val="20"/>
              </w:rPr>
              <w:t xml:space="preserve">para ilustrar que la autoridad de competencia </w:t>
            </w:r>
            <w:r w:rsidR="00E246ED" w:rsidRPr="008E09A8">
              <w:rPr>
                <w:rFonts w:ascii="Arial" w:hAnsi="Arial" w:cs="Arial"/>
                <w:sz w:val="20"/>
                <w:szCs w:val="20"/>
              </w:rPr>
              <w:t xml:space="preserve">de Nicaragua </w:t>
            </w:r>
            <w:r w:rsidRPr="008E09A8">
              <w:rPr>
                <w:rFonts w:ascii="Arial" w:hAnsi="Arial" w:cs="Arial"/>
                <w:sz w:val="20"/>
                <w:szCs w:val="20"/>
              </w:rPr>
              <w:t xml:space="preserve">avanza en sus acciones de análisis e investigación, paso previo para emprender acciones de supervisión y sanciones, si procede. </w:t>
            </w:r>
          </w:p>
        </w:tc>
      </w:tr>
      <w:tr w:rsidR="0022565B" w:rsidRPr="008E09A8" w14:paraId="32F26A31" w14:textId="77777777" w:rsidTr="00293697">
        <w:trPr>
          <w:trHeight w:val="430"/>
        </w:trPr>
        <w:tc>
          <w:tcPr>
            <w:tcW w:w="13176" w:type="dxa"/>
            <w:gridSpan w:val="4"/>
            <w:shd w:val="clear" w:color="auto" w:fill="B6DDE8" w:themeFill="accent5" w:themeFillTint="66"/>
            <w:vAlign w:val="center"/>
          </w:tcPr>
          <w:p w14:paraId="7344D6D4" w14:textId="77777777" w:rsidR="0022565B" w:rsidRPr="008E09A8" w:rsidRDefault="0022565B" w:rsidP="00293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9A8">
              <w:rPr>
                <w:rFonts w:ascii="Arial" w:hAnsi="Arial" w:cs="Arial"/>
                <w:b/>
                <w:sz w:val="20"/>
                <w:szCs w:val="20"/>
              </w:rPr>
              <w:t>Componente IV: Fortalecimiento de las instituciones para el desarrollo productivo</w:t>
            </w:r>
          </w:p>
        </w:tc>
      </w:tr>
      <w:tr w:rsidR="00300F48" w:rsidRPr="008E09A8" w14:paraId="31961092" w14:textId="77777777" w:rsidTr="00293697">
        <w:trPr>
          <w:trHeight w:val="629"/>
        </w:trPr>
        <w:tc>
          <w:tcPr>
            <w:tcW w:w="2445" w:type="dxa"/>
            <w:vMerge w:val="restart"/>
            <w:shd w:val="clear" w:color="auto" w:fill="auto"/>
          </w:tcPr>
          <w:p w14:paraId="18E0B84A" w14:textId="77777777" w:rsidR="00300F48" w:rsidRPr="008E09A8" w:rsidRDefault="00300F48" w:rsidP="00F9116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E09A8">
              <w:rPr>
                <w:rFonts w:ascii="Arial" w:hAnsi="Arial" w:cs="Arial"/>
                <w:b/>
                <w:sz w:val="20"/>
                <w:szCs w:val="20"/>
              </w:rPr>
              <w:t>Mejoras de las instituciones y las políticas de ciencia y tecnología</w:t>
            </w:r>
          </w:p>
          <w:p w14:paraId="000AA43C" w14:textId="77777777" w:rsidR="00300F48" w:rsidRPr="008E09A8" w:rsidRDefault="00300F48" w:rsidP="00811143">
            <w:pPr>
              <w:pStyle w:val="ListParagraph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334B51DD" w14:textId="77777777" w:rsidR="00300F48" w:rsidRPr="008E09A8" w:rsidRDefault="00300F48" w:rsidP="00E246ED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hAnsi="Arial" w:cs="Arial"/>
                <w:sz w:val="20"/>
                <w:szCs w:val="20"/>
                <w:lang w:val="es-AR"/>
              </w:rPr>
              <w:t>Desarrollo de una estrategia de ciencia, tecnología, innovación y emprendedurismo, que impulse los sectores prioritarios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A60" w14:textId="77777777" w:rsidR="00300F48" w:rsidRPr="008E09A8" w:rsidRDefault="00300F48" w:rsidP="00763853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hAnsi="Arial" w:cs="Arial"/>
                <w:sz w:val="20"/>
                <w:szCs w:val="20"/>
                <w:lang w:val="es-AR"/>
              </w:rPr>
              <w:t xml:space="preserve">Desarrollo de la estrategia de ciencia, tecnología, innovación y emprendedurismo, que impulse los sectores prioritarios, mediante la creación de un Fondo de Impulso a la Innovación.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A1B" w14:textId="77777777" w:rsidR="00300F48" w:rsidRPr="008E09A8" w:rsidRDefault="00300F48" w:rsidP="00B14CA3">
            <w:pPr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hAnsi="Arial" w:cs="Arial"/>
                <w:sz w:val="20"/>
                <w:szCs w:val="20"/>
              </w:rPr>
              <w:t xml:space="preserve">En esta condición se ha precisado el instrumento mediante el cual se va a impulsar la estrategia de </w:t>
            </w:r>
            <w:r w:rsidRPr="008E09A8">
              <w:rPr>
                <w:rFonts w:ascii="Arial" w:hAnsi="Arial" w:cs="Arial"/>
                <w:sz w:val="20"/>
                <w:szCs w:val="20"/>
                <w:lang w:val="es-AR"/>
              </w:rPr>
              <w:t>ciencia, tecnología, innovación</w:t>
            </w:r>
            <w:r w:rsidR="00072EE6" w:rsidRPr="008E09A8">
              <w:rPr>
                <w:rFonts w:ascii="Arial" w:hAnsi="Arial" w:cs="Arial"/>
                <w:sz w:val="20"/>
                <w:szCs w:val="20"/>
                <w:lang w:val="es-AR"/>
              </w:rPr>
              <w:t>, y que es a través de un Fondo de Impulso a la Innovación</w:t>
            </w:r>
            <w:r w:rsidR="00254363">
              <w:rPr>
                <w:rFonts w:ascii="Arial" w:hAnsi="Arial" w:cs="Arial"/>
                <w:sz w:val="20"/>
                <w:szCs w:val="20"/>
                <w:lang w:val="es-AR"/>
              </w:rPr>
              <w:t xml:space="preserve">. La puesta en práctica de este Fondo se </w:t>
            </w:r>
            <w:r w:rsidR="0099550C">
              <w:rPr>
                <w:rFonts w:ascii="Arial" w:hAnsi="Arial" w:cs="Arial"/>
                <w:sz w:val="20"/>
                <w:szCs w:val="20"/>
                <w:lang w:val="es-AR"/>
              </w:rPr>
              <w:t xml:space="preserve">va a coordinar no sólo con los </w:t>
            </w:r>
            <w:r w:rsidR="00254363">
              <w:rPr>
                <w:rFonts w:ascii="Arial" w:hAnsi="Arial" w:cs="Arial"/>
                <w:sz w:val="20"/>
                <w:szCs w:val="20"/>
                <w:lang w:val="es-AR"/>
              </w:rPr>
              <w:t>ministerios</w:t>
            </w:r>
            <w:r w:rsidR="0099550C">
              <w:rPr>
                <w:rFonts w:ascii="Arial" w:hAnsi="Arial" w:cs="Arial"/>
                <w:sz w:val="20"/>
                <w:szCs w:val="20"/>
                <w:lang w:val="es-AR"/>
              </w:rPr>
              <w:t xml:space="preserve">, sino también con el sector privado y la academia de manera que se coordinen oferta y demanda. </w:t>
            </w:r>
          </w:p>
        </w:tc>
      </w:tr>
      <w:tr w:rsidR="00300F48" w:rsidRPr="008E09A8" w14:paraId="4FFA97E2" w14:textId="77777777" w:rsidTr="00293697">
        <w:trPr>
          <w:trHeight w:val="629"/>
        </w:trPr>
        <w:tc>
          <w:tcPr>
            <w:tcW w:w="2445" w:type="dxa"/>
            <w:vMerge/>
            <w:shd w:val="clear" w:color="auto" w:fill="auto"/>
          </w:tcPr>
          <w:p w14:paraId="650684CF" w14:textId="77777777" w:rsidR="00300F48" w:rsidRPr="008E09A8" w:rsidRDefault="00300F48" w:rsidP="00811143">
            <w:pPr>
              <w:pStyle w:val="ListParagraph"/>
              <w:ind w:left="357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4621D5E3" w14:textId="77777777" w:rsidR="00300F48" w:rsidRPr="008E09A8" w:rsidRDefault="00300F48" w:rsidP="007D050D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365" w14:textId="77777777" w:rsidR="00300F48" w:rsidRPr="008E09A8" w:rsidRDefault="00300F48" w:rsidP="007D050D">
            <w:pPr>
              <w:tabs>
                <w:tab w:val="left" w:pos="3319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hAnsi="Arial" w:cs="Arial"/>
                <w:sz w:val="20"/>
                <w:szCs w:val="20"/>
              </w:rPr>
              <w:t>Implementación de un sistema de segregación de producción bovina por parte del Instituto de Protección y Sanidad Agropecuaria (IPSA) destinado a mejorar la trazabilidad del ganado.</w:t>
            </w:r>
          </w:p>
          <w:p w14:paraId="641B5992" w14:textId="77777777" w:rsidR="00300F48" w:rsidRPr="008E09A8" w:rsidRDefault="00300F48" w:rsidP="002D70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1281" w14:textId="77777777" w:rsidR="00300F48" w:rsidRPr="008E09A8" w:rsidRDefault="00300F48" w:rsidP="00293697">
            <w:pPr>
              <w:rPr>
                <w:rFonts w:ascii="Arial" w:hAnsi="Arial" w:cs="Arial"/>
                <w:sz w:val="20"/>
                <w:szCs w:val="20"/>
              </w:rPr>
            </w:pPr>
            <w:r w:rsidRPr="008E09A8">
              <w:rPr>
                <w:rFonts w:ascii="Arial" w:hAnsi="Arial" w:cs="Arial"/>
                <w:sz w:val="20"/>
                <w:szCs w:val="20"/>
              </w:rPr>
              <w:t>Esta es una reforma incorporada para fortalecer las reformas contempladas en la matriz destinadas a fortalecer cadenas de valor estratégicas en el país, mejorando su capacidad para exportar y, por tanto, su crecimiento y productividad potencial. Mediante esta resolución se crea el marco para toda la trazabilidad productiva bovina desde el eslabón del pequeño productor hasta la validación de condiciones para exportaciones.</w:t>
            </w:r>
          </w:p>
        </w:tc>
      </w:tr>
    </w:tbl>
    <w:p w14:paraId="5BA19BB5" w14:textId="77777777" w:rsidR="000B10D5" w:rsidRPr="000B10D5" w:rsidRDefault="000B10D5" w:rsidP="000B10D5">
      <w:pPr>
        <w:rPr>
          <w:lang w:val="es-MX"/>
        </w:rPr>
      </w:pPr>
      <w:bookmarkStart w:id="2" w:name="_GoBack"/>
      <w:bookmarkEnd w:id="2"/>
    </w:p>
    <w:sectPr w:rsidR="000B10D5" w:rsidRPr="000B10D5" w:rsidSect="00EB594C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 w:code="1"/>
      <w:pgMar w:top="1440" w:right="1440" w:bottom="1440" w:left="1440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D7A8F" w14:textId="77777777" w:rsidR="00E849BE" w:rsidRDefault="00E849BE">
      <w:r>
        <w:separator/>
      </w:r>
    </w:p>
  </w:endnote>
  <w:endnote w:type="continuationSeparator" w:id="0">
    <w:p w14:paraId="4227DB97" w14:textId="77777777" w:rsidR="00E849BE" w:rsidRDefault="00E849BE">
      <w:r>
        <w:continuationSeparator/>
      </w:r>
    </w:p>
  </w:endnote>
  <w:endnote w:type="continuationNotice" w:id="1">
    <w:p w14:paraId="7E6E5FD7" w14:textId="77777777" w:rsidR="00E849BE" w:rsidRDefault="00E84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CC881" w14:textId="77777777" w:rsidR="00873B45" w:rsidRDefault="00873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539E4" w14:textId="77777777" w:rsidR="00E849BE" w:rsidRDefault="00E849BE">
      <w:r>
        <w:separator/>
      </w:r>
    </w:p>
  </w:footnote>
  <w:footnote w:type="continuationSeparator" w:id="0">
    <w:p w14:paraId="0B4C37ED" w14:textId="77777777" w:rsidR="00E849BE" w:rsidRDefault="00E849BE">
      <w:r>
        <w:continuationSeparator/>
      </w:r>
    </w:p>
  </w:footnote>
  <w:footnote w:type="continuationNotice" w:id="1">
    <w:p w14:paraId="4E297B42" w14:textId="77777777" w:rsidR="00E849BE" w:rsidRDefault="00E849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F4A17" w14:textId="77777777" w:rsidR="003C0596" w:rsidRDefault="000414BD" w:rsidP="003C05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3A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2A3E4E" w14:textId="77777777" w:rsidR="003C0596" w:rsidRDefault="003C0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AA9F" w14:textId="77777777" w:rsidR="00293697" w:rsidRDefault="00293697" w:rsidP="00293697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NI-L1096</w:t>
    </w:r>
  </w:p>
  <w:p w14:paraId="01648E2D" w14:textId="69C4C325" w:rsidR="00293697" w:rsidRPr="00FC08DC" w:rsidRDefault="00293697" w:rsidP="00293697">
    <w:pPr>
      <w:pStyle w:val="Header"/>
      <w:jc w:val="right"/>
      <w:rPr>
        <w:rFonts w:ascii="Arial" w:hAnsi="Arial" w:cs="Arial"/>
        <w:sz w:val="18"/>
      </w:rPr>
    </w:pPr>
    <w:r w:rsidRPr="00FC08DC">
      <w:rPr>
        <w:rFonts w:ascii="Arial" w:hAnsi="Arial" w:cs="Arial"/>
        <w:sz w:val="18"/>
      </w:rPr>
      <w:t xml:space="preserve">Página </w:t>
    </w:r>
    <w:r w:rsidRPr="00FC08DC">
      <w:rPr>
        <w:rFonts w:ascii="Arial" w:hAnsi="Arial" w:cs="Arial"/>
        <w:sz w:val="18"/>
        <w:lang w:val="en-US"/>
      </w:rPr>
      <w:fldChar w:fldCharType="begin"/>
    </w:r>
    <w:r w:rsidRPr="00FC08DC">
      <w:rPr>
        <w:rFonts w:ascii="Arial" w:hAnsi="Arial" w:cs="Arial"/>
        <w:sz w:val="18"/>
      </w:rPr>
      <w:instrText xml:space="preserve"> PAGE  \* Arabic  \* MERGEFORMAT </w:instrText>
    </w:r>
    <w:r w:rsidRPr="00FC08DC">
      <w:rPr>
        <w:rFonts w:ascii="Arial" w:hAnsi="Arial" w:cs="Arial"/>
        <w:sz w:val="18"/>
        <w:lang w:val="en-US"/>
      </w:rPr>
      <w:fldChar w:fldCharType="separate"/>
    </w:r>
    <w:r w:rsidR="0045225C">
      <w:rPr>
        <w:rFonts w:ascii="Arial" w:hAnsi="Arial" w:cs="Arial"/>
        <w:noProof/>
        <w:sz w:val="18"/>
      </w:rPr>
      <w:t>3</w:t>
    </w:r>
    <w:r w:rsidRPr="00FC08DC">
      <w:rPr>
        <w:rFonts w:ascii="Arial" w:hAnsi="Arial" w:cs="Arial"/>
        <w:sz w:val="18"/>
        <w:lang w:val="en-US"/>
      </w:rPr>
      <w:fldChar w:fldCharType="end"/>
    </w:r>
    <w:r w:rsidRPr="00FC08DC">
      <w:rPr>
        <w:rFonts w:ascii="Arial" w:hAnsi="Arial" w:cs="Arial"/>
        <w:sz w:val="18"/>
      </w:rPr>
      <w:t xml:space="preserve"> de </w:t>
    </w:r>
    <w:r w:rsidRPr="00FC08DC">
      <w:rPr>
        <w:rFonts w:ascii="Arial" w:hAnsi="Arial" w:cs="Arial"/>
        <w:sz w:val="18"/>
        <w:lang w:val="en-US"/>
      </w:rPr>
      <w:fldChar w:fldCharType="begin"/>
    </w:r>
    <w:r w:rsidRPr="00FC08DC">
      <w:rPr>
        <w:rFonts w:ascii="Arial" w:hAnsi="Arial" w:cs="Arial"/>
        <w:sz w:val="18"/>
      </w:rPr>
      <w:instrText xml:space="preserve"> NUMPAGES  \* Arabic  \* MERGEFORMAT </w:instrText>
    </w:r>
    <w:r w:rsidRPr="00FC08DC">
      <w:rPr>
        <w:rFonts w:ascii="Arial" w:hAnsi="Arial" w:cs="Arial"/>
        <w:sz w:val="18"/>
        <w:lang w:val="en-US"/>
      </w:rPr>
      <w:fldChar w:fldCharType="separate"/>
    </w:r>
    <w:r w:rsidR="0045225C">
      <w:rPr>
        <w:rFonts w:ascii="Arial" w:hAnsi="Arial" w:cs="Arial"/>
        <w:noProof/>
        <w:sz w:val="18"/>
      </w:rPr>
      <w:t>3</w:t>
    </w:r>
    <w:r w:rsidRPr="00FC08DC">
      <w:rPr>
        <w:rFonts w:ascii="Arial" w:hAnsi="Arial" w:cs="Arial"/>
        <w:sz w:val="18"/>
        <w:lang w:val="en-US"/>
      </w:rPr>
      <w:fldChar w:fldCharType="end"/>
    </w:r>
  </w:p>
  <w:p w14:paraId="09AF03DB" w14:textId="77777777" w:rsidR="00447D24" w:rsidRPr="00293697" w:rsidRDefault="00447D24" w:rsidP="002936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197D6" w14:textId="77777777" w:rsidR="00FC08DC" w:rsidRDefault="00FC08DC" w:rsidP="003C0596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NI-L1096</w:t>
    </w:r>
  </w:p>
  <w:p w14:paraId="6E8ADC1F" w14:textId="3C7F4AD1" w:rsidR="00F40BFB" w:rsidRPr="00FC08DC" w:rsidRDefault="00F40BFB" w:rsidP="003C0596">
    <w:pPr>
      <w:pStyle w:val="Header"/>
      <w:jc w:val="right"/>
      <w:rPr>
        <w:rFonts w:ascii="Arial" w:hAnsi="Arial" w:cs="Arial"/>
        <w:sz w:val="18"/>
      </w:rPr>
    </w:pPr>
    <w:r w:rsidRPr="00FC08DC">
      <w:rPr>
        <w:rFonts w:ascii="Arial" w:hAnsi="Arial" w:cs="Arial"/>
        <w:sz w:val="18"/>
      </w:rPr>
      <w:t xml:space="preserve">Página </w:t>
    </w:r>
    <w:r w:rsidRPr="00FC08DC">
      <w:rPr>
        <w:rFonts w:ascii="Arial" w:hAnsi="Arial" w:cs="Arial"/>
        <w:sz w:val="18"/>
        <w:lang w:val="en-US"/>
      </w:rPr>
      <w:fldChar w:fldCharType="begin"/>
    </w:r>
    <w:r w:rsidRPr="00FC08DC">
      <w:rPr>
        <w:rFonts w:ascii="Arial" w:hAnsi="Arial" w:cs="Arial"/>
        <w:sz w:val="18"/>
      </w:rPr>
      <w:instrText xml:space="preserve"> PAGE  \* Arabic  \* MERGEFORMAT </w:instrText>
    </w:r>
    <w:r w:rsidRPr="00FC08DC">
      <w:rPr>
        <w:rFonts w:ascii="Arial" w:hAnsi="Arial" w:cs="Arial"/>
        <w:sz w:val="18"/>
        <w:lang w:val="en-US"/>
      </w:rPr>
      <w:fldChar w:fldCharType="separate"/>
    </w:r>
    <w:r w:rsidR="0045225C">
      <w:rPr>
        <w:rFonts w:ascii="Arial" w:hAnsi="Arial" w:cs="Arial"/>
        <w:noProof/>
        <w:sz w:val="18"/>
      </w:rPr>
      <w:t>1</w:t>
    </w:r>
    <w:r w:rsidRPr="00FC08DC">
      <w:rPr>
        <w:rFonts w:ascii="Arial" w:hAnsi="Arial" w:cs="Arial"/>
        <w:sz w:val="18"/>
        <w:lang w:val="en-US"/>
      </w:rPr>
      <w:fldChar w:fldCharType="end"/>
    </w:r>
    <w:r w:rsidRPr="00FC08DC">
      <w:rPr>
        <w:rFonts w:ascii="Arial" w:hAnsi="Arial" w:cs="Arial"/>
        <w:sz w:val="18"/>
      </w:rPr>
      <w:t xml:space="preserve"> de </w:t>
    </w:r>
    <w:r w:rsidRPr="00FC08DC">
      <w:rPr>
        <w:rFonts w:ascii="Arial" w:hAnsi="Arial" w:cs="Arial"/>
        <w:sz w:val="18"/>
        <w:lang w:val="en-US"/>
      </w:rPr>
      <w:fldChar w:fldCharType="begin"/>
    </w:r>
    <w:r w:rsidRPr="00FC08DC">
      <w:rPr>
        <w:rFonts w:ascii="Arial" w:hAnsi="Arial" w:cs="Arial"/>
        <w:sz w:val="18"/>
      </w:rPr>
      <w:instrText xml:space="preserve"> NUMPAGES  \* Arabic  \* MERGEFORMAT </w:instrText>
    </w:r>
    <w:r w:rsidRPr="00FC08DC">
      <w:rPr>
        <w:rFonts w:ascii="Arial" w:hAnsi="Arial" w:cs="Arial"/>
        <w:sz w:val="18"/>
        <w:lang w:val="en-US"/>
      </w:rPr>
      <w:fldChar w:fldCharType="separate"/>
    </w:r>
    <w:r w:rsidR="0045225C" w:rsidRPr="0045225C">
      <w:rPr>
        <w:rFonts w:ascii="Arial" w:hAnsi="Arial"/>
        <w:noProof/>
        <w:sz w:val="18"/>
      </w:rPr>
      <w:t>3</w:t>
    </w:r>
    <w:r w:rsidRPr="00FC08DC">
      <w:rPr>
        <w:rFonts w:ascii="Arial" w:hAnsi="Arial" w:cs="Arial"/>
        <w:sz w:val="18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382"/>
    <w:multiLevelType w:val="hybridMultilevel"/>
    <w:tmpl w:val="F45E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E9D"/>
    <w:multiLevelType w:val="hybridMultilevel"/>
    <w:tmpl w:val="E5FEBF70"/>
    <w:lvl w:ilvl="0" w:tplc="B40A7812">
      <w:start w:val="1"/>
      <w:numFmt w:val="lowerRoman"/>
      <w:lvlText w:val="(%1)"/>
      <w:lvlJc w:val="left"/>
      <w:pPr>
        <w:ind w:left="1080" w:hanging="72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5387"/>
    <w:multiLevelType w:val="hybridMultilevel"/>
    <w:tmpl w:val="49E403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2EEF"/>
    <w:multiLevelType w:val="hybridMultilevel"/>
    <w:tmpl w:val="747E7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7F6035"/>
    <w:multiLevelType w:val="hybridMultilevel"/>
    <w:tmpl w:val="388A93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20D4"/>
    <w:multiLevelType w:val="hybridMultilevel"/>
    <w:tmpl w:val="DE562420"/>
    <w:lvl w:ilvl="0" w:tplc="56C8B4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C430B5"/>
    <w:multiLevelType w:val="hybridMultilevel"/>
    <w:tmpl w:val="BAA8376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4B7D68"/>
    <w:multiLevelType w:val="hybridMultilevel"/>
    <w:tmpl w:val="93C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F435F"/>
    <w:multiLevelType w:val="hybridMultilevel"/>
    <w:tmpl w:val="C848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C2640"/>
    <w:multiLevelType w:val="hybridMultilevel"/>
    <w:tmpl w:val="466AE5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60BDD"/>
    <w:multiLevelType w:val="hybridMultilevel"/>
    <w:tmpl w:val="841A4FF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025D32"/>
    <w:multiLevelType w:val="hybridMultilevel"/>
    <w:tmpl w:val="3658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0111"/>
    <w:multiLevelType w:val="hybridMultilevel"/>
    <w:tmpl w:val="1C1A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501E1"/>
    <w:multiLevelType w:val="hybridMultilevel"/>
    <w:tmpl w:val="A404C3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F432B"/>
    <w:multiLevelType w:val="hybridMultilevel"/>
    <w:tmpl w:val="364664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72707"/>
    <w:multiLevelType w:val="hybridMultilevel"/>
    <w:tmpl w:val="860E3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B4A61"/>
    <w:multiLevelType w:val="hybridMultilevel"/>
    <w:tmpl w:val="6AE680A4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624F"/>
    <w:multiLevelType w:val="hybridMultilevel"/>
    <w:tmpl w:val="D70472AA"/>
    <w:lvl w:ilvl="0" w:tplc="2D740AE8">
      <w:start w:val="1"/>
      <w:numFmt w:val="lowerRoman"/>
      <w:lvlText w:val="(%1)"/>
      <w:lvlJc w:val="left"/>
      <w:pPr>
        <w:ind w:left="1080" w:hanging="72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E72E8"/>
    <w:multiLevelType w:val="hybridMultilevel"/>
    <w:tmpl w:val="EF70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42EE9"/>
    <w:multiLevelType w:val="hybridMultilevel"/>
    <w:tmpl w:val="AF86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368DA"/>
    <w:multiLevelType w:val="hybridMultilevel"/>
    <w:tmpl w:val="D5326A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91FDE"/>
    <w:multiLevelType w:val="hybridMultilevel"/>
    <w:tmpl w:val="A1D01F60"/>
    <w:lvl w:ilvl="0" w:tplc="13F031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E0A58"/>
    <w:multiLevelType w:val="hybridMultilevel"/>
    <w:tmpl w:val="270C3E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3301F"/>
    <w:multiLevelType w:val="hybridMultilevel"/>
    <w:tmpl w:val="97181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76795"/>
    <w:multiLevelType w:val="hybridMultilevel"/>
    <w:tmpl w:val="FBB2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229D0"/>
    <w:multiLevelType w:val="hybridMultilevel"/>
    <w:tmpl w:val="728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A47AD"/>
    <w:multiLevelType w:val="hybridMultilevel"/>
    <w:tmpl w:val="48CC45C6"/>
    <w:lvl w:ilvl="0" w:tplc="3E2477A4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10C6460"/>
    <w:multiLevelType w:val="hybridMultilevel"/>
    <w:tmpl w:val="47642CF0"/>
    <w:lvl w:ilvl="0" w:tplc="C85AB138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5C4204"/>
    <w:multiLevelType w:val="hybridMultilevel"/>
    <w:tmpl w:val="633204F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C6435"/>
    <w:multiLevelType w:val="hybridMultilevel"/>
    <w:tmpl w:val="0D96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E046B"/>
    <w:multiLevelType w:val="hybridMultilevel"/>
    <w:tmpl w:val="700CDA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D0446"/>
    <w:multiLevelType w:val="hybridMultilevel"/>
    <w:tmpl w:val="F66AF4E2"/>
    <w:lvl w:ilvl="0" w:tplc="0A3605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12335"/>
    <w:multiLevelType w:val="hybridMultilevel"/>
    <w:tmpl w:val="46AE0684"/>
    <w:lvl w:ilvl="0" w:tplc="190A174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B2A59"/>
    <w:multiLevelType w:val="hybridMultilevel"/>
    <w:tmpl w:val="CAAA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C55D8"/>
    <w:multiLevelType w:val="hybridMultilevel"/>
    <w:tmpl w:val="67AA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ECAD8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10516"/>
    <w:multiLevelType w:val="multilevel"/>
    <w:tmpl w:val="4538096C"/>
    <w:lvl w:ilvl="0">
      <w:start w:val="1"/>
      <w:numFmt w:val="decimal"/>
      <w:pStyle w:val="Chapter"/>
      <w:lvlText w:val="%1"/>
      <w:lvlJc w:val="left"/>
      <w:pPr>
        <w:ind w:left="720" w:hanging="432"/>
      </w:pPr>
    </w:lvl>
    <w:lvl w:ilvl="1">
      <w:start w:val="1"/>
      <w:numFmt w:val="decimal"/>
      <w:pStyle w:val="Heading2"/>
      <w:lvlText w:val="%1.%2"/>
      <w:lvlJc w:val="left"/>
      <w:pPr>
        <w:ind w:left="864" w:hanging="576"/>
      </w:pPr>
    </w:lvl>
    <w:lvl w:ilvl="2">
      <w:start w:val="1"/>
      <w:numFmt w:val="decimal"/>
      <w:pStyle w:val="Heading3"/>
      <w:lvlText w:val="%1.%2.%3"/>
      <w:lvlJc w:val="left"/>
      <w:pPr>
        <w:ind w:left="1008" w:hanging="720"/>
      </w:pPr>
    </w:lvl>
    <w:lvl w:ilvl="3">
      <w:start w:val="1"/>
      <w:numFmt w:val="decimal"/>
      <w:pStyle w:val="Heading4"/>
      <w:lvlText w:val="%1.%2.%3.%4"/>
      <w:lvlJc w:val="left"/>
      <w:pPr>
        <w:ind w:left="1152" w:hanging="864"/>
      </w:pPr>
    </w:lvl>
    <w:lvl w:ilvl="4">
      <w:start w:val="1"/>
      <w:numFmt w:val="decimal"/>
      <w:pStyle w:val="Heading5"/>
      <w:lvlText w:val="%1.%2.%3.%4.%5"/>
      <w:lvlJc w:val="left"/>
      <w:pPr>
        <w:ind w:left="1296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440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58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728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872" w:hanging="1584"/>
      </w:pPr>
    </w:lvl>
  </w:abstractNum>
  <w:abstractNum w:abstractNumId="36">
    <w:nsid w:val="6D047EBF"/>
    <w:multiLevelType w:val="hybridMultilevel"/>
    <w:tmpl w:val="9C2A6C40"/>
    <w:lvl w:ilvl="0" w:tplc="AA9A5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9298F"/>
    <w:multiLevelType w:val="hybridMultilevel"/>
    <w:tmpl w:val="1F0A18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0671C"/>
    <w:multiLevelType w:val="hybridMultilevel"/>
    <w:tmpl w:val="E47C07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>
    <w:nsid w:val="702E625A"/>
    <w:multiLevelType w:val="hybridMultilevel"/>
    <w:tmpl w:val="A416497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38038C"/>
    <w:multiLevelType w:val="hybridMultilevel"/>
    <w:tmpl w:val="C9F43824"/>
    <w:lvl w:ilvl="0" w:tplc="A34E6A20">
      <w:start w:val="1"/>
      <w:numFmt w:val="lowerRoman"/>
      <w:lvlText w:val="(%1)"/>
      <w:lvlJc w:val="left"/>
      <w:pPr>
        <w:ind w:left="1080" w:hanging="72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32619"/>
    <w:multiLevelType w:val="hybridMultilevel"/>
    <w:tmpl w:val="80E65D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0289D"/>
    <w:multiLevelType w:val="hybridMultilevel"/>
    <w:tmpl w:val="50AE79EA"/>
    <w:lvl w:ilvl="0" w:tplc="758E699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8673B"/>
    <w:multiLevelType w:val="hybridMultilevel"/>
    <w:tmpl w:val="255E14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85C7A"/>
    <w:multiLevelType w:val="hybridMultilevel"/>
    <w:tmpl w:val="0BF631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64DEE"/>
    <w:multiLevelType w:val="hybridMultilevel"/>
    <w:tmpl w:val="B30E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B0F82"/>
    <w:multiLevelType w:val="hybridMultilevel"/>
    <w:tmpl w:val="4D3A22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42"/>
  </w:num>
  <w:num w:numId="4">
    <w:abstractNumId w:val="34"/>
  </w:num>
  <w:num w:numId="5">
    <w:abstractNumId w:val="4"/>
  </w:num>
  <w:num w:numId="6">
    <w:abstractNumId w:val="0"/>
  </w:num>
  <w:num w:numId="7">
    <w:abstractNumId w:val="33"/>
  </w:num>
  <w:num w:numId="8">
    <w:abstractNumId w:val="28"/>
  </w:num>
  <w:num w:numId="9">
    <w:abstractNumId w:val="37"/>
  </w:num>
  <w:num w:numId="10">
    <w:abstractNumId w:val="39"/>
  </w:num>
  <w:num w:numId="11">
    <w:abstractNumId w:val="16"/>
  </w:num>
  <w:num w:numId="12">
    <w:abstractNumId w:val="41"/>
  </w:num>
  <w:num w:numId="13">
    <w:abstractNumId w:val="15"/>
  </w:num>
  <w:num w:numId="14">
    <w:abstractNumId w:val="43"/>
  </w:num>
  <w:num w:numId="15">
    <w:abstractNumId w:val="20"/>
  </w:num>
  <w:num w:numId="16">
    <w:abstractNumId w:val="14"/>
  </w:num>
  <w:num w:numId="17">
    <w:abstractNumId w:val="13"/>
  </w:num>
  <w:num w:numId="18">
    <w:abstractNumId w:val="30"/>
  </w:num>
  <w:num w:numId="19">
    <w:abstractNumId w:val="9"/>
  </w:num>
  <w:num w:numId="20">
    <w:abstractNumId w:val="23"/>
  </w:num>
  <w:num w:numId="21">
    <w:abstractNumId w:val="2"/>
  </w:num>
  <w:num w:numId="22">
    <w:abstractNumId w:val="22"/>
  </w:num>
  <w:num w:numId="23">
    <w:abstractNumId w:val="10"/>
  </w:num>
  <w:num w:numId="24">
    <w:abstractNumId w:val="6"/>
  </w:num>
  <w:num w:numId="25">
    <w:abstractNumId w:val="11"/>
  </w:num>
  <w:num w:numId="26">
    <w:abstractNumId w:val="3"/>
  </w:num>
  <w:num w:numId="27">
    <w:abstractNumId w:val="45"/>
  </w:num>
  <w:num w:numId="28">
    <w:abstractNumId w:val="24"/>
  </w:num>
  <w:num w:numId="29">
    <w:abstractNumId w:val="29"/>
  </w:num>
  <w:num w:numId="30">
    <w:abstractNumId w:val="7"/>
  </w:num>
  <w:num w:numId="31">
    <w:abstractNumId w:val="8"/>
  </w:num>
  <w:num w:numId="32">
    <w:abstractNumId w:val="38"/>
  </w:num>
  <w:num w:numId="33">
    <w:abstractNumId w:val="25"/>
  </w:num>
  <w:num w:numId="34">
    <w:abstractNumId w:val="19"/>
  </w:num>
  <w:num w:numId="35">
    <w:abstractNumId w:val="44"/>
  </w:num>
  <w:num w:numId="36">
    <w:abstractNumId w:val="18"/>
  </w:num>
  <w:num w:numId="37">
    <w:abstractNumId w:val="12"/>
  </w:num>
  <w:num w:numId="38">
    <w:abstractNumId w:val="32"/>
  </w:num>
  <w:num w:numId="39">
    <w:abstractNumId w:val="1"/>
  </w:num>
  <w:num w:numId="40">
    <w:abstractNumId w:val="17"/>
  </w:num>
  <w:num w:numId="41">
    <w:abstractNumId w:val="40"/>
  </w:num>
  <w:num w:numId="42">
    <w:abstractNumId w:val="46"/>
  </w:num>
  <w:num w:numId="43">
    <w:abstractNumId w:val="26"/>
  </w:num>
  <w:num w:numId="44">
    <w:abstractNumId w:val="21"/>
  </w:num>
  <w:num w:numId="45">
    <w:abstractNumId w:val="31"/>
  </w:num>
  <w:num w:numId="46">
    <w:abstractNumId w:val="27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55"/>
    <w:rsid w:val="00002F56"/>
    <w:rsid w:val="00003853"/>
    <w:rsid w:val="0000563B"/>
    <w:rsid w:val="00006085"/>
    <w:rsid w:val="000064DB"/>
    <w:rsid w:val="00007F96"/>
    <w:rsid w:val="00011F3A"/>
    <w:rsid w:val="000211A8"/>
    <w:rsid w:val="00021BBC"/>
    <w:rsid w:val="00023B87"/>
    <w:rsid w:val="000324F9"/>
    <w:rsid w:val="00033677"/>
    <w:rsid w:val="000402CA"/>
    <w:rsid w:val="000406A8"/>
    <w:rsid w:val="000414BD"/>
    <w:rsid w:val="0004250A"/>
    <w:rsid w:val="00042990"/>
    <w:rsid w:val="00044209"/>
    <w:rsid w:val="000467DE"/>
    <w:rsid w:val="000479A8"/>
    <w:rsid w:val="00057433"/>
    <w:rsid w:val="000652FF"/>
    <w:rsid w:val="0006747B"/>
    <w:rsid w:val="0007040B"/>
    <w:rsid w:val="00070AE5"/>
    <w:rsid w:val="00072EE6"/>
    <w:rsid w:val="000736EB"/>
    <w:rsid w:val="00075C4E"/>
    <w:rsid w:val="00077B15"/>
    <w:rsid w:val="00084608"/>
    <w:rsid w:val="00087334"/>
    <w:rsid w:val="00092A44"/>
    <w:rsid w:val="00093902"/>
    <w:rsid w:val="000947D6"/>
    <w:rsid w:val="00095797"/>
    <w:rsid w:val="000978D6"/>
    <w:rsid w:val="000A0D66"/>
    <w:rsid w:val="000A20A7"/>
    <w:rsid w:val="000A30ED"/>
    <w:rsid w:val="000B10D5"/>
    <w:rsid w:val="000B39F8"/>
    <w:rsid w:val="000B51EE"/>
    <w:rsid w:val="000C2252"/>
    <w:rsid w:val="000C6053"/>
    <w:rsid w:val="000D07B6"/>
    <w:rsid w:val="000D5B13"/>
    <w:rsid w:val="000E022E"/>
    <w:rsid w:val="000E0675"/>
    <w:rsid w:val="000E24DA"/>
    <w:rsid w:val="000E6688"/>
    <w:rsid w:val="00113D18"/>
    <w:rsid w:val="001251B3"/>
    <w:rsid w:val="001336F2"/>
    <w:rsid w:val="00136870"/>
    <w:rsid w:val="0014211B"/>
    <w:rsid w:val="001428EC"/>
    <w:rsid w:val="0014569A"/>
    <w:rsid w:val="00146B5E"/>
    <w:rsid w:val="0015031F"/>
    <w:rsid w:val="00151B9D"/>
    <w:rsid w:val="00154CF0"/>
    <w:rsid w:val="00156CE6"/>
    <w:rsid w:val="001611A1"/>
    <w:rsid w:val="001640B0"/>
    <w:rsid w:val="00166D2F"/>
    <w:rsid w:val="00170EF6"/>
    <w:rsid w:val="00172866"/>
    <w:rsid w:val="00172E3C"/>
    <w:rsid w:val="00174622"/>
    <w:rsid w:val="00175CD5"/>
    <w:rsid w:val="001841BE"/>
    <w:rsid w:val="00185ECF"/>
    <w:rsid w:val="001873C2"/>
    <w:rsid w:val="00194688"/>
    <w:rsid w:val="001A1C35"/>
    <w:rsid w:val="001A5C1E"/>
    <w:rsid w:val="001B2971"/>
    <w:rsid w:val="001B5520"/>
    <w:rsid w:val="001B6E2D"/>
    <w:rsid w:val="001C00A3"/>
    <w:rsid w:val="001C013A"/>
    <w:rsid w:val="001C1AE9"/>
    <w:rsid w:val="001C44E0"/>
    <w:rsid w:val="001C5008"/>
    <w:rsid w:val="001C5BAB"/>
    <w:rsid w:val="001C6D51"/>
    <w:rsid w:val="001D06BD"/>
    <w:rsid w:val="001D0C63"/>
    <w:rsid w:val="001D50CB"/>
    <w:rsid w:val="001D6720"/>
    <w:rsid w:val="001E1E56"/>
    <w:rsid w:val="001E364B"/>
    <w:rsid w:val="001E4E57"/>
    <w:rsid w:val="001E55C9"/>
    <w:rsid w:val="001E6A51"/>
    <w:rsid w:val="001E71A2"/>
    <w:rsid w:val="001F11C4"/>
    <w:rsid w:val="001F5200"/>
    <w:rsid w:val="001F63E3"/>
    <w:rsid w:val="002011E9"/>
    <w:rsid w:val="00202DE0"/>
    <w:rsid w:val="00204F00"/>
    <w:rsid w:val="00205AA9"/>
    <w:rsid w:val="00213904"/>
    <w:rsid w:val="00222FBF"/>
    <w:rsid w:val="00223166"/>
    <w:rsid w:val="00223B61"/>
    <w:rsid w:val="0022420E"/>
    <w:rsid w:val="00224D0E"/>
    <w:rsid w:val="00225011"/>
    <w:rsid w:val="0022565B"/>
    <w:rsid w:val="00236160"/>
    <w:rsid w:val="00240989"/>
    <w:rsid w:val="00250435"/>
    <w:rsid w:val="00252840"/>
    <w:rsid w:val="00254363"/>
    <w:rsid w:val="002707DF"/>
    <w:rsid w:val="002835C6"/>
    <w:rsid w:val="00284BA1"/>
    <w:rsid w:val="00293697"/>
    <w:rsid w:val="002A319C"/>
    <w:rsid w:val="002A4C24"/>
    <w:rsid w:val="002A5ABE"/>
    <w:rsid w:val="002B065A"/>
    <w:rsid w:val="002B1A61"/>
    <w:rsid w:val="002B361B"/>
    <w:rsid w:val="002B4AAA"/>
    <w:rsid w:val="002C0A6F"/>
    <w:rsid w:val="002C1F86"/>
    <w:rsid w:val="002C5447"/>
    <w:rsid w:val="002C6FAD"/>
    <w:rsid w:val="002C7BB8"/>
    <w:rsid w:val="002D0DBC"/>
    <w:rsid w:val="002D1251"/>
    <w:rsid w:val="002D1684"/>
    <w:rsid w:val="002D252C"/>
    <w:rsid w:val="002D4216"/>
    <w:rsid w:val="002D6849"/>
    <w:rsid w:val="002D70C1"/>
    <w:rsid w:val="002E0232"/>
    <w:rsid w:val="002E0E87"/>
    <w:rsid w:val="002E16CC"/>
    <w:rsid w:val="002E5A56"/>
    <w:rsid w:val="002E5F52"/>
    <w:rsid w:val="002E7A68"/>
    <w:rsid w:val="002F2C7E"/>
    <w:rsid w:val="00300F48"/>
    <w:rsid w:val="00302C87"/>
    <w:rsid w:val="00303D80"/>
    <w:rsid w:val="003077A3"/>
    <w:rsid w:val="00307E62"/>
    <w:rsid w:val="0031279E"/>
    <w:rsid w:val="00326301"/>
    <w:rsid w:val="00326500"/>
    <w:rsid w:val="00332D6B"/>
    <w:rsid w:val="0033317A"/>
    <w:rsid w:val="003464E3"/>
    <w:rsid w:val="0035002E"/>
    <w:rsid w:val="00352A07"/>
    <w:rsid w:val="00352DEE"/>
    <w:rsid w:val="00353A81"/>
    <w:rsid w:val="003560AA"/>
    <w:rsid w:val="00356AE1"/>
    <w:rsid w:val="00357DBF"/>
    <w:rsid w:val="003603C7"/>
    <w:rsid w:val="0036099B"/>
    <w:rsid w:val="0036258E"/>
    <w:rsid w:val="0036267E"/>
    <w:rsid w:val="003638BC"/>
    <w:rsid w:val="003654C3"/>
    <w:rsid w:val="00366B94"/>
    <w:rsid w:val="00367566"/>
    <w:rsid w:val="00377F7A"/>
    <w:rsid w:val="0039033C"/>
    <w:rsid w:val="003917D5"/>
    <w:rsid w:val="003955D7"/>
    <w:rsid w:val="00396B08"/>
    <w:rsid w:val="003B428A"/>
    <w:rsid w:val="003B47A5"/>
    <w:rsid w:val="003C0596"/>
    <w:rsid w:val="003C535D"/>
    <w:rsid w:val="003D48B8"/>
    <w:rsid w:val="003D6A2D"/>
    <w:rsid w:val="003D73C2"/>
    <w:rsid w:val="003E6E4C"/>
    <w:rsid w:val="003F0DE6"/>
    <w:rsid w:val="003F11D7"/>
    <w:rsid w:val="003F4070"/>
    <w:rsid w:val="003F4799"/>
    <w:rsid w:val="003F7BC7"/>
    <w:rsid w:val="004133CE"/>
    <w:rsid w:val="00414A0B"/>
    <w:rsid w:val="004162E5"/>
    <w:rsid w:val="00421C78"/>
    <w:rsid w:val="00421E7D"/>
    <w:rsid w:val="004319AE"/>
    <w:rsid w:val="004375D2"/>
    <w:rsid w:val="00446C99"/>
    <w:rsid w:val="00447D24"/>
    <w:rsid w:val="00450635"/>
    <w:rsid w:val="0045225C"/>
    <w:rsid w:val="0045559E"/>
    <w:rsid w:val="00455FBA"/>
    <w:rsid w:val="00457A32"/>
    <w:rsid w:val="0046159D"/>
    <w:rsid w:val="00464B40"/>
    <w:rsid w:val="00464E2D"/>
    <w:rsid w:val="00465C9D"/>
    <w:rsid w:val="00466356"/>
    <w:rsid w:val="0046636F"/>
    <w:rsid w:val="004667EB"/>
    <w:rsid w:val="00470510"/>
    <w:rsid w:val="00470CFB"/>
    <w:rsid w:val="00471FCE"/>
    <w:rsid w:val="00472FBA"/>
    <w:rsid w:val="00474CE7"/>
    <w:rsid w:val="00475643"/>
    <w:rsid w:val="00477F26"/>
    <w:rsid w:val="004802DB"/>
    <w:rsid w:val="004813CF"/>
    <w:rsid w:val="0048248E"/>
    <w:rsid w:val="00482D54"/>
    <w:rsid w:val="004846E7"/>
    <w:rsid w:val="0049028B"/>
    <w:rsid w:val="004914E3"/>
    <w:rsid w:val="00492DA0"/>
    <w:rsid w:val="00493451"/>
    <w:rsid w:val="004966FB"/>
    <w:rsid w:val="0049729B"/>
    <w:rsid w:val="004A1A8D"/>
    <w:rsid w:val="004A49B7"/>
    <w:rsid w:val="004A539D"/>
    <w:rsid w:val="004A5C2F"/>
    <w:rsid w:val="004A63A8"/>
    <w:rsid w:val="004B1540"/>
    <w:rsid w:val="004B20DC"/>
    <w:rsid w:val="004B3C74"/>
    <w:rsid w:val="004B5C38"/>
    <w:rsid w:val="004B78F4"/>
    <w:rsid w:val="004C0260"/>
    <w:rsid w:val="004C5F29"/>
    <w:rsid w:val="004C72EE"/>
    <w:rsid w:val="004D09EB"/>
    <w:rsid w:val="004D7AB2"/>
    <w:rsid w:val="004E46D3"/>
    <w:rsid w:val="004E7850"/>
    <w:rsid w:val="004F0F07"/>
    <w:rsid w:val="004F3D1A"/>
    <w:rsid w:val="004F4E07"/>
    <w:rsid w:val="00507779"/>
    <w:rsid w:val="00507D40"/>
    <w:rsid w:val="00510B57"/>
    <w:rsid w:val="00510DDB"/>
    <w:rsid w:val="0051203F"/>
    <w:rsid w:val="005130DE"/>
    <w:rsid w:val="00513328"/>
    <w:rsid w:val="00514E46"/>
    <w:rsid w:val="00520221"/>
    <w:rsid w:val="00520491"/>
    <w:rsid w:val="00521C2B"/>
    <w:rsid w:val="00525CF6"/>
    <w:rsid w:val="00526799"/>
    <w:rsid w:val="005276C2"/>
    <w:rsid w:val="00530480"/>
    <w:rsid w:val="00532F57"/>
    <w:rsid w:val="00535691"/>
    <w:rsid w:val="00536F6E"/>
    <w:rsid w:val="005466C5"/>
    <w:rsid w:val="00550965"/>
    <w:rsid w:val="00550EC0"/>
    <w:rsid w:val="00561530"/>
    <w:rsid w:val="00561EF4"/>
    <w:rsid w:val="00563E94"/>
    <w:rsid w:val="005670A7"/>
    <w:rsid w:val="0057068D"/>
    <w:rsid w:val="00572E72"/>
    <w:rsid w:val="00580109"/>
    <w:rsid w:val="0058013B"/>
    <w:rsid w:val="00581B09"/>
    <w:rsid w:val="00583FBB"/>
    <w:rsid w:val="00592E8C"/>
    <w:rsid w:val="00597CDE"/>
    <w:rsid w:val="005A1D01"/>
    <w:rsid w:val="005A54AB"/>
    <w:rsid w:val="005B0F4D"/>
    <w:rsid w:val="005B1664"/>
    <w:rsid w:val="005B3FAE"/>
    <w:rsid w:val="005C059C"/>
    <w:rsid w:val="005C5497"/>
    <w:rsid w:val="005C603A"/>
    <w:rsid w:val="005C60DE"/>
    <w:rsid w:val="005C6624"/>
    <w:rsid w:val="005D5710"/>
    <w:rsid w:val="005D76F8"/>
    <w:rsid w:val="005F09D3"/>
    <w:rsid w:val="005F4038"/>
    <w:rsid w:val="005F6155"/>
    <w:rsid w:val="006022FD"/>
    <w:rsid w:val="006025CA"/>
    <w:rsid w:val="00605410"/>
    <w:rsid w:val="00606573"/>
    <w:rsid w:val="006069EE"/>
    <w:rsid w:val="00606BFC"/>
    <w:rsid w:val="006079F4"/>
    <w:rsid w:val="00607E06"/>
    <w:rsid w:val="00611EF3"/>
    <w:rsid w:val="006266C1"/>
    <w:rsid w:val="00626F21"/>
    <w:rsid w:val="00634C37"/>
    <w:rsid w:val="00637109"/>
    <w:rsid w:val="00646BFE"/>
    <w:rsid w:val="006524B5"/>
    <w:rsid w:val="0065362C"/>
    <w:rsid w:val="00656350"/>
    <w:rsid w:val="00671EA1"/>
    <w:rsid w:val="006846BC"/>
    <w:rsid w:val="00686960"/>
    <w:rsid w:val="00692247"/>
    <w:rsid w:val="00693B66"/>
    <w:rsid w:val="00694A27"/>
    <w:rsid w:val="00694D26"/>
    <w:rsid w:val="00695E75"/>
    <w:rsid w:val="00696898"/>
    <w:rsid w:val="0069770D"/>
    <w:rsid w:val="00697906"/>
    <w:rsid w:val="00697B94"/>
    <w:rsid w:val="006A0D51"/>
    <w:rsid w:val="006A3270"/>
    <w:rsid w:val="006A6630"/>
    <w:rsid w:val="006A6C3A"/>
    <w:rsid w:val="006A6F58"/>
    <w:rsid w:val="006B39EC"/>
    <w:rsid w:val="006B4E5F"/>
    <w:rsid w:val="006C16D6"/>
    <w:rsid w:val="006C5F11"/>
    <w:rsid w:val="006D086B"/>
    <w:rsid w:val="006E0595"/>
    <w:rsid w:val="006E4A42"/>
    <w:rsid w:val="006E6464"/>
    <w:rsid w:val="006E78B5"/>
    <w:rsid w:val="006F1000"/>
    <w:rsid w:val="006F35F5"/>
    <w:rsid w:val="006F3F4E"/>
    <w:rsid w:val="006F4FB4"/>
    <w:rsid w:val="006F5F6F"/>
    <w:rsid w:val="00705565"/>
    <w:rsid w:val="007136CF"/>
    <w:rsid w:val="0071493A"/>
    <w:rsid w:val="00714AA0"/>
    <w:rsid w:val="0071515D"/>
    <w:rsid w:val="007179FD"/>
    <w:rsid w:val="00717AA7"/>
    <w:rsid w:val="007202F2"/>
    <w:rsid w:val="0072191D"/>
    <w:rsid w:val="007275B0"/>
    <w:rsid w:val="00731A62"/>
    <w:rsid w:val="007333C1"/>
    <w:rsid w:val="00734A14"/>
    <w:rsid w:val="00736BAD"/>
    <w:rsid w:val="00740FE4"/>
    <w:rsid w:val="007415BE"/>
    <w:rsid w:val="0074346D"/>
    <w:rsid w:val="00745CB4"/>
    <w:rsid w:val="0075399D"/>
    <w:rsid w:val="007563D5"/>
    <w:rsid w:val="00763853"/>
    <w:rsid w:val="00772D61"/>
    <w:rsid w:val="0077392F"/>
    <w:rsid w:val="007742FD"/>
    <w:rsid w:val="0077437A"/>
    <w:rsid w:val="00782464"/>
    <w:rsid w:val="007900D1"/>
    <w:rsid w:val="00791EA8"/>
    <w:rsid w:val="00793CAD"/>
    <w:rsid w:val="0079532E"/>
    <w:rsid w:val="00797099"/>
    <w:rsid w:val="007A00D4"/>
    <w:rsid w:val="007A0BD2"/>
    <w:rsid w:val="007A460B"/>
    <w:rsid w:val="007A4742"/>
    <w:rsid w:val="007A4BF0"/>
    <w:rsid w:val="007B076D"/>
    <w:rsid w:val="007B0867"/>
    <w:rsid w:val="007C207E"/>
    <w:rsid w:val="007C46F0"/>
    <w:rsid w:val="007C69B2"/>
    <w:rsid w:val="007C70FD"/>
    <w:rsid w:val="007D050D"/>
    <w:rsid w:val="007D2488"/>
    <w:rsid w:val="007E29FD"/>
    <w:rsid w:val="007E3574"/>
    <w:rsid w:val="007E3B88"/>
    <w:rsid w:val="00801E81"/>
    <w:rsid w:val="00803D0C"/>
    <w:rsid w:val="00810255"/>
    <w:rsid w:val="00811143"/>
    <w:rsid w:val="00817451"/>
    <w:rsid w:val="0081786A"/>
    <w:rsid w:val="00827B15"/>
    <w:rsid w:val="00832CE4"/>
    <w:rsid w:val="00841562"/>
    <w:rsid w:val="00843005"/>
    <w:rsid w:val="0084444D"/>
    <w:rsid w:val="00845ACD"/>
    <w:rsid w:val="00847C6D"/>
    <w:rsid w:val="008622EA"/>
    <w:rsid w:val="00865D35"/>
    <w:rsid w:val="00866C96"/>
    <w:rsid w:val="00867F9B"/>
    <w:rsid w:val="008733B5"/>
    <w:rsid w:val="00873B45"/>
    <w:rsid w:val="00874003"/>
    <w:rsid w:val="00883E4D"/>
    <w:rsid w:val="00890511"/>
    <w:rsid w:val="00896124"/>
    <w:rsid w:val="00896EC1"/>
    <w:rsid w:val="00897AE5"/>
    <w:rsid w:val="008A22C4"/>
    <w:rsid w:val="008B2418"/>
    <w:rsid w:val="008B3DDB"/>
    <w:rsid w:val="008B4394"/>
    <w:rsid w:val="008C0171"/>
    <w:rsid w:val="008C2A79"/>
    <w:rsid w:val="008C418B"/>
    <w:rsid w:val="008C6709"/>
    <w:rsid w:val="008D225D"/>
    <w:rsid w:val="008D2754"/>
    <w:rsid w:val="008D3074"/>
    <w:rsid w:val="008E09A8"/>
    <w:rsid w:val="008E34DB"/>
    <w:rsid w:val="008F2A88"/>
    <w:rsid w:val="008F2FC1"/>
    <w:rsid w:val="008F3A91"/>
    <w:rsid w:val="008F7323"/>
    <w:rsid w:val="00900F95"/>
    <w:rsid w:val="00904718"/>
    <w:rsid w:val="00910E38"/>
    <w:rsid w:val="00910FFB"/>
    <w:rsid w:val="00913A77"/>
    <w:rsid w:val="00914A54"/>
    <w:rsid w:val="00916405"/>
    <w:rsid w:val="009164CA"/>
    <w:rsid w:val="00916779"/>
    <w:rsid w:val="0091748E"/>
    <w:rsid w:val="0092049F"/>
    <w:rsid w:val="00925D24"/>
    <w:rsid w:val="00927FC5"/>
    <w:rsid w:val="00930BD6"/>
    <w:rsid w:val="009311E4"/>
    <w:rsid w:val="00931974"/>
    <w:rsid w:val="00931E99"/>
    <w:rsid w:val="0094203C"/>
    <w:rsid w:val="0094290F"/>
    <w:rsid w:val="00942B7C"/>
    <w:rsid w:val="00945B3C"/>
    <w:rsid w:val="00947BD4"/>
    <w:rsid w:val="009605F6"/>
    <w:rsid w:val="00965231"/>
    <w:rsid w:val="00970292"/>
    <w:rsid w:val="00971A7E"/>
    <w:rsid w:val="00974DF7"/>
    <w:rsid w:val="00986BF4"/>
    <w:rsid w:val="00987A4B"/>
    <w:rsid w:val="0099550C"/>
    <w:rsid w:val="009A019F"/>
    <w:rsid w:val="009A0F6E"/>
    <w:rsid w:val="009A1106"/>
    <w:rsid w:val="009A2091"/>
    <w:rsid w:val="009A41E4"/>
    <w:rsid w:val="009B02BB"/>
    <w:rsid w:val="009B6940"/>
    <w:rsid w:val="009B7502"/>
    <w:rsid w:val="009C24E9"/>
    <w:rsid w:val="009C5815"/>
    <w:rsid w:val="009C6F7B"/>
    <w:rsid w:val="009C7528"/>
    <w:rsid w:val="009C7767"/>
    <w:rsid w:val="009C7ECC"/>
    <w:rsid w:val="009D4F29"/>
    <w:rsid w:val="009D6019"/>
    <w:rsid w:val="009E0C83"/>
    <w:rsid w:val="009E563E"/>
    <w:rsid w:val="009E6FD7"/>
    <w:rsid w:val="009F1B6D"/>
    <w:rsid w:val="009F617A"/>
    <w:rsid w:val="009F6D2C"/>
    <w:rsid w:val="009F760B"/>
    <w:rsid w:val="00A00C09"/>
    <w:rsid w:val="00A04853"/>
    <w:rsid w:val="00A11706"/>
    <w:rsid w:val="00A229C3"/>
    <w:rsid w:val="00A24FCB"/>
    <w:rsid w:val="00A34C52"/>
    <w:rsid w:val="00A41D33"/>
    <w:rsid w:val="00A4375B"/>
    <w:rsid w:val="00A4376E"/>
    <w:rsid w:val="00A44146"/>
    <w:rsid w:val="00A51D53"/>
    <w:rsid w:val="00A523B8"/>
    <w:rsid w:val="00A55799"/>
    <w:rsid w:val="00A55EEA"/>
    <w:rsid w:val="00A628A9"/>
    <w:rsid w:val="00A62B49"/>
    <w:rsid w:val="00A67FA8"/>
    <w:rsid w:val="00A715CB"/>
    <w:rsid w:val="00A75188"/>
    <w:rsid w:val="00A76D0E"/>
    <w:rsid w:val="00A77AA0"/>
    <w:rsid w:val="00A833F4"/>
    <w:rsid w:val="00A854D7"/>
    <w:rsid w:val="00A90430"/>
    <w:rsid w:val="00A97910"/>
    <w:rsid w:val="00AA0240"/>
    <w:rsid w:val="00AA1C3A"/>
    <w:rsid w:val="00AC2821"/>
    <w:rsid w:val="00AC4321"/>
    <w:rsid w:val="00AD1835"/>
    <w:rsid w:val="00AD3A48"/>
    <w:rsid w:val="00AD5128"/>
    <w:rsid w:val="00AE0C31"/>
    <w:rsid w:val="00AE4170"/>
    <w:rsid w:val="00AF07D5"/>
    <w:rsid w:val="00AF1162"/>
    <w:rsid w:val="00B00AC2"/>
    <w:rsid w:val="00B02C6F"/>
    <w:rsid w:val="00B076FC"/>
    <w:rsid w:val="00B11A58"/>
    <w:rsid w:val="00B14CA3"/>
    <w:rsid w:val="00B16E02"/>
    <w:rsid w:val="00B219A6"/>
    <w:rsid w:val="00B228E0"/>
    <w:rsid w:val="00B25CC0"/>
    <w:rsid w:val="00B32B5A"/>
    <w:rsid w:val="00B346F4"/>
    <w:rsid w:val="00B36BEA"/>
    <w:rsid w:val="00B4061B"/>
    <w:rsid w:val="00B40686"/>
    <w:rsid w:val="00B40AF3"/>
    <w:rsid w:val="00B4104D"/>
    <w:rsid w:val="00B450FA"/>
    <w:rsid w:val="00B45656"/>
    <w:rsid w:val="00B45E44"/>
    <w:rsid w:val="00B465BD"/>
    <w:rsid w:val="00B52044"/>
    <w:rsid w:val="00B61354"/>
    <w:rsid w:val="00B61C35"/>
    <w:rsid w:val="00B6374F"/>
    <w:rsid w:val="00B64BA4"/>
    <w:rsid w:val="00B70050"/>
    <w:rsid w:val="00B73B45"/>
    <w:rsid w:val="00B755A0"/>
    <w:rsid w:val="00B75E17"/>
    <w:rsid w:val="00B76DD3"/>
    <w:rsid w:val="00B8214A"/>
    <w:rsid w:val="00B82CA7"/>
    <w:rsid w:val="00B85E62"/>
    <w:rsid w:val="00B87BBF"/>
    <w:rsid w:val="00B91931"/>
    <w:rsid w:val="00B9343E"/>
    <w:rsid w:val="00B94F4E"/>
    <w:rsid w:val="00B95A95"/>
    <w:rsid w:val="00BA082F"/>
    <w:rsid w:val="00BA6FCE"/>
    <w:rsid w:val="00BB00BB"/>
    <w:rsid w:val="00BB1C8E"/>
    <w:rsid w:val="00BB561E"/>
    <w:rsid w:val="00BB5D36"/>
    <w:rsid w:val="00BB7FF7"/>
    <w:rsid w:val="00BC6FF0"/>
    <w:rsid w:val="00BD3468"/>
    <w:rsid w:val="00BD38A7"/>
    <w:rsid w:val="00BD3B19"/>
    <w:rsid w:val="00BE0A23"/>
    <w:rsid w:val="00BE1E47"/>
    <w:rsid w:val="00BE2A81"/>
    <w:rsid w:val="00BE4C62"/>
    <w:rsid w:val="00BE5115"/>
    <w:rsid w:val="00BE587F"/>
    <w:rsid w:val="00BE6116"/>
    <w:rsid w:val="00BE737E"/>
    <w:rsid w:val="00BF26BB"/>
    <w:rsid w:val="00BF5AFD"/>
    <w:rsid w:val="00C0038F"/>
    <w:rsid w:val="00C1397A"/>
    <w:rsid w:val="00C15369"/>
    <w:rsid w:val="00C1626D"/>
    <w:rsid w:val="00C17C6C"/>
    <w:rsid w:val="00C17E4E"/>
    <w:rsid w:val="00C21E5E"/>
    <w:rsid w:val="00C23AEA"/>
    <w:rsid w:val="00C25115"/>
    <w:rsid w:val="00C41CB4"/>
    <w:rsid w:val="00C45D56"/>
    <w:rsid w:val="00C46744"/>
    <w:rsid w:val="00C469D0"/>
    <w:rsid w:val="00C53F0A"/>
    <w:rsid w:val="00C5634D"/>
    <w:rsid w:val="00C65F10"/>
    <w:rsid w:val="00C6791E"/>
    <w:rsid w:val="00C76A0D"/>
    <w:rsid w:val="00C85E0F"/>
    <w:rsid w:val="00C90C0C"/>
    <w:rsid w:val="00C91331"/>
    <w:rsid w:val="00C94E8E"/>
    <w:rsid w:val="00C96A30"/>
    <w:rsid w:val="00C971CC"/>
    <w:rsid w:val="00CA1E73"/>
    <w:rsid w:val="00CA3F6D"/>
    <w:rsid w:val="00CA7853"/>
    <w:rsid w:val="00CA78CF"/>
    <w:rsid w:val="00CB03D0"/>
    <w:rsid w:val="00CB2D36"/>
    <w:rsid w:val="00CB7F23"/>
    <w:rsid w:val="00CC2AE0"/>
    <w:rsid w:val="00CC445C"/>
    <w:rsid w:val="00CC49E6"/>
    <w:rsid w:val="00CC4BA2"/>
    <w:rsid w:val="00CD21D8"/>
    <w:rsid w:val="00CD229D"/>
    <w:rsid w:val="00CD23B9"/>
    <w:rsid w:val="00CD4B0C"/>
    <w:rsid w:val="00CD4ED9"/>
    <w:rsid w:val="00CD603E"/>
    <w:rsid w:val="00CD689F"/>
    <w:rsid w:val="00CE0A85"/>
    <w:rsid w:val="00CE3394"/>
    <w:rsid w:val="00CF2294"/>
    <w:rsid w:val="00CF50F8"/>
    <w:rsid w:val="00CF6816"/>
    <w:rsid w:val="00CF6B23"/>
    <w:rsid w:val="00D044F5"/>
    <w:rsid w:val="00D141C5"/>
    <w:rsid w:val="00D17520"/>
    <w:rsid w:val="00D215F3"/>
    <w:rsid w:val="00D219B8"/>
    <w:rsid w:val="00D22419"/>
    <w:rsid w:val="00D25E08"/>
    <w:rsid w:val="00D261BE"/>
    <w:rsid w:val="00D27630"/>
    <w:rsid w:val="00D301F4"/>
    <w:rsid w:val="00D31D4D"/>
    <w:rsid w:val="00D334F6"/>
    <w:rsid w:val="00D34BBC"/>
    <w:rsid w:val="00D34F56"/>
    <w:rsid w:val="00D37A32"/>
    <w:rsid w:val="00D40DBF"/>
    <w:rsid w:val="00D41E71"/>
    <w:rsid w:val="00D55DCD"/>
    <w:rsid w:val="00D57A71"/>
    <w:rsid w:val="00D62AE7"/>
    <w:rsid w:val="00D67035"/>
    <w:rsid w:val="00D716A4"/>
    <w:rsid w:val="00D720CB"/>
    <w:rsid w:val="00D7326E"/>
    <w:rsid w:val="00D75B59"/>
    <w:rsid w:val="00D77C1A"/>
    <w:rsid w:val="00D80AB3"/>
    <w:rsid w:val="00D80E84"/>
    <w:rsid w:val="00D967B3"/>
    <w:rsid w:val="00D97418"/>
    <w:rsid w:val="00DA422D"/>
    <w:rsid w:val="00DB16E2"/>
    <w:rsid w:val="00DB1B92"/>
    <w:rsid w:val="00DB1EF9"/>
    <w:rsid w:val="00DB2BD0"/>
    <w:rsid w:val="00DB2F8C"/>
    <w:rsid w:val="00DB4DDD"/>
    <w:rsid w:val="00DB69A0"/>
    <w:rsid w:val="00DC395D"/>
    <w:rsid w:val="00DC53FB"/>
    <w:rsid w:val="00DE095B"/>
    <w:rsid w:val="00DE3B58"/>
    <w:rsid w:val="00DF5BF6"/>
    <w:rsid w:val="00DF6779"/>
    <w:rsid w:val="00E02AD4"/>
    <w:rsid w:val="00E05397"/>
    <w:rsid w:val="00E066A7"/>
    <w:rsid w:val="00E069E8"/>
    <w:rsid w:val="00E1151F"/>
    <w:rsid w:val="00E14064"/>
    <w:rsid w:val="00E142BA"/>
    <w:rsid w:val="00E14FB3"/>
    <w:rsid w:val="00E1586C"/>
    <w:rsid w:val="00E179C3"/>
    <w:rsid w:val="00E22CF1"/>
    <w:rsid w:val="00E241CE"/>
    <w:rsid w:val="00E246ED"/>
    <w:rsid w:val="00E344C7"/>
    <w:rsid w:val="00E35DDC"/>
    <w:rsid w:val="00E36BB0"/>
    <w:rsid w:val="00E404CF"/>
    <w:rsid w:val="00E47819"/>
    <w:rsid w:val="00E52DC4"/>
    <w:rsid w:val="00E54F0A"/>
    <w:rsid w:val="00E56E5A"/>
    <w:rsid w:val="00E608F2"/>
    <w:rsid w:val="00E62F2E"/>
    <w:rsid w:val="00E631F0"/>
    <w:rsid w:val="00E632EF"/>
    <w:rsid w:val="00E64218"/>
    <w:rsid w:val="00E670AE"/>
    <w:rsid w:val="00E72028"/>
    <w:rsid w:val="00E72123"/>
    <w:rsid w:val="00E75FB4"/>
    <w:rsid w:val="00E804AD"/>
    <w:rsid w:val="00E849BE"/>
    <w:rsid w:val="00E84D82"/>
    <w:rsid w:val="00E86548"/>
    <w:rsid w:val="00E87D91"/>
    <w:rsid w:val="00E9065D"/>
    <w:rsid w:val="00E91CA7"/>
    <w:rsid w:val="00E9212D"/>
    <w:rsid w:val="00E937B9"/>
    <w:rsid w:val="00E948BE"/>
    <w:rsid w:val="00EA04EA"/>
    <w:rsid w:val="00EA0849"/>
    <w:rsid w:val="00EB20B4"/>
    <w:rsid w:val="00EB5418"/>
    <w:rsid w:val="00EB559D"/>
    <w:rsid w:val="00EB594C"/>
    <w:rsid w:val="00EB6675"/>
    <w:rsid w:val="00EC0040"/>
    <w:rsid w:val="00EC4D63"/>
    <w:rsid w:val="00ED3976"/>
    <w:rsid w:val="00ED4144"/>
    <w:rsid w:val="00ED7009"/>
    <w:rsid w:val="00EE6495"/>
    <w:rsid w:val="00EF2700"/>
    <w:rsid w:val="00EF3731"/>
    <w:rsid w:val="00EF4E8E"/>
    <w:rsid w:val="00EF6739"/>
    <w:rsid w:val="00EF6D4C"/>
    <w:rsid w:val="00F04E38"/>
    <w:rsid w:val="00F05437"/>
    <w:rsid w:val="00F05CDF"/>
    <w:rsid w:val="00F10518"/>
    <w:rsid w:val="00F12EAC"/>
    <w:rsid w:val="00F12EB4"/>
    <w:rsid w:val="00F227E2"/>
    <w:rsid w:val="00F26534"/>
    <w:rsid w:val="00F26BDF"/>
    <w:rsid w:val="00F275B9"/>
    <w:rsid w:val="00F4087A"/>
    <w:rsid w:val="00F40BFB"/>
    <w:rsid w:val="00F40E8E"/>
    <w:rsid w:val="00F54851"/>
    <w:rsid w:val="00F55A83"/>
    <w:rsid w:val="00F601EF"/>
    <w:rsid w:val="00F61ED8"/>
    <w:rsid w:val="00F649F1"/>
    <w:rsid w:val="00F65260"/>
    <w:rsid w:val="00F753AA"/>
    <w:rsid w:val="00F85800"/>
    <w:rsid w:val="00F91160"/>
    <w:rsid w:val="00F92CA3"/>
    <w:rsid w:val="00FA10DD"/>
    <w:rsid w:val="00FA314A"/>
    <w:rsid w:val="00FA6155"/>
    <w:rsid w:val="00FA6760"/>
    <w:rsid w:val="00FB3FDB"/>
    <w:rsid w:val="00FC08DC"/>
    <w:rsid w:val="00FC1994"/>
    <w:rsid w:val="00FC63E0"/>
    <w:rsid w:val="00FC6803"/>
    <w:rsid w:val="00FC7110"/>
    <w:rsid w:val="00FC7211"/>
    <w:rsid w:val="00FD0026"/>
    <w:rsid w:val="00FD14AB"/>
    <w:rsid w:val="00FD16FA"/>
    <w:rsid w:val="00FD5B53"/>
    <w:rsid w:val="00FD7DA2"/>
    <w:rsid w:val="00FE063F"/>
    <w:rsid w:val="00FE2665"/>
    <w:rsid w:val="00FF4673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5"/>
    <w:rPr>
      <w:rFonts w:ascii="Times New Roman" w:eastAsia="Times New Roman" w:hAnsi="Times New Roman"/>
      <w:sz w:val="24"/>
      <w:szCs w:val="24"/>
      <w:lang w:val="es-E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255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25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255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25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25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25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25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25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10255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255"/>
    <w:rPr>
      <w:rFonts w:ascii="Cambria" w:eastAsia="Times New Roman" w:hAnsi="Cambria" w:cs="Times New Roman"/>
      <w:b/>
      <w:bCs/>
      <w:color w:val="4F81BD"/>
      <w:sz w:val="24"/>
      <w:szCs w:val="24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2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255"/>
    <w:rPr>
      <w:rFonts w:ascii="Cambria" w:eastAsia="Times New Roman" w:hAnsi="Cambria" w:cs="Times New Roman"/>
      <w:color w:val="243F60"/>
      <w:sz w:val="24"/>
      <w:szCs w:val="24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255"/>
    <w:rPr>
      <w:rFonts w:ascii="Cambria" w:eastAsia="Times New Roman" w:hAnsi="Cambria" w:cs="Times New Roman"/>
      <w:i/>
      <w:iCs/>
      <w:color w:val="243F60"/>
      <w:sz w:val="24"/>
      <w:szCs w:val="24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255"/>
    <w:rPr>
      <w:rFonts w:ascii="Cambria" w:eastAsia="Times New Roman" w:hAnsi="Cambria" w:cs="Times New Roman"/>
      <w:i/>
      <w:iCs/>
      <w:color w:val="404040"/>
      <w:sz w:val="24"/>
      <w:szCs w:val="24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255"/>
    <w:rPr>
      <w:rFonts w:ascii="Cambria" w:eastAsia="Times New Roman" w:hAnsi="Cambria" w:cs="Times New Roman"/>
      <w:color w:val="404040"/>
      <w:sz w:val="20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255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Chapter">
    <w:name w:val="Chapter"/>
    <w:basedOn w:val="Normal"/>
    <w:next w:val="Normal"/>
    <w:rsid w:val="00810255"/>
    <w:pPr>
      <w:keepNext/>
      <w:numPr>
        <w:numId w:val="1"/>
      </w:numPr>
      <w:tabs>
        <w:tab w:val="num" w:pos="648"/>
        <w:tab w:val="left" w:pos="1440"/>
      </w:tabs>
      <w:spacing w:before="240" w:after="240"/>
      <w:ind w:left="0" w:firstLine="288"/>
      <w:jc w:val="center"/>
    </w:pPr>
    <w:rPr>
      <w:b/>
      <w:smallCaps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10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55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PageNumber">
    <w:name w:val="page number"/>
    <w:basedOn w:val="DefaultParagraphFont"/>
    <w:rsid w:val="00810255"/>
  </w:style>
  <w:style w:type="paragraph" w:styleId="ListParagraph">
    <w:name w:val="List Paragraph"/>
    <w:basedOn w:val="Normal"/>
    <w:uiPriority w:val="34"/>
    <w:qFormat/>
    <w:rsid w:val="00FF4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/>
    </w:rPr>
  </w:style>
  <w:style w:type="character" w:customStyle="1" w:styleId="apple-converted-space">
    <w:name w:val="apple-converted-space"/>
    <w:basedOn w:val="DefaultParagraphFont"/>
    <w:rsid w:val="00D41E71"/>
  </w:style>
  <w:style w:type="character" w:styleId="Hyperlink">
    <w:name w:val="Hyperlink"/>
    <w:basedOn w:val="DefaultParagraphFont"/>
    <w:uiPriority w:val="99"/>
    <w:unhideWhenUsed/>
    <w:rsid w:val="00A76D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D0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36F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F2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95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2E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2E"/>
    <w:rPr>
      <w:rFonts w:ascii="Tahoma" w:eastAsia="Times New Roman" w:hAnsi="Tahoma" w:cs="Tahoma"/>
      <w:sz w:val="16"/>
      <w:szCs w:val="16"/>
      <w:lang w:val="es-ES"/>
    </w:rPr>
  </w:style>
  <w:style w:type="paragraph" w:customStyle="1" w:styleId="Sinespaciado1">
    <w:name w:val="Sin espaciado1"/>
    <w:uiPriority w:val="1"/>
    <w:qFormat/>
    <w:rsid w:val="003626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596"/>
    <w:rPr>
      <w:b/>
      <w:bCs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596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NoSpacing">
    <w:name w:val="No Spacing"/>
    <w:uiPriority w:val="1"/>
    <w:qFormat/>
    <w:rsid w:val="007179FD"/>
    <w:rPr>
      <w:sz w:val="22"/>
      <w:szCs w:val="22"/>
      <w:lang w:val="es-NI" w:eastAsia="en-US"/>
    </w:rPr>
  </w:style>
  <w:style w:type="paragraph" w:styleId="Revision">
    <w:name w:val="Revision"/>
    <w:hidden/>
    <w:uiPriority w:val="99"/>
    <w:semiHidden/>
    <w:rsid w:val="006B39EC"/>
    <w:rPr>
      <w:rFonts w:ascii="Times New Roman" w:eastAsia="Times New Roman" w:hAnsi="Times New Roman"/>
      <w:sz w:val="24"/>
      <w:szCs w:val="24"/>
      <w:lang w:val="es-ES" w:eastAsia="en-US"/>
    </w:rPr>
  </w:style>
  <w:style w:type="paragraph" w:customStyle="1" w:styleId="Sinespaciado2">
    <w:name w:val="Sin espaciado2"/>
    <w:uiPriority w:val="1"/>
    <w:qFormat/>
    <w:rsid w:val="00470CF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5"/>
    <w:rPr>
      <w:rFonts w:ascii="Times New Roman" w:eastAsia="Times New Roman" w:hAnsi="Times New Roman"/>
      <w:sz w:val="24"/>
      <w:szCs w:val="24"/>
      <w:lang w:val="es-E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255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25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255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25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25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25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25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25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10255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255"/>
    <w:rPr>
      <w:rFonts w:ascii="Cambria" w:eastAsia="Times New Roman" w:hAnsi="Cambria" w:cs="Times New Roman"/>
      <w:b/>
      <w:bCs/>
      <w:color w:val="4F81BD"/>
      <w:sz w:val="24"/>
      <w:szCs w:val="24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2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255"/>
    <w:rPr>
      <w:rFonts w:ascii="Cambria" w:eastAsia="Times New Roman" w:hAnsi="Cambria" w:cs="Times New Roman"/>
      <w:color w:val="243F60"/>
      <w:sz w:val="24"/>
      <w:szCs w:val="24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255"/>
    <w:rPr>
      <w:rFonts w:ascii="Cambria" w:eastAsia="Times New Roman" w:hAnsi="Cambria" w:cs="Times New Roman"/>
      <w:i/>
      <w:iCs/>
      <w:color w:val="243F60"/>
      <w:sz w:val="24"/>
      <w:szCs w:val="24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255"/>
    <w:rPr>
      <w:rFonts w:ascii="Cambria" w:eastAsia="Times New Roman" w:hAnsi="Cambria" w:cs="Times New Roman"/>
      <w:i/>
      <w:iCs/>
      <w:color w:val="404040"/>
      <w:sz w:val="24"/>
      <w:szCs w:val="24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255"/>
    <w:rPr>
      <w:rFonts w:ascii="Cambria" w:eastAsia="Times New Roman" w:hAnsi="Cambria" w:cs="Times New Roman"/>
      <w:color w:val="404040"/>
      <w:sz w:val="20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255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Chapter">
    <w:name w:val="Chapter"/>
    <w:basedOn w:val="Normal"/>
    <w:next w:val="Normal"/>
    <w:rsid w:val="00810255"/>
    <w:pPr>
      <w:keepNext/>
      <w:numPr>
        <w:numId w:val="1"/>
      </w:numPr>
      <w:tabs>
        <w:tab w:val="num" w:pos="648"/>
        <w:tab w:val="left" w:pos="1440"/>
      </w:tabs>
      <w:spacing w:before="240" w:after="240"/>
      <w:ind w:left="0" w:firstLine="288"/>
      <w:jc w:val="center"/>
    </w:pPr>
    <w:rPr>
      <w:b/>
      <w:smallCaps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10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55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PageNumber">
    <w:name w:val="page number"/>
    <w:basedOn w:val="DefaultParagraphFont"/>
    <w:rsid w:val="00810255"/>
  </w:style>
  <w:style w:type="paragraph" w:styleId="ListParagraph">
    <w:name w:val="List Paragraph"/>
    <w:basedOn w:val="Normal"/>
    <w:uiPriority w:val="34"/>
    <w:qFormat/>
    <w:rsid w:val="00FF4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/>
    </w:rPr>
  </w:style>
  <w:style w:type="character" w:customStyle="1" w:styleId="apple-converted-space">
    <w:name w:val="apple-converted-space"/>
    <w:basedOn w:val="DefaultParagraphFont"/>
    <w:rsid w:val="00D41E71"/>
  </w:style>
  <w:style w:type="character" w:styleId="Hyperlink">
    <w:name w:val="Hyperlink"/>
    <w:basedOn w:val="DefaultParagraphFont"/>
    <w:uiPriority w:val="99"/>
    <w:unhideWhenUsed/>
    <w:rsid w:val="00A76D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D0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36F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F2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95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2E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2E"/>
    <w:rPr>
      <w:rFonts w:ascii="Tahoma" w:eastAsia="Times New Roman" w:hAnsi="Tahoma" w:cs="Tahoma"/>
      <w:sz w:val="16"/>
      <w:szCs w:val="16"/>
      <w:lang w:val="es-ES"/>
    </w:rPr>
  </w:style>
  <w:style w:type="paragraph" w:customStyle="1" w:styleId="Sinespaciado1">
    <w:name w:val="Sin espaciado1"/>
    <w:uiPriority w:val="1"/>
    <w:qFormat/>
    <w:rsid w:val="003626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596"/>
    <w:rPr>
      <w:b/>
      <w:bCs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596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NoSpacing">
    <w:name w:val="No Spacing"/>
    <w:uiPriority w:val="1"/>
    <w:qFormat/>
    <w:rsid w:val="007179FD"/>
    <w:rPr>
      <w:sz w:val="22"/>
      <w:szCs w:val="22"/>
      <w:lang w:val="es-NI" w:eastAsia="en-US"/>
    </w:rPr>
  </w:style>
  <w:style w:type="paragraph" w:styleId="Revision">
    <w:name w:val="Revision"/>
    <w:hidden/>
    <w:uiPriority w:val="99"/>
    <w:semiHidden/>
    <w:rsid w:val="006B39EC"/>
    <w:rPr>
      <w:rFonts w:ascii="Times New Roman" w:eastAsia="Times New Roman" w:hAnsi="Times New Roman"/>
      <w:sz w:val="24"/>
      <w:szCs w:val="24"/>
      <w:lang w:val="es-ES" w:eastAsia="en-US"/>
    </w:rPr>
  </w:style>
  <w:style w:type="paragraph" w:customStyle="1" w:styleId="Sinespaciado2">
    <w:name w:val="Sin espaciado2"/>
    <w:uiPriority w:val="1"/>
    <w:qFormat/>
    <w:rsid w:val="00470CF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234CF3-AE18-4FDE-AC0C-0EF8C7EB01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6450E2-1800-4A83-9159-C49C82F454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F25AF-615E-4667-8084-E3F1C281AB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2C55B7-5E8B-4C7B-A6D8-E45FD48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Schiaffi</dc:creator>
  <cp:lastModifiedBy>annabellag</cp:lastModifiedBy>
  <cp:revision>7</cp:revision>
  <cp:lastPrinted>2014-05-09T14:55:00Z</cp:lastPrinted>
  <dcterms:created xsi:type="dcterms:W3CDTF">2016-10-19T14:41:00Z</dcterms:created>
  <dcterms:modified xsi:type="dcterms:W3CDTF">2016-10-19T15:31:00Z</dcterms:modified>
</cp:coreProperties>
</file>