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B880A" w14:textId="77777777" w:rsidR="00810255" w:rsidRPr="00674A2D" w:rsidRDefault="001F1C9A" w:rsidP="00DC395D">
      <w:pPr>
        <w:pStyle w:val="Chapter"/>
        <w:numPr>
          <w:ilvl w:val="0"/>
          <w:numId w:val="0"/>
        </w:numPr>
        <w:spacing w:before="60" w:after="60"/>
        <w:rPr>
          <w:rFonts w:ascii="Arial" w:hAnsi="Arial" w:cs="Arial"/>
          <w:szCs w:val="24"/>
          <w:lang w:val="es-ES_tradnl"/>
        </w:rPr>
      </w:pPr>
      <w:bookmarkStart w:id="0" w:name="_Toc193012681"/>
      <w:bookmarkStart w:id="1" w:name="_Toc193013165"/>
      <w:r w:rsidRPr="00674A2D">
        <w:rPr>
          <w:rFonts w:ascii="Arial" w:hAnsi="Arial" w:cs="Arial"/>
          <w:szCs w:val="24"/>
          <w:lang w:val="es-ES_tradnl"/>
        </w:rPr>
        <w:t xml:space="preserve">Matriz de </w:t>
      </w:r>
      <w:r w:rsidR="009F470B" w:rsidRPr="00674A2D">
        <w:rPr>
          <w:rFonts w:ascii="Arial" w:hAnsi="Arial" w:cs="Arial"/>
          <w:szCs w:val="24"/>
          <w:lang w:val="es-ES_tradnl"/>
        </w:rPr>
        <w:t>Medios de Verificación</w:t>
      </w:r>
    </w:p>
    <w:p w14:paraId="3D5EAFDD" w14:textId="77777777" w:rsidR="00810255" w:rsidRPr="00674A2D" w:rsidRDefault="00BC6FF0" w:rsidP="00745CB4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674A2D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3693"/>
        <w:gridCol w:w="3330"/>
        <w:gridCol w:w="1908"/>
      </w:tblGrid>
      <w:tr w:rsidR="00D85026" w:rsidRPr="00B1122F" w14:paraId="59D2F69B" w14:textId="77777777" w:rsidTr="00D85026">
        <w:trPr>
          <w:trHeight w:val="130"/>
          <w:tblHeader/>
        </w:trPr>
        <w:tc>
          <w:tcPr>
            <w:tcW w:w="3525" w:type="dxa"/>
            <w:shd w:val="clear" w:color="auto" w:fill="B6DDE8" w:themeFill="accent5" w:themeFillTint="66"/>
            <w:vAlign w:val="center"/>
            <w:hideMark/>
          </w:tcPr>
          <w:bookmarkEnd w:id="0"/>
          <w:bookmarkEnd w:id="1"/>
          <w:p w14:paraId="748D8F04" w14:textId="77777777" w:rsidR="001F1C9A" w:rsidRPr="00B1122F" w:rsidRDefault="00674A2D" w:rsidP="00BD38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Objetivos De Política</w:t>
            </w:r>
          </w:p>
        </w:tc>
        <w:tc>
          <w:tcPr>
            <w:tcW w:w="3693" w:type="dxa"/>
            <w:shd w:val="clear" w:color="auto" w:fill="B6DDE8" w:themeFill="accent5" w:themeFillTint="66"/>
          </w:tcPr>
          <w:p w14:paraId="75B49592" w14:textId="77777777" w:rsidR="001F1C9A" w:rsidRPr="00B1122F" w:rsidRDefault="00674A2D" w:rsidP="009A0F6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Acuerdos</w:t>
            </w:r>
          </w:p>
          <w:p w14:paraId="2BDAEB51" w14:textId="77777777" w:rsidR="001F1C9A" w:rsidRPr="00B1122F" w:rsidRDefault="00674A2D" w:rsidP="004846E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2da Operación</w:t>
            </w:r>
          </w:p>
        </w:tc>
        <w:tc>
          <w:tcPr>
            <w:tcW w:w="3330" w:type="dxa"/>
            <w:shd w:val="clear" w:color="auto" w:fill="B6DDE8" w:themeFill="accent5" w:themeFillTint="66"/>
          </w:tcPr>
          <w:p w14:paraId="08823DD9" w14:textId="77777777" w:rsidR="001F1C9A" w:rsidRPr="00B1122F" w:rsidRDefault="00674A2D" w:rsidP="00C053D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Medios de Verificación</w:t>
            </w:r>
          </w:p>
          <w:p w14:paraId="078B62E3" w14:textId="77777777" w:rsidR="001F1C9A" w:rsidRPr="00B1122F" w:rsidRDefault="00674A2D" w:rsidP="00C053D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2da Operación</w:t>
            </w:r>
          </w:p>
        </w:tc>
        <w:tc>
          <w:tcPr>
            <w:tcW w:w="1908" w:type="dxa"/>
            <w:shd w:val="clear" w:color="auto" w:fill="B6DDE8" w:themeFill="accent5" w:themeFillTint="66"/>
          </w:tcPr>
          <w:p w14:paraId="095D42A9" w14:textId="77777777" w:rsidR="001F1C9A" w:rsidRPr="00B1122F" w:rsidRDefault="00674A2D" w:rsidP="00C053D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Entidades Responsables</w:t>
            </w:r>
          </w:p>
        </w:tc>
      </w:tr>
      <w:tr w:rsidR="00D85026" w:rsidRPr="00B1122F" w14:paraId="423E7C34" w14:textId="77777777" w:rsidTr="00D85026">
        <w:trPr>
          <w:trHeight w:val="130"/>
        </w:trPr>
        <w:tc>
          <w:tcPr>
            <w:tcW w:w="7218" w:type="dxa"/>
            <w:gridSpan w:val="2"/>
            <w:shd w:val="clear" w:color="auto" w:fill="B6DDE8" w:themeFill="accent5" w:themeFillTint="66"/>
            <w:vAlign w:val="center"/>
          </w:tcPr>
          <w:p w14:paraId="0D4B6E68" w14:textId="77777777" w:rsidR="00BE5CC2" w:rsidRPr="00B1122F" w:rsidRDefault="00BE5CC2" w:rsidP="0089051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>Componente I: Sostenibilidad Macroeconómica</w:t>
            </w:r>
          </w:p>
        </w:tc>
        <w:tc>
          <w:tcPr>
            <w:tcW w:w="3330" w:type="dxa"/>
            <w:shd w:val="clear" w:color="auto" w:fill="B6DDE8" w:themeFill="accent5" w:themeFillTint="66"/>
          </w:tcPr>
          <w:p w14:paraId="21D733F2" w14:textId="77777777" w:rsidR="00BE5CC2" w:rsidRPr="00B1122F" w:rsidRDefault="00BE5CC2" w:rsidP="00890511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B6DDE8" w:themeFill="accent5" w:themeFillTint="66"/>
          </w:tcPr>
          <w:p w14:paraId="57F08C2D" w14:textId="77777777" w:rsidR="00BE5CC2" w:rsidRPr="00B1122F" w:rsidRDefault="00BE5CC2" w:rsidP="00890511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C9A" w:rsidRPr="00B1122F" w14:paraId="70EFB175" w14:textId="77777777" w:rsidTr="00D85026">
        <w:trPr>
          <w:trHeight w:val="878"/>
        </w:trPr>
        <w:tc>
          <w:tcPr>
            <w:tcW w:w="3525" w:type="dxa"/>
            <w:shd w:val="clear" w:color="auto" w:fill="auto"/>
            <w:hideMark/>
          </w:tcPr>
          <w:p w14:paraId="722FB94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 xml:space="preserve">Mantener un entorno 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B1122F">
              <w:rPr>
                <w:rFonts w:ascii="Arial" w:hAnsi="Arial" w:cs="Arial"/>
                <w:b/>
                <w:sz w:val="20"/>
                <w:szCs w:val="20"/>
              </w:rPr>
              <w:t>acroeconómico estable,</w:t>
            </w:r>
            <w:r w:rsidRPr="00B1122F">
              <w:rPr>
                <w:rFonts w:ascii="Arial" w:hAnsi="Arial" w:cs="Arial"/>
                <w:sz w:val="20"/>
                <w:szCs w:val="20"/>
              </w:rPr>
              <w:t xml:space="preserve"> consistente con los objetivos del programa. </w:t>
            </w:r>
          </w:p>
          <w:p w14:paraId="2BE378D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693" w:type="dxa"/>
          </w:tcPr>
          <w:p w14:paraId="50A0863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>Mantener un marco de políticas macroeconómicas congruente con los objetivos del Programa.</w:t>
            </w:r>
          </w:p>
        </w:tc>
        <w:tc>
          <w:tcPr>
            <w:tcW w:w="3330" w:type="dxa"/>
          </w:tcPr>
          <w:p w14:paraId="394A7E5E" w14:textId="77777777" w:rsidR="001F1C9A" w:rsidRPr="00B1122F" w:rsidRDefault="005D12CB" w:rsidP="00D850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color w:val="000000"/>
                <w:sz w:val="20"/>
                <w:szCs w:val="20"/>
              </w:rPr>
              <w:t>Evaluación Independiente de Condiciones Macroeconómicas (IAMC, por su sigla en inglés) elaborada por el Banco y  vigente al momento del desembolso</w:t>
            </w:r>
          </w:p>
        </w:tc>
        <w:tc>
          <w:tcPr>
            <w:tcW w:w="1908" w:type="dxa"/>
          </w:tcPr>
          <w:p w14:paraId="79DEBC6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>BID</w:t>
            </w:r>
          </w:p>
        </w:tc>
      </w:tr>
      <w:tr w:rsidR="00D85026" w:rsidRPr="00B1122F" w14:paraId="6DC72012" w14:textId="77777777" w:rsidTr="00D85026">
        <w:trPr>
          <w:trHeight w:val="430"/>
        </w:trPr>
        <w:tc>
          <w:tcPr>
            <w:tcW w:w="7218" w:type="dxa"/>
            <w:gridSpan w:val="2"/>
            <w:shd w:val="clear" w:color="auto" w:fill="B6DDE8" w:themeFill="accent5" w:themeFillTint="66"/>
            <w:vAlign w:val="center"/>
          </w:tcPr>
          <w:p w14:paraId="3677CC1E" w14:textId="77777777" w:rsidR="00BE5CC2" w:rsidRPr="00B1122F" w:rsidRDefault="00BE5CC2" w:rsidP="00AE41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>Componente II: Fortalecimiento de la regulación financiera para la mejora de la productividad</w:t>
            </w:r>
          </w:p>
        </w:tc>
        <w:tc>
          <w:tcPr>
            <w:tcW w:w="3330" w:type="dxa"/>
            <w:shd w:val="clear" w:color="auto" w:fill="B6DDE8" w:themeFill="accent5" w:themeFillTint="66"/>
          </w:tcPr>
          <w:p w14:paraId="2CDE630E" w14:textId="77777777" w:rsidR="00BE5CC2" w:rsidRPr="00B1122F" w:rsidRDefault="00BE5CC2" w:rsidP="00AE4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B6DDE8" w:themeFill="accent5" w:themeFillTint="66"/>
          </w:tcPr>
          <w:p w14:paraId="6A8AE6DA" w14:textId="77777777" w:rsidR="00BE5CC2" w:rsidRPr="00B1122F" w:rsidRDefault="00BE5CC2" w:rsidP="00AE4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C9A" w:rsidRPr="00B1122F" w14:paraId="39625E83" w14:textId="77777777" w:rsidTr="00D85026">
        <w:trPr>
          <w:trHeight w:val="916"/>
        </w:trPr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14:paraId="0B263B71" w14:textId="77777777" w:rsidR="001F1C9A" w:rsidRPr="00B1122F" w:rsidRDefault="001F1C9A" w:rsidP="00D85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>Mejora d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>e la regulación macroprudencial</w:t>
            </w:r>
          </w:p>
          <w:p w14:paraId="54C31CE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260E" w14:textId="48596607" w:rsidR="001F1C9A" w:rsidRPr="00B1122F" w:rsidRDefault="0011044B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Entrada en funcionamiento del </w:t>
            </w:r>
            <w:r w:rsidR="00A64B3D" w:rsidRPr="00B1122F">
              <w:rPr>
                <w:rFonts w:ascii="Arial" w:hAnsi="Arial" w:cs="Arial"/>
                <w:sz w:val="20"/>
                <w:szCs w:val="20"/>
              </w:rPr>
              <w:t>Comi</w:t>
            </w:r>
            <w:r w:rsidR="00A64B3D" w:rsidRPr="00B1122F">
              <w:rPr>
                <w:rFonts w:ascii="Arial" w:hAnsi="Arial" w:cs="Arial"/>
                <w:sz w:val="20"/>
                <w:szCs w:val="20"/>
                <w:lang w:val="es-ES_tradnl"/>
              </w:rPr>
              <w:t>té</w:t>
            </w:r>
            <w:r w:rsidRPr="00B1122F">
              <w:rPr>
                <w:rFonts w:ascii="Arial" w:hAnsi="Arial" w:cs="Arial"/>
                <w:sz w:val="20"/>
                <w:szCs w:val="20"/>
              </w:rPr>
              <w:t xml:space="preserve"> de Estabilidad </w:t>
            </w:r>
            <w:r w:rsidR="00AD027F" w:rsidRPr="00B1122F">
              <w:rPr>
                <w:rFonts w:ascii="Arial" w:hAnsi="Arial" w:cs="Arial"/>
                <w:sz w:val="20"/>
                <w:szCs w:val="20"/>
              </w:rPr>
              <w:t>F</w:t>
            </w:r>
            <w:r w:rsidRPr="00B1122F">
              <w:rPr>
                <w:rFonts w:ascii="Arial" w:hAnsi="Arial" w:cs="Arial"/>
                <w:sz w:val="20"/>
                <w:szCs w:val="20"/>
              </w:rPr>
              <w:t xml:space="preserve">inanciera </w:t>
            </w:r>
            <w:r w:rsidR="001F1C9A" w:rsidRPr="00B1122F">
              <w:rPr>
                <w:rFonts w:ascii="Arial" w:hAnsi="Arial" w:cs="Arial"/>
                <w:sz w:val="20"/>
                <w:szCs w:val="20"/>
              </w:rPr>
              <w:t>para la supervisión macroprudencial integrado por la SIBOIF y el Banco Central</w:t>
            </w:r>
            <w:r w:rsidR="0076028A" w:rsidRPr="00B1122F">
              <w:rPr>
                <w:rFonts w:ascii="Arial" w:hAnsi="Arial" w:cs="Arial"/>
                <w:sz w:val="20"/>
                <w:szCs w:val="20"/>
              </w:rPr>
              <w:t>,</w:t>
            </w:r>
            <w:r w:rsidR="001F1C9A" w:rsidRPr="00B1122F">
              <w:rPr>
                <w:rFonts w:ascii="Arial" w:hAnsi="Arial" w:cs="Arial"/>
                <w:sz w:val="20"/>
                <w:szCs w:val="20"/>
              </w:rPr>
              <w:t xml:space="preserve"> con el mandato de mejorar intercambio de información y la detección de indicadores para identificar riesgos sistémicos.</w:t>
            </w:r>
          </w:p>
          <w:p w14:paraId="1775DA4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AA0F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C0CC4" w14:textId="77777777" w:rsidR="001F1C9A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Entrada en funcionamiento del Manual de Resolución de Entidades Financieras. </w:t>
            </w:r>
          </w:p>
          <w:p w14:paraId="349285E8" w14:textId="77777777" w:rsidR="00B10CF4" w:rsidRDefault="00B10CF4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E1CCC" w14:textId="77777777" w:rsidR="00B95AC9" w:rsidRDefault="00B95AC9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F2CA" w14:textId="77777777" w:rsidR="00B10CF4" w:rsidRDefault="00B10CF4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A2399" w14:textId="77777777" w:rsidR="00B10CF4" w:rsidRPr="00B1122F" w:rsidRDefault="00B10CF4" w:rsidP="00D85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3EF" w14:textId="2E204037" w:rsidR="001F1C9A" w:rsidRPr="00B1122F" w:rsidRDefault="00DB25E4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C</w:t>
            </w:r>
            <w:r w:rsidR="001F1C9A" w:rsidRPr="00B1122F">
              <w:rPr>
                <w:rFonts w:ascii="Arial" w:hAnsi="Arial" w:cs="Arial"/>
                <w:sz w:val="20"/>
                <w:szCs w:val="20"/>
              </w:rPr>
              <w:t xml:space="preserve">onvenio Interinstitucional </w:t>
            </w:r>
            <w:r w:rsidRPr="00B1122F">
              <w:rPr>
                <w:rFonts w:ascii="Arial" w:hAnsi="Arial" w:cs="Arial"/>
                <w:sz w:val="20"/>
                <w:szCs w:val="20"/>
              </w:rPr>
              <w:t xml:space="preserve">suscrito </w:t>
            </w:r>
            <w:r w:rsidR="001F1C9A" w:rsidRPr="00B1122F">
              <w:rPr>
                <w:rFonts w:ascii="Arial" w:hAnsi="Arial" w:cs="Arial"/>
                <w:sz w:val="20"/>
                <w:szCs w:val="20"/>
              </w:rPr>
              <w:t xml:space="preserve">entre el Banco Central y la SIBOIF de creación del </w:t>
            </w:r>
            <w:r w:rsidR="00A64B3D" w:rsidRPr="00B1122F">
              <w:rPr>
                <w:rFonts w:ascii="Arial" w:hAnsi="Arial" w:cs="Arial"/>
                <w:sz w:val="20"/>
                <w:szCs w:val="20"/>
              </w:rPr>
              <w:t xml:space="preserve">Comité </w:t>
            </w:r>
            <w:r w:rsidR="00AC5FAC" w:rsidRPr="00B1122F">
              <w:rPr>
                <w:rFonts w:ascii="Arial" w:hAnsi="Arial" w:cs="Arial"/>
                <w:sz w:val="20"/>
                <w:szCs w:val="20"/>
              </w:rPr>
              <w:t>de Estabilidad Financiera</w:t>
            </w:r>
            <w:r w:rsidR="005E0449" w:rsidRPr="00B1122F">
              <w:rPr>
                <w:rFonts w:ascii="Arial" w:hAnsi="Arial" w:cs="Arial"/>
                <w:sz w:val="20"/>
                <w:szCs w:val="20"/>
              </w:rPr>
              <w:t>, indicando las funciones, sus componentes, la periodicidad de las reuniones y sus dotaciones de recursos económicos y técnicos</w:t>
            </w:r>
            <w:r w:rsidR="001E2295" w:rsidRPr="00B1122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="00111F22" w:rsidRPr="00B1122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F0590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3A2FB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0376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Resolución  del Consejo Directivo del FOGADE aprobando el Manual</w:t>
            </w:r>
            <w:r w:rsidR="005E0449" w:rsidRPr="00B1122F">
              <w:rPr>
                <w:rFonts w:ascii="Arial" w:hAnsi="Arial" w:cs="Arial"/>
                <w:sz w:val="20"/>
                <w:szCs w:val="20"/>
              </w:rPr>
              <w:t>, y copia del Manual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11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SIBOIF/BANCO CENTRAL</w:t>
            </w:r>
          </w:p>
          <w:p w14:paraId="4F2E21F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A5B7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3064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4677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16D3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7809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C0D4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50A2B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3FD1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FOGADE</w:t>
            </w:r>
          </w:p>
        </w:tc>
      </w:tr>
      <w:tr w:rsidR="001F1C9A" w:rsidRPr="00B1122F" w14:paraId="13A68779" w14:textId="77777777" w:rsidTr="00D85026">
        <w:trPr>
          <w:trHeight w:val="268"/>
        </w:trPr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14:paraId="0DD08FAD" w14:textId="77777777" w:rsidR="001F1C9A" w:rsidRPr="00B1122F" w:rsidRDefault="001F1C9A" w:rsidP="00D85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lastRenderedPageBreak/>
              <w:t>Mejoras en la regulació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>n y supervisión microprudencial</w:t>
            </w:r>
          </w:p>
          <w:p w14:paraId="15248949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A28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Desarrollo e implantación de un Manual  de Supervisión Basado en Riesgos por parte de la SIBOIF y la CONAMI. </w:t>
            </w:r>
          </w:p>
          <w:p w14:paraId="416212B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3F90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63F0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C4762" w14:textId="77777777" w:rsidR="00C219B7" w:rsidRPr="00B1122F" w:rsidRDefault="00C219B7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B46A8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25C86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42AB8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78480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3A548" w14:textId="77777777" w:rsidR="00B95AC9" w:rsidRDefault="00B95AC9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2EA0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Aplicación de estándares contables internacionales armonizados regionalmente a las entidades bancarias. </w:t>
            </w:r>
          </w:p>
          <w:p w14:paraId="613A06D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4FAD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Reforma de la normativa de riesgo de crédito y emisión de la normativa de riesgo tecnológico por parte de la CONAMI.</w:t>
            </w:r>
          </w:p>
          <w:p w14:paraId="47B8AFD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E0CB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9B060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0370E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CE84E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8D878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54F29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A8A06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DCF83" w14:textId="77777777" w:rsidR="00DA452A" w:rsidRPr="00B1122F" w:rsidRDefault="00DA452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EAB6F" w14:textId="77777777" w:rsidR="00774FF3" w:rsidRPr="00B1122F" w:rsidRDefault="00774FF3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388C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Implantación de un manual único de cuentas adaptado a las microfinanzas por parte de la CONAMI que uniformice la información de las entidades microfinancieras.</w:t>
            </w:r>
          </w:p>
          <w:p w14:paraId="7E042B9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A0BA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D51B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Entrada en vigor de la regulación del riesgo de liquidez y del nivel de apalancamiento siguiendo los principios de Basilea III.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49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Informe de la SIBOIF al MHCP sobre la implementación de la Supervisión Basada en Riesgos, incorporando número de inspecciones realizadas </w:t>
            </w:r>
            <w:r w:rsidR="00C219B7" w:rsidRPr="00B1122F">
              <w:rPr>
                <w:rFonts w:ascii="Arial" w:hAnsi="Arial" w:cs="Arial"/>
                <w:sz w:val="20"/>
                <w:szCs w:val="20"/>
              </w:rPr>
              <w:t xml:space="preserve">con el nuevo Manual de Supervisión </w:t>
            </w:r>
            <w:r w:rsidRPr="00B1122F">
              <w:rPr>
                <w:rFonts w:ascii="Arial" w:hAnsi="Arial" w:cs="Arial"/>
                <w:sz w:val="20"/>
                <w:szCs w:val="20"/>
              </w:rPr>
              <w:t>aprobado por el Superintendente.</w:t>
            </w:r>
          </w:p>
          <w:p w14:paraId="16B3765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Informe de la CONAMI al MHCP sobre la aplicación de la Supervisión Basada en Riesgos aprobado por la Presidencia Ejecutiva de la CONAMI. </w:t>
            </w:r>
          </w:p>
          <w:p w14:paraId="4B28C001" w14:textId="77777777" w:rsidR="00B95AC9" w:rsidRDefault="00B95AC9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015A9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Manual Único de Cuentas con base NIIF y calendario y estrategia de implantación aprobad</w:t>
            </w:r>
            <w:r w:rsidR="00CE51CF" w:rsidRPr="00B1122F">
              <w:rPr>
                <w:rFonts w:ascii="Arial" w:hAnsi="Arial" w:cs="Arial"/>
                <w:sz w:val="20"/>
                <w:szCs w:val="20"/>
              </w:rPr>
              <w:t>os</w:t>
            </w:r>
            <w:r w:rsidRPr="00B1122F">
              <w:rPr>
                <w:rFonts w:ascii="Arial" w:hAnsi="Arial" w:cs="Arial"/>
                <w:sz w:val="20"/>
                <w:szCs w:val="20"/>
              </w:rPr>
              <w:t xml:space="preserve"> por el Superintendente de la SIBOIF.</w:t>
            </w:r>
          </w:p>
          <w:p w14:paraId="32DBF2B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B867D" w14:textId="402A689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Publicación en la Gaceta Oficial de la Resolución del Consejo Directivo de la CONAMI aprobando la norma sobre gestión de riesgo crediticio para instituciones de microfinanzas.</w:t>
            </w:r>
          </w:p>
          <w:p w14:paraId="5E6336B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7B58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Publicación en la Gaceta Oficial de la Resolución del Consejo Directivo de la CONAMI aprobando la norma sobre gestión de riesgo tecnológico para instituciones de microfinanzas.</w:t>
            </w:r>
          </w:p>
          <w:p w14:paraId="373B866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F39F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Publicación en la Gaceta Oficial de la Resolución del Consejo Directivo de la CONAMI aprobando la norma sobre el Manual Único de Cuentas para </w:t>
            </w:r>
            <w:r w:rsidRPr="00B1122F">
              <w:rPr>
                <w:rFonts w:ascii="Arial" w:hAnsi="Arial" w:cs="Arial"/>
                <w:sz w:val="20"/>
                <w:szCs w:val="20"/>
              </w:rPr>
              <w:lastRenderedPageBreak/>
              <w:t>CONAMI.</w:t>
            </w:r>
          </w:p>
          <w:p w14:paraId="5480775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E91E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Publicación en la Gaceta Oficial de la Resolución del Consejo Directivo de la SIBOIF incorporando la regulación del riesgo de liquidez y del nivel de apalancamiento siguiendo los principios de Basilea III.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B2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SIBOIF</w:t>
            </w:r>
          </w:p>
          <w:p w14:paraId="24536FB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it-IT"/>
              </w:rPr>
              <w:t>CONAMI</w:t>
            </w:r>
          </w:p>
          <w:p w14:paraId="2FF170B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C7DB68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DD1478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0B17C4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3FA7EA5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BD976A0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0A8CD8A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6E1F2E3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52FBA72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31061EE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55AC226" w14:textId="77777777" w:rsidR="00B95AC9" w:rsidRDefault="00B95AC9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689E259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it-IT"/>
              </w:rPr>
              <w:t>SIBOIF</w:t>
            </w:r>
          </w:p>
          <w:p w14:paraId="72BD1F9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C72951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2CF538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6C41B4A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C57B708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it-IT"/>
              </w:rPr>
              <w:t>CONAMI</w:t>
            </w:r>
          </w:p>
          <w:p w14:paraId="0C157CE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F64AED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4932AB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CD9ACE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5CBFE2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DE0FF6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BB2A38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it-IT"/>
              </w:rPr>
              <w:t>CONAMI</w:t>
            </w:r>
          </w:p>
          <w:p w14:paraId="6F374F39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7E722D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931340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FA4DB4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27D5FF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D6E4B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511087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it-IT"/>
              </w:rPr>
              <w:t>CONAMI</w:t>
            </w:r>
          </w:p>
          <w:p w14:paraId="497F6C5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86B2F2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2FCA8D7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1E5E007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AD02E8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F96EF6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C6B18E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SIBOIF</w:t>
            </w:r>
          </w:p>
        </w:tc>
      </w:tr>
      <w:tr w:rsidR="001F1C9A" w:rsidRPr="00B1122F" w14:paraId="48A766FB" w14:textId="77777777" w:rsidTr="00D85026">
        <w:trPr>
          <w:trHeight w:val="1050"/>
        </w:trPr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14:paraId="76A7D99C" w14:textId="77777777" w:rsidR="001F1C9A" w:rsidRPr="00B1122F" w:rsidRDefault="001F1C9A" w:rsidP="00D85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lastRenderedPageBreak/>
              <w:t>Mejoras en la transparencia y desarrollo de nuevos instrumentos para el acceso al financiamiento para el desarrollo productivo</w:t>
            </w:r>
          </w:p>
          <w:p w14:paraId="20543FC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F130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Elaboración y aprobación de un Informe de evaluación de la competencia en el sistema financiero por parte de la SIBOIF. </w:t>
            </w:r>
          </w:p>
          <w:p w14:paraId="522AB33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90DA1" w14:textId="77777777" w:rsidR="00AC5FAC" w:rsidRPr="00B1122F" w:rsidRDefault="00AC5FAC" w:rsidP="00AC5F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Entrada en vigor de la ley de Asociaciones</w:t>
            </w:r>
          </w:p>
          <w:p w14:paraId="00FCC77D" w14:textId="77777777" w:rsidR="00AC5FAC" w:rsidRPr="00B1122F" w:rsidRDefault="00AC5FAC" w:rsidP="00AC5F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Público-Privadas (APP) siguiendo mejores prácticas</w:t>
            </w:r>
          </w:p>
          <w:p w14:paraId="7C7DAC65" w14:textId="77777777" w:rsidR="001F1C9A" w:rsidRPr="00B1122F" w:rsidRDefault="00AC5FAC" w:rsidP="00AC5FAC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internacionales.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BA26A" w14:textId="77777777" w:rsidR="001F1C9A" w:rsidRPr="00B1122F" w:rsidRDefault="005D12CB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color w:val="000000"/>
                <w:sz w:val="20"/>
                <w:szCs w:val="20"/>
              </w:rPr>
              <w:t>Informe de la SIBOIF a MHCP que contiene la evaluación de la competencia en el sistema financiero</w:t>
            </w:r>
            <w:r w:rsidR="002A46BE" w:rsidRPr="00B1122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CA2AE52" w14:textId="77777777" w:rsidR="0063696E" w:rsidRPr="00B1122F" w:rsidRDefault="0063696E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67CB3" w14:textId="77777777" w:rsidR="001F1C9A" w:rsidRPr="00B1122F" w:rsidRDefault="0063696E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Publicación en la Gaceta Oficial de la Ley de Asociaciones Público</w:t>
            </w:r>
            <w:r w:rsidR="00AD027F" w:rsidRPr="00B1122F">
              <w:rPr>
                <w:rFonts w:ascii="Arial" w:hAnsi="Arial" w:cs="Arial"/>
                <w:sz w:val="20"/>
                <w:szCs w:val="20"/>
              </w:rPr>
              <w:noBreakHyphen/>
            </w:r>
            <w:r w:rsidRPr="00B1122F">
              <w:rPr>
                <w:rFonts w:ascii="Arial" w:hAnsi="Arial" w:cs="Arial"/>
                <w:sz w:val="20"/>
                <w:szCs w:val="20"/>
              </w:rPr>
              <w:t>Privadas (APP).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A8AB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SIBOIF</w:t>
            </w:r>
          </w:p>
          <w:p w14:paraId="6FD83DF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ECC87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94B1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3328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58E0D" w14:textId="77777777" w:rsidR="001F1C9A" w:rsidRPr="00B1122F" w:rsidDel="00F22547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MCPH</w:t>
            </w:r>
          </w:p>
        </w:tc>
      </w:tr>
      <w:tr w:rsidR="001F1C9A" w:rsidRPr="00B1122F" w14:paraId="1DE21DCC" w14:textId="77777777" w:rsidTr="00D85026">
        <w:trPr>
          <w:trHeight w:val="448"/>
        </w:trPr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14:paraId="5926985A" w14:textId="77777777" w:rsidR="001F1C9A" w:rsidRPr="00B1122F" w:rsidRDefault="001F1C9A" w:rsidP="00D85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>Mejora en la eficiencia y el funcionamiento de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 xml:space="preserve"> la banca pública de desarrollo</w:t>
            </w:r>
          </w:p>
          <w:p w14:paraId="38AFA77C" w14:textId="77777777" w:rsidR="001F1C9A" w:rsidRPr="00B1122F" w:rsidRDefault="001F1C9A" w:rsidP="00D85026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46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Implantación de las mejoras de procesos y tecnológicas en el BFP.</w:t>
            </w:r>
          </w:p>
          <w:p w14:paraId="6AB55907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55FC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8F16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28DAF" w14:textId="77777777" w:rsidR="00C219B7" w:rsidRPr="00B1122F" w:rsidRDefault="00C219B7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2370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7150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Definición de un plan estratégico para el BFP que define los instrumentos y las áreas de acciones prioritarias de actuación a medio plazo. </w:t>
            </w:r>
          </w:p>
          <w:p w14:paraId="0A2EEB4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43FE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31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Informe del Gerente General del Consejo Directivo de BFP al MHCP indicando que se han implementado de los nuevos procesos tecnológicos</w:t>
            </w:r>
            <w:r w:rsidR="00C219B7" w:rsidRPr="00B1122F">
              <w:rPr>
                <w:rFonts w:ascii="Arial" w:hAnsi="Arial" w:cs="Arial"/>
                <w:sz w:val="20"/>
                <w:szCs w:val="20"/>
              </w:rPr>
              <w:t>, detallando sus funciones, tecnología y coste</w:t>
            </w:r>
            <w:r w:rsidRPr="00B112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CFE0ECD" w14:textId="77777777" w:rsidR="000F1AD7" w:rsidRPr="00B1122F" w:rsidRDefault="000F1AD7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AB29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Certificación de las partes relevantes del Acta de aprobación del plan estratégico por parte del Consejo Directivo de BFP conteniendo el Plan Estratégico.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50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BFP</w:t>
            </w:r>
          </w:p>
          <w:p w14:paraId="49546EC8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AD0D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9937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AA57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A249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7958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DD932" w14:textId="77777777" w:rsidR="001F1C9A" w:rsidRPr="00B1122F" w:rsidDel="001854E0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BFP</w:t>
            </w:r>
          </w:p>
        </w:tc>
      </w:tr>
      <w:tr w:rsidR="001F1C9A" w:rsidRPr="00B1122F" w14:paraId="522D0490" w14:textId="77777777" w:rsidTr="00D85026">
        <w:trPr>
          <w:trHeight w:val="629"/>
        </w:trPr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14:paraId="069DCB4B" w14:textId="77777777" w:rsidR="001F1C9A" w:rsidRDefault="001F1C9A" w:rsidP="00204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 xml:space="preserve">Mejoras en la protección de los acreedores y el régimen de 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>colaterales</w:t>
            </w:r>
          </w:p>
          <w:p w14:paraId="6E8CA7DA" w14:textId="77777777" w:rsidR="00B10CF4" w:rsidRDefault="00B10CF4" w:rsidP="00204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04B76" w14:textId="77777777" w:rsidR="00B10CF4" w:rsidRPr="00B1122F" w:rsidDel="00F85800" w:rsidRDefault="00B10CF4" w:rsidP="0020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BAE" w14:textId="77777777" w:rsidR="00AC5FAC" w:rsidRPr="00B1122F" w:rsidRDefault="00AC5FAC" w:rsidP="002041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Entrada en vigor de la normativa de garantías mobiliarias.</w:t>
            </w:r>
            <w:r w:rsidRPr="00B1122F" w:rsidDel="00D11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662CCC" w14:textId="77777777" w:rsidR="001F1C9A" w:rsidRPr="00B1122F" w:rsidRDefault="001F1C9A" w:rsidP="00AC5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7E1" w14:textId="77777777" w:rsidR="00AC5FAC" w:rsidRPr="00B1122F" w:rsidRDefault="0063696E" w:rsidP="00AC5FAC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Publicación en la Gaceta Oficial</w:t>
            </w:r>
            <w:r w:rsidR="00AC5FAC" w:rsidRPr="00B1122F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AD027F" w:rsidRPr="00B1122F">
              <w:rPr>
                <w:rFonts w:ascii="Arial" w:hAnsi="Arial" w:cs="Arial"/>
                <w:sz w:val="20"/>
                <w:szCs w:val="20"/>
              </w:rPr>
              <w:t>L</w:t>
            </w:r>
            <w:r w:rsidR="00AC5FAC" w:rsidRPr="00B1122F">
              <w:rPr>
                <w:rFonts w:ascii="Arial" w:hAnsi="Arial" w:cs="Arial"/>
                <w:sz w:val="20"/>
                <w:szCs w:val="20"/>
              </w:rPr>
              <w:t>ey de Garantías Mobiliarias.</w:t>
            </w:r>
          </w:p>
          <w:p w14:paraId="40BF5E4D" w14:textId="77777777" w:rsidR="00674A2D" w:rsidRPr="00B1122F" w:rsidRDefault="00674A2D" w:rsidP="00AC5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877" w14:textId="77777777" w:rsidR="001F1C9A" w:rsidRPr="00B1122F" w:rsidDel="008D3991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MIFIC</w:t>
            </w:r>
          </w:p>
        </w:tc>
      </w:tr>
      <w:tr w:rsidR="00D85026" w:rsidRPr="00B1122F" w:rsidDel="00740FE4" w14:paraId="117C9641" w14:textId="77777777" w:rsidTr="00D85026">
        <w:trPr>
          <w:trHeight w:val="448"/>
        </w:trPr>
        <w:tc>
          <w:tcPr>
            <w:tcW w:w="7218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14DF28" w14:textId="77777777" w:rsidR="00BE5CC2" w:rsidRPr="00B1122F" w:rsidDel="00740FE4" w:rsidRDefault="00B9510A" w:rsidP="00890511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Componente III: Mejora del clima de negocios y la competencia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FC1C903" w14:textId="77777777" w:rsidR="00BE5CC2" w:rsidRPr="00B1122F" w:rsidRDefault="00BE5CC2" w:rsidP="008905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8495CDE" w14:textId="77777777" w:rsidR="00BE5CC2" w:rsidRPr="00B1122F" w:rsidRDefault="00BE5CC2" w:rsidP="008905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C9A" w:rsidRPr="00B1122F" w14:paraId="6E41275C" w14:textId="77777777" w:rsidTr="00D85026">
        <w:trPr>
          <w:trHeight w:val="70"/>
        </w:trPr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14:paraId="739CFAC6" w14:textId="77777777" w:rsidR="001F1C9A" w:rsidRPr="00B1122F" w:rsidRDefault="001F1C9A" w:rsidP="00D85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>Mejora regulator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>ia y simplificación de procesos</w:t>
            </w:r>
            <w:r w:rsidRPr="00B11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4D82D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7E1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Mejoras en la simplificación de procesos en materia de licencias y permisos medidos dentro del reporte del </w:t>
            </w:r>
            <w:r w:rsidRPr="00B1122F">
              <w:rPr>
                <w:rFonts w:ascii="Arial" w:hAnsi="Arial" w:cs="Arial"/>
                <w:i/>
                <w:sz w:val="20"/>
                <w:szCs w:val="20"/>
                <w:lang w:val="es-AR"/>
              </w:rPr>
              <w:t>Doing Business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 en las áreas de registros de propiedad, apertura de una empresa, simplificación del pago de impuestos, </w:t>
            </w:r>
            <w:r w:rsidR="003B3151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y 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comercio transfronterizo.  </w:t>
            </w:r>
          </w:p>
          <w:p w14:paraId="597DBEA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808FF0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Entrada en funcionamiento de las VUI en siete municipios.</w:t>
            </w:r>
          </w:p>
          <w:p w14:paraId="1C2D022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5B8F5C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3BA8C9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6AF816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6030C87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E0469E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A600BCE" w14:textId="77777777" w:rsidR="00C02112" w:rsidRPr="00B1122F" w:rsidRDefault="00C02112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1B1907C" w14:textId="77777777" w:rsidR="00C02112" w:rsidRPr="00B1122F" w:rsidRDefault="00C02112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400DD28" w14:textId="77777777" w:rsidR="001F1C9A" w:rsidRPr="00B1122F" w:rsidRDefault="00DB25E4" w:rsidP="00DB25E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Entrada en funcionamiento de la </w:t>
            </w:r>
            <w:r w:rsidR="001F1C9A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 VUCEN simplificando, coordinando e informatizando los procesos para el comercio exterior.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7F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Informe de ProNicaragua al MHCP con el resumen de mejoras de simplificación de procesos en las áreas que cubren los siguientes indicadores del </w:t>
            </w:r>
            <w:r w:rsidRPr="00B1122F">
              <w:rPr>
                <w:rFonts w:ascii="Arial" w:hAnsi="Arial" w:cs="Arial"/>
                <w:i/>
                <w:sz w:val="20"/>
                <w:szCs w:val="20"/>
                <w:lang w:val="es-AR"/>
              </w:rPr>
              <w:t>Doing Business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 2014 y 2015 señalados.</w:t>
            </w:r>
          </w:p>
          <w:p w14:paraId="28D6FFC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B2049D7" w14:textId="77777777" w:rsidR="005D12CB" w:rsidRPr="00B1122F" w:rsidRDefault="005D12CB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0BDAC4E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787CEBB" w14:textId="77777777" w:rsidR="00C02112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Informe del MIFIC al MHCP con la información necesaria para comprobar que las VUI en los siete municipios se encuentran en funcionamiento.</w:t>
            </w:r>
            <w:r w:rsidR="00C02112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 Entre esta información se encontrará, el número de trámites realizados y el número de empresas registradas por municipio.</w:t>
            </w:r>
          </w:p>
          <w:p w14:paraId="00129DB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539939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Informe del MIFIC al MHCP informando el funcionamiento de las VUCEN, proveyendo datos</w:t>
            </w:r>
            <w:r w:rsidR="005D12CB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 concretos sobre la evolución de su implementación (número de empresas, instituciones, municipios, </w:t>
            </w:r>
            <w:r w:rsidR="000F1AD7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incidencias ocurridas, </w:t>
            </w:r>
            <w:r w:rsidR="005D12CB" w:rsidRPr="00B1122F">
              <w:rPr>
                <w:rFonts w:ascii="Arial" w:hAnsi="Arial" w:cs="Arial"/>
                <w:sz w:val="20"/>
                <w:szCs w:val="20"/>
                <w:lang w:val="es-AR"/>
              </w:rPr>
              <w:t>entre otros)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. </w:t>
            </w:r>
          </w:p>
          <w:p w14:paraId="6CE0E89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34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PRONICARAGUA</w:t>
            </w:r>
          </w:p>
          <w:p w14:paraId="4F1E017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D2C406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5AF6C09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5D06D1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7F5BA5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8FA4AD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514D1A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ABC9198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F2A537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MIFIC</w:t>
            </w:r>
          </w:p>
          <w:p w14:paraId="45D05DC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5ABB1C7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6D0087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5E2A48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2CE0E28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601E2D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167D81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7DA254D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6D5DC3A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56E946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MIFIC</w:t>
            </w:r>
          </w:p>
        </w:tc>
      </w:tr>
      <w:tr w:rsidR="00D85026" w:rsidRPr="00B1122F" w14:paraId="00257294" w14:textId="77777777" w:rsidTr="00D85026">
        <w:trPr>
          <w:trHeight w:val="980"/>
        </w:trPr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14:paraId="548FE7BC" w14:textId="77777777" w:rsidR="001F1C9A" w:rsidRPr="00B1122F" w:rsidRDefault="001F1C9A" w:rsidP="00D85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>Fortalecimiento de la gobernanza de la regulación en materia de compe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>tencia y defensa del consumidor</w:t>
            </w:r>
          </w:p>
          <w:p w14:paraId="2FBA061E" w14:textId="77777777" w:rsidR="001F1C9A" w:rsidRPr="00B1122F" w:rsidRDefault="001F1C9A" w:rsidP="00D85026">
            <w:p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  <w:p w14:paraId="0E89792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9B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Desarrollo de indicadores sectoriales de competencia siguiendo las mejores prácticas establecidas por la OCDE.</w:t>
            </w:r>
          </w:p>
          <w:p w14:paraId="0883021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2D098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91437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92FEA" w14:textId="77777777" w:rsidR="00674A2D" w:rsidRPr="00B1122F" w:rsidRDefault="00674A2D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FE4BE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lastRenderedPageBreak/>
              <w:t>Implantación de una política de recursos humanos y de capacitación del personal de ProCompetencia.</w:t>
            </w:r>
          </w:p>
          <w:p w14:paraId="0D374AD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E7FF5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FA4C9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 xml:space="preserve">Análisis de las barreras de competencia en los sectores de turismo, lácteo, y madera.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712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lastRenderedPageBreak/>
              <w:t>Informe de ProCompetencia al MHCP mostrando los indicadores sectoriales desarrollados siguiendo metodología de la OCDE.</w:t>
            </w:r>
          </w:p>
          <w:p w14:paraId="0DFE157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99D10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B692C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lastRenderedPageBreak/>
              <w:t>Informe de ProCompetencia al MHCP mostrando la política de capacitación y los cursos realizados por el personal.</w:t>
            </w:r>
          </w:p>
          <w:p w14:paraId="3EDE883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C678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Informes de ProCompetencia al MHCP que incluyan el análisis de las barreras de competencia en los sectores de turismo, lácteo y madera.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6DD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lastRenderedPageBreak/>
              <w:t>PROCOMPETENCIA</w:t>
            </w:r>
          </w:p>
          <w:p w14:paraId="2722EE2F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84902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59396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BD4B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D08A3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134F9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lastRenderedPageBreak/>
              <w:t>PROCOMPETENCIA</w:t>
            </w:r>
          </w:p>
          <w:p w14:paraId="1E6A138B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C823A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CD6E4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CD148" w14:textId="77777777" w:rsidR="001F1C9A" w:rsidRPr="00B1122F" w:rsidRDefault="001F1C9A" w:rsidP="00D85026">
            <w:pPr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PROCOMPETENCIA</w:t>
            </w:r>
          </w:p>
        </w:tc>
      </w:tr>
      <w:tr w:rsidR="0074345C" w:rsidRPr="00B1122F" w:rsidDel="00740FE4" w14:paraId="74F4B87A" w14:textId="77777777" w:rsidTr="00D85026">
        <w:trPr>
          <w:trHeight w:val="547"/>
        </w:trPr>
        <w:tc>
          <w:tcPr>
            <w:tcW w:w="12456" w:type="dxa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A94CD1" w14:textId="77777777" w:rsidR="0074345C" w:rsidRPr="00B1122F" w:rsidRDefault="0074345C" w:rsidP="00890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Componente IV: Fortalecimiento de las instituciones para el desarrollo productivo</w:t>
            </w:r>
          </w:p>
        </w:tc>
      </w:tr>
      <w:tr w:rsidR="001F1C9A" w:rsidRPr="00B1122F" w14:paraId="71D661A7" w14:textId="77777777" w:rsidTr="00D85026">
        <w:trPr>
          <w:trHeight w:val="916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624A4" w14:textId="77777777" w:rsidR="001F1C9A" w:rsidRPr="00B1122F" w:rsidRDefault="00974956" w:rsidP="00D85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t>Implementación del p</w:t>
            </w:r>
            <w:r w:rsidR="001F1C9A" w:rsidRPr="00B1122F">
              <w:rPr>
                <w:rFonts w:ascii="Arial" w:hAnsi="Arial" w:cs="Arial"/>
                <w:b/>
                <w:sz w:val="20"/>
                <w:szCs w:val="20"/>
              </w:rPr>
              <w:t xml:space="preserve">lan </w:t>
            </w:r>
            <w:r w:rsidRPr="00B1122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F1C9A" w:rsidRPr="00B1122F">
              <w:rPr>
                <w:rFonts w:ascii="Arial" w:hAnsi="Arial" w:cs="Arial"/>
                <w:b/>
                <w:sz w:val="20"/>
                <w:szCs w:val="20"/>
              </w:rPr>
              <w:t xml:space="preserve">stratégico de </w:t>
            </w:r>
            <w:r w:rsidRPr="00B1122F">
              <w:rPr>
                <w:rFonts w:ascii="Arial" w:hAnsi="Arial" w:cs="Arial"/>
                <w:b/>
                <w:sz w:val="20"/>
                <w:szCs w:val="20"/>
              </w:rPr>
              <w:t>desarrollo productivo</w:t>
            </w:r>
          </w:p>
          <w:p w14:paraId="62C89F3D" w14:textId="77777777" w:rsidR="001F1C9A" w:rsidRPr="00B1122F" w:rsidRDefault="001F1C9A" w:rsidP="00D85026">
            <w:pPr>
              <w:pStyle w:val="ListParagraph"/>
              <w:tabs>
                <w:tab w:val="left" w:pos="432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14:paraId="4591C425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Fortalecimiento institucional del MIFIC y el MEFC</w:t>
            </w:r>
            <w:r w:rsidR="00E66A48" w:rsidRPr="00B1122F">
              <w:rPr>
                <w:rFonts w:ascii="Arial" w:hAnsi="Arial" w:cs="Arial"/>
                <w:sz w:val="20"/>
                <w:szCs w:val="20"/>
                <w:lang w:val="es-AR"/>
              </w:rPr>
              <w:t>C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A en materia de gestión y evaluación de proyectos para el desarrollo productivo.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41EA93E" w14:textId="17EE9ADD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Informe del MIFIC al MHCP comprendiendo lo siguiente: (i)</w:t>
            </w:r>
            <w:r w:rsidR="00B95AC9">
              <w:rPr>
                <w:rFonts w:ascii="Arial" w:hAnsi="Arial" w:cs="Arial"/>
                <w:sz w:val="20"/>
                <w:szCs w:val="20"/>
                <w:lang w:val="es-AR"/>
              </w:rPr>
              <w:t> 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identificación de mejoras de procedimientos en gestión de proyectos y (ii) la definición de la metodología de evaluación de proyectos y capacitación de personal, anexando evidencia.</w:t>
            </w:r>
          </w:p>
          <w:p w14:paraId="274F7549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E53291E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Informe del MEFC</w:t>
            </w:r>
            <w:r w:rsidR="00E66A48" w:rsidRPr="00B1122F">
              <w:rPr>
                <w:rFonts w:ascii="Arial" w:hAnsi="Arial" w:cs="Arial"/>
                <w:sz w:val="20"/>
                <w:szCs w:val="20"/>
                <w:lang w:val="es-AR"/>
              </w:rPr>
              <w:t>C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A al MHCP comprendiendo lo siguiente: (i) creación de la unidad de proyectos; e (ii)</w:t>
            </w:r>
            <w:r w:rsidR="0030355E" w:rsidRPr="00B1122F">
              <w:rPr>
                <w:rFonts w:ascii="Arial" w:hAnsi="Arial" w:cs="Arial"/>
                <w:sz w:val="20"/>
                <w:szCs w:val="20"/>
                <w:lang w:val="es-AR"/>
              </w:rPr>
              <w:t> 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implementación de metodología de evaluación de proyectos,  anexando la evidencia.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75D3532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MIFIC</w:t>
            </w:r>
          </w:p>
          <w:p w14:paraId="5DCE9C13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A4667BB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A06612D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1CAD8EF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DF11DA5" w14:textId="77777777" w:rsidR="001F1C9A" w:rsidRPr="00B1122F" w:rsidRDefault="001F1C9A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60B0E18" w14:textId="77777777" w:rsidR="00674A2D" w:rsidRPr="00B1122F" w:rsidRDefault="00674A2D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1288FAD" w14:textId="77777777" w:rsidR="00674A2D" w:rsidRPr="00B1122F" w:rsidRDefault="00674A2D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C1CBB55" w14:textId="77777777" w:rsidR="00674A2D" w:rsidRPr="00B1122F" w:rsidRDefault="00674A2D" w:rsidP="00D85026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54BA3C3" w14:textId="77777777" w:rsidR="001F1C9A" w:rsidRPr="00B1122F" w:rsidRDefault="001F1C9A" w:rsidP="00D85026">
            <w:pPr>
              <w:tabs>
                <w:tab w:val="left" w:pos="3319"/>
              </w:tabs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MEFC</w:t>
            </w:r>
            <w:r w:rsidR="00E66A48" w:rsidRPr="00B1122F">
              <w:rPr>
                <w:rFonts w:ascii="Arial" w:hAnsi="Arial" w:cs="Arial"/>
                <w:sz w:val="20"/>
                <w:szCs w:val="20"/>
                <w:lang w:val="es-AR"/>
              </w:rPr>
              <w:t>C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A</w:t>
            </w:r>
          </w:p>
        </w:tc>
      </w:tr>
      <w:tr w:rsidR="00D85026" w:rsidRPr="00B1122F" w14:paraId="035A29CE" w14:textId="77777777" w:rsidTr="00B95AC9">
        <w:trPr>
          <w:trHeight w:val="530"/>
        </w:trPr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14:paraId="486D4093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Fortalecimiento de las instituciones destinadas a la promoción de exportacione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 y la atracción de inversiones</w:t>
            </w:r>
          </w:p>
          <w:p w14:paraId="22531973" w14:textId="77777777" w:rsidR="001F1C9A" w:rsidRPr="00B1122F" w:rsidRDefault="001F1C9A" w:rsidP="00D85026">
            <w:pPr>
              <w:pStyle w:val="Sinespaciado2"/>
              <w:ind w:left="43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426A5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>Entrada en vigor de la reforma institucional de ProNicaragua</w:t>
            </w:r>
            <w:r w:rsidR="00774FF3" w:rsidRPr="00B112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mediante su creación como agencia del Gobierno</w:t>
            </w: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5F4B67EC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ADEBCB9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>Entrada en vigor de</w:t>
            </w:r>
            <w:r w:rsidR="003B3151" w:rsidRPr="00B112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</w:t>
            </w: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planes estratégicos de atracción de inversiones en la RAAN y RAAS</w:t>
            </w:r>
            <w:r w:rsidR="00774FF3" w:rsidRPr="00B112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con el objetivo de diversificar </w:t>
            </w:r>
            <w:r w:rsidR="00774FF3" w:rsidRPr="00B1122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geográficamente el destino de las inversiones extranjeras</w:t>
            </w: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FAE5F0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Publicación en la Gaceta Oficial de la Ley de creación de ProNicaragua.</w:t>
            </w:r>
          </w:p>
          <w:p w14:paraId="1D541536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BE772F" w14:textId="77777777" w:rsidR="0030355E" w:rsidRPr="00B1122F" w:rsidRDefault="0030355E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EEF1340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Certificación de las partes relevantes del Acta de la Junta Directiva de ProNicaragua  que aprueba la Estrategia de atracción </w:t>
            </w: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de inversiones en la RAAN y RAAS (ProNicaribe).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C25B89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PRONICARAGUA</w:t>
            </w:r>
          </w:p>
          <w:p w14:paraId="6F3E7613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A44B8E7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765574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B90D51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540D5E2" w14:textId="77777777" w:rsidR="001F1C9A" w:rsidRPr="00B1122F" w:rsidRDefault="001F1C9A" w:rsidP="00D85026">
            <w:pPr>
              <w:pStyle w:val="Sinespaciado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ES_tradnl"/>
              </w:rPr>
              <w:t>PRONICARAGUA</w:t>
            </w:r>
          </w:p>
        </w:tc>
      </w:tr>
      <w:tr w:rsidR="001F1C9A" w:rsidRPr="0020418A" w14:paraId="53703583" w14:textId="77777777" w:rsidTr="00D85026">
        <w:trPr>
          <w:trHeight w:val="1070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14:paraId="35026A20" w14:textId="77777777" w:rsidR="001F1C9A" w:rsidRPr="00B1122F" w:rsidRDefault="001F1C9A" w:rsidP="0097495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22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Mejoras de las instituciones y las políticas de </w:t>
            </w:r>
            <w:r w:rsidR="00974956" w:rsidRPr="00B1122F">
              <w:rPr>
                <w:rFonts w:ascii="Arial" w:hAnsi="Arial" w:cs="Arial"/>
                <w:b/>
                <w:sz w:val="20"/>
                <w:szCs w:val="20"/>
              </w:rPr>
              <w:t>ciencia y tecnología</w:t>
            </w:r>
          </w:p>
          <w:p w14:paraId="38AE207F" w14:textId="77777777" w:rsidR="001F1C9A" w:rsidRPr="00B1122F" w:rsidRDefault="001F1C9A" w:rsidP="00890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0B217DEF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Desarrollo de la </w:t>
            </w:r>
            <w:r w:rsidR="00E66A48" w:rsidRPr="00B1122F">
              <w:rPr>
                <w:rFonts w:ascii="Arial" w:hAnsi="Arial" w:cs="Arial"/>
                <w:sz w:val="20"/>
                <w:szCs w:val="20"/>
                <w:lang w:val="es-AR"/>
              </w:rPr>
              <w:t>E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strategia de ciencia, tecnología, innovación y emprendedurismo, que impulse los sectores prioritarios, mediante la creación de un Fondo de Impulso a la Innovación. </w:t>
            </w:r>
          </w:p>
          <w:p w14:paraId="1EE8EC7A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8C4D611" w14:textId="77777777" w:rsidR="001F1C9A" w:rsidRPr="00B1122F" w:rsidRDefault="00774FF3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Realización de </w:t>
            </w:r>
            <w:r w:rsidR="001F1C9A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ajustes 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a</w:t>
            </w:r>
            <w:r w:rsidR="001F1C9A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3B3151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las </w:t>
            </w:r>
            <w:r w:rsidR="001F1C9A" w:rsidRPr="00B1122F">
              <w:rPr>
                <w:rFonts w:ascii="Arial" w:hAnsi="Arial" w:cs="Arial"/>
                <w:sz w:val="20"/>
                <w:szCs w:val="20"/>
                <w:lang w:val="es-AR"/>
              </w:rPr>
              <w:t>unidades metrológicas implementadas en las alcaldías municipales, de acuerdo a una evaluación previa.</w:t>
            </w:r>
          </w:p>
          <w:p w14:paraId="62552A88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784D93DF" w14:textId="77777777" w:rsidR="0030355E" w:rsidRPr="00B1122F" w:rsidRDefault="0030355E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532EC480" w14:textId="77777777" w:rsidR="0030355E" w:rsidRPr="00B1122F" w:rsidRDefault="0030355E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44355152" w14:textId="77777777" w:rsidR="0030355E" w:rsidRPr="00B1122F" w:rsidRDefault="0030355E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4C7D8311" w14:textId="77777777" w:rsidR="0030355E" w:rsidRPr="00B1122F" w:rsidRDefault="0030355E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0619F992" w14:textId="77777777" w:rsidR="001F1C9A" w:rsidRPr="00B1122F" w:rsidRDefault="001F1C9A" w:rsidP="000F222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Cumplimiento del reconocimiento internacional de la ONA.</w:t>
            </w:r>
          </w:p>
          <w:p w14:paraId="2D881A13" w14:textId="77777777" w:rsidR="003A5CE4" w:rsidRPr="00B1122F" w:rsidRDefault="003A5CE4" w:rsidP="000F222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595D220B" w14:textId="77777777" w:rsidR="003A5CE4" w:rsidRPr="00B1122F" w:rsidRDefault="003A5CE4" w:rsidP="000F222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64EFE359" w14:textId="77777777" w:rsidR="003A5CE4" w:rsidRPr="00B1122F" w:rsidRDefault="003A5CE4" w:rsidP="000F222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61F1C7FD" w14:textId="77777777" w:rsidR="003A5CE4" w:rsidRPr="00B1122F" w:rsidRDefault="003A5CE4" w:rsidP="000F222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13921C04" w14:textId="77777777" w:rsidR="003A5CE4" w:rsidRPr="00B1122F" w:rsidRDefault="003A5CE4" w:rsidP="003A5CE4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Implementación de un sistema de segregación de producción bovina por parte del Instituto de Protección y Sanidad Agropecuaria (IPSA) destinado a mejorar la trazabilidad del ganado.</w:t>
            </w:r>
          </w:p>
          <w:p w14:paraId="67497687" w14:textId="77777777" w:rsidR="003A5CE4" w:rsidRPr="00B1122F" w:rsidRDefault="003A5CE4" w:rsidP="003A5CE4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08551846" w14:textId="77777777" w:rsidR="003A5CE4" w:rsidRPr="00B1122F" w:rsidRDefault="003A5CE4" w:rsidP="000F222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4390F93D" w14:textId="77777777" w:rsidR="003A5CE4" w:rsidRPr="00B1122F" w:rsidRDefault="003A5CE4" w:rsidP="000F222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BB681C3" w14:textId="77777777" w:rsidR="001F1C9A" w:rsidRPr="00B1122F" w:rsidRDefault="00EE0E3B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Informe del CONICYT sobre el desarrollo de la Estrategia de ciencia, tecnología, innovación y emprendedurismo, adjuntando el proyecto del r</w:t>
            </w:r>
            <w:r w:rsidR="001F1C9A"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eglamento de la creación del Fondo. </w:t>
            </w:r>
          </w:p>
          <w:p w14:paraId="139CDF33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42B5457" w14:textId="7249AFC9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Informe del MIFIC sobre la implementación de unidades metrológicas </w:t>
            </w:r>
            <w:r w:rsidRPr="00B1122F">
              <w:rPr>
                <w:rFonts w:ascii="Arial" w:hAnsi="Arial" w:cs="Arial"/>
                <w:sz w:val="20"/>
                <w:szCs w:val="20"/>
              </w:rPr>
              <w:t xml:space="preserve">en magnitudes de masa y volumen a nivel subnacional </w:t>
            </w:r>
            <w:r w:rsidR="00EE0E3B" w:rsidRPr="00B1122F">
              <w:rPr>
                <w:rFonts w:ascii="Arial" w:hAnsi="Arial" w:cs="Arial"/>
                <w:sz w:val="20"/>
                <w:szCs w:val="20"/>
              </w:rPr>
              <w:t xml:space="preserve">incluyendo </w:t>
            </w:r>
            <w:r w:rsidRPr="00B1122F">
              <w:rPr>
                <w:rFonts w:ascii="Arial" w:hAnsi="Arial" w:cs="Arial"/>
                <w:sz w:val="20"/>
                <w:szCs w:val="20"/>
              </w:rPr>
              <w:t>las ayudas memorias con las unidades, las capacitaciones, y verificaciones realizadas.</w:t>
            </w: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14:paraId="0D4F328C" w14:textId="77777777" w:rsidR="001F1C9A" w:rsidRPr="00B1122F" w:rsidRDefault="001F1C9A" w:rsidP="00087DE7">
            <w:pPr>
              <w:tabs>
                <w:tab w:val="left" w:pos="3319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252ED64" w14:textId="77777777" w:rsidR="001F1C9A" w:rsidRPr="00B1122F" w:rsidRDefault="001F1C9A" w:rsidP="00D31D57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 xml:space="preserve">Certificaciones de reconocimiento provistos por IIAC para laboratorio de ensayo y para organismos de inspección y Certificación de reconocimiento provisto por ILAC. </w:t>
            </w:r>
          </w:p>
          <w:p w14:paraId="3269E893" w14:textId="77777777" w:rsidR="0074345C" w:rsidRPr="00B1122F" w:rsidRDefault="0074345C" w:rsidP="00D31D57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40C21AD" w14:textId="77777777" w:rsidR="003A5CE4" w:rsidRPr="00B1122F" w:rsidRDefault="003A5CE4" w:rsidP="00D31D57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  <w:r w:rsidRPr="00B1122F">
              <w:rPr>
                <w:rFonts w:ascii="Arial" w:hAnsi="Arial" w:cs="Arial"/>
                <w:sz w:val="20"/>
                <w:szCs w:val="20"/>
              </w:rPr>
              <w:t>Resolución ejecutiva del IPSA para la implementación del sistema de segregado de producción bovina.</w:t>
            </w:r>
          </w:p>
          <w:p w14:paraId="0074AE43" w14:textId="77777777" w:rsidR="003A5CE4" w:rsidRPr="00B1122F" w:rsidRDefault="003A5CE4" w:rsidP="00D31D57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174DED99" w14:textId="77777777" w:rsidR="003A5CE4" w:rsidRPr="00B1122F" w:rsidRDefault="003A5CE4" w:rsidP="00D31D57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23A0D556" w14:textId="77777777" w:rsidR="003A5CE4" w:rsidRPr="00B1122F" w:rsidRDefault="003A5CE4" w:rsidP="00D31D57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  <w:p w14:paraId="6C24FF8C" w14:textId="77777777" w:rsidR="003A5CE4" w:rsidRPr="00B1122F" w:rsidRDefault="003A5CE4" w:rsidP="00D31D57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626C8200" w14:textId="77777777" w:rsidR="001F1C9A" w:rsidRPr="00B1122F" w:rsidRDefault="00EE0E3B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CONICYT</w:t>
            </w:r>
          </w:p>
          <w:p w14:paraId="77C41DE0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9BB1F73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AB24908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4A891F9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1F4BDAB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51D3C83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DA73CF0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MIFIC</w:t>
            </w:r>
          </w:p>
          <w:p w14:paraId="53D9AABD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077EF8C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42DB45C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86D19D9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C854704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0022C3D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E67D416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040251D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7DC8A33" w14:textId="77777777" w:rsidR="001F1C9A" w:rsidRPr="00B1122F" w:rsidRDefault="001F1C9A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ONA</w:t>
            </w:r>
          </w:p>
          <w:p w14:paraId="52AE9700" w14:textId="77777777" w:rsidR="003A5CE4" w:rsidRPr="00B1122F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EE3B7FD" w14:textId="77777777" w:rsidR="003A5CE4" w:rsidRPr="00B1122F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1162858" w14:textId="77777777" w:rsidR="003A5CE4" w:rsidRPr="00B1122F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A16A417" w14:textId="77777777" w:rsidR="0074345C" w:rsidRPr="00B1122F" w:rsidRDefault="0074345C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1A1E451" w14:textId="77777777" w:rsidR="0074345C" w:rsidRPr="00B1122F" w:rsidRDefault="0074345C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AC0C8B9" w14:textId="77777777" w:rsidR="003A5CE4" w:rsidRPr="0020418A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1122F">
              <w:rPr>
                <w:rFonts w:ascii="Arial" w:hAnsi="Arial" w:cs="Arial"/>
                <w:sz w:val="20"/>
                <w:szCs w:val="20"/>
                <w:lang w:val="es-AR"/>
              </w:rPr>
              <w:t>IPSA</w:t>
            </w:r>
          </w:p>
          <w:p w14:paraId="40E13E1E" w14:textId="77777777" w:rsidR="003A5CE4" w:rsidRPr="0020418A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C18E7BB" w14:textId="77777777" w:rsidR="003A5CE4" w:rsidRPr="0020418A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27EBAD1" w14:textId="77777777" w:rsidR="003A5CE4" w:rsidRPr="0020418A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2D19B26" w14:textId="77777777" w:rsidR="003A5CE4" w:rsidRPr="0020418A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E39D5A0" w14:textId="77777777" w:rsidR="003A5CE4" w:rsidRPr="0020418A" w:rsidRDefault="003A5CE4" w:rsidP="00890511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10C644B" w14:textId="77777777" w:rsidR="003A5CE4" w:rsidRPr="0020418A" w:rsidRDefault="003A5CE4" w:rsidP="004028F9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  <w:lang w:val="es-AR"/>
              </w:rPr>
            </w:pPr>
            <w:bookmarkStart w:id="2" w:name="_GoBack"/>
            <w:bookmarkEnd w:id="2"/>
          </w:p>
        </w:tc>
      </w:tr>
    </w:tbl>
    <w:p w14:paraId="12C1B923" w14:textId="0FACB165" w:rsidR="00F5767E" w:rsidRPr="00D85026" w:rsidRDefault="00F5767E" w:rsidP="000E0675">
      <w:pPr>
        <w:rPr>
          <w:rFonts w:ascii="Arial" w:hAnsi="Arial" w:cs="Arial"/>
          <w:sz w:val="18"/>
          <w:szCs w:val="18"/>
        </w:rPr>
      </w:pPr>
    </w:p>
    <w:sectPr w:rsidR="00F5767E" w:rsidRPr="00D85026" w:rsidSect="009765D1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 w:code="1"/>
      <w:pgMar w:top="1440" w:right="1800" w:bottom="1440" w:left="1800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7B0E" w14:textId="77777777" w:rsidR="00BF58B9" w:rsidRDefault="00BF58B9">
      <w:r>
        <w:separator/>
      </w:r>
    </w:p>
  </w:endnote>
  <w:endnote w:type="continuationSeparator" w:id="0">
    <w:p w14:paraId="50D86D27" w14:textId="77777777" w:rsidR="00BF58B9" w:rsidRDefault="00BF58B9">
      <w:r>
        <w:continuationSeparator/>
      </w:r>
    </w:p>
  </w:endnote>
  <w:endnote w:type="continuationNotice" w:id="1">
    <w:p w14:paraId="4C1AA3DD" w14:textId="77777777" w:rsidR="00BF58B9" w:rsidRDefault="00BF5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0FCA" w14:textId="77777777" w:rsidR="00B44B41" w:rsidRDefault="00B4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DF8BF" w14:textId="77777777" w:rsidR="00BF58B9" w:rsidRDefault="00BF58B9">
      <w:r>
        <w:separator/>
      </w:r>
    </w:p>
  </w:footnote>
  <w:footnote w:type="continuationSeparator" w:id="0">
    <w:p w14:paraId="5C55A8E7" w14:textId="77777777" w:rsidR="00BF58B9" w:rsidRDefault="00BF58B9">
      <w:r>
        <w:continuationSeparator/>
      </w:r>
    </w:p>
  </w:footnote>
  <w:footnote w:type="continuationNotice" w:id="1">
    <w:p w14:paraId="1E0CE81D" w14:textId="77777777" w:rsidR="00BF58B9" w:rsidRDefault="00BF58B9"/>
  </w:footnote>
  <w:footnote w:id="2">
    <w:p w14:paraId="2CE82ACA" w14:textId="77777777" w:rsidR="001E2295" w:rsidRPr="0020418A" w:rsidRDefault="001E2295" w:rsidP="0020418A">
      <w:pPr>
        <w:pStyle w:val="FootnoteText"/>
        <w:ind w:left="180" w:hanging="180"/>
        <w:jc w:val="both"/>
        <w:rPr>
          <w:rFonts w:ascii="Arial" w:hAnsi="Arial" w:cs="Arial"/>
          <w:sz w:val="18"/>
        </w:rPr>
      </w:pPr>
      <w:r w:rsidRPr="0020418A">
        <w:rPr>
          <w:rStyle w:val="FootnoteReference"/>
          <w:rFonts w:ascii="Arial" w:hAnsi="Arial" w:cs="Arial"/>
          <w:sz w:val="18"/>
        </w:rPr>
        <w:footnoteRef/>
      </w:r>
      <w:r w:rsidRPr="0020418A">
        <w:rPr>
          <w:rFonts w:ascii="Arial" w:hAnsi="Arial" w:cs="Arial"/>
          <w:sz w:val="18"/>
        </w:rPr>
        <w:t xml:space="preserve"> </w:t>
      </w:r>
      <w:r w:rsidR="002C0282">
        <w:rPr>
          <w:rFonts w:ascii="Arial" w:hAnsi="Arial" w:cs="Arial"/>
          <w:sz w:val="18"/>
        </w:rPr>
        <w:tab/>
      </w:r>
      <w:r w:rsidRPr="0020418A">
        <w:rPr>
          <w:rFonts w:ascii="Arial" w:hAnsi="Arial" w:cs="Arial"/>
          <w:sz w:val="18"/>
        </w:rPr>
        <w:t>El convenio de colaboración deber</w:t>
      </w:r>
      <w:r w:rsidR="00455FD8" w:rsidRPr="0020418A">
        <w:rPr>
          <w:rFonts w:ascii="Arial" w:hAnsi="Arial" w:cs="Arial"/>
          <w:sz w:val="18"/>
        </w:rPr>
        <w:t xml:space="preserve">á incluir en la definición </w:t>
      </w:r>
      <w:r w:rsidRPr="0020418A">
        <w:rPr>
          <w:rFonts w:ascii="Arial" w:hAnsi="Arial" w:cs="Arial"/>
          <w:sz w:val="18"/>
        </w:rPr>
        <w:t xml:space="preserve">del </w:t>
      </w:r>
      <w:r w:rsidR="00A64B3D">
        <w:rPr>
          <w:rFonts w:ascii="Arial" w:hAnsi="Arial" w:cs="Arial"/>
          <w:sz w:val="18"/>
        </w:rPr>
        <w:t>Comité</w:t>
      </w:r>
      <w:r w:rsidR="00A64B3D" w:rsidRPr="0020418A">
        <w:rPr>
          <w:rFonts w:ascii="Arial" w:hAnsi="Arial" w:cs="Arial"/>
          <w:sz w:val="18"/>
        </w:rPr>
        <w:t xml:space="preserve"> </w:t>
      </w:r>
      <w:r w:rsidRPr="0020418A">
        <w:rPr>
          <w:rFonts w:ascii="Arial" w:hAnsi="Arial" w:cs="Arial"/>
          <w:sz w:val="18"/>
        </w:rPr>
        <w:t xml:space="preserve">los siguientes elementos: (i) </w:t>
      </w:r>
      <w:r w:rsidR="00455FD8" w:rsidRPr="0020418A">
        <w:rPr>
          <w:rFonts w:ascii="Arial" w:hAnsi="Arial" w:cs="Arial"/>
          <w:sz w:val="18"/>
        </w:rPr>
        <w:t xml:space="preserve">las </w:t>
      </w:r>
      <w:r w:rsidR="00684EE6" w:rsidRPr="0020418A">
        <w:rPr>
          <w:rFonts w:ascii="Arial" w:hAnsi="Arial" w:cs="Arial"/>
          <w:sz w:val="18"/>
        </w:rPr>
        <w:t xml:space="preserve">funciones claramente </w:t>
      </w:r>
      <w:r w:rsidR="00F24583" w:rsidRPr="0020418A">
        <w:rPr>
          <w:rFonts w:ascii="Arial" w:hAnsi="Arial" w:cs="Arial"/>
          <w:sz w:val="18"/>
        </w:rPr>
        <w:t xml:space="preserve">definidas </w:t>
      </w:r>
      <w:r w:rsidR="00455FD8" w:rsidRPr="0020418A">
        <w:rPr>
          <w:rFonts w:ascii="Arial" w:hAnsi="Arial" w:cs="Arial"/>
          <w:sz w:val="18"/>
        </w:rPr>
        <w:t xml:space="preserve">del </w:t>
      </w:r>
      <w:r w:rsidR="00A64B3D">
        <w:rPr>
          <w:rFonts w:ascii="Arial" w:hAnsi="Arial" w:cs="Arial"/>
          <w:sz w:val="18"/>
        </w:rPr>
        <w:t>Comité</w:t>
      </w:r>
      <w:r w:rsidR="00455FD8" w:rsidRPr="0020418A">
        <w:rPr>
          <w:rFonts w:ascii="Arial" w:hAnsi="Arial" w:cs="Arial"/>
          <w:sz w:val="18"/>
        </w:rPr>
        <w:t xml:space="preserve"> </w:t>
      </w:r>
      <w:r w:rsidR="00F24583" w:rsidRPr="0020418A">
        <w:rPr>
          <w:rFonts w:ascii="Arial" w:hAnsi="Arial" w:cs="Arial"/>
          <w:sz w:val="18"/>
        </w:rPr>
        <w:t>en cuanto a</w:t>
      </w:r>
      <w:r w:rsidR="00FE51E1">
        <w:rPr>
          <w:rFonts w:ascii="Arial" w:hAnsi="Arial" w:cs="Arial"/>
          <w:sz w:val="18"/>
        </w:rPr>
        <w:t>l</w:t>
      </w:r>
      <w:r w:rsidR="00F24583" w:rsidRPr="0020418A">
        <w:rPr>
          <w:rFonts w:ascii="Arial" w:hAnsi="Arial" w:cs="Arial"/>
          <w:sz w:val="18"/>
        </w:rPr>
        <w:t xml:space="preserve"> seguimiento de la estabilidad financiera y las políticas macroprudenciales</w:t>
      </w:r>
      <w:r w:rsidR="007429F3" w:rsidRPr="0020418A">
        <w:rPr>
          <w:rFonts w:ascii="Arial" w:hAnsi="Arial" w:cs="Arial"/>
          <w:sz w:val="18"/>
        </w:rPr>
        <w:t xml:space="preserve"> y, en concreto, de obtener y analizar la información relevante para la identificación de los riesgos sistémicos y evaluar la estabilidad del sistema financiero en su conjunto</w:t>
      </w:r>
      <w:r w:rsidR="00F24583" w:rsidRPr="0020418A">
        <w:rPr>
          <w:rFonts w:ascii="Arial" w:hAnsi="Arial" w:cs="Arial"/>
          <w:sz w:val="18"/>
        </w:rPr>
        <w:t xml:space="preserve">; (ii) </w:t>
      </w:r>
      <w:r w:rsidR="00455FD8" w:rsidRPr="0020418A">
        <w:rPr>
          <w:rFonts w:ascii="Arial" w:hAnsi="Arial" w:cs="Arial"/>
          <w:sz w:val="18"/>
        </w:rPr>
        <w:t xml:space="preserve">la </w:t>
      </w:r>
      <w:r w:rsidR="007429F3" w:rsidRPr="0020418A">
        <w:rPr>
          <w:rFonts w:ascii="Arial" w:hAnsi="Arial" w:cs="Arial"/>
          <w:sz w:val="18"/>
        </w:rPr>
        <w:t xml:space="preserve">definición de la estrategia a seguir y los tiempos para determinar qué metodología será utilizada para definir y medir las entidades y el riesgo sistémico; (iii) </w:t>
      </w:r>
      <w:r w:rsidR="00455FD8" w:rsidRPr="0020418A">
        <w:rPr>
          <w:rFonts w:ascii="Arial" w:hAnsi="Arial" w:cs="Arial"/>
          <w:sz w:val="18"/>
        </w:rPr>
        <w:t xml:space="preserve">el </w:t>
      </w:r>
      <w:r w:rsidR="007429F3" w:rsidRPr="0020418A">
        <w:rPr>
          <w:rFonts w:ascii="Arial" w:hAnsi="Arial" w:cs="Arial"/>
          <w:sz w:val="18"/>
        </w:rPr>
        <w:t>calendario de reuniones a seguir</w:t>
      </w:r>
      <w:r w:rsidR="00CE48F0" w:rsidRPr="0020418A">
        <w:rPr>
          <w:rFonts w:ascii="Arial" w:hAnsi="Arial" w:cs="Arial"/>
          <w:sz w:val="18"/>
        </w:rPr>
        <w:t xml:space="preserve"> y los mecanismos para garantizar la realización conjunta del</w:t>
      </w:r>
      <w:r w:rsidR="007429F3" w:rsidRPr="0020418A">
        <w:rPr>
          <w:rFonts w:ascii="Arial" w:hAnsi="Arial" w:cs="Arial"/>
          <w:sz w:val="18"/>
        </w:rPr>
        <w:t xml:space="preserve"> </w:t>
      </w:r>
      <w:r w:rsidR="00CE48F0" w:rsidRPr="0020418A">
        <w:rPr>
          <w:rFonts w:ascii="Arial" w:hAnsi="Arial" w:cs="Arial"/>
          <w:sz w:val="18"/>
        </w:rPr>
        <w:t>informe</w:t>
      </w:r>
      <w:r w:rsidR="007429F3" w:rsidRPr="0020418A">
        <w:rPr>
          <w:rFonts w:ascii="Arial" w:hAnsi="Arial" w:cs="Arial"/>
          <w:sz w:val="18"/>
        </w:rPr>
        <w:t xml:space="preserve"> de estabilidad financiera del Banco Central; y (iv) </w:t>
      </w:r>
      <w:r w:rsidR="00455FD8" w:rsidRPr="0020418A">
        <w:rPr>
          <w:rFonts w:ascii="Arial" w:hAnsi="Arial" w:cs="Arial"/>
          <w:sz w:val="18"/>
        </w:rPr>
        <w:t xml:space="preserve">los </w:t>
      </w:r>
      <w:r w:rsidR="007429F3" w:rsidRPr="0020418A">
        <w:rPr>
          <w:rFonts w:ascii="Arial" w:hAnsi="Arial" w:cs="Arial"/>
          <w:sz w:val="18"/>
        </w:rPr>
        <w:t xml:space="preserve">integrantes de la SIBOIF y el Banco Central que conformarán el </w:t>
      </w:r>
      <w:r w:rsidR="00A64B3D">
        <w:rPr>
          <w:rFonts w:ascii="Arial" w:hAnsi="Arial" w:cs="Arial"/>
          <w:sz w:val="18"/>
        </w:rPr>
        <w:t>Comité</w:t>
      </w:r>
      <w:r w:rsidR="007429F3" w:rsidRPr="0020418A">
        <w:rPr>
          <w:rFonts w:ascii="Arial" w:hAnsi="Arial" w:cs="Arial"/>
          <w:sz w:val="18"/>
        </w:rPr>
        <w:t>, señalando su carácter técnico</w:t>
      </w:r>
      <w:r w:rsidR="00CE48F0" w:rsidRPr="0020418A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4E43" w14:textId="77777777" w:rsidR="003C0596" w:rsidRDefault="000414BD" w:rsidP="003C05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D5A19" w14:textId="77777777" w:rsidR="003C0596" w:rsidRDefault="003C0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17333822"/>
      <w:docPartObj>
        <w:docPartGallery w:val="Page Numbers (Top of Page)"/>
        <w:docPartUnique/>
      </w:docPartObj>
    </w:sdtPr>
    <w:sdtEndPr/>
    <w:sdtContent>
      <w:p w14:paraId="0669666B" w14:textId="77777777" w:rsidR="00DC345B" w:rsidRDefault="00DC345B" w:rsidP="00DC345B">
        <w:pPr>
          <w:pStyle w:val="Header"/>
          <w:tabs>
            <w:tab w:val="left" w:pos="11205"/>
            <w:tab w:val="right" w:pos="12240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NI-L1096</w:t>
        </w:r>
      </w:p>
      <w:p w14:paraId="148AC4E1" w14:textId="77777777" w:rsidR="00DC345B" w:rsidRDefault="00DC345B" w:rsidP="00DC345B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val="es-ES_tradnl"/>
          </w:rPr>
          <w:t xml:space="preserve">Página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28F9"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de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28F9"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2AAFB372" w14:textId="77777777" w:rsidR="00DC345B" w:rsidRDefault="00DC3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168209085"/>
      <w:docPartObj>
        <w:docPartGallery w:val="Page Numbers (Top of Page)"/>
        <w:docPartUnique/>
      </w:docPartObj>
    </w:sdtPr>
    <w:sdtEndPr/>
    <w:sdtContent>
      <w:p w14:paraId="2D90D88A" w14:textId="77777777" w:rsidR="00DC345B" w:rsidRDefault="00DC345B" w:rsidP="00DC345B">
        <w:pPr>
          <w:pStyle w:val="Header"/>
          <w:tabs>
            <w:tab w:val="left" w:pos="11205"/>
            <w:tab w:val="right" w:pos="12240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NI-L1096</w:t>
        </w:r>
      </w:p>
      <w:p w14:paraId="28CFE66C" w14:textId="77777777" w:rsidR="00DC345B" w:rsidRDefault="00DC345B" w:rsidP="00DC345B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val="es-ES_tradnl"/>
          </w:rPr>
          <w:t xml:space="preserve">Página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28F9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de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28F9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4AC7913B" w14:textId="77777777" w:rsidR="00DC345B" w:rsidRDefault="00DC3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382"/>
    <w:multiLevelType w:val="hybridMultilevel"/>
    <w:tmpl w:val="F45E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E9D"/>
    <w:multiLevelType w:val="hybridMultilevel"/>
    <w:tmpl w:val="E5FEBF70"/>
    <w:lvl w:ilvl="0" w:tplc="B40A7812">
      <w:start w:val="1"/>
      <w:numFmt w:val="lowerRoman"/>
      <w:lvlText w:val="(%1)"/>
      <w:lvlJc w:val="left"/>
      <w:pPr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387"/>
    <w:multiLevelType w:val="hybridMultilevel"/>
    <w:tmpl w:val="49E403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EEF"/>
    <w:multiLevelType w:val="hybridMultilevel"/>
    <w:tmpl w:val="747E7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F6035"/>
    <w:multiLevelType w:val="hybridMultilevel"/>
    <w:tmpl w:val="388A93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30B5"/>
    <w:multiLevelType w:val="hybridMultilevel"/>
    <w:tmpl w:val="BAA8376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B7D68"/>
    <w:multiLevelType w:val="hybridMultilevel"/>
    <w:tmpl w:val="93C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435F"/>
    <w:multiLevelType w:val="hybridMultilevel"/>
    <w:tmpl w:val="C84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2640"/>
    <w:multiLevelType w:val="hybridMultilevel"/>
    <w:tmpl w:val="466AE5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0BDD"/>
    <w:multiLevelType w:val="hybridMultilevel"/>
    <w:tmpl w:val="841A4F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25D32"/>
    <w:multiLevelType w:val="hybridMultilevel"/>
    <w:tmpl w:val="3658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70111"/>
    <w:multiLevelType w:val="hybridMultilevel"/>
    <w:tmpl w:val="1C1A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501E1"/>
    <w:multiLevelType w:val="hybridMultilevel"/>
    <w:tmpl w:val="A404C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432B"/>
    <w:multiLevelType w:val="hybridMultilevel"/>
    <w:tmpl w:val="364664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2707"/>
    <w:multiLevelType w:val="hybridMultilevel"/>
    <w:tmpl w:val="860E3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B4A61"/>
    <w:multiLevelType w:val="hybridMultilevel"/>
    <w:tmpl w:val="6AE680A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2624F"/>
    <w:multiLevelType w:val="hybridMultilevel"/>
    <w:tmpl w:val="D70472AA"/>
    <w:lvl w:ilvl="0" w:tplc="2D740AE8">
      <w:start w:val="1"/>
      <w:numFmt w:val="lowerRoman"/>
      <w:lvlText w:val="(%1)"/>
      <w:lvlJc w:val="left"/>
      <w:pPr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E72E8"/>
    <w:multiLevelType w:val="hybridMultilevel"/>
    <w:tmpl w:val="EF7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42EE9"/>
    <w:multiLevelType w:val="hybridMultilevel"/>
    <w:tmpl w:val="AF86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368DA"/>
    <w:multiLevelType w:val="hybridMultilevel"/>
    <w:tmpl w:val="D5326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E0A58"/>
    <w:multiLevelType w:val="hybridMultilevel"/>
    <w:tmpl w:val="270C3E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3301F"/>
    <w:multiLevelType w:val="hybridMultilevel"/>
    <w:tmpl w:val="97181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76795"/>
    <w:multiLevelType w:val="hybridMultilevel"/>
    <w:tmpl w:val="FBB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229D0"/>
    <w:multiLevelType w:val="hybridMultilevel"/>
    <w:tmpl w:val="728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C4204"/>
    <w:multiLevelType w:val="hybridMultilevel"/>
    <w:tmpl w:val="633204F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C6435"/>
    <w:multiLevelType w:val="hybridMultilevel"/>
    <w:tmpl w:val="0D9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E046B"/>
    <w:multiLevelType w:val="hybridMultilevel"/>
    <w:tmpl w:val="700CD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12335"/>
    <w:multiLevelType w:val="hybridMultilevel"/>
    <w:tmpl w:val="46AE0684"/>
    <w:lvl w:ilvl="0" w:tplc="190A174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B2A59"/>
    <w:multiLevelType w:val="hybridMultilevel"/>
    <w:tmpl w:val="CAA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C55D8"/>
    <w:multiLevelType w:val="hybridMultilevel"/>
    <w:tmpl w:val="67AA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ECAD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10516"/>
    <w:multiLevelType w:val="multilevel"/>
    <w:tmpl w:val="4538096C"/>
    <w:lvl w:ilvl="0">
      <w:start w:val="1"/>
      <w:numFmt w:val="decimal"/>
      <w:pStyle w:val="Chapter"/>
      <w:lvlText w:val="%1"/>
      <w:lvlJc w:val="left"/>
      <w:pPr>
        <w:ind w:left="720" w:hanging="432"/>
      </w:pPr>
    </w:lvl>
    <w:lvl w:ilvl="1">
      <w:start w:val="1"/>
      <w:numFmt w:val="decimal"/>
      <w:pStyle w:val="Heading2"/>
      <w:lvlText w:val="%1.%2"/>
      <w:lvlJc w:val="left"/>
      <w:pPr>
        <w:ind w:left="864" w:hanging="576"/>
      </w:pPr>
    </w:lvl>
    <w:lvl w:ilvl="2">
      <w:start w:val="1"/>
      <w:numFmt w:val="decimal"/>
      <w:pStyle w:val="Heading3"/>
      <w:lvlText w:val="%1.%2.%3"/>
      <w:lvlJc w:val="left"/>
      <w:pPr>
        <w:ind w:left="1008" w:hanging="720"/>
      </w:pPr>
    </w:lvl>
    <w:lvl w:ilvl="3">
      <w:start w:val="1"/>
      <w:numFmt w:val="decimal"/>
      <w:pStyle w:val="Heading4"/>
      <w:lvlText w:val="%1.%2.%3.%4"/>
      <w:lvlJc w:val="left"/>
      <w:pPr>
        <w:ind w:left="1152" w:hanging="864"/>
      </w:pPr>
    </w:lvl>
    <w:lvl w:ilvl="4">
      <w:start w:val="1"/>
      <w:numFmt w:val="decimal"/>
      <w:pStyle w:val="Heading5"/>
      <w:lvlText w:val="%1.%2.%3.%4.%5"/>
      <w:lvlJc w:val="left"/>
      <w:pPr>
        <w:ind w:left="129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44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8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72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72" w:hanging="1584"/>
      </w:pPr>
    </w:lvl>
  </w:abstractNum>
  <w:abstractNum w:abstractNumId="31">
    <w:nsid w:val="6D047EBF"/>
    <w:multiLevelType w:val="hybridMultilevel"/>
    <w:tmpl w:val="9C2A6C40"/>
    <w:lvl w:ilvl="0" w:tplc="AA9A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9298F"/>
    <w:multiLevelType w:val="hybridMultilevel"/>
    <w:tmpl w:val="1F0A1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0671C"/>
    <w:multiLevelType w:val="hybridMultilevel"/>
    <w:tmpl w:val="E47C07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02E625A"/>
    <w:multiLevelType w:val="hybridMultilevel"/>
    <w:tmpl w:val="A41649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38038C"/>
    <w:multiLevelType w:val="hybridMultilevel"/>
    <w:tmpl w:val="C9F43824"/>
    <w:lvl w:ilvl="0" w:tplc="A34E6A20">
      <w:start w:val="1"/>
      <w:numFmt w:val="lowerRoman"/>
      <w:lvlText w:val="(%1)"/>
      <w:lvlJc w:val="left"/>
      <w:pPr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32619"/>
    <w:multiLevelType w:val="hybridMultilevel"/>
    <w:tmpl w:val="80E65D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0289D"/>
    <w:multiLevelType w:val="hybridMultilevel"/>
    <w:tmpl w:val="50AE79EA"/>
    <w:lvl w:ilvl="0" w:tplc="758E699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8673B"/>
    <w:multiLevelType w:val="hybridMultilevel"/>
    <w:tmpl w:val="255E1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85C7A"/>
    <w:multiLevelType w:val="hybridMultilevel"/>
    <w:tmpl w:val="0BF631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64DEE"/>
    <w:multiLevelType w:val="hybridMultilevel"/>
    <w:tmpl w:val="B30E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7"/>
  </w:num>
  <w:num w:numId="4">
    <w:abstractNumId w:val="29"/>
  </w:num>
  <w:num w:numId="5">
    <w:abstractNumId w:val="4"/>
  </w:num>
  <w:num w:numId="6">
    <w:abstractNumId w:val="0"/>
  </w:num>
  <w:num w:numId="7">
    <w:abstractNumId w:val="28"/>
  </w:num>
  <w:num w:numId="8">
    <w:abstractNumId w:val="24"/>
  </w:num>
  <w:num w:numId="9">
    <w:abstractNumId w:val="32"/>
  </w:num>
  <w:num w:numId="10">
    <w:abstractNumId w:val="34"/>
  </w:num>
  <w:num w:numId="11">
    <w:abstractNumId w:val="15"/>
  </w:num>
  <w:num w:numId="12">
    <w:abstractNumId w:val="36"/>
  </w:num>
  <w:num w:numId="13">
    <w:abstractNumId w:val="14"/>
  </w:num>
  <w:num w:numId="14">
    <w:abstractNumId w:val="38"/>
  </w:num>
  <w:num w:numId="15">
    <w:abstractNumId w:val="19"/>
  </w:num>
  <w:num w:numId="16">
    <w:abstractNumId w:val="13"/>
  </w:num>
  <w:num w:numId="17">
    <w:abstractNumId w:val="12"/>
  </w:num>
  <w:num w:numId="18">
    <w:abstractNumId w:val="26"/>
  </w:num>
  <w:num w:numId="19">
    <w:abstractNumId w:val="8"/>
  </w:num>
  <w:num w:numId="20">
    <w:abstractNumId w:val="21"/>
  </w:num>
  <w:num w:numId="21">
    <w:abstractNumId w:val="2"/>
  </w:num>
  <w:num w:numId="22">
    <w:abstractNumId w:val="20"/>
  </w:num>
  <w:num w:numId="23">
    <w:abstractNumId w:val="9"/>
  </w:num>
  <w:num w:numId="24">
    <w:abstractNumId w:val="5"/>
  </w:num>
  <w:num w:numId="25">
    <w:abstractNumId w:val="10"/>
  </w:num>
  <w:num w:numId="26">
    <w:abstractNumId w:val="3"/>
  </w:num>
  <w:num w:numId="27">
    <w:abstractNumId w:val="40"/>
  </w:num>
  <w:num w:numId="28">
    <w:abstractNumId w:val="22"/>
  </w:num>
  <w:num w:numId="29">
    <w:abstractNumId w:val="25"/>
  </w:num>
  <w:num w:numId="30">
    <w:abstractNumId w:val="6"/>
  </w:num>
  <w:num w:numId="31">
    <w:abstractNumId w:val="7"/>
  </w:num>
  <w:num w:numId="32">
    <w:abstractNumId w:val="33"/>
  </w:num>
  <w:num w:numId="33">
    <w:abstractNumId w:val="23"/>
  </w:num>
  <w:num w:numId="34">
    <w:abstractNumId w:val="18"/>
  </w:num>
  <w:num w:numId="35">
    <w:abstractNumId w:val="39"/>
  </w:num>
  <w:num w:numId="36">
    <w:abstractNumId w:val="17"/>
  </w:num>
  <w:num w:numId="37">
    <w:abstractNumId w:val="11"/>
  </w:num>
  <w:num w:numId="38">
    <w:abstractNumId w:val="27"/>
  </w:num>
  <w:num w:numId="39">
    <w:abstractNumId w:val="1"/>
  </w:num>
  <w:num w:numId="40">
    <w:abstractNumId w:val="1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5"/>
    <w:rsid w:val="00002F56"/>
    <w:rsid w:val="0000563B"/>
    <w:rsid w:val="00006085"/>
    <w:rsid w:val="00007F96"/>
    <w:rsid w:val="00011F3A"/>
    <w:rsid w:val="00013FAE"/>
    <w:rsid w:val="000211A8"/>
    <w:rsid w:val="00021BBC"/>
    <w:rsid w:val="00023B87"/>
    <w:rsid w:val="000271DF"/>
    <w:rsid w:val="000324F9"/>
    <w:rsid w:val="00033677"/>
    <w:rsid w:val="00035730"/>
    <w:rsid w:val="000402CA"/>
    <w:rsid w:val="000406A8"/>
    <w:rsid w:val="000408E2"/>
    <w:rsid w:val="000414BD"/>
    <w:rsid w:val="00042990"/>
    <w:rsid w:val="00057433"/>
    <w:rsid w:val="000652FF"/>
    <w:rsid w:val="0006747B"/>
    <w:rsid w:val="0007040B"/>
    <w:rsid w:val="00070AE5"/>
    <w:rsid w:val="000736EB"/>
    <w:rsid w:val="00075C4E"/>
    <w:rsid w:val="00077B15"/>
    <w:rsid w:val="00084608"/>
    <w:rsid w:val="00087334"/>
    <w:rsid w:val="00087DE7"/>
    <w:rsid w:val="00092A44"/>
    <w:rsid w:val="00093902"/>
    <w:rsid w:val="000947D6"/>
    <w:rsid w:val="00095797"/>
    <w:rsid w:val="000A0D66"/>
    <w:rsid w:val="000A109C"/>
    <w:rsid w:val="000B39F8"/>
    <w:rsid w:val="000B420F"/>
    <w:rsid w:val="000B51EE"/>
    <w:rsid w:val="000C2252"/>
    <w:rsid w:val="000C2B39"/>
    <w:rsid w:val="000C6053"/>
    <w:rsid w:val="000C72C8"/>
    <w:rsid w:val="000D07B6"/>
    <w:rsid w:val="000D5B13"/>
    <w:rsid w:val="000E022E"/>
    <w:rsid w:val="000E0675"/>
    <w:rsid w:val="000E6688"/>
    <w:rsid w:val="000F1AD7"/>
    <w:rsid w:val="000F2229"/>
    <w:rsid w:val="0010306D"/>
    <w:rsid w:val="00106CC2"/>
    <w:rsid w:val="0011044B"/>
    <w:rsid w:val="00111F22"/>
    <w:rsid w:val="00113D18"/>
    <w:rsid w:val="00115094"/>
    <w:rsid w:val="001251B3"/>
    <w:rsid w:val="001336F2"/>
    <w:rsid w:val="00136870"/>
    <w:rsid w:val="0014211B"/>
    <w:rsid w:val="001428EC"/>
    <w:rsid w:val="0014569A"/>
    <w:rsid w:val="00146B5E"/>
    <w:rsid w:val="00151B9D"/>
    <w:rsid w:val="00154CF0"/>
    <w:rsid w:val="00156CE6"/>
    <w:rsid w:val="001611A1"/>
    <w:rsid w:val="00166D2F"/>
    <w:rsid w:val="00170EF6"/>
    <w:rsid w:val="00172866"/>
    <w:rsid w:val="00172E3C"/>
    <w:rsid w:val="00173263"/>
    <w:rsid w:val="00174571"/>
    <w:rsid w:val="00174622"/>
    <w:rsid w:val="0017507F"/>
    <w:rsid w:val="00175CD5"/>
    <w:rsid w:val="001841BE"/>
    <w:rsid w:val="001854E0"/>
    <w:rsid w:val="00185ECF"/>
    <w:rsid w:val="001873C2"/>
    <w:rsid w:val="00194688"/>
    <w:rsid w:val="00196D77"/>
    <w:rsid w:val="001A1C35"/>
    <w:rsid w:val="001A5C1E"/>
    <w:rsid w:val="001B2971"/>
    <w:rsid w:val="001B5520"/>
    <w:rsid w:val="001B6E2D"/>
    <w:rsid w:val="001B7B44"/>
    <w:rsid w:val="001C00A3"/>
    <w:rsid w:val="001C013A"/>
    <w:rsid w:val="001C1AE9"/>
    <w:rsid w:val="001C5008"/>
    <w:rsid w:val="001C5BAB"/>
    <w:rsid w:val="001C6D51"/>
    <w:rsid w:val="001D06BD"/>
    <w:rsid w:val="001D08C4"/>
    <w:rsid w:val="001D0C63"/>
    <w:rsid w:val="001D0D38"/>
    <w:rsid w:val="001D2DFD"/>
    <w:rsid w:val="001D3C80"/>
    <w:rsid w:val="001D50CB"/>
    <w:rsid w:val="001D6720"/>
    <w:rsid w:val="001D7410"/>
    <w:rsid w:val="001E1E56"/>
    <w:rsid w:val="001E2295"/>
    <w:rsid w:val="001E364B"/>
    <w:rsid w:val="001E55C9"/>
    <w:rsid w:val="001E6A51"/>
    <w:rsid w:val="001E71A2"/>
    <w:rsid w:val="001F11C4"/>
    <w:rsid w:val="001F1C9A"/>
    <w:rsid w:val="001F5200"/>
    <w:rsid w:val="001F63E3"/>
    <w:rsid w:val="002011E9"/>
    <w:rsid w:val="00202DE0"/>
    <w:rsid w:val="0020418A"/>
    <w:rsid w:val="00204F00"/>
    <w:rsid w:val="00214CC9"/>
    <w:rsid w:val="002208CB"/>
    <w:rsid w:val="0022420E"/>
    <w:rsid w:val="00224D0E"/>
    <w:rsid w:val="00225011"/>
    <w:rsid w:val="00236160"/>
    <w:rsid w:val="00250435"/>
    <w:rsid w:val="00252840"/>
    <w:rsid w:val="002660A4"/>
    <w:rsid w:val="002707DF"/>
    <w:rsid w:val="002762AB"/>
    <w:rsid w:val="00284BA1"/>
    <w:rsid w:val="00285755"/>
    <w:rsid w:val="002A319C"/>
    <w:rsid w:val="002A3695"/>
    <w:rsid w:val="002A46BE"/>
    <w:rsid w:val="002A5ABE"/>
    <w:rsid w:val="002B065A"/>
    <w:rsid w:val="002B1A61"/>
    <w:rsid w:val="002B361B"/>
    <w:rsid w:val="002B5EFC"/>
    <w:rsid w:val="002C0282"/>
    <w:rsid w:val="002C0A6F"/>
    <w:rsid w:val="002C1F86"/>
    <w:rsid w:val="002C5447"/>
    <w:rsid w:val="002C6FAD"/>
    <w:rsid w:val="002C7BB8"/>
    <w:rsid w:val="002D0DBC"/>
    <w:rsid w:val="002D1251"/>
    <w:rsid w:val="002D1684"/>
    <w:rsid w:val="002D4216"/>
    <w:rsid w:val="002D7AE0"/>
    <w:rsid w:val="002E0232"/>
    <w:rsid w:val="002E0E87"/>
    <w:rsid w:val="002E5A56"/>
    <w:rsid w:val="002E5F52"/>
    <w:rsid w:val="002E68EB"/>
    <w:rsid w:val="002E7A68"/>
    <w:rsid w:val="002F2C7E"/>
    <w:rsid w:val="002F68B8"/>
    <w:rsid w:val="00302C87"/>
    <w:rsid w:val="0030355E"/>
    <w:rsid w:val="00303D80"/>
    <w:rsid w:val="00307E62"/>
    <w:rsid w:val="0031279E"/>
    <w:rsid w:val="003161AB"/>
    <w:rsid w:val="00316D7C"/>
    <w:rsid w:val="00326500"/>
    <w:rsid w:val="00326986"/>
    <w:rsid w:val="00332D6B"/>
    <w:rsid w:val="0033317A"/>
    <w:rsid w:val="00342087"/>
    <w:rsid w:val="00343182"/>
    <w:rsid w:val="003464E3"/>
    <w:rsid w:val="0035002E"/>
    <w:rsid w:val="00352A07"/>
    <w:rsid w:val="00352DEE"/>
    <w:rsid w:val="00353A81"/>
    <w:rsid w:val="003560AA"/>
    <w:rsid w:val="00356AE1"/>
    <w:rsid w:val="00357DBF"/>
    <w:rsid w:val="003603C7"/>
    <w:rsid w:val="0036099B"/>
    <w:rsid w:val="0036258E"/>
    <w:rsid w:val="0036267E"/>
    <w:rsid w:val="003654C3"/>
    <w:rsid w:val="0036602D"/>
    <w:rsid w:val="003664A4"/>
    <w:rsid w:val="00366B94"/>
    <w:rsid w:val="00367566"/>
    <w:rsid w:val="00373346"/>
    <w:rsid w:val="00377F7A"/>
    <w:rsid w:val="0039033C"/>
    <w:rsid w:val="003917D5"/>
    <w:rsid w:val="00394750"/>
    <w:rsid w:val="003955D7"/>
    <w:rsid w:val="00396B08"/>
    <w:rsid w:val="003A1D91"/>
    <w:rsid w:val="003A5CE4"/>
    <w:rsid w:val="003B3151"/>
    <w:rsid w:val="003B428A"/>
    <w:rsid w:val="003B47A5"/>
    <w:rsid w:val="003C0596"/>
    <w:rsid w:val="003C535D"/>
    <w:rsid w:val="003D48B8"/>
    <w:rsid w:val="003D730A"/>
    <w:rsid w:val="003D73C2"/>
    <w:rsid w:val="003E13E5"/>
    <w:rsid w:val="003E6E4C"/>
    <w:rsid w:val="003E79D7"/>
    <w:rsid w:val="003F0DE6"/>
    <w:rsid w:val="003F11D7"/>
    <w:rsid w:val="003F4070"/>
    <w:rsid w:val="003F7BC7"/>
    <w:rsid w:val="004028F9"/>
    <w:rsid w:val="00410548"/>
    <w:rsid w:val="004122F5"/>
    <w:rsid w:val="00412DD0"/>
    <w:rsid w:val="004133CE"/>
    <w:rsid w:val="00414A0B"/>
    <w:rsid w:val="004162E5"/>
    <w:rsid w:val="00421BC2"/>
    <w:rsid w:val="00421E7D"/>
    <w:rsid w:val="004319AE"/>
    <w:rsid w:val="004335F5"/>
    <w:rsid w:val="0043627C"/>
    <w:rsid w:val="004375D2"/>
    <w:rsid w:val="00446A9C"/>
    <w:rsid w:val="00446C99"/>
    <w:rsid w:val="00447D24"/>
    <w:rsid w:val="00450635"/>
    <w:rsid w:val="004554BC"/>
    <w:rsid w:val="00455FBA"/>
    <w:rsid w:val="00455FD8"/>
    <w:rsid w:val="00457A32"/>
    <w:rsid w:val="00464B40"/>
    <w:rsid w:val="00465C9D"/>
    <w:rsid w:val="00465C9E"/>
    <w:rsid w:val="00466356"/>
    <w:rsid w:val="0046636F"/>
    <w:rsid w:val="004667EB"/>
    <w:rsid w:val="00467A14"/>
    <w:rsid w:val="00470510"/>
    <w:rsid w:val="00470CFB"/>
    <w:rsid w:val="00471FCE"/>
    <w:rsid w:val="00473E4D"/>
    <w:rsid w:val="00477F26"/>
    <w:rsid w:val="004802DB"/>
    <w:rsid w:val="0048248E"/>
    <w:rsid w:val="00482D54"/>
    <w:rsid w:val="004846E7"/>
    <w:rsid w:val="0049028B"/>
    <w:rsid w:val="004914E3"/>
    <w:rsid w:val="00491C06"/>
    <w:rsid w:val="00492DA0"/>
    <w:rsid w:val="00493451"/>
    <w:rsid w:val="004966FB"/>
    <w:rsid w:val="0049729B"/>
    <w:rsid w:val="004A0347"/>
    <w:rsid w:val="004A1A8D"/>
    <w:rsid w:val="004A49B7"/>
    <w:rsid w:val="004A539D"/>
    <w:rsid w:val="004A5C2F"/>
    <w:rsid w:val="004A63A8"/>
    <w:rsid w:val="004B1540"/>
    <w:rsid w:val="004B20DC"/>
    <w:rsid w:val="004B3C74"/>
    <w:rsid w:val="004B45C6"/>
    <w:rsid w:val="004B57C7"/>
    <w:rsid w:val="004B5C38"/>
    <w:rsid w:val="004B78F4"/>
    <w:rsid w:val="004C2A02"/>
    <w:rsid w:val="004C5F29"/>
    <w:rsid w:val="004D09EB"/>
    <w:rsid w:val="004D7AB2"/>
    <w:rsid w:val="004E7850"/>
    <w:rsid w:val="004F0F07"/>
    <w:rsid w:val="004F4E07"/>
    <w:rsid w:val="00503A6F"/>
    <w:rsid w:val="00507779"/>
    <w:rsid w:val="00507D40"/>
    <w:rsid w:val="00510B57"/>
    <w:rsid w:val="00510DDB"/>
    <w:rsid w:val="005130DE"/>
    <w:rsid w:val="00520221"/>
    <w:rsid w:val="00520491"/>
    <w:rsid w:val="00521C2B"/>
    <w:rsid w:val="00525CF6"/>
    <w:rsid w:val="005279BE"/>
    <w:rsid w:val="00532490"/>
    <w:rsid w:val="00532F57"/>
    <w:rsid w:val="00534785"/>
    <w:rsid w:val="00535691"/>
    <w:rsid w:val="00540294"/>
    <w:rsid w:val="0054289D"/>
    <w:rsid w:val="005466C5"/>
    <w:rsid w:val="00546D90"/>
    <w:rsid w:val="00550965"/>
    <w:rsid w:val="00550EC0"/>
    <w:rsid w:val="005528E1"/>
    <w:rsid w:val="00556A47"/>
    <w:rsid w:val="00561530"/>
    <w:rsid w:val="00561B38"/>
    <w:rsid w:val="00561EF4"/>
    <w:rsid w:val="00563E94"/>
    <w:rsid w:val="005667FD"/>
    <w:rsid w:val="00566908"/>
    <w:rsid w:val="005670A7"/>
    <w:rsid w:val="0057068D"/>
    <w:rsid w:val="00572E72"/>
    <w:rsid w:val="00580109"/>
    <w:rsid w:val="0058013B"/>
    <w:rsid w:val="00581B09"/>
    <w:rsid w:val="00583FBB"/>
    <w:rsid w:val="00592E8C"/>
    <w:rsid w:val="005936CA"/>
    <w:rsid w:val="0059544B"/>
    <w:rsid w:val="00597CDE"/>
    <w:rsid w:val="005A1D01"/>
    <w:rsid w:val="005A2951"/>
    <w:rsid w:val="005A54AB"/>
    <w:rsid w:val="005B0F4D"/>
    <w:rsid w:val="005B120C"/>
    <w:rsid w:val="005B3FAE"/>
    <w:rsid w:val="005B4DE0"/>
    <w:rsid w:val="005C059C"/>
    <w:rsid w:val="005C5497"/>
    <w:rsid w:val="005C603A"/>
    <w:rsid w:val="005C60DE"/>
    <w:rsid w:val="005C6624"/>
    <w:rsid w:val="005D12CB"/>
    <w:rsid w:val="005D5710"/>
    <w:rsid w:val="005E0449"/>
    <w:rsid w:val="005F09D3"/>
    <w:rsid w:val="005F3183"/>
    <w:rsid w:val="005F4038"/>
    <w:rsid w:val="005F6155"/>
    <w:rsid w:val="005F7050"/>
    <w:rsid w:val="006022FD"/>
    <w:rsid w:val="006025CA"/>
    <w:rsid w:val="00605410"/>
    <w:rsid w:val="00606573"/>
    <w:rsid w:val="006069EE"/>
    <w:rsid w:val="00606BFC"/>
    <w:rsid w:val="006079F4"/>
    <w:rsid w:val="00607E06"/>
    <w:rsid w:val="00611EF3"/>
    <w:rsid w:val="0061404A"/>
    <w:rsid w:val="00621161"/>
    <w:rsid w:val="00626F21"/>
    <w:rsid w:val="00627C2E"/>
    <w:rsid w:val="00634C37"/>
    <w:rsid w:val="0063696E"/>
    <w:rsid w:val="00637109"/>
    <w:rsid w:val="006433A9"/>
    <w:rsid w:val="00643E5E"/>
    <w:rsid w:val="00644B24"/>
    <w:rsid w:val="00645337"/>
    <w:rsid w:val="00646BFE"/>
    <w:rsid w:val="0064772F"/>
    <w:rsid w:val="006479E0"/>
    <w:rsid w:val="006509F3"/>
    <w:rsid w:val="006524B5"/>
    <w:rsid w:val="00656350"/>
    <w:rsid w:val="00671EA1"/>
    <w:rsid w:val="00674A2D"/>
    <w:rsid w:val="00684EE6"/>
    <w:rsid w:val="00686960"/>
    <w:rsid w:val="00692247"/>
    <w:rsid w:val="00694A27"/>
    <w:rsid w:val="00694D26"/>
    <w:rsid w:val="00695E75"/>
    <w:rsid w:val="00696898"/>
    <w:rsid w:val="0069770D"/>
    <w:rsid w:val="00697906"/>
    <w:rsid w:val="00697B94"/>
    <w:rsid w:val="006A2D7E"/>
    <w:rsid w:val="006A62CF"/>
    <w:rsid w:val="006A6630"/>
    <w:rsid w:val="006A6C3A"/>
    <w:rsid w:val="006A6DF7"/>
    <w:rsid w:val="006A6F58"/>
    <w:rsid w:val="006B39EC"/>
    <w:rsid w:val="006B4E5F"/>
    <w:rsid w:val="006B7B12"/>
    <w:rsid w:val="006C16D6"/>
    <w:rsid w:val="006C5F11"/>
    <w:rsid w:val="006E0595"/>
    <w:rsid w:val="006E3E14"/>
    <w:rsid w:val="006E42A7"/>
    <w:rsid w:val="006E4A42"/>
    <w:rsid w:val="006E6464"/>
    <w:rsid w:val="006E7898"/>
    <w:rsid w:val="006E78B5"/>
    <w:rsid w:val="006F1000"/>
    <w:rsid w:val="006F35F5"/>
    <w:rsid w:val="006F3F4E"/>
    <w:rsid w:val="006F4FB4"/>
    <w:rsid w:val="006F5F6F"/>
    <w:rsid w:val="00705565"/>
    <w:rsid w:val="00705FAA"/>
    <w:rsid w:val="0071493A"/>
    <w:rsid w:val="00714AA0"/>
    <w:rsid w:val="0071515D"/>
    <w:rsid w:val="007179FD"/>
    <w:rsid w:val="00717AA7"/>
    <w:rsid w:val="007202F2"/>
    <w:rsid w:val="0072191D"/>
    <w:rsid w:val="0072434E"/>
    <w:rsid w:val="007275B0"/>
    <w:rsid w:val="00731A62"/>
    <w:rsid w:val="007333C1"/>
    <w:rsid w:val="00736BAD"/>
    <w:rsid w:val="00736F72"/>
    <w:rsid w:val="00740FE4"/>
    <w:rsid w:val="007415BE"/>
    <w:rsid w:val="007429F3"/>
    <w:rsid w:val="0074345C"/>
    <w:rsid w:val="0074346D"/>
    <w:rsid w:val="00745897"/>
    <w:rsid w:val="00745CB4"/>
    <w:rsid w:val="007527A6"/>
    <w:rsid w:val="0075399D"/>
    <w:rsid w:val="0076028A"/>
    <w:rsid w:val="00766951"/>
    <w:rsid w:val="0077392F"/>
    <w:rsid w:val="007742FD"/>
    <w:rsid w:val="0077437A"/>
    <w:rsid w:val="00774FF3"/>
    <w:rsid w:val="00782464"/>
    <w:rsid w:val="007900D1"/>
    <w:rsid w:val="00791EA8"/>
    <w:rsid w:val="00793CAD"/>
    <w:rsid w:val="0079532E"/>
    <w:rsid w:val="007A0BD2"/>
    <w:rsid w:val="007A460B"/>
    <w:rsid w:val="007A4742"/>
    <w:rsid w:val="007A4BF0"/>
    <w:rsid w:val="007B076D"/>
    <w:rsid w:val="007B0867"/>
    <w:rsid w:val="007B7BEB"/>
    <w:rsid w:val="007C207E"/>
    <w:rsid w:val="007C69B2"/>
    <w:rsid w:val="007C6A8E"/>
    <w:rsid w:val="007C70FD"/>
    <w:rsid w:val="007D4F48"/>
    <w:rsid w:val="007E3A2E"/>
    <w:rsid w:val="007E3B88"/>
    <w:rsid w:val="00807D3A"/>
    <w:rsid w:val="00810255"/>
    <w:rsid w:val="00811608"/>
    <w:rsid w:val="00812010"/>
    <w:rsid w:val="00817451"/>
    <w:rsid w:val="0081786A"/>
    <w:rsid w:val="008220E2"/>
    <w:rsid w:val="00827824"/>
    <w:rsid w:val="00827B15"/>
    <w:rsid w:val="00831339"/>
    <w:rsid w:val="00841562"/>
    <w:rsid w:val="0084444D"/>
    <w:rsid w:val="00845ACD"/>
    <w:rsid w:val="00847C6D"/>
    <w:rsid w:val="00855A85"/>
    <w:rsid w:val="008622EA"/>
    <w:rsid w:val="00865229"/>
    <w:rsid w:val="00865D35"/>
    <w:rsid w:val="00866C96"/>
    <w:rsid w:val="00870560"/>
    <w:rsid w:val="008733B5"/>
    <w:rsid w:val="00874003"/>
    <w:rsid w:val="00877515"/>
    <w:rsid w:val="00883E4D"/>
    <w:rsid w:val="008846E9"/>
    <w:rsid w:val="00887F66"/>
    <w:rsid w:val="00890511"/>
    <w:rsid w:val="00897AE5"/>
    <w:rsid w:val="008A22C4"/>
    <w:rsid w:val="008B1C0A"/>
    <w:rsid w:val="008B3DDB"/>
    <w:rsid w:val="008B4394"/>
    <w:rsid w:val="008C0171"/>
    <w:rsid w:val="008C2A79"/>
    <w:rsid w:val="008C418B"/>
    <w:rsid w:val="008C6709"/>
    <w:rsid w:val="008D225D"/>
    <w:rsid w:val="008D2754"/>
    <w:rsid w:val="008D3991"/>
    <w:rsid w:val="008E34DB"/>
    <w:rsid w:val="008E5E4D"/>
    <w:rsid w:val="008F2A88"/>
    <w:rsid w:val="008F2FC1"/>
    <w:rsid w:val="008F3A91"/>
    <w:rsid w:val="00904718"/>
    <w:rsid w:val="00910E38"/>
    <w:rsid w:val="00910FFB"/>
    <w:rsid w:val="00913A77"/>
    <w:rsid w:val="00914A54"/>
    <w:rsid w:val="00914B3B"/>
    <w:rsid w:val="00916405"/>
    <w:rsid w:val="009164CA"/>
    <w:rsid w:val="00916779"/>
    <w:rsid w:val="0091748E"/>
    <w:rsid w:val="0092049F"/>
    <w:rsid w:val="00922639"/>
    <w:rsid w:val="00925D24"/>
    <w:rsid w:val="00930BD6"/>
    <w:rsid w:val="00931974"/>
    <w:rsid w:val="00931E99"/>
    <w:rsid w:val="00935F83"/>
    <w:rsid w:val="00937E6B"/>
    <w:rsid w:val="0094203C"/>
    <w:rsid w:val="0094290F"/>
    <w:rsid w:val="00942B7C"/>
    <w:rsid w:val="00945B3C"/>
    <w:rsid w:val="00947BD4"/>
    <w:rsid w:val="00953323"/>
    <w:rsid w:val="009550A0"/>
    <w:rsid w:val="009605F6"/>
    <w:rsid w:val="00965231"/>
    <w:rsid w:val="00970292"/>
    <w:rsid w:val="00971A7E"/>
    <w:rsid w:val="00974956"/>
    <w:rsid w:val="00974B8E"/>
    <w:rsid w:val="00974DF7"/>
    <w:rsid w:val="009765D1"/>
    <w:rsid w:val="00985688"/>
    <w:rsid w:val="00986BF4"/>
    <w:rsid w:val="0098700D"/>
    <w:rsid w:val="00987A4B"/>
    <w:rsid w:val="0099063B"/>
    <w:rsid w:val="00992FA9"/>
    <w:rsid w:val="009A019F"/>
    <w:rsid w:val="009A0F6E"/>
    <w:rsid w:val="009A1106"/>
    <w:rsid w:val="009A2091"/>
    <w:rsid w:val="009A41E4"/>
    <w:rsid w:val="009B02BB"/>
    <w:rsid w:val="009B7502"/>
    <w:rsid w:val="009C1C87"/>
    <w:rsid w:val="009C2F8A"/>
    <w:rsid w:val="009C49A7"/>
    <w:rsid w:val="009C5815"/>
    <w:rsid w:val="009C6F7B"/>
    <w:rsid w:val="009C7528"/>
    <w:rsid w:val="009C7767"/>
    <w:rsid w:val="009C7ECC"/>
    <w:rsid w:val="009D4F29"/>
    <w:rsid w:val="009D6019"/>
    <w:rsid w:val="009E0C83"/>
    <w:rsid w:val="009E4997"/>
    <w:rsid w:val="009E563E"/>
    <w:rsid w:val="009E6FD7"/>
    <w:rsid w:val="009F1B6D"/>
    <w:rsid w:val="009F470B"/>
    <w:rsid w:val="009F617A"/>
    <w:rsid w:val="009F6D2C"/>
    <w:rsid w:val="00A00C09"/>
    <w:rsid w:val="00A05ABD"/>
    <w:rsid w:val="00A069A2"/>
    <w:rsid w:val="00A11706"/>
    <w:rsid w:val="00A1600D"/>
    <w:rsid w:val="00A229C3"/>
    <w:rsid w:val="00A24FCB"/>
    <w:rsid w:val="00A26CBC"/>
    <w:rsid w:val="00A3471D"/>
    <w:rsid w:val="00A34C52"/>
    <w:rsid w:val="00A35CB0"/>
    <w:rsid w:val="00A41D33"/>
    <w:rsid w:val="00A4375B"/>
    <w:rsid w:val="00A4376E"/>
    <w:rsid w:val="00A44146"/>
    <w:rsid w:val="00A51D53"/>
    <w:rsid w:val="00A523B8"/>
    <w:rsid w:val="00A54FA4"/>
    <w:rsid w:val="00A55799"/>
    <w:rsid w:val="00A55EEA"/>
    <w:rsid w:val="00A600EA"/>
    <w:rsid w:val="00A60374"/>
    <w:rsid w:val="00A628A9"/>
    <w:rsid w:val="00A62B49"/>
    <w:rsid w:val="00A64B3D"/>
    <w:rsid w:val="00A65A05"/>
    <w:rsid w:val="00A65D23"/>
    <w:rsid w:val="00A67FA8"/>
    <w:rsid w:val="00A715CB"/>
    <w:rsid w:val="00A7417E"/>
    <w:rsid w:val="00A75188"/>
    <w:rsid w:val="00A76D0E"/>
    <w:rsid w:val="00A77AA0"/>
    <w:rsid w:val="00A802A3"/>
    <w:rsid w:val="00A833F4"/>
    <w:rsid w:val="00A854D7"/>
    <w:rsid w:val="00A86FB8"/>
    <w:rsid w:val="00A90430"/>
    <w:rsid w:val="00AA0240"/>
    <w:rsid w:val="00AA0FCE"/>
    <w:rsid w:val="00AA1C3A"/>
    <w:rsid w:val="00AC2821"/>
    <w:rsid w:val="00AC4321"/>
    <w:rsid w:val="00AC5FAC"/>
    <w:rsid w:val="00AD027F"/>
    <w:rsid w:val="00AD3A48"/>
    <w:rsid w:val="00AE0C31"/>
    <w:rsid w:val="00AE1C2E"/>
    <w:rsid w:val="00AE2B49"/>
    <w:rsid w:val="00AE4170"/>
    <w:rsid w:val="00AF0787"/>
    <w:rsid w:val="00AF07D5"/>
    <w:rsid w:val="00AF1162"/>
    <w:rsid w:val="00B00AC2"/>
    <w:rsid w:val="00B02C6F"/>
    <w:rsid w:val="00B10CF4"/>
    <w:rsid w:val="00B1122F"/>
    <w:rsid w:val="00B11A58"/>
    <w:rsid w:val="00B16E02"/>
    <w:rsid w:val="00B219A6"/>
    <w:rsid w:val="00B2216A"/>
    <w:rsid w:val="00B228E0"/>
    <w:rsid w:val="00B25CC0"/>
    <w:rsid w:val="00B32B5A"/>
    <w:rsid w:val="00B346F4"/>
    <w:rsid w:val="00B36BEA"/>
    <w:rsid w:val="00B36E93"/>
    <w:rsid w:val="00B4061B"/>
    <w:rsid w:val="00B40686"/>
    <w:rsid w:val="00B40AF3"/>
    <w:rsid w:val="00B446D5"/>
    <w:rsid w:val="00B44B41"/>
    <w:rsid w:val="00B450FA"/>
    <w:rsid w:val="00B465BD"/>
    <w:rsid w:val="00B52044"/>
    <w:rsid w:val="00B52F86"/>
    <w:rsid w:val="00B61354"/>
    <w:rsid w:val="00B61C35"/>
    <w:rsid w:val="00B6374F"/>
    <w:rsid w:val="00B70050"/>
    <w:rsid w:val="00B73B45"/>
    <w:rsid w:val="00B755A0"/>
    <w:rsid w:val="00B76DD3"/>
    <w:rsid w:val="00B8214A"/>
    <w:rsid w:val="00B82CA7"/>
    <w:rsid w:val="00B85E62"/>
    <w:rsid w:val="00B87BBF"/>
    <w:rsid w:val="00B91931"/>
    <w:rsid w:val="00B9343E"/>
    <w:rsid w:val="00B94F4E"/>
    <w:rsid w:val="00B9510A"/>
    <w:rsid w:val="00B95775"/>
    <w:rsid w:val="00B95AC9"/>
    <w:rsid w:val="00BA082F"/>
    <w:rsid w:val="00BA6FCE"/>
    <w:rsid w:val="00BB00BB"/>
    <w:rsid w:val="00BB1C8E"/>
    <w:rsid w:val="00BB61B7"/>
    <w:rsid w:val="00BB7FF7"/>
    <w:rsid w:val="00BC224D"/>
    <w:rsid w:val="00BC31A4"/>
    <w:rsid w:val="00BC65D0"/>
    <w:rsid w:val="00BC6FF0"/>
    <w:rsid w:val="00BC757D"/>
    <w:rsid w:val="00BD3468"/>
    <w:rsid w:val="00BD38A7"/>
    <w:rsid w:val="00BD3B19"/>
    <w:rsid w:val="00BD3DE8"/>
    <w:rsid w:val="00BD797B"/>
    <w:rsid w:val="00BE0A23"/>
    <w:rsid w:val="00BE0C6F"/>
    <w:rsid w:val="00BE1E47"/>
    <w:rsid w:val="00BE2A81"/>
    <w:rsid w:val="00BE4C62"/>
    <w:rsid w:val="00BE5115"/>
    <w:rsid w:val="00BE587F"/>
    <w:rsid w:val="00BE5CC2"/>
    <w:rsid w:val="00BE737E"/>
    <w:rsid w:val="00BF26BB"/>
    <w:rsid w:val="00BF58B9"/>
    <w:rsid w:val="00C0038F"/>
    <w:rsid w:val="00C02112"/>
    <w:rsid w:val="00C053D6"/>
    <w:rsid w:val="00C1397A"/>
    <w:rsid w:val="00C14D23"/>
    <w:rsid w:val="00C15369"/>
    <w:rsid w:val="00C1626D"/>
    <w:rsid w:val="00C17C6C"/>
    <w:rsid w:val="00C17E4E"/>
    <w:rsid w:val="00C219B7"/>
    <w:rsid w:val="00C21D96"/>
    <w:rsid w:val="00C21E5E"/>
    <w:rsid w:val="00C23AEA"/>
    <w:rsid w:val="00C25115"/>
    <w:rsid w:val="00C275E3"/>
    <w:rsid w:val="00C30A31"/>
    <w:rsid w:val="00C3131E"/>
    <w:rsid w:val="00C33B0F"/>
    <w:rsid w:val="00C459EB"/>
    <w:rsid w:val="00C45A2F"/>
    <w:rsid w:val="00C45D56"/>
    <w:rsid w:val="00C53F0A"/>
    <w:rsid w:val="00C5634D"/>
    <w:rsid w:val="00C65F10"/>
    <w:rsid w:val="00C66AE5"/>
    <w:rsid w:val="00C85E0F"/>
    <w:rsid w:val="00C871C2"/>
    <w:rsid w:val="00C90C0C"/>
    <w:rsid w:val="00C96A30"/>
    <w:rsid w:val="00C971CC"/>
    <w:rsid w:val="00C97D22"/>
    <w:rsid w:val="00CA1E73"/>
    <w:rsid w:val="00CA3F6D"/>
    <w:rsid w:val="00CA5F6A"/>
    <w:rsid w:val="00CA7853"/>
    <w:rsid w:val="00CA78CF"/>
    <w:rsid w:val="00CB03D0"/>
    <w:rsid w:val="00CB2D36"/>
    <w:rsid w:val="00CB606B"/>
    <w:rsid w:val="00CC49E6"/>
    <w:rsid w:val="00CC4BA2"/>
    <w:rsid w:val="00CD21D8"/>
    <w:rsid w:val="00CD229D"/>
    <w:rsid w:val="00CD23B9"/>
    <w:rsid w:val="00CD4B0C"/>
    <w:rsid w:val="00CD4ED9"/>
    <w:rsid w:val="00CD603E"/>
    <w:rsid w:val="00CE0A85"/>
    <w:rsid w:val="00CE3394"/>
    <w:rsid w:val="00CE48F0"/>
    <w:rsid w:val="00CE51CF"/>
    <w:rsid w:val="00CF2294"/>
    <w:rsid w:val="00CF6816"/>
    <w:rsid w:val="00CF6B23"/>
    <w:rsid w:val="00D044F5"/>
    <w:rsid w:val="00D141C5"/>
    <w:rsid w:val="00D17520"/>
    <w:rsid w:val="00D215F3"/>
    <w:rsid w:val="00D22419"/>
    <w:rsid w:val="00D25E08"/>
    <w:rsid w:val="00D261BE"/>
    <w:rsid w:val="00D27630"/>
    <w:rsid w:val="00D31D4D"/>
    <w:rsid w:val="00D31D57"/>
    <w:rsid w:val="00D334F6"/>
    <w:rsid w:val="00D34BBC"/>
    <w:rsid w:val="00D34F56"/>
    <w:rsid w:val="00D37A32"/>
    <w:rsid w:val="00D40DBF"/>
    <w:rsid w:val="00D41E71"/>
    <w:rsid w:val="00D471C7"/>
    <w:rsid w:val="00D47CEC"/>
    <w:rsid w:val="00D55DCD"/>
    <w:rsid w:val="00D57A71"/>
    <w:rsid w:val="00D62AE7"/>
    <w:rsid w:val="00D62FC3"/>
    <w:rsid w:val="00D67035"/>
    <w:rsid w:val="00D716A4"/>
    <w:rsid w:val="00D7326E"/>
    <w:rsid w:val="00D75B59"/>
    <w:rsid w:val="00D77C1A"/>
    <w:rsid w:val="00D80E84"/>
    <w:rsid w:val="00D85026"/>
    <w:rsid w:val="00D86347"/>
    <w:rsid w:val="00D90363"/>
    <w:rsid w:val="00D94A3E"/>
    <w:rsid w:val="00D967B3"/>
    <w:rsid w:val="00D97418"/>
    <w:rsid w:val="00D97AAE"/>
    <w:rsid w:val="00DA422D"/>
    <w:rsid w:val="00DA452A"/>
    <w:rsid w:val="00DB16E2"/>
    <w:rsid w:val="00DB1B92"/>
    <w:rsid w:val="00DB25E4"/>
    <w:rsid w:val="00DB2BD0"/>
    <w:rsid w:val="00DB2F8C"/>
    <w:rsid w:val="00DB4DDD"/>
    <w:rsid w:val="00DB69A0"/>
    <w:rsid w:val="00DC345B"/>
    <w:rsid w:val="00DC395D"/>
    <w:rsid w:val="00DC45AC"/>
    <w:rsid w:val="00DC53FB"/>
    <w:rsid w:val="00DE095B"/>
    <w:rsid w:val="00DE386E"/>
    <w:rsid w:val="00DE3B58"/>
    <w:rsid w:val="00DF5BF6"/>
    <w:rsid w:val="00DF6779"/>
    <w:rsid w:val="00DF7F17"/>
    <w:rsid w:val="00E05397"/>
    <w:rsid w:val="00E066A7"/>
    <w:rsid w:val="00E069E8"/>
    <w:rsid w:val="00E06BD4"/>
    <w:rsid w:val="00E1151F"/>
    <w:rsid w:val="00E14064"/>
    <w:rsid w:val="00E142BA"/>
    <w:rsid w:val="00E14FB3"/>
    <w:rsid w:val="00E1586C"/>
    <w:rsid w:val="00E179C3"/>
    <w:rsid w:val="00E22CF1"/>
    <w:rsid w:val="00E23B1C"/>
    <w:rsid w:val="00E241CE"/>
    <w:rsid w:val="00E33994"/>
    <w:rsid w:val="00E35DDC"/>
    <w:rsid w:val="00E36BB0"/>
    <w:rsid w:val="00E404CF"/>
    <w:rsid w:val="00E47819"/>
    <w:rsid w:val="00E5013C"/>
    <w:rsid w:val="00E51ADA"/>
    <w:rsid w:val="00E52DC4"/>
    <w:rsid w:val="00E56E5A"/>
    <w:rsid w:val="00E608F2"/>
    <w:rsid w:val="00E62F2E"/>
    <w:rsid w:val="00E631F0"/>
    <w:rsid w:val="00E632EF"/>
    <w:rsid w:val="00E64218"/>
    <w:rsid w:val="00E649DF"/>
    <w:rsid w:val="00E66A48"/>
    <w:rsid w:val="00E670AE"/>
    <w:rsid w:val="00E72028"/>
    <w:rsid w:val="00E72123"/>
    <w:rsid w:val="00E75FB4"/>
    <w:rsid w:val="00E76FD3"/>
    <w:rsid w:val="00E804AD"/>
    <w:rsid w:val="00E8245E"/>
    <w:rsid w:val="00E84D82"/>
    <w:rsid w:val="00E87D91"/>
    <w:rsid w:val="00E9065D"/>
    <w:rsid w:val="00E90A03"/>
    <w:rsid w:val="00E937B9"/>
    <w:rsid w:val="00E93C8B"/>
    <w:rsid w:val="00E948BE"/>
    <w:rsid w:val="00EA04EA"/>
    <w:rsid w:val="00EA0849"/>
    <w:rsid w:val="00EA265E"/>
    <w:rsid w:val="00EA2F88"/>
    <w:rsid w:val="00EB20B4"/>
    <w:rsid w:val="00EB5418"/>
    <w:rsid w:val="00EB559D"/>
    <w:rsid w:val="00EB6F88"/>
    <w:rsid w:val="00EC0040"/>
    <w:rsid w:val="00EC4D63"/>
    <w:rsid w:val="00EC773E"/>
    <w:rsid w:val="00ED3976"/>
    <w:rsid w:val="00ED4144"/>
    <w:rsid w:val="00ED5702"/>
    <w:rsid w:val="00ED7009"/>
    <w:rsid w:val="00EE0E3B"/>
    <w:rsid w:val="00EE1A10"/>
    <w:rsid w:val="00EF2700"/>
    <w:rsid w:val="00EF6739"/>
    <w:rsid w:val="00EF6CFD"/>
    <w:rsid w:val="00EF6D4C"/>
    <w:rsid w:val="00F04E38"/>
    <w:rsid w:val="00F05437"/>
    <w:rsid w:val="00F05CDF"/>
    <w:rsid w:val="00F060CE"/>
    <w:rsid w:val="00F10518"/>
    <w:rsid w:val="00F12EAC"/>
    <w:rsid w:val="00F1778A"/>
    <w:rsid w:val="00F22547"/>
    <w:rsid w:val="00F227E2"/>
    <w:rsid w:val="00F24583"/>
    <w:rsid w:val="00F24F95"/>
    <w:rsid w:val="00F251FB"/>
    <w:rsid w:val="00F26534"/>
    <w:rsid w:val="00F26BDF"/>
    <w:rsid w:val="00F275B9"/>
    <w:rsid w:val="00F33521"/>
    <w:rsid w:val="00F35AA1"/>
    <w:rsid w:val="00F4087A"/>
    <w:rsid w:val="00F40BFB"/>
    <w:rsid w:val="00F40E8E"/>
    <w:rsid w:val="00F40FE2"/>
    <w:rsid w:val="00F430A4"/>
    <w:rsid w:val="00F537B0"/>
    <w:rsid w:val="00F54851"/>
    <w:rsid w:val="00F5767E"/>
    <w:rsid w:val="00F601EF"/>
    <w:rsid w:val="00F61ED8"/>
    <w:rsid w:val="00F649F1"/>
    <w:rsid w:val="00F65260"/>
    <w:rsid w:val="00F753AA"/>
    <w:rsid w:val="00F76CEF"/>
    <w:rsid w:val="00F85800"/>
    <w:rsid w:val="00F91D4A"/>
    <w:rsid w:val="00FA10DD"/>
    <w:rsid w:val="00FA6155"/>
    <w:rsid w:val="00FA6760"/>
    <w:rsid w:val="00FB3FDB"/>
    <w:rsid w:val="00FC1506"/>
    <w:rsid w:val="00FC1994"/>
    <w:rsid w:val="00FC63E0"/>
    <w:rsid w:val="00FC63FB"/>
    <w:rsid w:val="00FC67B7"/>
    <w:rsid w:val="00FC6803"/>
    <w:rsid w:val="00FC7110"/>
    <w:rsid w:val="00FC7211"/>
    <w:rsid w:val="00FD16FA"/>
    <w:rsid w:val="00FD287D"/>
    <w:rsid w:val="00FD5B53"/>
    <w:rsid w:val="00FD793A"/>
    <w:rsid w:val="00FD7DA2"/>
    <w:rsid w:val="00FE063F"/>
    <w:rsid w:val="00FE2665"/>
    <w:rsid w:val="00FE51E1"/>
    <w:rsid w:val="00FF4673"/>
    <w:rsid w:val="00FF4A85"/>
    <w:rsid w:val="00FF6905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5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25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25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25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25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25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25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25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25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2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255"/>
    <w:rPr>
      <w:rFonts w:ascii="Cambria" w:eastAsia="Times New Roman" w:hAnsi="Cambria" w:cs="Times New Roman"/>
      <w:color w:val="243F60"/>
      <w:sz w:val="24"/>
      <w:szCs w:val="24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255"/>
    <w:rPr>
      <w:rFonts w:ascii="Cambria" w:eastAsia="Times New Roman" w:hAnsi="Cambria" w:cs="Times New Roman"/>
      <w:i/>
      <w:iCs/>
      <w:color w:val="243F60"/>
      <w:sz w:val="24"/>
      <w:szCs w:val="24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4"/>
      <w:szCs w:val="24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255"/>
    <w:rPr>
      <w:rFonts w:ascii="Cambria" w:eastAsia="Times New Roman" w:hAnsi="Cambria" w:cs="Times New Roman"/>
      <w:color w:val="404040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Chapter">
    <w:name w:val="Chapter"/>
    <w:basedOn w:val="Normal"/>
    <w:next w:val="Normal"/>
    <w:rsid w:val="00810255"/>
    <w:pPr>
      <w:keepNext/>
      <w:numPr>
        <w:numId w:val="1"/>
      </w:numPr>
      <w:tabs>
        <w:tab w:val="num" w:pos="648"/>
        <w:tab w:val="left" w:pos="1440"/>
      </w:tabs>
      <w:spacing w:before="240" w:after="240"/>
      <w:ind w:left="0" w:firstLine="288"/>
      <w:jc w:val="center"/>
    </w:pPr>
    <w:rPr>
      <w:b/>
      <w:smallCaps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10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PageNumber">
    <w:name w:val="page number"/>
    <w:basedOn w:val="DefaultParagraphFont"/>
    <w:rsid w:val="00810255"/>
  </w:style>
  <w:style w:type="paragraph" w:styleId="ListParagraph">
    <w:name w:val="List Paragraph"/>
    <w:basedOn w:val="Normal"/>
    <w:uiPriority w:val="34"/>
    <w:qFormat/>
    <w:rsid w:val="00FF4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customStyle="1" w:styleId="apple-converted-space">
    <w:name w:val="apple-converted-space"/>
    <w:basedOn w:val="DefaultParagraphFont"/>
    <w:rsid w:val="00D41E71"/>
  </w:style>
  <w:style w:type="character" w:styleId="Hyperlink">
    <w:name w:val="Hyperlink"/>
    <w:basedOn w:val="DefaultParagraphFont"/>
    <w:uiPriority w:val="99"/>
    <w:unhideWhenUsed/>
    <w:rsid w:val="00A76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D0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36F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F2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9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2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2E"/>
    <w:rPr>
      <w:rFonts w:ascii="Tahoma" w:eastAsia="Times New Roman" w:hAnsi="Tahoma" w:cs="Tahoma"/>
      <w:sz w:val="16"/>
      <w:szCs w:val="16"/>
      <w:lang w:val="es-ES"/>
    </w:rPr>
  </w:style>
  <w:style w:type="paragraph" w:customStyle="1" w:styleId="Sinespaciado1">
    <w:name w:val="Sin espaciado1"/>
    <w:uiPriority w:val="1"/>
    <w:qFormat/>
    <w:rsid w:val="003626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96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9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7179FD"/>
    <w:rPr>
      <w:sz w:val="22"/>
      <w:szCs w:val="22"/>
      <w:lang w:val="es-NI" w:eastAsia="en-US"/>
    </w:rPr>
  </w:style>
  <w:style w:type="paragraph" w:styleId="Revision">
    <w:name w:val="Revision"/>
    <w:hidden/>
    <w:uiPriority w:val="99"/>
    <w:semiHidden/>
    <w:rsid w:val="006B39EC"/>
    <w:rPr>
      <w:rFonts w:ascii="Times New Roman" w:eastAsia="Times New Roman" w:hAnsi="Times New Roman"/>
      <w:sz w:val="24"/>
      <w:szCs w:val="24"/>
      <w:lang w:val="es-ES" w:eastAsia="en-US"/>
    </w:rPr>
  </w:style>
  <w:style w:type="paragraph" w:customStyle="1" w:styleId="Sinespaciado2">
    <w:name w:val="Sin espaciado2"/>
    <w:uiPriority w:val="1"/>
    <w:qFormat/>
    <w:rsid w:val="00470C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5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521"/>
    <w:rPr>
      <w:rFonts w:ascii="Times New Roman" w:eastAsia="Times New Roman" w:hAnsi="Times New Roman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3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5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25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25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25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25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25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25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25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25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2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255"/>
    <w:rPr>
      <w:rFonts w:ascii="Cambria" w:eastAsia="Times New Roman" w:hAnsi="Cambria" w:cs="Times New Roman"/>
      <w:color w:val="243F60"/>
      <w:sz w:val="24"/>
      <w:szCs w:val="24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255"/>
    <w:rPr>
      <w:rFonts w:ascii="Cambria" w:eastAsia="Times New Roman" w:hAnsi="Cambria" w:cs="Times New Roman"/>
      <w:i/>
      <w:iCs/>
      <w:color w:val="243F60"/>
      <w:sz w:val="24"/>
      <w:szCs w:val="24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4"/>
      <w:szCs w:val="24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255"/>
    <w:rPr>
      <w:rFonts w:ascii="Cambria" w:eastAsia="Times New Roman" w:hAnsi="Cambria" w:cs="Times New Roman"/>
      <w:color w:val="404040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Chapter">
    <w:name w:val="Chapter"/>
    <w:basedOn w:val="Normal"/>
    <w:next w:val="Normal"/>
    <w:rsid w:val="00810255"/>
    <w:pPr>
      <w:keepNext/>
      <w:numPr>
        <w:numId w:val="1"/>
      </w:numPr>
      <w:tabs>
        <w:tab w:val="num" w:pos="648"/>
        <w:tab w:val="left" w:pos="1440"/>
      </w:tabs>
      <w:spacing w:before="240" w:after="240"/>
      <w:ind w:left="0" w:firstLine="288"/>
      <w:jc w:val="center"/>
    </w:pPr>
    <w:rPr>
      <w:b/>
      <w:smallCaps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10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PageNumber">
    <w:name w:val="page number"/>
    <w:basedOn w:val="DefaultParagraphFont"/>
    <w:rsid w:val="00810255"/>
  </w:style>
  <w:style w:type="paragraph" w:styleId="ListParagraph">
    <w:name w:val="List Paragraph"/>
    <w:basedOn w:val="Normal"/>
    <w:uiPriority w:val="34"/>
    <w:qFormat/>
    <w:rsid w:val="00FF4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customStyle="1" w:styleId="apple-converted-space">
    <w:name w:val="apple-converted-space"/>
    <w:basedOn w:val="DefaultParagraphFont"/>
    <w:rsid w:val="00D41E71"/>
  </w:style>
  <w:style w:type="character" w:styleId="Hyperlink">
    <w:name w:val="Hyperlink"/>
    <w:basedOn w:val="DefaultParagraphFont"/>
    <w:uiPriority w:val="99"/>
    <w:unhideWhenUsed/>
    <w:rsid w:val="00A76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D0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36F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F2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9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2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2E"/>
    <w:rPr>
      <w:rFonts w:ascii="Tahoma" w:eastAsia="Times New Roman" w:hAnsi="Tahoma" w:cs="Tahoma"/>
      <w:sz w:val="16"/>
      <w:szCs w:val="16"/>
      <w:lang w:val="es-ES"/>
    </w:rPr>
  </w:style>
  <w:style w:type="paragraph" w:customStyle="1" w:styleId="Sinespaciado1">
    <w:name w:val="Sin espaciado1"/>
    <w:uiPriority w:val="1"/>
    <w:qFormat/>
    <w:rsid w:val="003626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96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9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7179FD"/>
    <w:rPr>
      <w:sz w:val="22"/>
      <w:szCs w:val="22"/>
      <w:lang w:val="es-NI" w:eastAsia="en-US"/>
    </w:rPr>
  </w:style>
  <w:style w:type="paragraph" w:styleId="Revision">
    <w:name w:val="Revision"/>
    <w:hidden/>
    <w:uiPriority w:val="99"/>
    <w:semiHidden/>
    <w:rsid w:val="006B39EC"/>
    <w:rPr>
      <w:rFonts w:ascii="Times New Roman" w:eastAsia="Times New Roman" w:hAnsi="Times New Roman"/>
      <w:sz w:val="24"/>
      <w:szCs w:val="24"/>
      <w:lang w:val="es-ES" w:eastAsia="en-US"/>
    </w:rPr>
  </w:style>
  <w:style w:type="paragraph" w:customStyle="1" w:styleId="Sinespaciado2">
    <w:name w:val="Sin espaciado2"/>
    <w:uiPriority w:val="1"/>
    <w:qFormat/>
    <w:rsid w:val="00470C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5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521"/>
    <w:rPr>
      <w:rFonts w:ascii="Times New Roman" w:eastAsia="Times New Roman" w:hAnsi="Times New Roman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B448C9-F3BD-46CC-956F-A410B163A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9B7F7-B05C-4208-A7E7-97D47BB43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51FF8-2A44-4D20-BC7B-16E387E53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25DC0-5B37-4BB6-9D9E-FCBFEA65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Schiaffi</dc:creator>
  <cp:lastModifiedBy>annabellag</cp:lastModifiedBy>
  <cp:revision>4</cp:revision>
  <cp:lastPrinted>2015-10-15T14:32:00Z</cp:lastPrinted>
  <dcterms:created xsi:type="dcterms:W3CDTF">2016-10-19T13:21:00Z</dcterms:created>
  <dcterms:modified xsi:type="dcterms:W3CDTF">2016-10-19T15:35:00Z</dcterms:modified>
</cp:coreProperties>
</file>