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CFFD1" w14:textId="77777777" w:rsidR="00576700" w:rsidRPr="008F04FF" w:rsidRDefault="00576700" w:rsidP="003E2A3A">
      <w:pPr>
        <w:tabs>
          <w:tab w:val="left" w:pos="0"/>
        </w:tabs>
        <w:autoSpaceDE w:val="0"/>
        <w:spacing w:after="120"/>
        <w:jc w:val="center"/>
        <w:rPr>
          <w:b/>
          <w:bCs/>
          <w:sz w:val="20"/>
          <w:lang w:val="es-ES_tradnl"/>
        </w:rPr>
      </w:pPr>
      <w:r w:rsidRPr="00576700">
        <w:rPr>
          <w:rFonts w:ascii="Times New Roman Bold" w:hAnsi="Times New Roman Bold"/>
          <w:b/>
          <w:bCs/>
          <w:smallCaps/>
          <w:lang w:val="es-ES_tradnl"/>
        </w:rPr>
        <w:t xml:space="preserve">Matriz de </w:t>
      </w:r>
      <w:r w:rsidR="00900FB8">
        <w:rPr>
          <w:rFonts w:ascii="Times New Roman Bold" w:hAnsi="Times New Roman Bold"/>
          <w:b/>
          <w:bCs/>
          <w:smallCaps/>
          <w:lang w:val="es-ES_tradnl"/>
        </w:rPr>
        <w:t>medios de verificación</w:t>
      </w:r>
    </w:p>
    <w:tbl>
      <w:tblPr>
        <w:tblW w:w="1312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5"/>
        <w:gridCol w:w="4678"/>
        <w:gridCol w:w="4632"/>
      </w:tblGrid>
      <w:tr w:rsidR="00900FB8" w:rsidRPr="003E2A3A" w14:paraId="16739D94" w14:textId="77777777" w:rsidTr="003E2A3A">
        <w:trPr>
          <w:trHeight w:val="548"/>
          <w:tblHeader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ED4FB" w14:textId="77777777" w:rsidR="00900FB8" w:rsidRPr="003E2A3A" w:rsidRDefault="00900FB8" w:rsidP="00576700">
            <w:pPr>
              <w:jc w:val="center"/>
              <w:rPr>
                <w:smallCaps/>
                <w:color w:val="000000"/>
                <w:sz w:val="20"/>
                <w:lang w:val="es-ES_tradnl"/>
              </w:rPr>
            </w:pPr>
            <w:r w:rsidRPr="003E2A3A">
              <w:rPr>
                <w:b/>
                <w:bCs/>
                <w:smallCaps/>
                <w:color w:val="000000"/>
                <w:sz w:val="20"/>
                <w:lang w:val="es-ES_tradnl"/>
              </w:rPr>
              <w:t>Objetivos de Política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D9C25" w14:textId="77777777" w:rsidR="00900FB8" w:rsidRPr="003E2A3A" w:rsidRDefault="00900FB8">
            <w:pPr>
              <w:jc w:val="center"/>
              <w:rPr>
                <w:b/>
                <w:bCs/>
                <w:smallCaps/>
                <w:color w:val="000000"/>
                <w:sz w:val="20"/>
                <w:lang w:val="es-ES_tradnl"/>
              </w:rPr>
            </w:pPr>
            <w:r w:rsidRPr="003E2A3A">
              <w:rPr>
                <w:b/>
                <w:bCs/>
                <w:smallCaps/>
                <w:color w:val="000000"/>
                <w:sz w:val="20"/>
                <w:lang w:val="es-ES_tradnl"/>
              </w:rPr>
              <w:t>Acuerdos</w:t>
            </w:r>
          </w:p>
          <w:p w14:paraId="502BEDC4" w14:textId="77777777" w:rsidR="00900FB8" w:rsidRPr="003E2A3A" w:rsidRDefault="00900FB8">
            <w:pPr>
              <w:jc w:val="center"/>
              <w:rPr>
                <w:smallCaps/>
                <w:color w:val="000000"/>
                <w:sz w:val="20"/>
                <w:lang w:val="es-ES_tradnl"/>
              </w:rPr>
            </w:pPr>
            <w:r w:rsidRPr="003E2A3A">
              <w:rPr>
                <w:b/>
                <w:bCs/>
                <w:smallCaps/>
                <w:color w:val="000000"/>
                <w:sz w:val="20"/>
                <w:lang w:val="es-ES_tradnl"/>
              </w:rPr>
              <w:t>2do Préstamo</w:t>
            </w:r>
          </w:p>
        </w:tc>
        <w:tc>
          <w:tcPr>
            <w:tcW w:w="4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14:paraId="404D4621" w14:textId="77777777" w:rsidR="00900FB8" w:rsidRPr="006F68E3" w:rsidRDefault="00900FB8" w:rsidP="00565F71">
            <w:pPr>
              <w:ind w:right="142"/>
              <w:jc w:val="center"/>
              <w:rPr>
                <w:b/>
                <w:bCs/>
                <w:smallCaps/>
                <w:sz w:val="20"/>
                <w:lang w:val="es-ES_tradnl"/>
              </w:rPr>
            </w:pPr>
          </w:p>
          <w:p w14:paraId="6F88363A" w14:textId="77777777" w:rsidR="00900FB8" w:rsidRPr="006F68E3" w:rsidRDefault="00900FB8" w:rsidP="00565F71">
            <w:pPr>
              <w:ind w:right="142"/>
              <w:jc w:val="center"/>
              <w:rPr>
                <w:b/>
                <w:bCs/>
                <w:smallCaps/>
                <w:sz w:val="20"/>
                <w:lang w:val="es-ES_tradnl"/>
              </w:rPr>
            </w:pPr>
            <w:r w:rsidRPr="006F68E3">
              <w:rPr>
                <w:b/>
                <w:bCs/>
                <w:smallCaps/>
                <w:sz w:val="20"/>
                <w:lang w:val="es-ES_tradnl"/>
              </w:rPr>
              <w:t>Medios de verificación</w:t>
            </w:r>
          </w:p>
          <w:p w14:paraId="579551E5" w14:textId="77777777" w:rsidR="00900FB8" w:rsidRPr="006F68E3" w:rsidRDefault="00900FB8" w:rsidP="00565F71">
            <w:pPr>
              <w:ind w:right="142"/>
              <w:jc w:val="center"/>
              <w:rPr>
                <w:b/>
                <w:bCs/>
                <w:smallCaps/>
                <w:sz w:val="20"/>
                <w:lang w:val="es-ES_tradnl"/>
              </w:rPr>
            </w:pPr>
          </w:p>
        </w:tc>
      </w:tr>
      <w:tr w:rsidR="00FD358D" w:rsidRPr="003E2A3A" w14:paraId="44276F10" w14:textId="77777777" w:rsidTr="003E2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0F301" w14:textId="77777777" w:rsidR="00FD358D" w:rsidRPr="006F68E3" w:rsidRDefault="00FD358D" w:rsidP="00565F71">
            <w:pPr>
              <w:ind w:right="142"/>
              <w:rPr>
                <w:b/>
                <w:bCs/>
                <w:sz w:val="20"/>
                <w:lang w:val="es-ES_tradnl"/>
              </w:rPr>
            </w:pPr>
            <w:r w:rsidRPr="006F68E3">
              <w:rPr>
                <w:b/>
                <w:bCs/>
                <w:sz w:val="20"/>
                <w:lang w:val="es-ES_tradnl"/>
              </w:rPr>
              <w:t>Componente I</w:t>
            </w:r>
            <w:r w:rsidR="00481C3D" w:rsidRPr="006F68E3">
              <w:rPr>
                <w:b/>
                <w:bCs/>
                <w:sz w:val="20"/>
                <w:lang w:val="es-ES_tradnl"/>
              </w:rPr>
              <w:t>.</w:t>
            </w:r>
            <w:r w:rsidRPr="006F68E3">
              <w:rPr>
                <w:b/>
                <w:bCs/>
                <w:sz w:val="20"/>
                <w:lang w:val="es-ES_tradnl"/>
              </w:rPr>
              <w:t> Estabilidad macroeconómica</w:t>
            </w:r>
          </w:p>
        </w:tc>
      </w:tr>
      <w:tr w:rsidR="00900FB8" w:rsidRPr="003E2A3A" w14:paraId="6803A57E" w14:textId="77777777" w:rsidTr="00F8004D">
        <w:tc>
          <w:tcPr>
            <w:tcW w:w="381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A2D6" w14:textId="77777777" w:rsidR="00900FB8" w:rsidRPr="003E2A3A" w:rsidRDefault="00900FB8" w:rsidP="00EE0AD8">
            <w:pPr>
              <w:rPr>
                <w:bCs/>
                <w:color w:val="000000"/>
                <w:sz w:val="20"/>
                <w:lang w:val="es-ES_tradnl"/>
              </w:rPr>
            </w:pPr>
          </w:p>
          <w:p w14:paraId="265FC668" w14:textId="77777777" w:rsidR="00900FB8" w:rsidRPr="003E2A3A" w:rsidRDefault="00900FB8" w:rsidP="00EE0AD8">
            <w:pPr>
              <w:rPr>
                <w:bCs/>
                <w:color w:val="000000"/>
                <w:sz w:val="20"/>
                <w:lang w:val="es-ES_tradnl"/>
              </w:rPr>
            </w:pPr>
            <w:r w:rsidRPr="003E2A3A">
              <w:rPr>
                <w:b/>
                <w:bCs/>
                <w:color w:val="000000"/>
                <w:sz w:val="20"/>
                <w:lang w:val="es-ES_tradnl"/>
              </w:rPr>
              <w:t>Mantener un entorno macroeconómico estable</w:t>
            </w:r>
            <w:r w:rsidRPr="003E2A3A">
              <w:rPr>
                <w:bCs/>
                <w:color w:val="000000"/>
                <w:sz w:val="20"/>
                <w:lang w:val="es-ES_tradnl"/>
              </w:rPr>
              <w:t xml:space="preserve"> consistente con los objetivos del programa.</w:t>
            </w:r>
          </w:p>
          <w:p w14:paraId="434B5561" w14:textId="77777777" w:rsidR="00900FB8" w:rsidRPr="003E2A3A" w:rsidRDefault="00900FB8" w:rsidP="00EE0AD8">
            <w:pPr>
              <w:rPr>
                <w:color w:val="000000"/>
                <w:sz w:val="20"/>
                <w:lang w:val="es-ES_tradnl"/>
              </w:rPr>
            </w:pPr>
          </w:p>
        </w:tc>
        <w:tc>
          <w:tcPr>
            <w:tcW w:w="467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3CA9" w14:textId="77777777" w:rsidR="00900FB8" w:rsidRPr="003E2A3A" w:rsidRDefault="00900FB8" w:rsidP="00EE0AD8">
            <w:pPr>
              <w:rPr>
                <w:color w:val="000000"/>
                <w:sz w:val="20"/>
                <w:lang w:val="es-ES_tradnl"/>
              </w:rPr>
            </w:pPr>
          </w:p>
          <w:p w14:paraId="627EF1BD" w14:textId="7E53504A" w:rsidR="00900FB8" w:rsidRPr="003E2A3A" w:rsidRDefault="00C246E7" w:rsidP="00EE0AD8">
            <w:pPr>
              <w:rPr>
                <w:color w:val="000000"/>
                <w:sz w:val="20"/>
                <w:lang w:val="es-ES_tradnl"/>
              </w:rPr>
            </w:pPr>
            <w:r w:rsidRPr="00BC2196">
              <w:rPr>
                <w:color w:val="000000"/>
                <w:sz w:val="20"/>
                <w:lang w:val="es-ES_tradnl"/>
              </w:rPr>
              <w:t>Mantener un entorno  macroeconómico estable  consistente con los objetivos del programa.</w:t>
            </w:r>
          </w:p>
        </w:tc>
        <w:tc>
          <w:tcPr>
            <w:tcW w:w="4632" w:type="dxa"/>
            <w:tcBorders>
              <w:bottom w:val="single" w:sz="8" w:space="0" w:color="000000"/>
            </w:tcBorders>
          </w:tcPr>
          <w:p w14:paraId="3B0CD167" w14:textId="77777777" w:rsidR="00900FB8" w:rsidRPr="006F68E3" w:rsidRDefault="00900FB8" w:rsidP="00565F71">
            <w:pPr>
              <w:ind w:left="150" w:right="142"/>
              <w:rPr>
                <w:b/>
                <w:sz w:val="20"/>
                <w:lang w:val="es-ES_tradnl"/>
              </w:rPr>
            </w:pPr>
          </w:p>
          <w:p w14:paraId="75CA2BEA" w14:textId="66895630" w:rsidR="00900FB8" w:rsidRPr="006F68E3" w:rsidRDefault="00900FB8" w:rsidP="00565F71">
            <w:pPr>
              <w:ind w:left="150" w:right="142"/>
              <w:rPr>
                <w:sz w:val="20"/>
                <w:lang w:val="es-ES_tradnl"/>
              </w:rPr>
            </w:pPr>
            <w:r w:rsidRPr="006F68E3">
              <w:rPr>
                <w:sz w:val="20"/>
                <w:lang w:val="es-ES_tradnl"/>
              </w:rPr>
              <w:t xml:space="preserve"> IMA BID. </w:t>
            </w:r>
          </w:p>
        </w:tc>
      </w:tr>
      <w:tr w:rsidR="00FD358D" w:rsidRPr="003E2A3A" w14:paraId="26C69EE9" w14:textId="77777777" w:rsidTr="0015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0CBC8" w14:textId="77777777" w:rsidR="00FD358D" w:rsidRPr="006F68E3" w:rsidRDefault="00FD358D" w:rsidP="00565F71">
            <w:pPr>
              <w:ind w:right="142"/>
              <w:rPr>
                <w:b/>
                <w:bCs/>
                <w:sz w:val="20"/>
                <w:lang w:val="es-ES_tradnl"/>
              </w:rPr>
            </w:pPr>
            <w:r w:rsidRPr="006F68E3">
              <w:rPr>
                <w:b/>
                <w:sz w:val="20"/>
              </w:rPr>
              <w:t>Componente II</w:t>
            </w:r>
            <w:r w:rsidR="00481C3D" w:rsidRPr="006F68E3">
              <w:rPr>
                <w:b/>
                <w:sz w:val="20"/>
              </w:rPr>
              <w:t>.</w:t>
            </w:r>
            <w:r w:rsidRPr="006F68E3">
              <w:rPr>
                <w:b/>
                <w:sz w:val="20"/>
              </w:rPr>
              <w:t xml:space="preserve"> Desarrollo de instrumentos para el manejo de activos y pasivos públicos</w:t>
            </w:r>
          </w:p>
        </w:tc>
      </w:tr>
      <w:tr w:rsidR="00AC39E0" w:rsidRPr="003E2A3A" w14:paraId="05249705" w14:textId="77777777" w:rsidTr="0015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0FA9" w14:textId="77777777" w:rsidR="00AC39E0" w:rsidRPr="006F68E3" w:rsidRDefault="00AC39E0" w:rsidP="00565F71">
            <w:pPr>
              <w:ind w:left="1435" w:right="142"/>
              <w:rPr>
                <w:b/>
                <w:sz w:val="20"/>
              </w:rPr>
            </w:pPr>
            <w:r w:rsidRPr="006F68E3">
              <w:rPr>
                <w:b/>
                <w:sz w:val="20"/>
              </w:rPr>
              <w:t>Subcomponente II.1. Desarrollo del Fondo de Ahorro de Panamá (FAP)</w:t>
            </w:r>
          </w:p>
        </w:tc>
      </w:tr>
      <w:tr w:rsidR="00900FB8" w:rsidRPr="003E2A3A" w14:paraId="69A2BFDA" w14:textId="77777777" w:rsidTr="00973432">
        <w:tc>
          <w:tcPr>
            <w:tcW w:w="3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5F60" w14:textId="77777777" w:rsidR="00900FB8" w:rsidRPr="003E2A3A" w:rsidRDefault="00900FB8" w:rsidP="001D5D5A">
            <w:pPr>
              <w:rPr>
                <w:color w:val="000000"/>
                <w:sz w:val="20"/>
                <w:lang w:val="es-ES_tradnl"/>
              </w:rPr>
            </w:pPr>
          </w:p>
          <w:p w14:paraId="26D1C76F" w14:textId="77777777" w:rsidR="00900FB8" w:rsidRPr="003E2A3A" w:rsidRDefault="00900FB8" w:rsidP="001D5D5A">
            <w:pPr>
              <w:rPr>
                <w:color w:val="000000"/>
                <w:sz w:val="20"/>
              </w:rPr>
            </w:pPr>
            <w:r w:rsidRPr="003E2A3A">
              <w:rPr>
                <w:b/>
                <w:color w:val="000000"/>
                <w:sz w:val="20"/>
                <w:lang w:val="es-ES_tradnl"/>
              </w:rPr>
              <w:t>Mejoras en la gestión de activos públicos:</w:t>
            </w:r>
            <w:r w:rsidRPr="003E2A3A">
              <w:rPr>
                <w:color w:val="000000"/>
                <w:sz w:val="20"/>
                <w:lang w:val="es-ES_tradnl"/>
              </w:rPr>
              <w:t xml:space="preserve"> desarrollo de un fondo de ahorro para la estabilidad macro. 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B3D5" w14:textId="77777777" w:rsidR="00900FB8" w:rsidRPr="003E2A3A" w:rsidRDefault="00900FB8" w:rsidP="0006772F">
            <w:pPr>
              <w:jc w:val="both"/>
              <w:rPr>
                <w:bCs/>
                <w:color w:val="000000"/>
                <w:sz w:val="20"/>
                <w:lang w:val="es-ES_tradnl"/>
              </w:rPr>
            </w:pPr>
          </w:p>
          <w:p w14:paraId="25EBC94C" w14:textId="387F1D94" w:rsidR="00C246E7" w:rsidRPr="00BC2196" w:rsidRDefault="00C246E7" w:rsidP="00C246E7">
            <w:pPr>
              <w:jc w:val="both"/>
              <w:rPr>
                <w:bCs/>
                <w:color w:val="000000"/>
                <w:sz w:val="20"/>
                <w:lang w:val="es-ES_tradnl"/>
              </w:rPr>
            </w:pPr>
            <w:r w:rsidRPr="00BC2196">
              <w:rPr>
                <w:bCs/>
                <w:color w:val="000000"/>
                <w:sz w:val="20"/>
                <w:lang w:val="es-ES_tradnl"/>
              </w:rPr>
              <w:t>Que se haya reglamentado la Ley del FAP</w:t>
            </w:r>
            <w:r w:rsidRPr="00BC2196">
              <w:rPr>
                <w:bCs/>
                <w:color w:val="000000"/>
                <w:sz w:val="20"/>
                <w:lang w:val="es-ES_tradnl"/>
              </w:rPr>
              <w:t>,</w:t>
            </w:r>
            <w:r w:rsidRPr="00BC2196">
              <w:rPr>
                <w:bCs/>
                <w:color w:val="000000"/>
                <w:sz w:val="20"/>
                <w:lang w:val="es-ES_tradnl"/>
              </w:rPr>
              <w:t xml:space="preserve"> para establecer  condiciones de inversión, seguridad, rendimiento, li</w:t>
            </w:r>
            <w:bookmarkStart w:id="0" w:name="_GoBack"/>
            <w:bookmarkEnd w:id="0"/>
            <w:r w:rsidRPr="00BC2196">
              <w:rPr>
                <w:bCs/>
                <w:color w:val="000000"/>
                <w:sz w:val="20"/>
                <w:lang w:val="es-ES_tradnl"/>
              </w:rPr>
              <w:t xml:space="preserve">quidez, diversificación del riesgo y limitaciones en el uso de recursos del FAP, siguiendo las mejores prácticas internacionales. </w:t>
            </w:r>
          </w:p>
          <w:p w14:paraId="6196370F" w14:textId="77777777" w:rsidR="00C246E7" w:rsidRPr="00BC2196" w:rsidRDefault="00C246E7" w:rsidP="00C246E7">
            <w:pPr>
              <w:jc w:val="both"/>
              <w:rPr>
                <w:bCs/>
                <w:color w:val="000000"/>
                <w:sz w:val="20"/>
                <w:lang w:val="es-ES_tradnl"/>
              </w:rPr>
            </w:pPr>
          </w:p>
          <w:p w14:paraId="5ACB1B1B" w14:textId="1DA5AC5D" w:rsidR="00C246E7" w:rsidRPr="00BC2196" w:rsidRDefault="00C246E7" w:rsidP="00C246E7">
            <w:pPr>
              <w:jc w:val="both"/>
              <w:rPr>
                <w:bCs/>
                <w:color w:val="000000"/>
                <w:sz w:val="20"/>
                <w:lang w:val="es-ES_tradnl"/>
              </w:rPr>
            </w:pPr>
            <w:r w:rsidRPr="00BC2196">
              <w:rPr>
                <w:bCs/>
                <w:color w:val="000000"/>
                <w:sz w:val="20"/>
                <w:lang w:val="es-ES_tradnl"/>
              </w:rPr>
              <w:t>Que el MEF haya emitido directrices de inversión del FAP que contemplen índices de referencia y límites de colocación por clase de activos.</w:t>
            </w:r>
          </w:p>
          <w:p w14:paraId="3CDBC0C9" w14:textId="77777777" w:rsidR="00C246E7" w:rsidRPr="00BC2196" w:rsidRDefault="00C246E7" w:rsidP="00C246E7">
            <w:pPr>
              <w:jc w:val="both"/>
              <w:rPr>
                <w:bCs/>
                <w:color w:val="000000"/>
                <w:sz w:val="20"/>
                <w:lang w:val="es-ES_tradnl"/>
              </w:rPr>
            </w:pPr>
          </w:p>
          <w:p w14:paraId="557FC106" w14:textId="7F94120C" w:rsidR="00C246E7" w:rsidRPr="007D20E4" w:rsidRDefault="00C246E7" w:rsidP="00C246E7">
            <w:pPr>
              <w:jc w:val="both"/>
              <w:rPr>
                <w:bCs/>
                <w:sz w:val="20"/>
                <w:lang w:val="es-ES_tradnl"/>
              </w:rPr>
            </w:pPr>
            <w:r w:rsidRPr="00BC2196">
              <w:rPr>
                <w:bCs/>
                <w:color w:val="000000"/>
                <w:sz w:val="20"/>
                <w:lang w:val="es-ES_tradnl"/>
              </w:rPr>
              <w:t xml:space="preserve">Que el FAP haya desarrollado una institucionalidad que se refleje en: (i) un reglamento interno; (ii) un presupuesto operativo adecuado para su funcionamiento y (iii) la </w:t>
            </w:r>
            <w:r w:rsidRPr="00BC2196">
              <w:rPr>
                <w:bCs/>
                <w:color w:val="000000"/>
                <w:sz w:val="20"/>
                <w:lang w:val="es-ES_tradnl"/>
              </w:rPr>
              <w:t>designación</w:t>
            </w:r>
            <w:r w:rsidRPr="00BC2196">
              <w:rPr>
                <w:bCs/>
                <w:color w:val="000000"/>
                <w:sz w:val="20"/>
                <w:lang w:val="es-ES_tradnl"/>
              </w:rPr>
              <w:t xml:space="preserve"> de un</w:t>
            </w:r>
            <w:r w:rsidRPr="00C33E76">
              <w:rPr>
                <w:color w:val="000000"/>
                <w:sz w:val="20"/>
                <w:lang w:val="es-ES_tradnl"/>
              </w:rPr>
              <w:t xml:space="preserve"> Secretario Ejecutivo.</w:t>
            </w:r>
          </w:p>
          <w:p w14:paraId="211CF380" w14:textId="77777777" w:rsidR="00900FB8" w:rsidRPr="003E2A3A" w:rsidRDefault="00900FB8" w:rsidP="00E57845">
            <w:pPr>
              <w:jc w:val="both"/>
              <w:rPr>
                <w:bCs/>
                <w:strike/>
                <w:color w:val="000000"/>
                <w:sz w:val="20"/>
                <w:lang w:val="es-ES_tradnl"/>
              </w:rPr>
            </w:pPr>
          </w:p>
        </w:tc>
        <w:tc>
          <w:tcPr>
            <w:tcW w:w="4632" w:type="dxa"/>
            <w:shd w:val="clear" w:color="auto" w:fill="FFFFFF"/>
          </w:tcPr>
          <w:p w14:paraId="6EB633B0" w14:textId="77777777" w:rsidR="00900FB8" w:rsidRPr="006F68E3" w:rsidRDefault="00900FB8" w:rsidP="00565F71">
            <w:pPr>
              <w:ind w:left="150" w:right="142"/>
              <w:jc w:val="both"/>
              <w:rPr>
                <w:b/>
                <w:bCs/>
                <w:sz w:val="20"/>
                <w:lang w:val="es-ES_tradnl"/>
              </w:rPr>
            </w:pPr>
          </w:p>
          <w:p w14:paraId="5EE9DDFF" w14:textId="77777777" w:rsidR="00900FB8" w:rsidRPr="006F68E3" w:rsidRDefault="003D307D" w:rsidP="00565F71">
            <w:pPr>
              <w:ind w:left="150" w:right="142"/>
              <w:jc w:val="both"/>
              <w:rPr>
                <w:bCs/>
                <w:sz w:val="20"/>
                <w:lang w:val="es-ES_tradnl"/>
              </w:rPr>
            </w:pPr>
            <w:r w:rsidRPr="006F68E3">
              <w:rPr>
                <w:bCs/>
                <w:sz w:val="20"/>
                <w:lang w:val="es-ES_tradnl"/>
              </w:rPr>
              <w:t xml:space="preserve">Decreto Ejecutivo 1068 del 10 de </w:t>
            </w:r>
            <w:r w:rsidR="00BA538F" w:rsidRPr="006F68E3">
              <w:rPr>
                <w:bCs/>
                <w:sz w:val="20"/>
                <w:lang w:val="es-ES_tradnl"/>
              </w:rPr>
              <w:t>s</w:t>
            </w:r>
            <w:r w:rsidRPr="006F68E3">
              <w:rPr>
                <w:bCs/>
                <w:sz w:val="20"/>
                <w:lang w:val="es-ES_tradnl"/>
              </w:rPr>
              <w:t>eptiembre de 2012.</w:t>
            </w:r>
          </w:p>
          <w:p w14:paraId="4CF6719A" w14:textId="77777777" w:rsidR="003D307D" w:rsidRPr="006F68E3" w:rsidRDefault="003D307D" w:rsidP="00565F71">
            <w:pPr>
              <w:ind w:left="150" w:right="142"/>
              <w:jc w:val="both"/>
              <w:rPr>
                <w:bCs/>
                <w:sz w:val="20"/>
                <w:lang w:val="es-ES_tradnl"/>
              </w:rPr>
            </w:pPr>
          </w:p>
          <w:p w14:paraId="2571055A" w14:textId="77777777" w:rsidR="003D307D" w:rsidRPr="006F68E3" w:rsidRDefault="003D307D" w:rsidP="00565F71">
            <w:pPr>
              <w:ind w:left="150" w:right="142"/>
              <w:jc w:val="both"/>
              <w:rPr>
                <w:bCs/>
                <w:sz w:val="20"/>
                <w:lang w:val="es-ES_tradnl"/>
              </w:rPr>
            </w:pPr>
          </w:p>
          <w:p w14:paraId="7BE71074" w14:textId="77777777" w:rsidR="003D307D" w:rsidRPr="006F68E3" w:rsidRDefault="003D307D" w:rsidP="00C33E76">
            <w:pPr>
              <w:ind w:right="142"/>
              <w:jc w:val="both"/>
              <w:rPr>
                <w:bCs/>
                <w:sz w:val="20"/>
                <w:lang w:val="es-ES_tradnl"/>
              </w:rPr>
            </w:pPr>
          </w:p>
          <w:p w14:paraId="6A6F2C45" w14:textId="77777777" w:rsidR="003D307D" w:rsidRPr="006F68E3" w:rsidRDefault="003D307D" w:rsidP="00565F71">
            <w:pPr>
              <w:ind w:left="150" w:right="142"/>
              <w:jc w:val="both"/>
              <w:rPr>
                <w:bCs/>
                <w:sz w:val="20"/>
                <w:lang w:val="es-ES_tradnl"/>
              </w:rPr>
            </w:pPr>
          </w:p>
          <w:p w14:paraId="4602561E" w14:textId="22E13122" w:rsidR="003D307D" w:rsidRPr="006F68E3" w:rsidRDefault="00E16CAD" w:rsidP="00565F71">
            <w:pPr>
              <w:ind w:left="150" w:right="142"/>
              <w:jc w:val="both"/>
              <w:rPr>
                <w:bCs/>
                <w:sz w:val="20"/>
                <w:lang w:val="es-ES_tradnl"/>
              </w:rPr>
            </w:pPr>
            <w:r>
              <w:rPr>
                <w:bCs/>
                <w:sz w:val="20"/>
                <w:lang w:val="es-ES_tradnl"/>
              </w:rPr>
              <w:t>D</w:t>
            </w:r>
            <w:r w:rsidR="003D307D" w:rsidRPr="006F68E3">
              <w:rPr>
                <w:bCs/>
                <w:sz w:val="20"/>
                <w:lang w:val="es-ES_tradnl"/>
              </w:rPr>
              <w:t>irectrices de inversión del FAP</w:t>
            </w:r>
            <w:r>
              <w:rPr>
                <w:bCs/>
                <w:sz w:val="20"/>
                <w:lang w:val="es-ES_tradnl"/>
              </w:rPr>
              <w:t xml:space="preserve"> en los términos acordado emitidas por resolución ministerial MEF</w:t>
            </w:r>
            <w:r w:rsidR="003D307D" w:rsidRPr="006F68E3">
              <w:rPr>
                <w:bCs/>
                <w:sz w:val="20"/>
                <w:lang w:val="es-ES_tradnl"/>
              </w:rPr>
              <w:t xml:space="preserve">. </w:t>
            </w:r>
          </w:p>
          <w:p w14:paraId="62AE8AD2" w14:textId="77777777" w:rsidR="00B93AEB" w:rsidRDefault="00B93AEB" w:rsidP="00C33E76">
            <w:pPr>
              <w:ind w:right="142"/>
              <w:jc w:val="both"/>
              <w:rPr>
                <w:bCs/>
                <w:sz w:val="20"/>
                <w:lang w:val="es-ES_tradnl"/>
              </w:rPr>
            </w:pPr>
          </w:p>
          <w:p w14:paraId="5D1096E5" w14:textId="77777777" w:rsidR="003D307D" w:rsidRPr="006F68E3" w:rsidRDefault="003D307D" w:rsidP="00565F71">
            <w:pPr>
              <w:ind w:left="150" w:right="142"/>
              <w:jc w:val="both"/>
              <w:rPr>
                <w:bCs/>
                <w:sz w:val="20"/>
                <w:lang w:val="es-ES_tradnl"/>
              </w:rPr>
            </w:pPr>
          </w:p>
          <w:p w14:paraId="6079ABA7" w14:textId="77777777" w:rsidR="003D307D" w:rsidRPr="006F68E3" w:rsidRDefault="00401D3F" w:rsidP="00565F71">
            <w:pPr>
              <w:ind w:left="150" w:right="142"/>
              <w:jc w:val="both"/>
              <w:rPr>
                <w:bCs/>
                <w:sz w:val="20"/>
                <w:lang w:val="es-ES_tradnl"/>
              </w:rPr>
            </w:pPr>
            <w:r w:rsidRPr="006F68E3">
              <w:rPr>
                <w:bCs/>
                <w:sz w:val="20"/>
                <w:lang w:val="es-ES_tradnl"/>
              </w:rPr>
              <w:t xml:space="preserve">Comunicado </w:t>
            </w:r>
            <w:r w:rsidR="003D307D" w:rsidRPr="006F68E3">
              <w:rPr>
                <w:bCs/>
                <w:sz w:val="20"/>
                <w:lang w:val="es-ES_tradnl"/>
              </w:rPr>
              <w:t xml:space="preserve">oficial </w:t>
            </w:r>
            <w:r w:rsidRPr="006F68E3">
              <w:rPr>
                <w:bCs/>
                <w:sz w:val="20"/>
                <w:lang w:val="es-ES_tradnl"/>
              </w:rPr>
              <w:t xml:space="preserve">del Presidente de la Junta Directiva del FAP </w:t>
            </w:r>
            <w:r w:rsidR="003D307D" w:rsidRPr="006F68E3">
              <w:rPr>
                <w:bCs/>
                <w:sz w:val="20"/>
                <w:lang w:val="es-ES_tradnl"/>
              </w:rPr>
              <w:t xml:space="preserve">de </w:t>
            </w:r>
            <w:r w:rsidRPr="006F68E3">
              <w:rPr>
                <w:bCs/>
                <w:sz w:val="20"/>
                <w:lang w:val="es-ES_tradnl"/>
              </w:rPr>
              <w:t xml:space="preserve">la </w:t>
            </w:r>
            <w:r w:rsidR="003D307D" w:rsidRPr="006F68E3">
              <w:rPr>
                <w:bCs/>
                <w:sz w:val="20"/>
                <w:lang w:val="es-ES_tradnl"/>
              </w:rPr>
              <w:t>aprobación</w:t>
            </w:r>
            <w:r w:rsidRPr="006F68E3">
              <w:rPr>
                <w:bCs/>
                <w:sz w:val="20"/>
                <w:lang w:val="es-ES_tradnl"/>
              </w:rPr>
              <w:t xml:space="preserve"> del</w:t>
            </w:r>
            <w:r w:rsidR="003D307D" w:rsidRPr="006F68E3">
              <w:rPr>
                <w:bCs/>
                <w:sz w:val="20"/>
                <w:lang w:val="es-ES_tradnl"/>
              </w:rPr>
              <w:t xml:space="preserve"> </w:t>
            </w:r>
            <w:r w:rsidRPr="006F68E3">
              <w:rPr>
                <w:bCs/>
                <w:sz w:val="20"/>
                <w:lang w:val="es-ES_tradnl"/>
              </w:rPr>
              <w:t xml:space="preserve">reglamento interno y </w:t>
            </w:r>
            <w:r w:rsidR="003D307D" w:rsidRPr="006F68E3">
              <w:rPr>
                <w:bCs/>
                <w:sz w:val="20"/>
                <w:lang w:val="es-ES_tradnl"/>
              </w:rPr>
              <w:t xml:space="preserve">el presupuesto operativo. </w:t>
            </w:r>
          </w:p>
          <w:p w14:paraId="36BB050D" w14:textId="77777777" w:rsidR="00BA538F" w:rsidRPr="006F68E3" w:rsidRDefault="00BA538F" w:rsidP="00565F71">
            <w:pPr>
              <w:ind w:left="150" w:right="142"/>
              <w:jc w:val="both"/>
              <w:rPr>
                <w:bCs/>
                <w:sz w:val="20"/>
                <w:lang w:val="es-ES_tradnl"/>
              </w:rPr>
            </w:pPr>
          </w:p>
          <w:p w14:paraId="3FBDA654" w14:textId="255779E2" w:rsidR="003D307D" w:rsidRPr="006F68E3" w:rsidRDefault="003D307D" w:rsidP="00565F71">
            <w:pPr>
              <w:ind w:left="150" w:right="142"/>
              <w:jc w:val="both"/>
              <w:rPr>
                <w:b/>
                <w:bCs/>
                <w:sz w:val="20"/>
                <w:lang w:val="es-ES_tradnl"/>
              </w:rPr>
            </w:pPr>
            <w:r w:rsidRPr="006F68E3">
              <w:rPr>
                <w:bCs/>
                <w:sz w:val="20"/>
                <w:lang w:val="es-ES_tradnl"/>
              </w:rPr>
              <w:t>Designación oficial del Secretario Ejecutivo del FAP por parte de</w:t>
            </w:r>
            <w:r w:rsidR="00B93AEB">
              <w:rPr>
                <w:bCs/>
                <w:sz w:val="20"/>
                <w:lang w:val="es-ES_tradnl"/>
              </w:rPr>
              <w:t xml:space="preserve"> la JD </w:t>
            </w:r>
            <w:r w:rsidRPr="006F68E3">
              <w:rPr>
                <w:bCs/>
                <w:sz w:val="20"/>
                <w:lang w:val="es-ES_tradnl"/>
              </w:rPr>
              <w:t xml:space="preserve">del </w:t>
            </w:r>
            <w:r w:rsidR="00B93AEB">
              <w:rPr>
                <w:bCs/>
                <w:sz w:val="20"/>
                <w:lang w:val="es-ES_tradnl"/>
              </w:rPr>
              <w:t>FAP.</w:t>
            </w:r>
          </w:p>
        </w:tc>
      </w:tr>
      <w:tr w:rsidR="00AC39E0" w:rsidRPr="003E2A3A" w14:paraId="578A7723" w14:textId="77777777" w:rsidTr="003E2A3A">
        <w:tc>
          <w:tcPr>
            <w:tcW w:w="13125" w:type="dxa"/>
            <w:gridSpan w:val="3"/>
            <w:tcBorders>
              <w:bottom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F825" w14:textId="77777777" w:rsidR="00AC39E0" w:rsidRPr="006F68E3" w:rsidRDefault="00AC39E0" w:rsidP="00565F71">
            <w:pPr>
              <w:ind w:left="1435" w:right="142"/>
              <w:jc w:val="both"/>
              <w:rPr>
                <w:b/>
                <w:sz w:val="20"/>
                <w:lang w:val="es-ES_tradnl"/>
              </w:rPr>
            </w:pPr>
            <w:r w:rsidRPr="006F68E3">
              <w:rPr>
                <w:b/>
                <w:sz w:val="20"/>
              </w:rPr>
              <w:t>Subcomponente II.2.Desarrollo del mercado de deuda pública</w:t>
            </w:r>
          </w:p>
        </w:tc>
      </w:tr>
      <w:tr w:rsidR="00900FB8" w:rsidRPr="003E2A3A" w14:paraId="127F00F0" w14:textId="77777777" w:rsidTr="00F8004D">
        <w:tc>
          <w:tcPr>
            <w:tcW w:w="3815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4F6E" w14:textId="77777777" w:rsidR="00900FB8" w:rsidRPr="003E2A3A" w:rsidRDefault="00900FB8" w:rsidP="0006772F">
            <w:pPr>
              <w:rPr>
                <w:color w:val="000000"/>
                <w:sz w:val="20"/>
              </w:rPr>
            </w:pPr>
          </w:p>
          <w:p w14:paraId="5E39275F" w14:textId="77777777" w:rsidR="00900FB8" w:rsidRPr="003E2A3A" w:rsidRDefault="00900FB8" w:rsidP="0006772F">
            <w:pPr>
              <w:pStyle w:val="ListParagraph"/>
              <w:autoSpaceDE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s-ES_tradnl"/>
              </w:rPr>
            </w:pPr>
            <w:r w:rsidRPr="003E2A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ES_tradnl"/>
              </w:rPr>
              <w:t>Mejora en la gestión de pasivos públicos:</w:t>
            </w:r>
            <w:r w:rsidRPr="003E2A3A">
              <w:rPr>
                <w:rFonts w:ascii="Times New Roman" w:hAnsi="Times New Roman"/>
                <w:bCs/>
                <w:color w:val="000000"/>
                <w:sz w:val="20"/>
                <w:szCs w:val="20"/>
                <w:lang w:val="es-ES_tradnl"/>
              </w:rPr>
              <w:t xml:space="preserve"> Desarrollo y regulación del mercado de deuda doméstica en el mercado de capitales. </w:t>
            </w:r>
          </w:p>
          <w:p w14:paraId="51A83D74" w14:textId="77777777" w:rsidR="00900FB8" w:rsidRPr="003E2A3A" w:rsidRDefault="00900FB8" w:rsidP="0006772F">
            <w:pPr>
              <w:rPr>
                <w:color w:val="000000"/>
                <w:sz w:val="20"/>
              </w:rPr>
            </w:pPr>
          </w:p>
          <w:p w14:paraId="3E4A7218" w14:textId="77777777" w:rsidR="00900FB8" w:rsidRPr="003E2A3A" w:rsidRDefault="00900FB8" w:rsidP="0006772F">
            <w:pPr>
              <w:rPr>
                <w:color w:val="000000"/>
                <w:sz w:val="20"/>
              </w:rPr>
            </w:pPr>
          </w:p>
        </w:tc>
        <w:tc>
          <w:tcPr>
            <w:tcW w:w="46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CC39" w14:textId="77777777" w:rsidR="00900FB8" w:rsidRPr="008C2CEB" w:rsidRDefault="00900FB8" w:rsidP="00C33E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lang w:val="es-ES_tradnl"/>
              </w:rPr>
            </w:pPr>
          </w:p>
          <w:p w14:paraId="4B3287D0" w14:textId="6E854686" w:rsidR="00C246E7" w:rsidRPr="00BC2196" w:rsidRDefault="00C246E7" w:rsidP="00C246E7">
            <w:pPr>
              <w:jc w:val="both"/>
              <w:rPr>
                <w:color w:val="000000"/>
                <w:sz w:val="20"/>
                <w:lang w:val="es-ES_tradnl"/>
              </w:rPr>
            </w:pPr>
            <w:r w:rsidRPr="00BC2196">
              <w:rPr>
                <w:color w:val="000000"/>
                <w:sz w:val="20"/>
                <w:lang w:val="es-ES_tradnl"/>
              </w:rPr>
              <w:t>Que se cuente con un plan estratégico de mercado de deuda pública doméstica y mercado de capitales</w:t>
            </w:r>
            <w:r w:rsidRPr="00BC2196">
              <w:rPr>
                <w:color w:val="000000"/>
                <w:sz w:val="20"/>
                <w:lang w:val="es-ES_tradnl"/>
              </w:rPr>
              <w:t>,</w:t>
            </w:r>
            <w:r w:rsidR="00DC4C56">
              <w:rPr>
                <w:color w:val="000000"/>
                <w:sz w:val="20"/>
                <w:lang w:val="es-ES_tradnl"/>
              </w:rPr>
              <w:t xml:space="preserve"> adoptado</w:t>
            </w:r>
            <w:r w:rsidRPr="00BC2196">
              <w:rPr>
                <w:color w:val="000000"/>
                <w:sz w:val="20"/>
                <w:lang w:val="es-ES_tradnl"/>
              </w:rPr>
              <w:t>,</w:t>
            </w:r>
            <w:r w:rsidRPr="00BC2196">
              <w:rPr>
                <w:color w:val="000000"/>
                <w:sz w:val="20"/>
                <w:lang w:val="es-ES_tradnl"/>
              </w:rPr>
              <w:t xml:space="preserve"> que contemple acciones dirigidas a mejorar la eficiencia y la liquidez del mercado de deuda y expandir el mercado de capitales.</w:t>
            </w:r>
          </w:p>
          <w:p w14:paraId="6C911FFC" w14:textId="77777777" w:rsidR="00C246E7" w:rsidRPr="00BC2196" w:rsidRDefault="00C246E7" w:rsidP="00C246E7">
            <w:pPr>
              <w:jc w:val="both"/>
              <w:rPr>
                <w:color w:val="000000"/>
                <w:sz w:val="20"/>
                <w:lang w:val="es-ES_tradnl"/>
              </w:rPr>
            </w:pPr>
          </w:p>
          <w:p w14:paraId="1684F631" w14:textId="4A7D7CC3" w:rsidR="00C246E7" w:rsidRPr="00BC2196" w:rsidRDefault="00C246E7" w:rsidP="00C246E7">
            <w:pPr>
              <w:jc w:val="both"/>
              <w:rPr>
                <w:color w:val="000000"/>
                <w:sz w:val="20"/>
                <w:lang w:val="es-ES_tradnl"/>
              </w:rPr>
            </w:pPr>
            <w:r w:rsidRPr="00BC2196">
              <w:rPr>
                <w:color w:val="000000"/>
                <w:sz w:val="20"/>
                <w:lang w:val="es-ES_tradnl"/>
              </w:rPr>
              <w:t xml:space="preserve">Que se haya institucionalizado el Programa de Creadores de Mercado (PCM) a través de la aprobación </w:t>
            </w:r>
            <w:r w:rsidRPr="00BC2196">
              <w:rPr>
                <w:color w:val="000000"/>
                <w:sz w:val="20"/>
                <w:lang w:val="es-ES_tradnl"/>
              </w:rPr>
              <w:lastRenderedPageBreak/>
              <w:t>del mismo por el poder ejecutivo y se haya fortalecido para ampliarlo con la finalidad de:</w:t>
            </w:r>
          </w:p>
          <w:p w14:paraId="05E58202" w14:textId="77777777" w:rsidR="00C246E7" w:rsidRPr="0007340B" w:rsidRDefault="00C246E7" w:rsidP="00C33E76">
            <w:pPr>
              <w:numPr>
                <w:ilvl w:val="0"/>
                <w:numId w:val="34"/>
              </w:numPr>
              <w:ind w:left="320" w:hanging="270"/>
              <w:jc w:val="both"/>
              <w:rPr>
                <w:color w:val="000000"/>
                <w:sz w:val="20"/>
                <w:lang w:val="es-ES_tradnl"/>
              </w:rPr>
            </w:pPr>
            <w:r w:rsidRPr="0007340B">
              <w:rPr>
                <w:color w:val="000000"/>
                <w:sz w:val="20"/>
                <w:lang w:val="es-ES_tradnl"/>
              </w:rPr>
              <w:t xml:space="preserve">Construir una curva de tipos doméstica. </w:t>
            </w:r>
          </w:p>
          <w:p w14:paraId="50B92FC9" w14:textId="77777777" w:rsidR="00C246E7" w:rsidRPr="00AE2486" w:rsidRDefault="00C246E7" w:rsidP="00C33E76">
            <w:pPr>
              <w:numPr>
                <w:ilvl w:val="0"/>
                <w:numId w:val="34"/>
              </w:numPr>
              <w:ind w:left="320" w:hanging="270"/>
              <w:jc w:val="both"/>
              <w:rPr>
                <w:color w:val="000000"/>
                <w:sz w:val="20"/>
                <w:lang w:val="es-ES_tradnl"/>
              </w:rPr>
            </w:pPr>
            <w:r w:rsidRPr="00FD7511">
              <w:rPr>
                <w:color w:val="000000"/>
                <w:sz w:val="20"/>
                <w:lang w:val="es-ES_tradnl"/>
              </w:rPr>
              <w:t>Incrementar la profundidad y eficiencia del mercado.</w:t>
            </w:r>
          </w:p>
          <w:p w14:paraId="6B6B2089" w14:textId="77777777" w:rsidR="00C246E7" w:rsidRPr="00C33E76" w:rsidRDefault="00C246E7" w:rsidP="00C33E76">
            <w:pPr>
              <w:numPr>
                <w:ilvl w:val="0"/>
                <w:numId w:val="34"/>
              </w:numPr>
              <w:ind w:left="320" w:hanging="270"/>
              <w:jc w:val="both"/>
              <w:rPr>
                <w:color w:val="000000"/>
                <w:sz w:val="20"/>
                <w:lang w:val="es-ES_tradnl"/>
              </w:rPr>
            </w:pPr>
            <w:r w:rsidRPr="00163B79">
              <w:rPr>
                <w:color w:val="000000"/>
                <w:sz w:val="20"/>
                <w:lang w:val="es-ES_tradnl"/>
              </w:rPr>
              <w:t>Mejorar la competencia entre los creadores del mercado.</w:t>
            </w:r>
          </w:p>
          <w:p w14:paraId="07CC24E7" w14:textId="77777777" w:rsidR="00C246E7" w:rsidRPr="00C33E76" w:rsidRDefault="00C246E7" w:rsidP="00C33E76">
            <w:pPr>
              <w:jc w:val="both"/>
              <w:rPr>
                <w:color w:val="000000"/>
                <w:sz w:val="20"/>
                <w:lang w:val="es-ES_tradnl"/>
              </w:rPr>
            </w:pPr>
          </w:p>
          <w:p w14:paraId="3DB0726F" w14:textId="40ADFC62" w:rsidR="00C246E7" w:rsidRPr="00C33E76" w:rsidRDefault="00C246E7" w:rsidP="00C33E76">
            <w:pPr>
              <w:jc w:val="both"/>
              <w:rPr>
                <w:color w:val="000000"/>
                <w:sz w:val="20"/>
                <w:lang w:val="es-ES_tradnl"/>
              </w:rPr>
            </w:pPr>
            <w:r w:rsidRPr="00BC2196">
              <w:rPr>
                <w:color w:val="000000"/>
                <w:sz w:val="20"/>
                <w:lang w:val="es-ES_tradnl"/>
              </w:rPr>
              <w:t xml:space="preserve">Que </w:t>
            </w:r>
            <w:r w:rsidRPr="00C33E76">
              <w:rPr>
                <w:color w:val="000000"/>
                <w:sz w:val="20"/>
                <w:lang w:val="es-ES_tradnl"/>
              </w:rPr>
              <w:t xml:space="preserve"> la Superintendencia del Mercado de Valores (SMV), </w:t>
            </w:r>
            <w:r w:rsidRPr="00BC2196">
              <w:rPr>
                <w:color w:val="000000"/>
                <w:sz w:val="20"/>
                <w:lang w:val="es-ES_tradnl"/>
              </w:rPr>
              <w:t>haya reglamentado</w:t>
            </w:r>
            <w:r w:rsidRPr="00C33E76">
              <w:rPr>
                <w:color w:val="000000"/>
                <w:sz w:val="20"/>
                <w:lang w:val="es-ES_tradnl"/>
              </w:rPr>
              <w:t xml:space="preserve"> la </w:t>
            </w:r>
            <w:r w:rsidRPr="00BC2196">
              <w:rPr>
                <w:color w:val="000000"/>
                <w:sz w:val="20"/>
                <w:lang w:val="es-ES_tradnl"/>
              </w:rPr>
              <w:t>actuación de</w:t>
            </w:r>
            <w:r w:rsidRPr="00C33E76">
              <w:rPr>
                <w:color w:val="000000"/>
                <w:sz w:val="20"/>
                <w:lang w:val="es-ES_tradnl"/>
              </w:rPr>
              <w:t xml:space="preserve"> las entidades proveedoras de precios, en base a las mejores prácticas.</w:t>
            </w:r>
          </w:p>
          <w:p w14:paraId="3522CEDD" w14:textId="77777777" w:rsidR="00C246E7" w:rsidRPr="00C33E76" w:rsidRDefault="00C246E7" w:rsidP="00C33E76">
            <w:pPr>
              <w:jc w:val="both"/>
              <w:rPr>
                <w:color w:val="000000"/>
                <w:sz w:val="20"/>
                <w:lang w:val="es-ES_tradnl"/>
              </w:rPr>
            </w:pPr>
          </w:p>
          <w:p w14:paraId="1366B327" w14:textId="74563146" w:rsidR="00C246E7" w:rsidRPr="00C33E76" w:rsidRDefault="00C246E7" w:rsidP="00C33E76">
            <w:pPr>
              <w:jc w:val="both"/>
              <w:rPr>
                <w:color w:val="000000"/>
                <w:sz w:val="20"/>
                <w:lang w:val="es-ES_tradnl"/>
              </w:rPr>
            </w:pPr>
            <w:r w:rsidRPr="00BC2196">
              <w:rPr>
                <w:color w:val="000000"/>
                <w:sz w:val="20"/>
                <w:lang w:val="es-ES_tradnl"/>
              </w:rPr>
              <w:t>Que</w:t>
            </w:r>
            <w:r w:rsidRPr="00C33E76">
              <w:rPr>
                <w:color w:val="000000"/>
                <w:sz w:val="20"/>
                <w:lang w:val="es-ES_tradnl"/>
              </w:rPr>
              <w:t xml:space="preserve"> la </w:t>
            </w:r>
            <w:r w:rsidRPr="00BC2196">
              <w:rPr>
                <w:color w:val="000000"/>
                <w:sz w:val="20"/>
                <w:lang w:val="es-ES_tradnl"/>
              </w:rPr>
              <w:t xml:space="preserve"> </w:t>
            </w:r>
            <w:r w:rsidRPr="00C33E76">
              <w:rPr>
                <w:color w:val="000000"/>
                <w:sz w:val="20"/>
                <w:lang w:val="es-ES_tradnl"/>
              </w:rPr>
              <w:t xml:space="preserve">SMV </w:t>
            </w:r>
            <w:r w:rsidRPr="00BC2196">
              <w:rPr>
                <w:color w:val="000000"/>
                <w:sz w:val="20"/>
                <w:lang w:val="es-ES_tradnl"/>
              </w:rPr>
              <w:t>avance en</w:t>
            </w:r>
            <w:r w:rsidRPr="00C33E76">
              <w:rPr>
                <w:color w:val="000000"/>
                <w:sz w:val="20"/>
                <w:lang w:val="es-ES_tradnl"/>
              </w:rPr>
              <w:t xml:space="preserve"> la regulación </w:t>
            </w:r>
            <w:r w:rsidRPr="00BC2196">
              <w:rPr>
                <w:color w:val="000000"/>
                <w:sz w:val="20"/>
                <w:lang w:val="es-ES_tradnl"/>
              </w:rPr>
              <w:t>de</w:t>
            </w:r>
            <w:r w:rsidRPr="00C33E76">
              <w:rPr>
                <w:color w:val="000000"/>
                <w:sz w:val="20"/>
                <w:lang w:val="es-ES_tradnl"/>
              </w:rPr>
              <w:t xml:space="preserve"> la actividad de inversión en el Mercado Internacional de Divisas (FOREX</w:t>
            </w:r>
            <w:r w:rsidRPr="00BC2196">
              <w:rPr>
                <w:color w:val="000000"/>
                <w:sz w:val="20"/>
                <w:lang w:val="es-ES_tradnl"/>
              </w:rPr>
              <w:t>), mediante la elaboración y consulta de la misma</w:t>
            </w:r>
          </w:p>
          <w:p w14:paraId="65F3A1DA" w14:textId="29AD4BAF" w:rsidR="00C246E7" w:rsidRDefault="00C246E7" w:rsidP="00C246E7">
            <w:pPr>
              <w:jc w:val="both"/>
              <w:rPr>
                <w:color w:val="000000"/>
                <w:sz w:val="20"/>
                <w:lang w:val="es-ES_tradnl"/>
              </w:rPr>
            </w:pPr>
          </w:p>
          <w:p w14:paraId="4E951B5C" w14:textId="09EF7FBD" w:rsidR="00C246E7" w:rsidRPr="00C33E76" w:rsidRDefault="00C246E7" w:rsidP="00C33E76">
            <w:pPr>
              <w:jc w:val="both"/>
              <w:rPr>
                <w:color w:val="000000"/>
                <w:sz w:val="20"/>
                <w:lang w:val="es-ES_tradnl"/>
              </w:rPr>
            </w:pPr>
            <w:r w:rsidRPr="00BC2196">
              <w:rPr>
                <w:color w:val="000000"/>
                <w:sz w:val="20"/>
                <w:lang w:val="es-ES_tradnl"/>
              </w:rPr>
              <w:t>Que</w:t>
            </w:r>
            <w:r w:rsidRPr="00C33E76">
              <w:rPr>
                <w:color w:val="000000"/>
                <w:sz w:val="20"/>
                <w:lang w:val="es-ES_tradnl"/>
              </w:rPr>
              <w:t xml:space="preserve"> la SMV </w:t>
            </w:r>
            <w:r w:rsidRPr="00BC2196">
              <w:rPr>
                <w:color w:val="000000"/>
                <w:sz w:val="20"/>
                <w:lang w:val="es-ES_tradnl"/>
              </w:rPr>
              <w:t xml:space="preserve">haya </w:t>
            </w:r>
            <w:r w:rsidRPr="00BC2196">
              <w:rPr>
                <w:color w:val="000000"/>
                <w:sz w:val="20"/>
                <w:lang w:val="es-ES_tradnl"/>
              </w:rPr>
              <w:t>avanzado en</w:t>
            </w:r>
            <w:r w:rsidR="00DC4C56">
              <w:rPr>
                <w:color w:val="000000"/>
                <w:sz w:val="20"/>
                <w:lang w:val="es-ES_tradnl"/>
              </w:rPr>
              <w:t xml:space="preserve"> </w:t>
            </w:r>
            <w:r w:rsidRPr="00C33E76">
              <w:rPr>
                <w:color w:val="000000"/>
                <w:sz w:val="20"/>
                <w:lang w:val="es-ES_tradnl"/>
              </w:rPr>
              <w:t xml:space="preserve">la regulación </w:t>
            </w:r>
            <w:r w:rsidRPr="00BC2196">
              <w:rPr>
                <w:color w:val="000000"/>
                <w:sz w:val="20"/>
                <w:lang w:val="es-ES_tradnl"/>
              </w:rPr>
              <w:t>de los</w:t>
            </w:r>
            <w:r w:rsidRPr="00C33E76">
              <w:rPr>
                <w:color w:val="000000"/>
                <w:sz w:val="20"/>
                <w:lang w:val="es-ES_tradnl"/>
              </w:rPr>
              <w:t xml:space="preserve"> emisores soberanos para profundizar el mercado de emisores de deuda soberana en Panamá.</w:t>
            </w:r>
          </w:p>
          <w:p w14:paraId="4947793B" w14:textId="77777777" w:rsidR="00C246E7" w:rsidRPr="006F68E3" w:rsidRDefault="00C246E7" w:rsidP="00CB218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632" w:type="dxa"/>
            <w:tcBorders>
              <w:bottom w:val="single" w:sz="8" w:space="0" w:color="000000"/>
            </w:tcBorders>
            <w:shd w:val="clear" w:color="auto" w:fill="FFFFFF"/>
          </w:tcPr>
          <w:p w14:paraId="560299FC" w14:textId="77777777" w:rsidR="00900FB8" w:rsidRPr="006F68E3" w:rsidRDefault="00900FB8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3CDA3250" w14:textId="6C15B722" w:rsidR="001000AB" w:rsidRPr="006F68E3" w:rsidRDefault="00900FB8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  <w:r w:rsidRPr="006F68E3">
              <w:rPr>
                <w:sz w:val="20"/>
                <w:lang w:val="es-ES_tradnl"/>
              </w:rPr>
              <w:t xml:space="preserve">Plan estratégico de desarrollo del </w:t>
            </w:r>
            <w:r w:rsidR="00BA538F" w:rsidRPr="006F68E3">
              <w:rPr>
                <w:sz w:val="20"/>
                <w:lang w:val="es-ES_tradnl"/>
              </w:rPr>
              <w:t xml:space="preserve">mercado de capitales </w:t>
            </w:r>
            <w:r w:rsidR="007451AE">
              <w:rPr>
                <w:sz w:val="20"/>
                <w:lang w:val="es-ES_tradnl"/>
              </w:rPr>
              <w:t>en los términos de la cláusula</w:t>
            </w:r>
            <w:r w:rsidR="00BA538F" w:rsidRPr="006F68E3">
              <w:rPr>
                <w:sz w:val="20"/>
                <w:lang w:val="es-ES_tradnl"/>
              </w:rPr>
              <w:t xml:space="preserve"> </w:t>
            </w:r>
            <w:r w:rsidR="00B93AEB">
              <w:rPr>
                <w:sz w:val="20"/>
                <w:lang w:val="es-ES_tradnl"/>
              </w:rPr>
              <w:t>adoptado</w:t>
            </w:r>
            <w:r w:rsidRPr="006F68E3">
              <w:rPr>
                <w:sz w:val="20"/>
                <w:lang w:val="es-ES_tradnl"/>
              </w:rPr>
              <w:t xml:space="preserve"> por </w:t>
            </w:r>
            <w:r w:rsidR="007451AE">
              <w:rPr>
                <w:sz w:val="20"/>
                <w:lang w:val="es-ES_tradnl"/>
              </w:rPr>
              <w:t>el Director General</w:t>
            </w:r>
            <w:r w:rsidRPr="006F68E3">
              <w:rPr>
                <w:sz w:val="20"/>
                <w:lang w:val="es-ES_tradnl"/>
              </w:rPr>
              <w:t xml:space="preserve"> de </w:t>
            </w:r>
            <w:r w:rsidR="00962B3E" w:rsidRPr="006F68E3">
              <w:rPr>
                <w:sz w:val="20"/>
                <w:lang w:val="es-ES_tradnl"/>
              </w:rPr>
              <w:t>C</w:t>
            </w:r>
            <w:r w:rsidRPr="006F68E3">
              <w:rPr>
                <w:sz w:val="20"/>
                <w:lang w:val="es-ES_tradnl"/>
              </w:rPr>
              <w:t xml:space="preserve">rédito </w:t>
            </w:r>
            <w:r w:rsidR="00962B3E" w:rsidRPr="006F68E3">
              <w:rPr>
                <w:sz w:val="20"/>
                <w:lang w:val="es-ES_tradnl"/>
              </w:rPr>
              <w:t>P</w:t>
            </w:r>
            <w:r w:rsidRPr="006F68E3">
              <w:rPr>
                <w:sz w:val="20"/>
                <w:lang w:val="es-ES_tradnl"/>
              </w:rPr>
              <w:t>úblico</w:t>
            </w:r>
            <w:r w:rsidR="001000AB" w:rsidRPr="006F68E3">
              <w:rPr>
                <w:sz w:val="20"/>
                <w:lang w:val="es-ES_tradnl"/>
              </w:rPr>
              <w:t>.</w:t>
            </w:r>
            <w:r w:rsidR="003D307D" w:rsidRPr="006F68E3">
              <w:rPr>
                <w:sz w:val="20"/>
                <w:lang w:val="es-ES_tradnl"/>
              </w:rPr>
              <w:t xml:space="preserve"> </w:t>
            </w:r>
          </w:p>
          <w:p w14:paraId="19C8F1C5" w14:textId="77777777" w:rsidR="001000AB" w:rsidRPr="006F68E3" w:rsidRDefault="001000AB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4CEFC9B7" w14:textId="77777777" w:rsidR="00D479A5" w:rsidRDefault="00D479A5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261A3F55" w14:textId="77777777" w:rsidR="00D479A5" w:rsidRDefault="00D479A5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57FC6F27" w14:textId="181F7FC7" w:rsidR="00900FB8" w:rsidRPr="006F68E3" w:rsidRDefault="00900FB8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  <w:r w:rsidRPr="006F68E3">
              <w:rPr>
                <w:sz w:val="20"/>
                <w:lang w:val="es-ES_tradnl"/>
              </w:rPr>
              <w:t xml:space="preserve">Decreto </w:t>
            </w:r>
            <w:r w:rsidR="00CE59B5" w:rsidRPr="006F68E3">
              <w:rPr>
                <w:sz w:val="20"/>
                <w:lang w:val="es-ES_tradnl"/>
              </w:rPr>
              <w:t xml:space="preserve">Ejecutivo </w:t>
            </w:r>
            <w:r w:rsidR="001000AB" w:rsidRPr="006F68E3">
              <w:rPr>
                <w:sz w:val="20"/>
                <w:lang w:val="es-ES_tradnl"/>
              </w:rPr>
              <w:t>de</w:t>
            </w:r>
            <w:r w:rsidR="009C2122">
              <w:rPr>
                <w:sz w:val="20"/>
                <w:lang w:val="es-ES_tradnl"/>
              </w:rPr>
              <w:t xml:space="preserve"> aprobación </w:t>
            </w:r>
            <w:r w:rsidR="001000AB" w:rsidRPr="006F68E3">
              <w:rPr>
                <w:sz w:val="20"/>
                <w:lang w:val="es-ES_tradnl"/>
              </w:rPr>
              <w:t>del PCM</w:t>
            </w:r>
            <w:r w:rsidR="00E456B3">
              <w:rPr>
                <w:sz w:val="20"/>
                <w:lang w:val="es-ES_tradnl"/>
              </w:rPr>
              <w:t xml:space="preserve"> que incluya su ampliación para cubrir los temas señalados </w:t>
            </w:r>
            <w:r w:rsidR="00E456B3">
              <w:rPr>
                <w:sz w:val="20"/>
                <w:lang w:val="es-ES_tradnl"/>
              </w:rPr>
              <w:lastRenderedPageBreak/>
              <w:t>en la condición</w:t>
            </w:r>
          </w:p>
          <w:p w14:paraId="0A410BC1" w14:textId="77777777" w:rsidR="004E6399" w:rsidRPr="006F68E3" w:rsidRDefault="004E6399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7C6CA3C1" w14:textId="77777777" w:rsidR="004E6399" w:rsidRPr="006F68E3" w:rsidRDefault="004E6399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6ED32F9A" w14:textId="77777777" w:rsidR="004E6399" w:rsidRPr="006F68E3" w:rsidRDefault="004E6399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36D616F7" w14:textId="77777777" w:rsidR="00BA538F" w:rsidRPr="006F68E3" w:rsidRDefault="00BA538F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4E3BCA7C" w14:textId="77777777" w:rsidR="00615A2E" w:rsidRPr="006F68E3" w:rsidRDefault="00615A2E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66D3DF32" w14:textId="77777777" w:rsidR="00615A2E" w:rsidRPr="006F68E3" w:rsidRDefault="00615A2E" w:rsidP="00C33E76">
            <w:pPr>
              <w:ind w:right="142"/>
              <w:jc w:val="both"/>
              <w:rPr>
                <w:sz w:val="20"/>
                <w:lang w:val="es-ES_tradnl"/>
              </w:rPr>
            </w:pPr>
          </w:p>
          <w:p w14:paraId="69266D6F" w14:textId="77777777" w:rsidR="00C049B0" w:rsidRPr="006F68E3" w:rsidRDefault="00C049B0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0241273A" w14:textId="77777777" w:rsidR="00393772" w:rsidRPr="006F68E3" w:rsidRDefault="00393772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  <w:r w:rsidRPr="006F68E3">
              <w:rPr>
                <w:sz w:val="20"/>
                <w:lang w:val="es-ES_tradnl"/>
              </w:rPr>
              <w:t>Acuerdo Nro 1-2013 de la SMV</w:t>
            </w:r>
            <w:r w:rsidR="005B54D0">
              <w:rPr>
                <w:sz w:val="20"/>
                <w:lang w:val="es-ES_tradnl"/>
              </w:rPr>
              <w:t xml:space="preserve"> vigente</w:t>
            </w:r>
            <w:r w:rsidRPr="006F68E3">
              <w:rPr>
                <w:sz w:val="20"/>
                <w:lang w:val="es-ES_tradnl"/>
              </w:rPr>
              <w:t>.</w:t>
            </w:r>
          </w:p>
          <w:p w14:paraId="188A7EC4" w14:textId="77777777" w:rsidR="004E6399" w:rsidRPr="006F68E3" w:rsidRDefault="004E6399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142DDC81" w14:textId="77777777" w:rsidR="00393772" w:rsidRPr="006F68E3" w:rsidRDefault="00393772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3E710D4A" w14:textId="77777777" w:rsidR="00393772" w:rsidRPr="006F68E3" w:rsidRDefault="00393772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1217B437" w14:textId="77777777" w:rsidR="001D7AAA" w:rsidRPr="006F68E3" w:rsidRDefault="001D7AAA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32695DC6" w14:textId="77777777" w:rsidR="001D7AAA" w:rsidRPr="006F68E3" w:rsidRDefault="001D7AAA" w:rsidP="001D7AAA">
            <w:pPr>
              <w:ind w:left="150" w:right="142"/>
              <w:jc w:val="both"/>
              <w:rPr>
                <w:sz w:val="20"/>
                <w:lang w:val="es-ES_tradnl"/>
              </w:rPr>
            </w:pPr>
            <w:r w:rsidRPr="006F68E3">
              <w:rPr>
                <w:sz w:val="20"/>
                <w:lang w:val="es-ES_tradnl"/>
              </w:rPr>
              <w:t>Acuerdo de la SMV o publicación en consulta del borrador de acuerdo por parte de la SMV.</w:t>
            </w:r>
          </w:p>
          <w:p w14:paraId="0F3F4CD3" w14:textId="77777777" w:rsidR="001D7AAA" w:rsidRPr="006F68E3" w:rsidRDefault="001D7AAA" w:rsidP="001D7AAA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0A72F09B" w14:textId="77777777" w:rsidR="001D7AAA" w:rsidRPr="006F68E3" w:rsidRDefault="001D7AAA" w:rsidP="001D7AAA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76851564" w14:textId="0B75A27A" w:rsidR="00C246E7" w:rsidRDefault="00C246E7" w:rsidP="009A6351">
            <w:pPr>
              <w:ind w:right="142"/>
              <w:jc w:val="both"/>
              <w:rPr>
                <w:sz w:val="20"/>
                <w:lang w:val="es-ES_tradnl"/>
              </w:rPr>
            </w:pPr>
          </w:p>
          <w:p w14:paraId="6A92882C" w14:textId="77777777" w:rsidR="001D7AAA" w:rsidRPr="006F68E3" w:rsidRDefault="00B93AEB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Borrado</w:t>
            </w:r>
            <w:r w:rsidR="00581632">
              <w:rPr>
                <w:sz w:val="20"/>
                <w:lang w:val="es-ES_tradnl"/>
              </w:rPr>
              <w:t>r</w:t>
            </w:r>
            <w:r w:rsidR="001D7AAA" w:rsidRPr="006F68E3">
              <w:rPr>
                <w:sz w:val="20"/>
                <w:lang w:val="es-ES_tradnl"/>
              </w:rPr>
              <w:t xml:space="preserve"> de </w:t>
            </w:r>
            <w:r>
              <w:rPr>
                <w:sz w:val="20"/>
                <w:lang w:val="es-ES_tradnl"/>
              </w:rPr>
              <w:t>a</w:t>
            </w:r>
            <w:r w:rsidR="001D7AAA" w:rsidRPr="006F68E3">
              <w:rPr>
                <w:sz w:val="20"/>
                <w:lang w:val="es-ES_tradnl"/>
              </w:rPr>
              <w:t xml:space="preserve">cuerdo </w:t>
            </w:r>
            <w:r w:rsidR="005B54D0">
              <w:rPr>
                <w:sz w:val="20"/>
                <w:lang w:val="es-ES_tradnl"/>
              </w:rPr>
              <w:t xml:space="preserve">por </w:t>
            </w:r>
            <w:r w:rsidR="001D7AAA" w:rsidRPr="006F68E3">
              <w:rPr>
                <w:sz w:val="20"/>
                <w:lang w:val="es-ES_tradnl"/>
              </w:rPr>
              <w:t>la SMV</w:t>
            </w:r>
            <w:r w:rsidR="005B54D0">
              <w:rPr>
                <w:sz w:val="20"/>
                <w:lang w:val="es-ES_tradnl"/>
              </w:rPr>
              <w:t xml:space="preserve"> vigente</w:t>
            </w:r>
            <w:r w:rsidR="001D7AAA" w:rsidRPr="006F68E3">
              <w:rPr>
                <w:sz w:val="20"/>
                <w:lang w:val="es-ES_tradnl"/>
              </w:rPr>
              <w:t>.</w:t>
            </w:r>
          </w:p>
        </w:tc>
      </w:tr>
      <w:tr w:rsidR="00FD358D" w:rsidRPr="003E2A3A" w14:paraId="013F4579" w14:textId="77777777" w:rsidTr="0015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3C1D1" w14:textId="77777777" w:rsidR="00FD358D" w:rsidRPr="006F68E3" w:rsidRDefault="00FD358D" w:rsidP="00565F71">
            <w:pPr>
              <w:ind w:right="142"/>
              <w:rPr>
                <w:b/>
                <w:bCs/>
                <w:sz w:val="20"/>
                <w:lang w:val="es-ES_tradnl"/>
              </w:rPr>
            </w:pPr>
            <w:r w:rsidRPr="006F68E3">
              <w:rPr>
                <w:b/>
                <w:sz w:val="20"/>
              </w:rPr>
              <w:lastRenderedPageBreak/>
              <w:t>Componente III</w:t>
            </w:r>
            <w:r w:rsidR="00481C3D" w:rsidRPr="006F68E3">
              <w:rPr>
                <w:b/>
                <w:sz w:val="20"/>
              </w:rPr>
              <w:t xml:space="preserve">. </w:t>
            </w:r>
            <w:r w:rsidRPr="006F68E3">
              <w:rPr>
                <w:b/>
                <w:sz w:val="20"/>
              </w:rPr>
              <w:t>Desarrollo de la regulación, supervisión e instrumentos de actuación macro-prudencial.</w:t>
            </w:r>
          </w:p>
        </w:tc>
      </w:tr>
      <w:tr w:rsidR="00D83CF2" w:rsidRPr="003E2A3A" w14:paraId="335F2F94" w14:textId="77777777" w:rsidTr="0015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8DE90" w14:textId="77777777" w:rsidR="00D83CF2" w:rsidRPr="006F68E3" w:rsidRDefault="00D83CF2" w:rsidP="00565F71">
            <w:pPr>
              <w:ind w:left="1435" w:right="142"/>
              <w:rPr>
                <w:b/>
                <w:sz w:val="20"/>
              </w:rPr>
            </w:pPr>
            <w:r w:rsidRPr="006F68E3">
              <w:rPr>
                <w:b/>
                <w:sz w:val="20"/>
              </w:rPr>
              <w:t>Subcomponente III.1. Desarrollo de un Sistema de Provisiones Dinámicas Anticíclicas (PDA)</w:t>
            </w:r>
          </w:p>
        </w:tc>
      </w:tr>
      <w:tr w:rsidR="00900FB8" w:rsidRPr="003E2A3A" w14:paraId="4909260C" w14:textId="77777777" w:rsidTr="00973432">
        <w:tc>
          <w:tcPr>
            <w:tcW w:w="3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09F8" w14:textId="77777777" w:rsidR="00900FB8" w:rsidRPr="003E2A3A" w:rsidRDefault="00900FB8" w:rsidP="0006772F">
            <w:pPr>
              <w:rPr>
                <w:b/>
                <w:bCs/>
                <w:color w:val="000000"/>
                <w:sz w:val="20"/>
              </w:rPr>
            </w:pPr>
          </w:p>
          <w:p w14:paraId="53D85AB1" w14:textId="77777777" w:rsidR="00900FB8" w:rsidRPr="003E2A3A" w:rsidRDefault="00D83CF2" w:rsidP="0022068C">
            <w:pPr>
              <w:rPr>
                <w:color w:val="000000"/>
                <w:sz w:val="20"/>
                <w:lang w:val="es-ES_tradnl"/>
              </w:rPr>
            </w:pPr>
            <w:r w:rsidRPr="003E2A3A">
              <w:rPr>
                <w:b/>
                <w:bCs/>
                <w:color w:val="000000"/>
                <w:sz w:val="20"/>
                <w:lang w:val="es-ES_tradnl"/>
              </w:rPr>
              <w:t>Desarrollo de i</w:t>
            </w:r>
            <w:r w:rsidR="00900FB8" w:rsidRPr="003E2A3A">
              <w:rPr>
                <w:b/>
                <w:bCs/>
                <w:color w:val="000000"/>
                <w:sz w:val="20"/>
                <w:lang w:val="es-ES_tradnl"/>
              </w:rPr>
              <w:t>nstrumentos y regulación macroprudencial</w:t>
            </w:r>
            <w:r w:rsidR="00900FB8" w:rsidRPr="003E2A3A">
              <w:rPr>
                <w:bCs/>
                <w:color w:val="000000"/>
                <w:sz w:val="20"/>
                <w:lang w:val="es-ES_tradnl"/>
              </w:rPr>
              <w:t xml:space="preserve"> para mitigar la probabilidad de una crisis financiera.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0BD9" w14:textId="77777777" w:rsidR="00900FB8" w:rsidRPr="003E2A3A" w:rsidRDefault="00900FB8" w:rsidP="0006772F">
            <w:pPr>
              <w:jc w:val="both"/>
              <w:rPr>
                <w:color w:val="000000"/>
                <w:sz w:val="20"/>
                <w:lang w:val="es-ES_tradnl"/>
              </w:rPr>
            </w:pPr>
          </w:p>
          <w:p w14:paraId="04FF4B9E" w14:textId="68071306" w:rsidR="00900FB8" w:rsidRPr="003E2A3A" w:rsidRDefault="00C246E7" w:rsidP="001F31A6">
            <w:pPr>
              <w:jc w:val="both"/>
              <w:rPr>
                <w:color w:val="000000"/>
                <w:sz w:val="20"/>
                <w:lang w:val="es-ES_tradnl"/>
              </w:rPr>
            </w:pPr>
            <w:r w:rsidRPr="00BC2196">
              <w:rPr>
                <w:color w:val="000000"/>
                <w:sz w:val="20"/>
                <w:lang w:val="es-ES_tradnl"/>
              </w:rPr>
              <w:t>Que se haya elaborado</w:t>
            </w:r>
            <w:r w:rsidR="00163B79">
              <w:rPr>
                <w:color w:val="000000"/>
                <w:sz w:val="20"/>
                <w:lang w:val="es-ES_tradnl"/>
              </w:rPr>
              <w:t xml:space="preserve"> y puesto en consulta pú</w:t>
            </w:r>
            <w:r w:rsidR="00364CA1">
              <w:rPr>
                <w:color w:val="000000"/>
                <w:sz w:val="20"/>
                <w:lang w:val="es-ES_tradnl"/>
              </w:rPr>
              <w:t>blica,</w:t>
            </w:r>
            <w:r w:rsidRPr="00BC2196">
              <w:rPr>
                <w:color w:val="000000"/>
                <w:sz w:val="20"/>
                <w:lang w:val="es-ES_tradnl"/>
              </w:rPr>
              <w:t xml:space="preserve"> </w:t>
            </w:r>
            <w:r>
              <w:rPr>
                <w:color w:val="000000"/>
                <w:sz w:val="20"/>
                <w:lang w:val="es-ES_tradnl"/>
              </w:rPr>
              <w:t>la reglamentación del sistema PDA</w:t>
            </w:r>
            <w:r w:rsidRPr="00BC2196">
              <w:rPr>
                <w:color w:val="000000"/>
                <w:sz w:val="20"/>
                <w:lang w:val="es-ES_tradnl"/>
              </w:rPr>
              <w:t xml:space="preserve"> que adapte las mejores prácticas internacionales a la realidad del país, siguiendo las recomendaciones del FMI.</w:t>
            </w:r>
          </w:p>
          <w:p w14:paraId="5104A053" w14:textId="77777777" w:rsidR="00900FB8" w:rsidRPr="003E2A3A" w:rsidRDefault="00900FB8" w:rsidP="001F31A6">
            <w:pPr>
              <w:jc w:val="both"/>
              <w:rPr>
                <w:bCs/>
                <w:color w:val="000000"/>
                <w:sz w:val="20"/>
                <w:lang w:val="es-ES_tradnl"/>
              </w:rPr>
            </w:pPr>
          </w:p>
        </w:tc>
        <w:tc>
          <w:tcPr>
            <w:tcW w:w="4632" w:type="dxa"/>
            <w:shd w:val="clear" w:color="auto" w:fill="FFFFFF"/>
          </w:tcPr>
          <w:p w14:paraId="39876546" w14:textId="77777777" w:rsidR="00900FB8" w:rsidRPr="006F68E3" w:rsidRDefault="00900FB8" w:rsidP="00565F71">
            <w:pPr>
              <w:ind w:left="150" w:right="142"/>
              <w:jc w:val="both"/>
              <w:rPr>
                <w:b/>
                <w:sz w:val="20"/>
                <w:lang w:val="es-ES_tradnl"/>
              </w:rPr>
            </w:pPr>
          </w:p>
          <w:p w14:paraId="1A44EF18" w14:textId="7271B94C" w:rsidR="001000AB" w:rsidRPr="006F68E3" w:rsidRDefault="001000AB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  <w:r w:rsidRPr="006F68E3">
              <w:rPr>
                <w:sz w:val="20"/>
                <w:lang w:val="es-ES_tradnl"/>
              </w:rPr>
              <w:t xml:space="preserve">Certificación </w:t>
            </w:r>
            <w:r w:rsidR="009D5CFF">
              <w:rPr>
                <w:sz w:val="20"/>
                <w:lang w:val="es-ES_tradnl"/>
              </w:rPr>
              <w:t>emitida por el Superintendente</w:t>
            </w:r>
            <w:r w:rsidRPr="006F68E3">
              <w:rPr>
                <w:sz w:val="20"/>
                <w:lang w:val="es-ES_tradnl"/>
              </w:rPr>
              <w:t xml:space="preserve"> sobre los lineamientos fundamentales de la reglamentación de provisionamiento dinámico anticíclico acordado</w:t>
            </w:r>
            <w:r w:rsidR="00575637" w:rsidRPr="006F68E3">
              <w:rPr>
                <w:sz w:val="20"/>
                <w:lang w:val="es-ES_tradnl"/>
              </w:rPr>
              <w:t>s</w:t>
            </w:r>
            <w:r w:rsidRPr="006F68E3">
              <w:rPr>
                <w:sz w:val="20"/>
                <w:lang w:val="es-ES_tradnl"/>
              </w:rPr>
              <w:t xml:space="preserve"> con el FMI</w:t>
            </w:r>
            <w:r w:rsidR="00785513" w:rsidRPr="006F68E3">
              <w:rPr>
                <w:sz w:val="20"/>
                <w:lang w:val="es-ES_tradnl"/>
              </w:rPr>
              <w:t>.</w:t>
            </w:r>
          </w:p>
          <w:p w14:paraId="61953C31" w14:textId="77777777" w:rsidR="00973432" w:rsidRPr="006F68E3" w:rsidRDefault="00973432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353300CA" w14:textId="42008D6C" w:rsidR="00D253CD" w:rsidRPr="006F68E3" w:rsidRDefault="009D5CFF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Certificación del</w:t>
            </w:r>
            <w:r w:rsidR="008A286B">
              <w:rPr>
                <w:sz w:val="20"/>
                <w:lang w:val="es-ES_tradnl"/>
              </w:rPr>
              <w:t xml:space="preserve"> Superintendente del</w:t>
            </w:r>
            <w:r>
              <w:rPr>
                <w:sz w:val="20"/>
                <w:lang w:val="es-ES_tradnl"/>
              </w:rPr>
              <w:t xml:space="preserve"> punto del a</w:t>
            </w:r>
            <w:r w:rsidR="00D253CD" w:rsidRPr="006F68E3">
              <w:rPr>
                <w:sz w:val="20"/>
                <w:lang w:val="es-ES_tradnl"/>
              </w:rPr>
              <w:t>cta de la J</w:t>
            </w:r>
            <w:r w:rsidR="00785513" w:rsidRPr="006F68E3">
              <w:rPr>
                <w:sz w:val="20"/>
                <w:lang w:val="es-ES_tradnl"/>
              </w:rPr>
              <w:t xml:space="preserve">unta </w:t>
            </w:r>
            <w:r w:rsidR="00D253CD" w:rsidRPr="006F68E3">
              <w:rPr>
                <w:sz w:val="20"/>
                <w:lang w:val="es-ES_tradnl"/>
              </w:rPr>
              <w:t>D</w:t>
            </w:r>
            <w:r w:rsidR="00785513" w:rsidRPr="006F68E3">
              <w:rPr>
                <w:sz w:val="20"/>
                <w:lang w:val="es-ES_tradnl"/>
              </w:rPr>
              <w:t>irectiva</w:t>
            </w:r>
            <w:r w:rsidR="00D253CD" w:rsidRPr="006F68E3">
              <w:rPr>
                <w:sz w:val="20"/>
                <w:lang w:val="es-ES_tradnl"/>
              </w:rPr>
              <w:t xml:space="preserve"> de la SBP </w:t>
            </w:r>
            <w:r>
              <w:rPr>
                <w:sz w:val="20"/>
                <w:lang w:val="es-ES_tradnl"/>
              </w:rPr>
              <w:t>de la reunión en que se</w:t>
            </w:r>
            <w:r w:rsidR="00D253CD" w:rsidRPr="006F68E3">
              <w:rPr>
                <w:sz w:val="20"/>
                <w:lang w:val="es-ES_tradnl"/>
              </w:rPr>
              <w:t xml:space="preserve"> autoriza la publicación a consulta pública del anteproyecto de Reglamentación del Riesgo de Crédito</w:t>
            </w:r>
            <w:r>
              <w:rPr>
                <w:sz w:val="20"/>
                <w:lang w:val="es-ES_tradnl"/>
              </w:rPr>
              <w:t xml:space="preserve"> que contemple</w:t>
            </w:r>
            <w:r w:rsidR="00D253CD" w:rsidRPr="006F68E3">
              <w:rPr>
                <w:sz w:val="20"/>
                <w:lang w:val="es-ES_tradnl"/>
              </w:rPr>
              <w:t xml:space="preserve"> aspectos de provisionamiento dinámico</w:t>
            </w:r>
            <w:r>
              <w:rPr>
                <w:sz w:val="20"/>
                <w:lang w:val="es-ES_tradnl"/>
              </w:rPr>
              <w:t xml:space="preserve"> en los términos de la condición</w:t>
            </w:r>
            <w:r w:rsidR="00D253CD" w:rsidRPr="006F68E3">
              <w:rPr>
                <w:sz w:val="20"/>
                <w:lang w:val="es-ES_tradnl"/>
              </w:rPr>
              <w:t xml:space="preserve">. </w:t>
            </w:r>
          </w:p>
          <w:p w14:paraId="00B208D3" w14:textId="77777777" w:rsidR="001000AB" w:rsidRPr="006F68E3" w:rsidRDefault="001000AB" w:rsidP="00C33E76">
            <w:pPr>
              <w:ind w:left="150" w:right="142"/>
              <w:jc w:val="both"/>
              <w:rPr>
                <w:b/>
                <w:sz w:val="20"/>
                <w:lang w:val="es-ES_tradnl"/>
              </w:rPr>
            </w:pPr>
          </w:p>
        </w:tc>
      </w:tr>
      <w:tr w:rsidR="00D83CF2" w:rsidRPr="003E2A3A" w14:paraId="0FE5BE8E" w14:textId="77777777" w:rsidTr="003E2A3A">
        <w:tc>
          <w:tcPr>
            <w:tcW w:w="13125" w:type="dxa"/>
            <w:gridSpan w:val="3"/>
            <w:tcBorders>
              <w:bottom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57851" w14:textId="77777777" w:rsidR="00D83CF2" w:rsidRPr="006F68E3" w:rsidRDefault="00D83CF2" w:rsidP="00565F71">
            <w:pPr>
              <w:ind w:left="1435" w:right="142"/>
              <w:jc w:val="both"/>
              <w:rPr>
                <w:b/>
                <w:bCs/>
                <w:sz w:val="20"/>
                <w:lang w:val="es-ES_tradnl"/>
              </w:rPr>
            </w:pPr>
            <w:r w:rsidRPr="006F68E3">
              <w:rPr>
                <w:b/>
                <w:sz w:val="20"/>
                <w:lang w:val="es-ES_tradnl"/>
              </w:rPr>
              <w:lastRenderedPageBreak/>
              <w:t>Subcomponente III.2. Desarrollo del Consejo de Coordinación Financiera (CCF)</w:t>
            </w:r>
          </w:p>
        </w:tc>
      </w:tr>
      <w:tr w:rsidR="00900FB8" w:rsidRPr="003E2A3A" w14:paraId="1B1A599F" w14:textId="77777777" w:rsidTr="00F8004D">
        <w:tc>
          <w:tcPr>
            <w:tcW w:w="3815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FC1D" w14:textId="77777777" w:rsidR="00900FB8" w:rsidRPr="003E2A3A" w:rsidRDefault="00900FB8" w:rsidP="0006772F">
            <w:pPr>
              <w:rPr>
                <w:color w:val="000000"/>
                <w:sz w:val="20"/>
                <w:lang w:val="es-ES_tradnl"/>
              </w:rPr>
            </w:pPr>
          </w:p>
          <w:p w14:paraId="5B93DD05" w14:textId="77777777" w:rsidR="00900FB8" w:rsidRPr="003E2A3A" w:rsidRDefault="00900FB8" w:rsidP="002029B9">
            <w:pPr>
              <w:rPr>
                <w:color w:val="000000"/>
                <w:sz w:val="20"/>
                <w:lang w:val="es-ES_tradnl"/>
              </w:rPr>
            </w:pPr>
            <w:r w:rsidRPr="003E2A3A">
              <w:rPr>
                <w:b/>
                <w:color w:val="000000"/>
                <w:sz w:val="20"/>
                <w:lang w:val="es-ES_tradnl"/>
              </w:rPr>
              <w:t>Desarrollo del marco institucional</w:t>
            </w:r>
            <w:r w:rsidRPr="003E2A3A">
              <w:rPr>
                <w:color w:val="000000"/>
                <w:sz w:val="20"/>
                <w:lang w:val="es-ES_tradnl"/>
              </w:rPr>
              <w:t xml:space="preserve"> y organizativo de la supervisión macroprudencial.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E5A7" w14:textId="77777777" w:rsidR="00900FB8" w:rsidRPr="003E2A3A" w:rsidRDefault="00900FB8" w:rsidP="0006772F">
            <w:pPr>
              <w:jc w:val="both"/>
              <w:rPr>
                <w:bCs/>
                <w:color w:val="000000"/>
                <w:sz w:val="20"/>
                <w:lang w:val="es-ES_tradnl"/>
              </w:rPr>
            </w:pPr>
          </w:p>
          <w:p w14:paraId="68811387" w14:textId="7AAB91DC" w:rsidR="00C246E7" w:rsidRPr="00A16188" w:rsidRDefault="00C246E7" w:rsidP="00C246E7">
            <w:pPr>
              <w:jc w:val="both"/>
              <w:rPr>
                <w:bCs/>
                <w:color w:val="000000"/>
                <w:sz w:val="20"/>
                <w:lang w:val="es-ES_tradnl"/>
              </w:rPr>
            </w:pPr>
            <w:r w:rsidRPr="00A16188">
              <w:rPr>
                <w:bCs/>
                <w:color w:val="000000"/>
                <w:sz w:val="20"/>
                <w:lang w:val="es-ES_tradnl"/>
              </w:rPr>
              <w:t xml:space="preserve">Que </w:t>
            </w:r>
            <w:r>
              <w:rPr>
                <w:bCs/>
                <w:color w:val="000000"/>
                <w:sz w:val="20"/>
                <w:lang w:val="es-ES_tradnl"/>
              </w:rPr>
              <w:t xml:space="preserve">el CCF </w:t>
            </w:r>
            <w:r w:rsidRPr="00A16188">
              <w:rPr>
                <w:bCs/>
                <w:color w:val="000000"/>
                <w:sz w:val="20"/>
                <w:lang w:val="es-ES_tradnl"/>
              </w:rPr>
              <w:t xml:space="preserve">cuente con un plan estratégico para fortalecer </w:t>
            </w:r>
            <w:r>
              <w:rPr>
                <w:bCs/>
                <w:color w:val="000000"/>
                <w:sz w:val="20"/>
                <w:lang w:val="es-ES_tradnl"/>
              </w:rPr>
              <w:t xml:space="preserve">sus </w:t>
            </w:r>
            <w:r w:rsidRPr="00A16188">
              <w:rPr>
                <w:bCs/>
                <w:color w:val="000000"/>
                <w:sz w:val="20"/>
                <w:lang w:val="es-ES_tradnl"/>
              </w:rPr>
              <w:t>capacidades técnicas y reglamentarias</w:t>
            </w:r>
            <w:r>
              <w:rPr>
                <w:bCs/>
                <w:color w:val="000000"/>
                <w:sz w:val="20"/>
                <w:lang w:val="es-ES_tradnl"/>
              </w:rPr>
              <w:t xml:space="preserve"> que contemple</w:t>
            </w:r>
            <w:r w:rsidRPr="00A16188">
              <w:rPr>
                <w:bCs/>
                <w:color w:val="000000"/>
                <w:sz w:val="20"/>
                <w:lang w:val="es-ES_tradnl"/>
              </w:rPr>
              <w:t>:</w:t>
            </w:r>
          </w:p>
          <w:p w14:paraId="3AD71668" w14:textId="77777777" w:rsidR="00C246E7" w:rsidRPr="00A16188" w:rsidRDefault="00C246E7" w:rsidP="00C33E76">
            <w:pPr>
              <w:numPr>
                <w:ilvl w:val="0"/>
                <w:numId w:val="35"/>
              </w:numPr>
              <w:ind w:left="299" w:hanging="270"/>
              <w:jc w:val="both"/>
              <w:rPr>
                <w:bCs/>
                <w:color w:val="000000"/>
                <w:sz w:val="20"/>
                <w:lang w:val="es-ES_tradnl"/>
              </w:rPr>
            </w:pPr>
            <w:r w:rsidRPr="00A16188">
              <w:rPr>
                <w:bCs/>
                <w:color w:val="000000"/>
                <w:sz w:val="20"/>
                <w:lang w:val="es-ES_tradnl"/>
              </w:rPr>
              <w:t>Diseño, aprobación y entrada en vigor de una metodología o manual de supervisión macroprudencial.</w:t>
            </w:r>
          </w:p>
          <w:p w14:paraId="688370FD" w14:textId="77777777" w:rsidR="00C246E7" w:rsidRPr="00A16188" w:rsidRDefault="00C246E7" w:rsidP="00C33E76">
            <w:pPr>
              <w:numPr>
                <w:ilvl w:val="0"/>
                <w:numId w:val="35"/>
              </w:numPr>
              <w:ind w:left="299" w:hanging="270"/>
              <w:jc w:val="both"/>
              <w:rPr>
                <w:bCs/>
                <w:color w:val="000000"/>
                <w:sz w:val="20"/>
                <w:lang w:val="es-ES_tradnl"/>
              </w:rPr>
            </w:pPr>
            <w:r w:rsidRPr="00A16188">
              <w:rPr>
                <w:bCs/>
                <w:color w:val="000000"/>
                <w:sz w:val="20"/>
                <w:lang w:val="es-ES_tradnl"/>
              </w:rPr>
              <w:t>Diseño y lanzamiento de un plan de formación en materia de supervisión macroprudencial.</w:t>
            </w:r>
          </w:p>
          <w:p w14:paraId="1592989E" w14:textId="77777777" w:rsidR="00C246E7" w:rsidRPr="00A16188" w:rsidRDefault="00C246E7" w:rsidP="00C246E7">
            <w:pPr>
              <w:jc w:val="both"/>
              <w:rPr>
                <w:bCs/>
                <w:color w:val="000000"/>
                <w:sz w:val="20"/>
                <w:lang w:val="es-ES_tradnl"/>
              </w:rPr>
            </w:pPr>
          </w:p>
          <w:p w14:paraId="33F59ECB" w14:textId="44042F48" w:rsidR="00C246E7" w:rsidRPr="00A16188" w:rsidRDefault="00C246E7" w:rsidP="00C246E7">
            <w:pPr>
              <w:jc w:val="both"/>
              <w:rPr>
                <w:bCs/>
                <w:color w:val="000000"/>
                <w:sz w:val="20"/>
                <w:lang w:val="es-ES_tradnl"/>
              </w:rPr>
            </w:pPr>
            <w:r w:rsidRPr="00A16188">
              <w:rPr>
                <w:bCs/>
                <w:color w:val="000000"/>
                <w:sz w:val="20"/>
                <w:lang w:val="es-ES_tradnl"/>
              </w:rPr>
              <w:t xml:space="preserve">Que se haya </w:t>
            </w:r>
            <w:r w:rsidRPr="00A16188">
              <w:rPr>
                <w:bCs/>
                <w:color w:val="000000"/>
                <w:sz w:val="20"/>
                <w:lang w:val="es-ES_tradnl"/>
              </w:rPr>
              <w:t>elaborado</w:t>
            </w:r>
            <w:r w:rsidRPr="00A16188">
              <w:rPr>
                <w:bCs/>
                <w:color w:val="000000"/>
                <w:sz w:val="20"/>
                <w:lang w:val="es-ES_tradnl"/>
              </w:rPr>
              <w:t xml:space="preserve"> y se haya lanzado un programa de educación al consumidor de servicios financieros.</w:t>
            </w:r>
          </w:p>
          <w:p w14:paraId="70D9B0D4" w14:textId="77777777" w:rsidR="0004370F" w:rsidRPr="003E2A3A" w:rsidRDefault="0004370F" w:rsidP="00E57845">
            <w:pPr>
              <w:jc w:val="both"/>
              <w:rPr>
                <w:bCs/>
                <w:color w:val="000000"/>
                <w:sz w:val="20"/>
                <w:lang w:val="es-ES_tradnl"/>
              </w:rPr>
            </w:pPr>
          </w:p>
        </w:tc>
        <w:tc>
          <w:tcPr>
            <w:tcW w:w="4632" w:type="dxa"/>
            <w:tcBorders>
              <w:bottom w:val="single" w:sz="8" w:space="0" w:color="000000"/>
            </w:tcBorders>
            <w:shd w:val="clear" w:color="auto" w:fill="FFFFFF"/>
          </w:tcPr>
          <w:p w14:paraId="6A61A21C" w14:textId="77777777" w:rsidR="00900FB8" w:rsidRPr="006F68E3" w:rsidRDefault="00900FB8" w:rsidP="00565F71">
            <w:pPr>
              <w:ind w:left="150" w:right="142"/>
              <w:jc w:val="both"/>
              <w:rPr>
                <w:b/>
                <w:bCs/>
                <w:sz w:val="20"/>
                <w:lang w:val="es-ES_tradnl"/>
              </w:rPr>
            </w:pPr>
          </w:p>
          <w:p w14:paraId="3E94F7FE" w14:textId="77777777" w:rsidR="008E0D1A" w:rsidRPr="006F68E3" w:rsidRDefault="008E0D1A" w:rsidP="00565F71">
            <w:pPr>
              <w:ind w:left="150" w:right="142"/>
              <w:jc w:val="both"/>
              <w:rPr>
                <w:bCs/>
                <w:sz w:val="20"/>
                <w:lang w:val="es-ES_tradnl"/>
              </w:rPr>
            </w:pPr>
            <w:r w:rsidRPr="006F68E3">
              <w:rPr>
                <w:bCs/>
                <w:sz w:val="20"/>
                <w:lang w:val="es-ES_tradnl"/>
              </w:rPr>
              <w:t xml:space="preserve">Certificación del </w:t>
            </w:r>
            <w:r w:rsidR="008A286B">
              <w:rPr>
                <w:bCs/>
                <w:sz w:val="20"/>
                <w:lang w:val="es-ES_tradnl"/>
              </w:rPr>
              <w:t>Presidente</w:t>
            </w:r>
            <w:r w:rsidRPr="006F68E3">
              <w:rPr>
                <w:bCs/>
                <w:sz w:val="20"/>
                <w:lang w:val="es-ES_tradnl"/>
              </w:rPr>
              <w:t xml:space="preserve"> del </w:t>
            </w:r>
            <w:r w:rsidR="008A286B">
              <w:rPr>
                <w:bCs/>
                <w:sz w:val="20"/>
                <w:lang w:val="es-ES_tradnl"/>
              </w:rPr>
              <w:t xml:space="preserve">CCF conforme se ha aprobado el </w:t>
            </w:r>
            <w:r w:rsidR="001000AB" w:rsidRPr="006F68E3">
              <w:rPr>
                <w:bCs/>
                <w:sz w:val="20"/>
                <w:lang w:val="es-ES_tradnl"/>
              </w:rPr>
              <w:t>P</w:t>
            </w:r>
            <w:r w:rsidR="0004370F" w:rsidRPr="006F68E3">
              <w:rPr>
                <w:bCs/>
                <w:sz w:val="20"/>
                <w:lang w:val="es-ES_tradnl"/>
              </w:rPr>
              <w:t xml:space="preserve">lan </w:t>
            </w:r>
            <w:r w:rsidR="008A286B">
              <w:rPr>
                <w:bCs/>
                <w:sz w:val="20"/>
                <w:lang w:val="es-ES_tradnl"/>
              </w:rPr>
              <w:t>E</w:t>
            </w:r>
            <w:r w:rsidR="00BA538F" w:rsidRPr="006F68E3">
              <w:rPr>
                <w:bCs/>
                <w:sz w:val="20"/>
                <w:lang w:val="es-ES_tradnl"/>
              </w:rPr>
              <w:t xml:space="preserve">stratégico </w:t>
            </w:r>
            <w:r w:rsidR="008A286B">
              <w:rPr>
                <w:bCs/>
                <w:sz w:val="20"/>
                <w:lang w:val="es-ES_tradnl"/>
              </w:rPr>
              <w:t xml:space="preserve">conteniendo los elementos acordados. </w:t>
            </w:r>
          </w:p>
          <w:p w14:paraId="73FAB3B8" w14:textId="77777777" w:rsidR="008E0D1A" w:rsidRPr="006F68E3" w:rsidRDefault="008E0D1A" w:rsidP="00565F71">
            <w:pPr>
              <w:ind w:left="150" w:right="142"/>
              <w:jc w:val="both"/>
              <w:rPr>
                <w:bCs/>
                <w:sz w:val="20"/>
                <w:lang w:val="es-ES_tradnl"/>
              </w:rPr>
            </w:pPr>
          </w:p>
          <w:p w14:paraId="73CDA1FC" w14:textId="77777777" w:rsidR="008E0D1A" w:rsidRPr="006F68E3" w:rsidRDefault="008E0D1A" w:rsidP="00565F71">
            <w:pPr>
              <w:ind w:left="150" w:right="142"/>
              <w:jc w:val="both"/>
              <w:rPr>
                <w:bCs/>
                <w:sz w:val="20"/>
                <w:lang w:val="es-ES_tradnl"/>
              </w:rPr>
            </w:pPr>
          </w:p>
          <w:p w14:paraId="32CC4266" w14:textId="77777777" w:rsidR="008A286B" w:rsidRPr="006F68E3" w:rsidRDefault="008A286B" w:rsidP="00565F71">
            <w:pPr>
              <w:ind w:left="150" w:right="142"/>
              <w:jc w:val="both"/>
              <w:rPr>
                <w:bCs/>
                <w:sz w:val="20"/>
                <w:lang w:val="es-ES_tradnl"/>
              </w:rPr>
            </w:pPr>
          </w:p>
          <w:p w14:paraId="611C14A6" w14:textId="77777777" w:rsidR="00BA538F" w:rsidRPr="006F68E3" w:rsidRDefault="00BA538F" w:rsidP="009A6351">
            <w:pPr>
              <w:ind w:right="142"/>
              <w:jc w:val="both"/>
              <w:rPr>
                <w:bCs/>
                <w:sz w:val="20"/>
                <w:lang w:val="es-ES_tradnl"/>
              </w:rPr>
            </w:pPr>
          </w:p>
          <w:p w14:paraId="0D511D18" w14:textId="77777777" w:rsidR="00BA538F" w:rsidRPr="006F68E3" w:rsidRDefault="00BA538F" w:rsidP="00565F71">
            <w:pPr>
              <w:ind w:left="150" w:right="142"/>
              <w:jc w:val="both"/>
              <w:rPr>
                <w:bCs/>
                <w:sz w:val="20"/>
                <w:lang w:val="es-ES_tradnl"/>
              </w:rPr>
            </w:pPr>
          </w:p>
          <w:p w14:paraId="7BD5CDB3" w14:textId="77777777" w:rsidR="00BA538F" w:rsidRPr="006F68E3" w:rsidRDefault="00BA538F" w:rsidP="00565F71">
            <w:pPr>
              <w:ind w:left="150" w:right="142"/>
              <w:jc w:val="both"/>
              <w:rPr>
                <w:bCs/>
                <w:sz w:val="20"/>
                <w:lang w:val="es-ES_tradnl"/>
              </w:rPr>
            </w:pPr>
          </w:p>
          <w:p w14:paraId="54413DC4" w14:textId="70810AE6" w:rsidR="008E0D1A" w:rsidRPr="006F68E3" w:rsidRDefault="008A286B" w:rsidP="00565F71">
            <w:pPr>
              <w:ind w:left="150" w:right="142"/>
              <w:jc w:val="both"/>
              <w:rPr>
                <w:bCs/>
                <w:sz w:val="20"/>
                <w:lang w:val="es-ES_tradnl"/>
              </w:rPr>
            </w:pPr>
            <w:r>
              <w:rPr>
                <w:bCs/>
                <w:sz w:val="20"/>
                <w:lang w:val="es-ES_tradnl"/>
              </w:rPr>
              <w:t xml:space="preserve">Certificación del Presidente del CCF informando </w:t>
            </w:r>
            <w:r w:rsidR="008A4FA6">
              <w:rPr>
                <w:bCs/>
                <w:sz w:val="20"/>
                <w:lang w:val="es-ES_tradnl"/>
              </w:rPr>
              <w:t>sobre el</w:t>
            </w:r>
            <w:r w:rsidR="008A4FA6" w:rsidRPr="006F68E3">
              <w:rPr>
                <w:bCs/>
                <w:sz w:val="20"/>
                <w:lang w:val="es-ES_tradnl"/>
              </w:rPr>
              <w:t xml:space="preserve"> </w:t>
            </w:r>
            <w:r w:rsidR="008E0D1A" w:rsidRPr="006F68E3">
              <w:rPr>
                <w:bCs/>
                <w:sz w:val="20"/>
                <w:lang w:val="es-ES_tradnl"/>
              </w:rPr>
              <w:t xml:space="preserve">avance </w:t>
            </w:r>
            <w:r w:rsidR="008A4FA6">
              <w:rPr>
                <w:bCs/>
                <w:sz w:val="20"/>
                <w:lang w:val="es-ES_tradnl"/>
              </w:rPr>
              <w:t xml:space="preserve">en la implementación </w:t>
            </w:r>
            <w:r w:rsidR="008E0D1A" w:rsidRPr="006F68E3">
              <w:rPr>
                <w:bCs/>
                <w:sz w:val="20"/>
                <w:lang w:val="es-ES_tradnl"/>
              </w:rPr>
              <w:t xml:space="preserve">del programa de educación. </w:t>
            </w:r>
          </w:p>
          <w:p w14:paraId="65EB7E10" w14:textId="77777777" w:rsidR="001000AB" w:rsidRPr="006F68E3" w:rsidRDefault="001000AB" w:rsidP="00565F71">
            <w:pPr>
              <w:ind w:right="142"/>
              <w:jc w:val="both"/>
              <w:rPr>
                <w:b/>
                <w:bCs/>
                <w:sz w:val="20"/>
                <w:lang w:val="es-ES_tradnl"/>
              </w:rPr>
            </w:pPr>
          </w:p>
          <w:p w14:paraId="1650214E" w14:textId="77777777" w:rsidR="00AE34C0" w:rsidRPr="006F68E3" w:rsidRDefault="00AE34C0" w:rsidP="00565F71">
            <w:pPr>
              <w:ind w:right="142"/>
              <w:jc w:val="both"/>
              <w:rPr>
                <w:b/>
                <w:bCs/>
                <w:sz w:val="20"/>
                <w:lang w:val="es-ES_tradnl"/>
              </w:rPr>
            </w:pPr>
          </w:p>
        </w:tc>
      </w:tr>
      <w:tr w:rsidR="00973432" w:rsidRPr="003E2A3A" w14:paraId="07CC6AB0" w14:textId="77777777" w:rsidTr="003E2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CE9A6" w14:textId="77777777" w:rsidR="00973432" w:rsidRPr="006F68E3" w:rsidRDefault="00973432" w:rsidP="00565F71">
            <w:pPr>
              <w:ind w:right="142"/>
              <w:rPr>
                <w:b/>
                <w:bCs/>
                <w:sz w:val="20"/>
                <w:lang w:val="es-ES_tradnl"/>
              </w:rPr>
            </w:pPr>
            <w:r w:rsidRPr="006F68E3">
              <w:rPr>
                <w:b/>
                <w:sz w:val="20"/>
              </w:rPr>
              <w:t>Componente IV</w:t>
            </w:r>
            <w:r w:rsidR="00481C3D" w:rsidRPr="006F68E3">
              <w:rPr>
                <w:b/>
                <w:sz w:val="20"/>
              </w:rPr>
              <w:t>.</w:t>
            </w:r>
            <w:r w:rsidRPr="006F68E3">
              <w:rPr>
                <w:b/>
                <w:sz w:val="20"/>
              </w:rPr>
              <w:t xml:space="preserve"> Fortalecimiento de la </w:t>
            </w:r>
            <w:r w:rsidR="005833B8" w:rsidRPr="006F68E3">
              <w:rPr>
                <w:b/>
                <w:sz w:val="20"/>
              </w:rPr>
              <w:t xml:space="preserve">Supervisión Basada </w:t>
            </w:r>
            <w:r w:rsidRPr="006F68E3">
              <w:rPr>
                <w:b/>
                <w:sz w:val="20"/>
              </w:rPr>
              <w:t xml:space="preserve">en </w:t>
            </w:r>
            <w:r w:rsidR="005833B8" w:rsidRPr="006F68E3">
              <w:rPr>
                <w:b/>
                <w:sz w:val="20"/>
              </w:rPr>
              <w:t>Riesgos (SBR)</w:t>
            </w:r>
          </w:p>
        </w:tc>
      </w:tr>
      <w:tr w:rsidR="00973432" w:rsidRPr="003E2A3A" w14:paraId="63804516" w14:textId="77777777" w:rsidTr="003E2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32" w14:textId="77777777" w:rsidR="00973432" w:rsidRPr="006F68E3" w:rsidRDefault="00973432" w:rsidP="00565F71">
            <w:pPr>
              <w:ind w:left="1615" w:right="142"/>
              <w:rPr>
                <w:b/>
                <w:bCs/>
                <w:sz w:val="20"/>
                <w:lang w:val="es-ES_tradnl"/>
              </w:rPr>
            </w:pPr>
            <w:r w:rsidRPr="006F68E3">
              <w:rPr>
                <w:b/>
                <w:bCs/>
                <w:sz w:val="20"/>
                <w:lang w:val="es-ES_tradnl"/>
              </w:rPr>
              <w:t>Su</w:t>
            </w:r>
            <w:r w:rsidR="005833B8" w:rsidRPr="006F68E3">
              <w:rPr>
                <w:b/>
                <w:bCs/>
                <w:sz w:val="20"/>
                <w:lang w:val="es-ES_tradnl"/>
              </w:rPr>
              <w:t>bc</w:t>
            </w:r>
            <w:r w:rsidRPr="006F68E3">
              <w:rPr>
                <w:b/>
                <w:bCs/>
                <w:sz w:val="20"/>
                <w:lang w:val="es-ES_tradnl"/>
              </w:rPr>
              <w:t>omponente IV.1</w:t>
            </w:r>
            <w:r w:rsidR="00AE34C0" w:rsidRPr="006F68E3">
              <w:rPr>
                <w:b/>
                <w:bCs/>
                <w:sz w:val="20"/>
                <w:lang w:val="es-ES_tradnl"/>
              </w:rPr>
              <w:t>.</w:t>
            </w:r>
            <w:r w:rsidRPr="006F68E3">
              <w:rPr>
                <w:b/>
                <w:bCs/>
                <w:sz w:val="20"/>
                <w:lang w:val="es-ES_tradnl"/>
              </w:rPr>
              <w:t xml:space="preserve"> </w:t>
            </w:r>
            <w:r w:rsidR="005833B8" w:rsidRPr="006F68E3">
              <w:rPr>
                <w:b/>
                <w:sz w:val="20"/>
                <w:lang w:val="es-ES_tradnl"/>
              </w:rPr>
              <w:t>Reglamentación de la SBR</w:t>
            </w:r>
          </w:p>
        </w:tc>
      </w:tr>
      <w:tr w:rsidR="00900FB8" w:rsidRPr="003E2A3A" w14:paraId="45079A4E" w14:textId="77777777" w:rsidTr="003E2A3A">
        <w:tc>
          <w:tcPr>
            <w:tcW w:w="3815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3E8C" w14:textId="77777777" w:rsidR="00900FB8" w:rsidRPr="003E2A3A" w:rsidRDefault="00900FB8" w:rsidP="007D0CA7">
            <w:pPr>
              <w:rPr>
                <w:color w:val="000000"/>
                <w:sz w:val="20"/>
              </w:rPr>
            </w:pPr>
          </w:p>
          <w:p w14:paraId="24576DBB" w14:textId="77777777" w:rsidR="00900FB8" w:rsidRPr="003E2A3A" w:rsidRDefault="00900FB8" w:rsidP="007D0CA7">
            <w:pPr>
              <w:rPr>
                <w:color w:val="000000"/>
                <w:sz w:val="20"/>
                <w:lang w:val="es-ES_tradnl"/>
              </w:rPr>
            </w:pPr>
            <w:r w:rsidRPr="003E2A3A">
              <w:rPr>
                <w:b/>
                <w:color w:val="000000"/>
                <w:sz w:val="20"/>
                <w:lang w:val="es-ES_tradnl"/>
              </w:rPr>
              <w:t xml:space="preserve">Mejoras en la regulación integral de riesgos </w:t>
            </w:r>
            <w:r w:rsidRPr="003E2A3A">
              <w:rPr>
                <w:color w:val="000000"/>
                <w:sz w:val="20"/>
                <w:lang w:val="es-ES_tradnl"/>
              </w:rPr>
              <w:t>de las entidades financieras reguladas por la SBP siguiendo las mejores prácticas internacionales, incluyendo el riesgo operativo, de crédito, de mercado y tecnológico.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75DA" w14:textId="77777777" w:rsidR="00900FB8" w:rsidRPr="003E2A3A" w:rsidRDefault="00900FB8" w:rsidP="00D146AE">
            <w:pPr>
              <w:jc w:val="both"/>
              <w:rPr>
                <w:color w:val="000000"/>
                <w:sz w:val="20"/>
                <w:lang w:val="es-ES_tradnl"/>
              </w:rPr>
            </w:pPr>
          </w:p>
          <w:p w14:paraId="70CAFAA5" w14:textId="1707162D" w:rsidR="00C246E7" w:rsidRPr="003E2A3A" w:rsidRDefault="00C246E7" w:rsidP="00C246E7">
            <w:pPr>
              <w:jc w:val="both"/>
              <w:rPr>
                <w:color w:val="000000"/>
                <w:sz w:val="20"/>
                <w:lang w:val="es-ES_tradnl"/>
              </w:rPr>
            </w:pPr>
            <w:r>
              <w:rPr>
                <w:color w:val="000000"/>
                <w:sz w:val="20"/>
                <w:lang w:val="es-ES_tradnl"/>
              </w:rPr>
              <w:t xml:space="preserve">Que </w:t>
            </w:r>
            <w:r w:rsidRPr="003E2A3A">
              <w:rPr>
                <w:color w:val="000000"/>
                <w:sz w:val="20"/>
                <w:lang w:val="es-ES_tradnl"/>
              </w:rPr>
              <w:t xml:space="preserve">la regulación </w:t>
            </w:r>
            <w:r>
              <w:rPr>
                <w:color w:val="000000"/>
                <w:sz w:val="20"/>
                <w:lang w:val="es-ES_tradnl"/>
              </w:rPr>
              <w:t xml:space="preserve">sobre gestión </w:t>
            </w:r>
            <w:r w:rsidRPr="003E2A3A">
              <w:rPr>
                <w:color w:val="000000"/>
                <w:sz w:val="20"/>
                <w:lang w:val="es-ES_tradnl"/>
              </w:rPr>
              <w:t>de riesgo operativo, riesgo tecnológico y banca electrónica</w:t>
            </w:r>
            <w:r>
              <w:rPr>
                <w:color w:val="000000"/>
                <w:sz w:val="20"/>
                <w:lang w:val="es-ES_tradnl"/>
              </w:rPr>
              <w:t xml:space="preserve"> emitida por la SBP se esté implementando</w:t>
            </w:r>
            <w:r w:rsidRPr="003E2A3A">
              <w:rPr>
                <w:color w:val="000000"/>
                <w:sz w:val="20"/>
                <w:lang w:val="es-ES_tradnl"/>
              </w:rPr>
              <w:t xml:space="preserve"> </w:t>
            </w:r>
          </w:p>
          <w:p w14:paraId="35FE6C9A" w14:textId="77777777" w:rsidR="00C246E7" w:rsidRPr="003E2A3A" w:rsidRDefault="00C246E7" w:rsidP="00C246E7">
            <w:pPr>
              <w:jc w:val="both"/>
              <w:rPr>
                <w:color w:val="000000"/>
                <w:sz w:val="20"/>
                <w:lang w:val="es-ES_tradnl"/>
              </w:rPr>
            </w:pPr>
          </w:p>
          <w:p w14:paraId="7C990F8E" w14:textId="6F96AAC8" w:rsidR="00C246E7" w:rsidRPr="007D20E4" w:rsidRDefault="00C246E7" w:rsidP="00C246E7">
            <w:pPr>
              <w:jc w:val="both"/>
              <w:rPr>
                <w:color w:val="000000"/>
                <w:sz w:val="20"/>
                <w:lang w:val="es-ES_tradnl"/>
              </w:rPr>
            </w:pPr>
            <w:r>
              <w:rPr>
                <w:color w:val="000000"/>
                <w:sz w:val="20"/>
                <w:lang w:val="es-ES_tradnl"/>
              </w:rPr>
              <w:t xml:space="preserve">Que se haya avanzado </w:t>
            </w:r>
            <w:r w:rsidRPr="003E2A3A">
              <w:rPr>
                <w:color w:val="000000"/>
                <w:sz w:val="20"/>
                <w:lang w:val="es-ES_tradnl"/>
              </w:rPr>
              <w:t xml:space="preserve"> </w:t>
            </w:r>
            <w:r>
              <w:rPr>
                <w:color w:val="000000"/>
                <w:sz w:val="20"/>
                <w:lang w:val="es-ES_tradnl"/>
              </w:rPr>
              <w:t xml:space="preserve">en </w:t>
            </w:r>
            <w:r w:rsidRPr="003E2A3A">
              <w:rPr>
                <w:color w:val="000000"/>
                <w:sz w:val="20"/>
                <w:lang w:val="es-ES_tradnl"/>
              </w:rPr>
              <w:t xml:space="preserve"> la reglamentación de </w:t>
            </w:r>
            <w:r>
              <w:rPr>
                <w:color w:val="000000"/>
                <w:sz w:val="20"/>
                <w:lang w:val="es-ES_tradnl"/>
              </w:rPr>
              <w:t xml:space="preserve">gestión de </w:t>
            </w:r>
            <w:r w:rsidRPr="003E2A3A">
              <w:rPr>
                <w:color w:val="000000"/>
                <w:sz w:val="20"/>
                <w:lang w:val="es-ES_tradnl"/>
              </w:rPr>
              <w:t>los  riesgos siguientes</w:t>
            </w:r>
            <w:r>
              <w:rPr>
                <w:color w:val="000000"/>
                <w:sz w:val="20"/>
                <w:lang w:val="es-ES_tradnl"/>
              </w:rPr>
              <w:t xml:space="preserve"> y se haya capacitado al personal de la SBP</w:t>
            </w:r>
            <w:r w:rsidRPr="003E2A3A">
              <w:rPr>
                <w:color w:val="000000"/>
                <w:sz w:val="20"/>
                <w:lang w:val="es-ES_tradnl"/>
              </w:rPr>
              <w:t xml:space="preserve">: </w:t>
            </w:r>
            <w:r w:rsidRPr="007D20E4">
              <w:rPr>
                <w:color w:val="000000"/>
                <w:sz w:val="20"/>
                <w:lang w:val="es-ES_tradnl"/>
              </w:rPr>
              <w:t xml:space="preserve"> </w:t>
            </w:r>
          </w:p>
          <w:p w14:paraId="16F6C2F5" w14:textId="77777777" w:rsidR="00C246E7" w:rsidRPr="007D20E4" w:rsidRDefault="00C246E7" w:rsidP="00C246E7">
            <w:pPr>
              <w:jc w:val="both"/>
              <w:rPr>
                <w:color w:val="000000"/>
                <w:sz w:val="20"/>
                <w:lang w:val="es-ES_tradnl"/>
              </w:rPr>
            </w:pPr>
          </w:p>
          <w:p w14:paraId="13A1FAF6" w14:textId="77777777" w:rsidR="00C246E7" w:rsidRPr="002F167B" w:rsidRDefault="00C246E7" w:rsidP="00C246E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5" w:hanging="275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 w:rsidRPr="002F167B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Riesgo de crédito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 xml:space="preserve"> (marco cualitativo y cuantitativo)</w:t>
            </w:r>
            <w:r w:rsidRPr="002F167B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 xml:space="preserve">. </w:t>
            </w:r>
          </w:p>
          <w:p w14:paraId="48256D8F" w14:textId="77777777" w:rsidR="00C246E7" w:rsidRPr="007D20E4" w:rsidRDefault="00C246E7" w:rsidP="00C246E7">
            <w:pPr>
              <w:pStyle w:val="ListParagraph"/>
              <w:spacing w:after="0" w:line="240" w:lineRule="auto"/>
              <w:ind w:left="275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5EE8D7A5" w14:textId="77777777" w:rsidR="00C246E7" w:rsidRPr="007D20E4" w:rsidRDefault="00C246E7" w:rsidP="00C246E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5" w:hanging="275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 w:rsidRPr="007D20E4">
              <w:rPr>
                <w:rFonts w:ascii="Times New Roman" w:hAnsi="Times New Roman"/>
                <w:bCs/>
                <w:color w:val="000000"/>
                <w:sz w:val="20"/>
                <w:szCs w:val="20"/>
                <w:lang w:val="es-ES_tradnl"/>
              </w:rPr>
              <w:t xml:space="preserve">Riesgo de mercado (incluido riesgo de tasa de interés, tipo de cambio y otros). </w:t>
            </w:r>
          </w:p>
          <w:p w14:paraId="25A5C6D6" w14:textId="77777777" w:rsidR="00C246E7" w:rsidRPr="007D20E4" w:rsidRDefault="00C246E7" w:rsidP="00C246E7">
            <w:pPr>
              <w:pStyle w:val="ListParagraph"/>
              <w:spacing w:after="0" w:line="240" w:lineRule="auto"/>
              <w:ind w:left="275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63C9B6D0" w14:textId="77777777" w:rsidR="00C246E7" w:rsidRPr="007D20E4" w:rsidRDefault="00C246E7" w:rsidP="00C246E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5" w:hanging="275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 w:rsidRPr="007D20E4">
              <w:rPr>
                <w:rFonts w:ascii="Times New Roman" w:hAnsi="Times New Roman"/>
                <w:bCs/>
                <w:color w:val="000000"/>
                <w:sz w:val="20"/>
                <w:szCs w:val="20"/>
                <w:lang w:val="es-ES_tradnl"/>
              </w:rPr>
              <w:t>Riesgo de liquidez.</w:t>
            </w:r>
            <w:r w:rsidRPr="007D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14:paraId="4C7736CF" w14:textId="77777777" w:rsidR="00C246E7" w:rsidRPr="007D20E4" w:rsidRDefault="00C246E7" w:rsidP="00C246E7">
            <w:pPr>
              <w:pStyle w:val="ListParagraph"/>
              <w:spacing w:after="0" w:line="240" w:lineRule="auto"/>
              <w:ind w:left="275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147E7699" w14:textId="77777777" w:rsidR="00C246E7" w:rsidRDefault="00C246E7" w:rsidP="00C246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s-ES_tradnl"/>
              </w:rPr>
            </w:pPr>
          </w:p>
          <w:p w14:paraId="5298856D" w14:textId="77777777" w:rsidR="00C246E7" w:rsidRDefault="00C246E7" w:rsidP="00C246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s-ES_tradnl"/>
              </w:rPr>
            </w:pPr>
          </w:p>
          <w:p w14:paraId="40438921" w14:textId="77777777" w:rsidR="00C246E7" w:rsidRDefault="00C246E7" w:rsidP="00C246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s-ES_tradnl"/>
              </w:rPr>
            </w:pPr>
          </w:p>
          <w:p w14:paraId="7489CE8A" w14:textId="77777777" w:rsidR="00C246E7" w:rsidRDefault="00C246E7" w:rsidP="00C246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  <w:lang w:val="es-ES_tradnl"/>
              </w:rPr>
            </w:pPr>
          </w:p>
          <w:p w14:paraId="1C1F1021" w14:textId="02229B65" w:rsidR="00900FB8" w:rsidRPr="003E2A3A" w:rsidRDefault="00C246E7" w:rsidP="00C246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 w:rsidRPr="00DF611C">
              <w:rPr>
                <w:rFonts w:ascii="Times New Roman" w:hAnsi="Times New Roman"/>
                <w:bCs/>
                <w:color w:val="000000"/>
                <w:sz w:val="20"/>
                <w:szCs w:val="20"/>
                <w:lang w:val="es-ES_tradnl"/>
              </w:rPr>
              <w:t>Que se haya avanzado en</w:t>
            </w:r>
            <w:r w:rsidR="00553969">
              <w:rPr>
                <w:rFonts w:ascii="Times New Roman" w:hAnsi="Times New Roman"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364CA1">
              <w:rPr>
                <w:rFonts w:ascii="Times New Roman" w:hAnsi="Times New Roman"/>
                <w:bCs/>
                <w:color w:val="000000"/>
                <w:sz w:val="20"/>
                <w:szCs w:val="20"/>
                <w:lang w:val="es-ES_tradnl"/>
              </w:rPr>
              <w:t xml:space="preserve">la </w:t>
            </w:r>
            <w:r w:rsidRPr="00DF611C">
              <w:rPr>
                <w:rFonts w:ascii="Times New Roman" w:hAnsi="Times New Roman"/>
                <w:bCs/>
                <w:color w:val="000000"/>
                <w:sz w:val="20"/>
                <w:szCs w:val="20"/>
                <w:lang w:val="es-ES_tradnl"/>
              </w:rPr>
              <w:t>reglamentación sobre conglomerados financieros y límites de exposición en grupos económicos y partes relacionadas.</w:t>
            </w:r>
          </w:p>
        </w:tc>
        <w:tc>
          <w:tcPr>
            <w:tcW w:w="4632" w:type="dxa"/>
            <w:tcBorders>
              <w:top w:val="single" w:sz="8" w:space="0" w:color="auto"/>
            </w:tcBorders>
            <w:shd w:val="clear" w:color="auto" w:fill="FFFFFF"/>
          </w:tcPr>
          <w:p w14:paraId="6EBA9562" w14:textId="77777777" w:rsidR="00900FB8" w:rsidRPr="006F68E3" w:rsidRDefault="00900FB8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0701B0D0" w14:textId="14064875" w:rsidR="008E0D1A" w:rsidRPr="006F68E3" w:rsidRDefault="008E0D1A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  <w:r w:rsidRPr="006F68E3">
              <w:rPr>
                <w:sz w:val="20"/>
                <w:lang w:val="es-ES_tradnl"/>
              </w:rPr>
              <w:t xml:space="preserve">Certificación </w:t>
            </w:r>
            <w:r w:rsidR="006A7ABB">
              <w:rPr>
                <w:sz w:val="20"/>
                <w:lang w:val="es-ES_tradnl"/>
              </w:rPr>
              <w:t xml:space="preserve">del Superintendente </w:t>
            </w:r>
            <w:r w:rsidRPr="006F68E3">
              <w:rPr>
                <w:sz w:val="20"/>
                <w:lang w:val="es-ES_tradnl"/>
              </w:rPr>
              <w:t xml:space="preserve">de </w:t>
            </w:r>
            <w:r w:rsidR="00E93398">
              <w:rPr>
                <w:sz w:val="20"/>
                <w:lang w:val="es-ES_tradnl"/>
              </w:rPr>
              <w:t xml:space="preserve">Bancos </w:t>
            </w:r>
            <w:r w:rsidR="006A7ABB">
              <w:rPr>
                <w:sz w:val="20"/>
                <w:lang w:val="es-ES_tradnl"/>
              </w:rPr>
              <w:t xml:space="preserve">sobre </w:t>
            </w:r>
            <w:r w:rsidRPr="006F68E3">
              <w:rPr>
                <w:sz w:val="20"/>
                <w:lang w:val="es-ES_tradnl"/>
              </w:rPr>
              <w:t xml:space="preserve">la vigencia de la regulación de </w:t>
            </w:r>
            <w:r w:rsidR="006A7ABB">
              <w:rPr>
                <w:sz w:val="20"/>
                <w:lang w:val="es-ES_tradnl"/>
              </w:rPr>
              <w:t xml:space="preserve">gestión de </w:t>
            </w:r>
            <w:r w:rsidRPr="006F68E3">
              <w:rPr>
                <w:sz w:val="20"/>
                <w:lang w:val="es-ES_tradnl"/>
              </w:rPr>
              <w:t>riesgo operativo, riesgo tecnológico y banca electrónica</w:t>
            </w:r>
            <w:r w:rsidR="008A286B">
              <w:rPr>
                <w:sz w:val="20"/>
                <w:lang w:val="es-ES_tradnl"/>
              </w:rPr>
              <w:t xml:space="preserve">, informando de su vigencia y eventuales problemas de implantación. </w:t>
            </w:r>
          </w:p>
          <w:p w14:paraId="66E8D7BA" w14:textId="77777777" w:rsidR="008E0D1A" w:rsidRPr="006F68E3" w:rsidRDefault="008E0D1A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0DA8F54E" w14:textId="0DBDE2ED" w:rsidR="00A465CD" w:rsidRPr="006F68E3" w:rsidRDefault="006A7ABB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Certificación del</w:t>
            </w:r>
            <w:r w:rsidR="008A286B">
              <w:rPr>
                <w:sz w:val="20"/>
                <w:lang w:val="es-ES_tradnl"/>
              </w:rPr>
              <w:t xml:space="preserve"> Superintendente </w:t>
            </w:r>
            <w:r w:rsidR="00E93398">
              <w:rPr>
                <w:sz w:val="20"/>
                <w:lang w:val="es-ES_tradnl"/>
              </w:rPr>
              <w:t xml:space="preserve">de Bancos </w:t>
            </w:r>
            <w:r w:rsidR="008A286B">
              <w:rPr>
                <w:sz w:val="20"/>
                <w:lang w:val="es-ES_tradnl"/>
              </w:rPr>
              <w:t>del</w:t>
            </w:r>
            <w:r>
              <w:rPr>
                <w:sz w:val="20"/>
                <w:lang w:val="es-ES_tradnl"/>
              </w:rPr>
              <w:t xml:space="preserve"> punto del </w:t>
            </w:r>
            <w:r w:rsidR="008E0D1A" w:rsidRPr="006F68E3">
              <w:rPr>
                <w:sz w:val="20"/>
                <w:lang w:val="es-ES_tradnl"/>
              </w:rPr>
              <w:t xml:space="preserve">Acta de la </w:t>
            </w:r>
            <w:r>
              <w:rPr>
                <w:sz w:val="20"/>
                <w:lang w:val="es-ES_tradnl"/>
              </w:rPr>
              <w:t xml:space="preserve">reunión de la </w:t>
            </w:r>
            <w:r w:rsidR="008E0D1A" w:rsidRPr="006F68E3">
              <w:rPr>
                <w:sz w:val="20"/>
                <w:lang w:val="es-ES_tradnl"/>
              </w:rPr>
              <w:t>J</w:t>
            </w:r>
            <w:r w:rsidR="008A286B">
              <w:rPr>
                <w:sz w:val="20"/>
                <w:lang w:val="es-ES_tradnl"/>
              </w:rPr>
              <w:t>D</w:t>
            </w:r>
            <w:r w:rsidR="008E0D1A" w:rsidRPr="006F68E3">
              <w:rPr>
                <w:sz w:val="20"/>
                <w:lang w:val="es-ES_tradnl"/>
              </w:rPr>
              <w:t xml:space="preserve"> de la SBP </w:t>
            </w:r>
            <w:r>
              <w:rPr>
                <w:sz w:val="20"/>
                <w:lang w:val="es-ES_tradnl"/>
              </w:rPr>
              <w:t>en la que se autoriza</w:t>
            </w:r>
            <w:r w:rsidR="008E0D1A" w:rsidRPr="006F68E3">
              <w:rPr>
                <w:sz w:val="20"/>
                <w:lang w:val="es-ES_tradnl"/>
              </w:rPr>
              <w:t xml:space="preserve"> la publicación </w:t>
            </w:r>
            <w:r>
              <w:rPr>
                <w:sz w:val="20"/>
                <w:lang w:val="es-ES_tradnl"/>
              </w:rPr>
              <w:t>para</w:t>
            </w:r>
            <w:r w:rsidR="008E0D1A" w:rsidRPr="006F68E3">
              <w:rPr>
                <w:sz w:val="20"/>
                <w:lang w:val="es-ES_tradnl"/>
              </w:rPr>
              <w:t xml:space="preserve"> consulta pública del anteproyecto de </w:t>
            </w:r>
            <w:r w:rsidR="00C246E7">
              <w:rPr>
                <w:sz w:val="20"/>
                <w:lang w:val="es-ES_tradnl"/>
              </w:rPr>
              <w:t>r</w:t>
            </w:r>
            <w:r w:rsidR="00A465CD" w:rsidRPr="006F68E3">
              <w:rPr>
                <w:sz w:val="20"/>
                <w:lang w:val="es-ES_tradnl"/>
              </w:rPr>
              <w:t>eglamentación de</w:t>
            </w:r>
            <w:r>
              <w:rPr>
                <w:sz w:val="20"/>
                <w:lang w:val="es-ES_tradnl"/>
              </w:rPr>
              <w:t xml:space="preserve"> gestión </w:t>
            </w:r>
            <w:r w:rsidR="00A465CD" w:rsidRPr="006F68E3">
              <w:rPr>
                <w:sz w:val="20"/>
                <w:lang w:val="es-ES_tradnl"/>
              </w:rPr>
              <w:t xml:space="preserve">del </w:t>
            </w:r>
            <w:r w:rsidR="00C246E7" w:rsidRPr="006F68E3">
              <w:rPr>
                <w:sz w:val="20"/>
                <w:lang w:val="es-ES_tradnl"/>
              </w:rPr>
              <w:t>riesgo de crédito</w:t>
            </w:r>
            <w:r w:rsidR="00A465CD" w:rsidRPr="006F68E3">
              <w:rPr>
                <w:sz w:val="20"/>
                <w:lang w:val="es-ES_tradnl"/>
              </w:rPr>
              <w:t xml:space="preserve">. </w:t>
            </w:r>
          </w:p>
          <w:p w14:paraId="25D7790B" w14:textId="77777777" w:rsidR="00A465CD" w:rsidRPr="006F68E3" w:rsidRDefault="00A465CD" w:rsidP="00565F71">
            <w:pPr>
              <w:ind w:right="142"/>
              <w:jc w:val="both"/>
              <w:rPr>
                <w:sz w:val="20"/>
                <w:lang w:val="es-ES_tradnl"/>
              </w:rPr>
            </w:pPr>
          </w:p>
          <w:p w14:paraId="564B6E51" w14:textId="48B75B8A" w:rsidR="00786EC8" w:rsidRPr="006F68E3" w:rsidRDefault="00786EC8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  <w:r w:rsidRPr="006F68E3">
              <w:rPr>
                <w:sz w:val="20"/>
                <w:lang w:val="es-ES_tradnl"/>
              </w:rPr>
              <w:t xml:space="preserve">Certificación </w:t>
            </w:r>
            <w:r w:rsidR="00777685">
              <w:rPr>
                <w:sz w:val="20"/>
                <w:lang w:val="es-ES_tradnl"/>
              </w:rPr>
              <w:t>del Superintendente</w:t>
            </w:r>
            <w:r w:rsidR="00E93398">
              <w:rPr>
                <w:sz w:val="20"/>
                <w:lang w:val="es-ES_tradnl"/>
              </w:rPr>
              <w:t xml:space="preserve"> </w:t>
            </w:r>
            <w:r w:rsidR="00575637" w:rsidRPr="006F68E3">
              <w:rPr>
                <w:sz w:val="20"/>
                <w:lang w:val="es-ES_tradnl"/>
              </w:rPr>
              <w:t xml:space="preserve">de </w:t>
            </w:r>
            <w:r w:rsidR="00E93398">
              <w:rPr>
                <w:sz w:val="20"/>
                <w:lang w:val="es-ES_tradnl"/>
              </w:rPr>
              <w:t>Bancos</w:t>
            </w:r>
            <w:r w:rsidR="00575637" w:rsidRPr="006F68E3">
              <w:rPr>
                <w:sz w:val="20"/>
                <w:lang w:val="es-ES_tradnl"/>
              </w:rPr>
              <w:t xml:space="preserve"> </w:t>
            </w:r>
            <w:r w:rsidR="008A286B">
              <w:rPr>
                <w:sz w:val="20"/>
                <w:lang w:val="es-ES_tradnl"/>
              </w:rPr>
              <w:t>informando</w:t>
            </w:r>
            <w:r w:rsidR="00575637" w:rsidRPr="006F68E3">
              <w:rPr>
                <w:sz w:val="20"/>
                <w:lang w:val="es-ES_tradnl"/>
              </w:rPr>
              <w:t xml:space="preserve"> </w:t>
            </w:r>
            <w:r w:rsidRPr="006F68E3">
              <w:rPr>
                <w:sz w:val="20"/>
                <w:lang w:val="es-ES_tradnl"/>
              </w:rPr>
              <w:t xml:space="preserve">sobre el avance del proceso de preparación y capacitación de los miembros de la Dirección de </w:t>
            </w:r>
            <w:r w:rsidR="00171AFE" w:rsidRPr="006F68E3">
              <w:rPr>
                <w:sz w:val="20"/>
                <w:lang w:val="es-ES_tradnl"/>
              </w:rPr>
              <w:t xml:space="preserve">Riesgos </w:t>
            </w:r>
            <w:r w:rsidRPr="006F68E3">
              <w:rPr>
                <w:sz w:val="20"/>
                <w:lang w:val="es-ES_tradnl"/>
              </w:rPr>
              <w:t>como paso previo a la emisión de los nuevos acuerdos de riesgo de mercado y liquidez.</w:t>
            </w:r>
          </w:p>
          <w:p w14:paraId="26D3F2AB" w14:textId="77777777" w:rsidR="00D22191" w:rsidRPr="006F68E3" w:rsidRDefault="00D22191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2C114A69" w14:textId="3D3F94E0" w:rsidR="0022068C" w:rsidRPr="006F68E3" w:rsidRDefault="0022068C" w:rsidP="00565F71">
            <w:pPr>
              <w:ind w:left="150" w:right="142"/>
              <w:jc w:val="both"/>
              <w:rPr>
                <w:bCs/>
                <w:sz w:val="20"/>
                <w:lang w:val="es-ES_tradnl"/>
              </w:rPr>
            </w:pPr>
            <w:r w:rsidRPr="006F68E3">
              <w:rPr>
                <w:sz w:val="20"/>
                <w:lang w:val="es-ES_tradnl"/>
              </w:rPr>
              <w:t xml:space="preserve">Certificación </w:t>
            </w:r>
            <w:r w:rsidR="008A286B">
              <w:rPr>
                <w:sz w:val="20"/>
                <w:lang w:val="es-ES_tradnl"/>
              </w:rPr>
              <w:t xml:space="preserve">del </w:t>
            </w:r>
            <w:r w:rsidR="00777685">
              <w:rPr>
                <w:sz w:val="20"/>
                <w:lang w:val="es-ES_tradnl"/>
              </w:rPr>
              <w:t xml:space="preserve">Superintendente </w:t>
            </w:r>
            <w:r w:rsidRPr="006F68E3">
              <w:rPr>
                <w:sz w:val="20"/>
                <w:lang w:val="es-ES_tradnl"/>
              </w:rPr>
              <w:t xml:space="preserve">de </w:t>
            </w:r>
            <w:r w:rsidR="00E93398">
              <w:rPr>
                <w:sz w:val="20"/>
                <w:lang w:val="es-ES_tradnl"/>
              </w:rPr>
              <w:t xml:space="preserve">Bancos </w:t>
            </w:r>
            <w:r w:rsidR="00777685">
              <w:rPr>
                <w:sz w:val="20"/>
                <w:lang w:val="es-ES_tradnl"/>
              </w:rPr>
              <w:t>sobre</w:t>
            </w:r>
            <w:r w:rsidRPr="006F68E3">
              <w:rPr>
                <w:sz w:val="20"/>
                <w:lang w:val="es-ES_tradnl"/>
              </w:rPr>
              <w:t xml:space="preserve"> el</w:t>
            </w:r>
            <w:r w:rsidR="00777685">
              <w:rPr>
                <w:sz w:val="20"/>
                <w:lang w:val="es-ES_tradnl"/>
              </w:rPr>
              <w:t xml:space="preserve"> estado de </w:t>
            </w:r>
            <w:r w:rsidRPr="006F68E3">
              <w:rPr>
                <w:sz w:val="20"/>
                <w:lang w:val="es-ES_tradnl"/>
              </w:rPr>
              <w:t xml:space="preserve"> avance en la Reglamentación de Conglomerados Financieros. </w:t>
            </w:r>
          </w:p>
          <w:p w14:paraId="2E607224" w14:textId="77777777" w:rsidR="00D22191" w:rsidRPr="006F68E3" w:rsidRDefault="00D22191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</w:tc>
      </w:tr>
      <w:tr w:rsidR="00900FB8" w:rsidRPr="003E2A3A" w14:paraId="7A43EC37" w14:textId="77777777" w:rsidTr="00973432">
        <w:tc>
          <w:tcPr>
            <w:tcW w:w="3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8A43" w14:textId="77777777" w:rsidR="00900FB8" w:rsidRPr="003E2A3A" w:rsidRDefault="00900FB8" w:rsidP="00231055">
            <w:pPr>
              <w:rPr>
                <w:bCs/>
                <w:color w:val="000000"/>
                <w:sz w:val="20"/>
                <w:lang w:val="es-ES_tradnl"/>
              </w:rPr>
            </w:pPr>
          </w:p>
          <w:p w14:paraId="4F4003B5" w14:textId="77777777" w:rsidR="00900FB8" w:rsidRPr="003E2A3A" w:rsidRDefault="00900FB8" w:rsidP="00565F71">
            <w:pPr>
              <w:rPr>
                <w:b/>
                <w:bCs/>
                <w:color w:val="000000"/>
                <w:sz w:val="20"/>
                <w:lang w:val="es-ES_tradnl"/>
              </w:rPr>
            </w:pPr>
            <w:r w:rsidRPr="003E2A3A">
              <w:rPr>
                <w:b/>
                <w:bCs/>
                <w:color w:val="000000"/>
                <w:sz w:val="20"/>
                <w:lang w:val="es-ES_tradnl"/>
              </w:rPr>
              <w:t xml:space="preserve">Consolidación del Esquema de </w:t>
            </w:r>
            <w:r w:rsidR="00AD019E">
              <w:rPr>
                <w:b/>
                <w:bCs/>
                <w:color w:val="000000"/>
                <w:sz w:val="20"/>
                <w:lang w:val="es-ES_tradnl"/>
              </w:rPr>
              <w:t>SBR</w:t>
            </w:r>
            <w:r w:rsidRPr="003E2A3A">
              <w:rPr>
                <w:b/>
                <w:bCs/>
                <w:color w:val="000000"/>
                <w:sz w:val="20"/>
                <w:lang w:val="es-ES_tradnl"/>
              </w:rPr>
              <w:t xml:space="preserve">. 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08A6" w14:textId="77777777" w:rsidR="00900FB8" w:rsidRPr="003E2A3A" w:rsidRDefault="00900FB8" w:rsidP="00B86804">
            <w:pPr>
              <w:jc w:val="both"/>
              <w:rPr>
                <w:color w:val="000000"/>
                <w:sz w:val="20"/>
                <w:lang w:val="es-ES_tradnl"/>
              </w:rPr>
            </w:pPr>
          </w:p>
          <w:p w14:paraId="1EE7B69A" w14:textId="2F284438" w:rsidR="00C246E7" w:rsidRPr="007D20E4" w:rsidRDefault="00C246E7" w:rsidP="00C246E7">
            <w:pPr>
              <w:rPr>
                <w:color w:val="000000"/>
                <w:sz w:val="20"/>
                <w:lang w:val="es-ES_tradnl"/>
              </w:rPr>
            </w:pPr>
            <w:r>
              <w:rPr>
                <w:color w:val="000000"/>
                <w:sz w:val="20"/>
                <w:lang w:val="es-ES_tradnl"/>
              </w:rPr>
              <w:t xml:space="preserve">Que se esté aplicando </w:t>
            </w:r>
            <w:r w:rsidRPr="007D20E4">
              <w:rPr>
                <w:color w:val="000000"/>
                <w:sz w:val="20"/>
                <w:lang w:val="es-ES_tradnl"/>
              </w:rPr>
              <w:t>el MUSBER en al menos en 3 grupos financieros</w:t>
            </w:r>
            <w:r>
              <w:rPr>
                <w:color w:val="000000"/>
                <w:sz w:val="20"/>
                <w:lang w:val="es-ES_tradnl"/>
              </w:rPr>
              <w:t>,</w:t>
            </w:r>
            <w:r w:rsidRPr="007D20E4">
              <w:rPr>
                <w:color w:val="000000"/>
                <w:sz w:val="20"/>
                <w:lang w:val="es-ES_tradnl"/>
              </w:rPr>
              <w:t xml:space="preserve"> 3 bancos nacionales</w:t>
            </w:r>
            <w:r>
              <w:rPr>
                <w:color w:val="000000"/>
                <w:sz w:val="20"/>
                <w:lang w:val="es-ES_tradnl"/>
              </w:rPr>
              <w:t xml:space="preserve"> y</w:t>
            </w:r>
            <w:r w:rsidRPr="007D20E4">
              <w:rPr>
                <w:color w:val="000000"/>
                <w:sz w:val="20"/>
                <w:lang w:val="es-ES_tradnl"/>
              </w:rPr>
              <w:t xml:space="preserve"> 2 transfronterizos, </w:t>
            </w:r>
            <w:r>
              <w:rPr>
                <w:color w:val="000000"/>
                <w:sz w:val="20"/>
                <w:lang w:val="es-ES_tradnl"/>
              </w:rPr>
              <w:t>y que se estén aplicando las</w:t>
            </w:r>
            <w:r w:rsidRPr="007D20E4">
              <w:rPr>
                <w:color w:val="000000"/>
                <w:sz w:val="20"/>
                <w:lang w:val="es-ES_tradnl"/>
              </w:rPr>
              <w:t xml:space="preserve"> recomendaciones</w:t>
            </w:r>
            <w:r>
              <w:rPr>
                <w:color w:val="000000"/>
                <w:sz w:val="20"/>
                <w:lang w:val="es-ES_tradnl"/>
              </w:rPr>
              <w:t xml:space="preserve"> resultantes</w:t>
            </w:r>
          </w:p>
          <w:p w14:paraId="3A54F3CF" w14:textId="77777777" w:rsidR="00C246E7" w:rsidRPr="007D20E4" w:rsidRDefault="00C246E7" w:rsidP="00C246E7">
            <w:pPr>
              <w:rPr>
                <w:color w:val="000000"/>
                <w:sz w:val="20"/>
                <w:lang w:val="es-ES_tradnl"/>
              </w:rPr>
            </w:pPr>
          </w:p>
          <w:p w14:paraId="681A1913" w14:textId="171EFCE3" w:rsidR="00C246E7" w:rsidRPr="007D20E4" w:rsidRDefault="00C246E7" w:rsidP="00C246E7">
            <w:pPr>
              <w:rPr>
                <w:color w:val="000000"/>
                <w:sz w:val="20"/>
                <w:lang w:val="es-ES_tradnl"/>
              </w:rPr>
            </w:pPr>
            <w:r>
              <w:rPr>
                <w:color w:val="000000"/>
                <w:sz w:val="20"/>
                <w:lang w:val="es-ES_tradnl"/>
              </w:rPr>
              <w:t>Que se haya diseñado</w:t>
            </w:r>
            <w:r w:rsidRPr="007D20E4">
              <w:rPr>
                <w:color w:val="000000"/>
                <w:sz w:val="20"/>
                <w:lang w:val="es-ES_tradnl"/>
              </w:rPr>
              <w:t xml:space="preserve"> </w:t>
            </w:r>
            <w:r>
              <w:rPr>
                <w:color w:val="000000"/>
                <w:sz w:val="20"/>
                <w:lang w:val="es-ES_tradnl"/>
              </w:rPr>
              <w:t>un</w:t>
            </w:r>
            <w:r w:rsidRPr="007D20E4">
              <w:rPr>
                <w:color w:val="000000"/>
                <w:sz w:val="20"/>
                <w:lang w:val="es-ES_tradnl"/>
              </w:rPr>
              <w:t xml:space="preserve"> currículum</w:t>
            </w:r>
            <w:r>
              <w:rPr>
                <w:color w:val="000000"/>
                <w:sz w:val="20"/>
                <w:lang w:val="es-ES_tradnl"/>
              </w:rPr>
              <w:t xml:space="preserve"> y se haya desarrollado y lanzado</w:t>
            </w:r>
            <w:r w:rsidR="00EF446F">
              <w:rPr>
                <w:color w:val="000000"/>
                <w:sz w:val="20"/>
                <w:lang w:val="es-ES_tradnl"/>
              </w:rPr>
              <w:t xml:space="preserve"> </w:t>
            </w:r>
            <w:r w:rsidRPr="007D20E4">
              <w:rPr>
                <w:color w:val="000000"/>
                <w:sz w:val="20"/>
                <w:lang w:val="es-ES_tradnl"/>
              </w:rPr>
              <w:t xml:space="preserve">cursos </w:t>
            </w:r>
            <w:r w:rsidRPr="007D20E4">
              <w:rPr>
                <w:i/>
                <w:color w:val="000000"/>
                <w:sz w:val="20"/>
                <w:lang w:val="es-ES_tradnl"/>
              </w:rPr>
              <w:t>e</w:t>
            </w:r>
            <w:r w:rsidRPr="007D20E4">
              <w:rPr>
                <w:i/>
                <w:color w:val="000000"/>
                <w:sz w:val="20"/>
                <w:lang w:val="es-ES_tradnl"/>
              </w:rPr>
              <w:noBreakHyphen/>
              <w:t>learning</w:t>
            </w:r>
            <w:r w:rsidRPr="007D20E4">
              <w:rPr>
                <w:color w:val="000000"/>
                <w:sz w:val="20"/>
                <w:lang w:val="es-ES_tradnl"/>
              </w:rPr>
              <w:t xml:space="preserve"> para </w:t>
            </w:r>
            <w:r>
              <w:rPr>
                <w:color w:val="000000"/>
                <w:sz w:val="20"/>
                <w:lang w:val="es-ES_tradnl"/>
              </w:rPr>
              <w:t xml:space="preserve">la </w:t>
            </w:r>
            <w:r w:rsidRPr="007D20E4">
              <w:rPr>
                <w:color w:val="000000"/>
                <w:sz w:val="20"/>
                <w:lang w:val="es-ES_tradnl"/>
              </w:rPr>
              <w:t xml:space="preserve">capacitación de </w:t>
            </w:r>
            <w:r>
              <w:rPr>
                <w:color w:val="000000"/>
                <w:sz w:val="20"/>
                <w:lang w:val="es-ES_tradnl"/>
              </w:rPr>
              <w:t xml:space="preserve">los nuevos </w:t>
            </w:r>
            <w:r w:rsidRPr="007D20E4">
              <w:rPr>
                <w:color w:val="000000"/>
                <w:sz w:val="20"/>
                <w:lang w:val="es-ES_tradnl"/>
              </w:rPr>
              <w:t xml:space="preserve">supervisores </w:t>
            </w:r>
            <w:r>
              <w:rPr>
                <w:color w:val="000000"/>
                <w:sz w:val="20"/>
                <w:lang w:val="es-ES_tradnl"/>
              </w:rPr>
              <w:t>en la metodología del MUSBER</w:t>
            </w:r>
            <w:r w:rsidRPr="007D20E4">
              <w:rPr>
                <w:color w:val="000000"/>
                <w:sz w:val="20"/>
                <w:lang w:val="es-ES_tradnl"/>
              </w:rPr>
              <w:t>.</w:t>
            </w:r>
          </w:p>
          <w:p w14:paraId="4C40D5AD" w14:textId="77777777" w:rsidR="00C246E7" w:rsidRPr="007D20E4" w:rsidRDefault="00C246E7" w:rsidP="00C246E7">
            <w:pPr>
              <w:rPr>
                <w:color w:val="000000"/>
                <w:sz w:val="20"/>
                <w:lang w:val="es-ES_tradnl"/>
              </w:rPr>
            </w:pPr>
          </w:p>
          <w:p w14:paraId="6E523DA3" w14:textId="77777777" w:rsidR="00900FB8" w:rsidRPr="003E2A3A" w:rsidRDefault="00900FB8" w:rsidP="00E57845">
            <w:pPr>
              <w:rPr>
                <w:color w:val="000000"/>
                <w:sz w:val="20"/>
                <w:lang w:val="es-ES_tradnl"/>
              </w:rPr>
            </w:pPr>
          </w:p>
        </w:tc>
        <w:tc>
          <w:tcPr>
            <w:tcW w:w="4632" w:type="dxa"/>
            <w:shd w:val="clear" w:color="auto" w:fill="FFFFFF"/>
          </w:tcPr>
          <w:p w14:paraId="641396B7" w14:textId="77777777" w:rsidR="00900FB8" w:rsidRPr="006F68E3" w:rsidRDefault="00900FB8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5E89D819" w14:textId="79A718B2" w:rsidR="00BC1F93" w:rsidRPr="006F68E3" w:rsidRDefault="00BC1F93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  <w:r w:rsidRPr="006F68E3">
              <w:rPr>
                <w:sz w:val="20"/>
                <w:lang w:val="es-ES_tradnl"/>
              </w:rPr>
              <w:t xml:space="preserve">Certificación </w:t>
            </w:r>
            <w:r w:rsidR="005723A1">
              <w:rPr>
                <w:sz w:val="20"/>
                <w:lang w:val="es-ES_tradnl"/>
              </w:rPr>
              <w:t xml:space="preserve">del Superintendente </w:t>
            </w:r>
            <w:r w:rsidR="00E93398">
              <w:rPr>
                <w:sz w:val="20"/>
                <w:lang w:val="es-ES_tradnl"/>
              </w:rPr>
              <w:t xml:space="preserve">de Bancos </w:t>
            </w:r>
            <w:r w:rsidR="008A286B">
              <w:rPr>
                <w:sz w:val="20"/>
                <w:lang w:val="es-ES_tradnl"/>
              </w:rPr>
              <w:t xml:space="preserve">informando </w:t>
            </w:r>
            <w:r w:rsidR="005723A1">
              <w:rPr>
                <w:sz w:val="20"/>
                <w:lang w:val="es-ES_tradnl"/>
              </w:rPr>
              <w:t>sobre</w:t>
            </w:r>
            <w:r w:rsidR="002C245B" w:rsidRPr="006F68E3">
              <w:rPr>
                <w:sz w:val="20"/>
                <w:lang w:val="es-ES_tradnl"/>
              </w:rPr>
              <w:t xml:space="preserve"> </w:t>
            </w:r>
            <w:r w:rsidRPr="006F68E3">
              <w:rPr>
                <w:sz w:val="20"/>
                <w:lang w:val="es-ES_tradnl"/>
              </w:rPr>
              <w:t>las supervisiones realizadas en aplicación del MUSBER.</w:t>
            </w:r>
          </w:p>
          <w:p w14:paraId="69342D51" w14:textId="77777777" w:rsidR="00BC1F93" w:rsidRPr="006F68E3" w:rsidRDefault="00BC1F93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11BB6E65" w14:textId="77777777" w:rsidR="00BC1F93" w:rsidRPr="006F68E3" w:rsidRDefault="00BC1F93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5E86D6BB" w14:textId="63284013" w:rsidR="00BC1F93" w:rsidRPr="006F68E3" w:rsidRDefault="00FD358D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  <w:r w:rsidRPr="006F68E3">
              <w:rPr>
                <w:sz w:val="20"/>
                <w:lang w:val="es-ES_tradnl"/>
              </w:rPr>
              <w:t xml:space="preserve">Certificación </w:t>
            </w:r>
            <w:r w:rsidR="008A286B">
              <w:rPr>
                <w:sz w:val="20"/>
                <w:lang w:val="es-ES_tradnl"/>
              </w:rPr>
              <w:t>del Superintendente</w:t>
            </w:r>
            <w:r w:rsidR="00E93398">
              <w:rPr>
                <w:sz w:val="20"/>
                <w:lang w:val="es-ES_tradnl"/>
              </w:rPr>
              <w:t xml:space="preserve"> de Bancos</w:t>
            </w:r>
            <w:r w:rsidR="008A286B">
              <w:rPr>
                <w:sz w:val="20"/>
                <w:lang w:val="es-ES_tradnl"/>
              </w:rPr>
              <w:t xml:space="preserve"> informando </w:t>
            </w:r>
            <w:r w:rsidRPr="006F68E3">
              <w:rPr>
                <w:sz w:val="20"/>
                <w:lang w:val="es-ES_tradnl"/>
              </w:rPr>
              <w:t xml:space="preserve">de la </w:t>
            </w:r>
            <w:r w:rsidR="005723A1">
              <w:rPr>
                <w:sz w:val="20"/>
                <w:lang w:val="es-ES_tradnl"/>
              </w:rPr>
              <w:t>implementación</w:t>
            </w:r>
            <w:r w:rsidRPr="006F68E3">
              <w:rPr>
                <w:sz w:val="20"/>
                <w:lang w:val="es-ES_tradnl"/>
              </w:rPr>
              <w:t xml:space="preserve"> y desarrollo de los cursos de </w:t>
            </w:r>
            <w:r w:rsidRPr="006F68E3">
              <w:rPr>
                <w:i/>
                <w:sz w:val="20"/>
                <w:lang w:val="es-ES_tradnl"/>
              </w:rPr>
              <w:t>e-learning</w:t>
            </w:r>
            <w:r w:rsidR="005723A1">
              <w:rPr>
                <w:sz w:val="20"/>
                <w:lang w:val="es-ES_tradnl"/>
              </w:rPr>
              <w:t xml:space="preserve">, incluyendo </w:t>
            </w:r>
            <w:r w:rsidR="009373D8">
              <w:rPr>
                <w:sz w:val="20"/>
                <w:lang w:val="es-ES_tradnl"/>
              </w:rPr>
              <w:t xml:space="preserve">al menos </w:t>
            </w:r>
            <w:r w:rsidR="005723A1">
              <w:rPr>
                <w:sz w:val="20"/>
                <w:lang w:val="es-ES_tradnl"/>
              </w:rPr>
              <w:t>personal capacitado y tiempo de la capacitación</w:t>
            </w:r>
          </w:p>
          <w:p w14:paraId="75E8AD0E" w14:textId="77777777" w:rsidR="00CB2189" w:rsidRPr="006F68E3" w:rsidRDefault="00CB2189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</w:tc>
      </w:tr>
      <w:tr w:rsidR="00900FB8" w:rsidRPr="003E2A3A" w14:paraId="5B66779F" w14:textId="77777777" w:rsidTr="00F8004D">
        <w:tc>
          <w:tcPr>
            <w:tcW w:w="3815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FD08" w14:textId="77777777" w:rsidR="00900FB8" w:rsidRPr="003E2A3A" w:rsidRDefault="00900FB8">
            <w:pPr>
              <w:rPr>
                <w:b/>
                <w:bCs/>
                <w:color w:val="000000"/>
                <w:sz w:val="20"/>
                <w:lang w:val="es-ES_tradnl"/>
              </w:rPr>
            </w:pPr>
          </w:p>
          <w:p w14:paraId="51FCE9E8" w14:textId="77777777" w:rsidR="00900FB8" w:rsidRPr="003E2A3A" w:rsidRDefault="00900FB8">
            <w:pPr>
              <w:rPr>
                <w:b/>
                <w:bCs/>
                <w:color w:val="000000"/>
                <w:sz w:val="20"/>
                <w:lang w:val="es-ES_tradnl"/>
              </w:rPr>
            </w:pPr>
            <w:r w:rsidRPr="003E2A3A">
              <w:rPr>
                <w:b/>
                <w:bCs/>
                <w:color w:val="000000"/>
                <w:sz w:val="20"/>
                <w:lang w:val="es-ES_tradnl"/>
              </w:rPr>
              <w:t xml:space="preserve">Mejora de la gobernanza </w:t>
            </w:r>
            <w:r w:rsidRPr="00565F71">
              <w:rPr>
                <w:bCs/>
                <w:color w:val="000000"/>
                <w:sz w:val="20"/>
                <w:lang w:val="es-ES_tradnl"/>
              </w:rPr>
              <w:t>corporativa y la transparencia</w:t>
            </w:r>
            <w:r w:rsidRPr="003E2A3A">
              <w:rPr>
                <w:b/>
                <w:bCs/>
                <w:color w:val="000000"/>
                <w:sz w:val="20"/>
                <w:lang w:val="es-ES_tradnl"/>
              </w:rPr>
              <w:t>.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467D" w14:textId="77777777" w:rsidR="00900FB8" w:rsidRDefault="00900FB8" w:rsidP="00C33E76">
            <w:pPr>
              <w:pStyle w:val="Paragraph"/>
              <w:tabs>
                <w:tab w:val="left" w:pos="1260"/>
              </w:tabs>
              <w:autoSpaceDN/>
              <w:spacing w:before="0" w:after="0"/>
              <w:ind w:left="14"/>
              <w:textAlignment w:val="auto"/>
              <w:rPr>
                <w:bCs/>
                <w:color w:val="000000"/>
                <w:sz w:val="20"/>
                <w:lang w:val="es-ES_tradnl"/>
              </w:rPr>
            </w:pPr>
          </w:p>
          <w:p w14:paraId="7BEB281C" w14:textId="47AA5BB0" w:rsidR="00C246E7" w:rsidRPr="007D20E4" w:rsidRDefault="0001284D" w:rsidP="00C246E7">
            <w:pPr>
              <w:rPr>
                <w:color w:val="000000"/>
                <w:sz w:val="20"/>
                <w:lang w:val="es-ES_tradnl"/>
              </w:rPr>
            </w:pPr>
            <w:r>
              <w:rPr>
                <w:color w:val="000000"/>
                <w:sz w:val="20"/>
                <w:lang w:val="es-ES_tradnl"/>
              </w:rPr>
              <w:t>Que las normas de gobierno corporativo y transparencia se estén implementando.</w:t>
            </w:r>
          </w:p>
          <w:p w14:paraId="076EC05F" w14:textId="77777777" w:rsidR="00C246E7" w:rsidRPr="007D20E4" w:rsidRDefault="00C246E7" w:rsidP="00C246E7">
            <w:pPr>
              <w:rPr>
                <w:color w:val="000000"/>
                <w:sz w:val="20"/>
                <w:lang w:val="es-ES_tradnl"/>
              </w:rPr>
            </w:pPr>
          </w:p>
          <w:p w14:paraId="3ED6BC47" w14:textId="77777777" w:rsidR="00C246E7" w:rsidRDefault="00C246E7" w:rsidP="00C246E7">
            <w:pPr>
              <w:pStyle w:val="Paragraph"/>
              <w:tabs>
                <w:tab w:val="left" w:pos="1260"/>
              </w:tabs>
              <w:autoSpaceDN/>
              <w:spacing w:before="0" w:after="0"/>
              <w:ind w:left="14"/>
              <w:textAlignment w:val="auto"/>
              <w:rPr>
                <w:color w:val="000000"/>
                <w:sz w:val="20"/>
                <w:lang w:val="es-ES_tradnl"/>
              </w:rPr>
            </w:pPr>
          </w:p>
          <w:p w14:paraId="4F01B95F" w14:textId="6D8C4255" w:rsidR="00C246E7" w:rsidRPr="007D20E4" w:rsidRDefault="00364CA1" w:rsidP="00C246E7">
            <w:pPr>
              <w:pStyle w:val="Paragraph"/>
              <w:tabs>
                <w:tab w:val="left" w:pos="1260"/>
              </w:tabs>
              <w:autoSpaceDN/>
              <w:spacing w:before="0" w:after="0"/>
              <w:ind w:left="14"/>
              <w:textAlignment w:val="auto"/>
              <w:rPr>
                <w:color w:val="000000"/>
                <w:sz w:val="20"/>
                <w:lang w:val="es-ES_tradnl"/>
              </w:rPr>
            </w:pPr>
            <w:r>
              <w:rPr>
                <w:color w:val="000000"/>
                <w:sz w:val="20"/>
                <w:lang w:val="es-ES_tradnl"/>
              </w:rPr>
              <w:t xml:space="preserve">Que se haya </w:t>
            </w:r>
            <w:r w:rsidR="00C246E7">
              <w:rPr>
                <w:color w:val="000000"/>
                <w:sz w:val="20"/>
                <w:lang w:val="es-ES_tradnl"/>
              </w:rPr>
              <w:t>avanzado en la preparación</w:t>
            </w:r>
            <w:r>
              <w:rPr>
                <w:color w:val="000000"/>
                <w:sz w:val="20"/>
                <w:lang w:val="es-ES_tradnl"/>
              </w:rPr>
              <w:t xml:space="preserve"> de </w:t>
            </w:r>
            <w:r w:rsidR="00C246E7">
              <w:rPr>
                <w:color w:val="000000"/>
                <w:sz w:val="20"/>
                <w:lang w:val="es-ES_tradnl"/>
              </w:rPr>
              <w:t>un</w:t>
            </w:r>
            <w:r>
              <w:rPr>
                <w:color w:val="000000"/>
                <w:sz w:val="20"/>
                <w:lang w:val="es-ES_tradnl"/>
              </w:rPr>
              <w:t xml:space="preserve"> </w:t>
            </w:r>
            <w:r w:rsidR="00C246E7" w:rsidRPr="007D20E4">
              <w:rPr>
                <w:color w:val="000000"/>
                <w:sz w:val="20"/>
                <w:lang w:val="es-ES_tradnl"/>
              </w:rPr>
              <w:t>anteproyecto de Ley de Actualización del Marco Normativo de la Profesión Contable en Panamá y del Código de Ética de la Profesión Contable, en base a las mejores prácticas.</w:t>
            </w:r>
          </w:p>
          <w:p w14:paraId="10315997" w14:textId="77777777" w:rsidR="00C246E7" w:rsidRPr="003E2A3A" w:rsidRDefault="00C246E7" w:rsidP="00C33E76">
            <w:pPr>
              <w:pStyle w:val="Paragraph"/>
              <w:tabs>
                <w:tab w:val="left" w:pos="1260"/>
              </w:tabs>
              <w:autoSpaceDN/>
              <w:spacing w:before="0" w:after="0"/>
              <w:ind w:left="14"/>
              <w:textAlignment w:val="auto"/>
              <w:rPr>
                <w:bCs/>
                <w:color w:val="000000"/>
                <w:sz w:val="20"/>
                <w:lang w:val="es-ES_tradnl"/>
              </w:rPr>
            </w:pPr>
          </w:p>
        </w:tc>
        <w:tc>
          <w:tcPr>
            <w:tcW w:w="4632" w:type="dxa"/>
            <w:tcBorders>
              <w:bottom w:val="single" w:sz="8" w:space="0" w:color="000000"/>
            </w:tcBorders>
            <w:shd w:val="clear" w:color="auto" w:fill="FFFFFF"/>
          </w:tcPr>
          <w:p w14:paraId="5046B4CB" w14:textId="77777777" w:rsidR="00900FB8" w:rsidRPr="006F68E3" w:rsidRDefault="00900FB8" w:rsidP="00565F71">
            <w:pPr>
              <w:ind w:left="150" w:right="142"/>
              <w:rPr>
                <w:sz w:val="20"/>
                <w:lang w:val="es-ES_tradnl"/>
              </w:rPr>
            </w:pPr>
          </w:p>
          <w:p w14:paraId="4392BFC4" w14:textId="5F4C12BB" w:rsidR="002C245B" w:rsidRPr="006F68E3" w:rsidRDefault="002C245B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  <w:r w:rsidRPr="006F68E3">
              <w:rPr>
                <w:sz w:val="20"/>
                <w:lang w:val="es-ES_tradnl"/>
              </w:rPr>
              <w:t xml:space="preserve">Certificación </w:t>
            </w:r>
            <w:r w:rsidR="00581238">
              <w:rPr>
                <w:sz w:val="20"/>
                <w:lang w:val="es-ES_tradnl"/>
              </w:rPr>
              <w:t>del Superintendente</w:t>
            </w:r>
            <w:r w:rsidRPr="006F68E3">
              <w:rPr>
                <w:sz w:val="20"/>
                <w:lang w:val="es-ES_tradnl"/>
              </w:rPr>
              <w:t xml:space="preserve"> de </w:t>
            </w:r>
            <w:r w:rsidR="00E93398">
              <w:rPr>
                <w:sz w:val="20"/>
                <w:lang w:val="es-ES_tradnl"/>
              </w:rPr>
              <w:t xml:space="preserve">Bancos </w:t>
            </w:r>
            <w:r w:rsidR="00581238">
              <w:rPr>
                <w:sz w:val="20"/>
                <w:lang w:val="es-ES_tradnl"/>
              </w:rPr>
              <w:t>sobre la</w:t>
            </w:r>
            <w:r w:rsidRPr="006F68E3">
              <w:rPr>
                <w:sz w:val="20"/>
                <w:lang w:val="es-ES_tradnl"/>
              </w:rPr>
              <w:t xml:space="preserve"> vigencia de las normas de gobierno corporativo y transparencia</w:t>
            </w:r>
            <w:r w:rsidR="00581238">
              <w:rPr>
                <w:sz w:val="20"/>
                <w:lang w:val="es-ES_tradnl"/>
              </w:rPr>
              <w:t xml:space="preserve"> e informe de su implementación</w:t>
            </w:r>
            <w:r w:rsidRPr="006F68E3">
              <w:rPr>
                <w:sz w:val="20"/>
                <w:lang w:val="es-ES_tradnl"/>
              </w:rPr>
              <w:t>.</w:t>
            </w:r>
          </w:p>
          <w:p w14:paraId="6FD38AE2" w14:textId="77777777" w:rsidR="00D02BDF" w:rsidRPr="006F68E3" w:rsidRDefault="00D02BDF" w:rsidP="00565F71">
            <w:pPr>
              <w:ind w:right="142"/>
              <w:rPr>
                <w:sz w:val="20"/>
                <w:lang w:val="es-ES_tradnl"/>
              </w:rPr>
            </w:pPr>
          </w:p>
          <w:p w14:paraId="2183E149" w14:textId="047780DB" w:rsidR="003D307D" w:rsidRPr="006F68E3" w:rsidRDefault="00D02BDF" w:rsidP="00565F71">
            <w:pPr>
              <w:ind w:left="144" w:right="144"/>
              <w:rPr>
                <w:sz w:val="20"/>
                <w:lang w:val="es-ES_tradnl"/>
              </w:rPr>
            </w:pPr>
            <w:r w:rsidRPr="006F68E3">
              <w:rPr>
                <w:sz w:val="20"/>
                <w:lang w:val="es-ES_tradnl"/>
              </w:rPr>
              <w:t xml:space="preserve">Certificación </w:t>
            </w:r>
            <w:r w:rsidR="00C20D89">
              <w:rPr>
                <w:sz w:val="20"/>
                <w:lang w:val="es-ES_tradnl"/>
              </w:rPr>
              <w:t xml:space="preserve">del Superintendente </w:t>
            </w:r>
            <w:r w:rsidR="00E93398">
              <w:rPr>
                <w:sz w:val="20"/>
                <w:lang w:val="es-ES_tradnl"/>
              </w:rPr>
              <w:t xml:space="preserve">de Bancos </w:t>
            </w:r>
            <w:r w:rsidR="00114AB1">
              <w:rPr>
                <w:sz w:val="20"/>
                <w:lang w:val="es-ES_tradnl"/>
              </w:rPr>
              <w:t xml:space="preserve">sobre </w:t>
            </w:r>
            <w:r w:rsidR="00C20D89">
              <w:rPr>
                <w:sz w:val="20"/>
                <w:lang w:val="es-ES_tradnl"/>
              </w:rPr>
              <w:t>la</w:t>
            </w:r>
            <w:r w:rsidR="00114AB1">
              <w:rPr>
                <w:sz w:val="20"/>
                <w:lang w:val="es-ES_tradnl"/>
              </w:rPr>
              <w:t xml:space="preserve"> finalización </w:t>
            </w:r>
            <w:r w:rsidRPr="006F68E3">
              <w:rPr>
                <w:sz w:val="20"/>
                <w:lang w:val="es-ES_tradnl"/>
              </w:rPr>
              <w:t xml:space="preserve">de la elaboración del </w:t>
            </w:r>
            <w:r w:rsidR="00114AB1">
              <w:rPr>
                <w:sz w:val="20"/>
                <w:lang w:val="es-ES_tradnl"/>
              </w:rPr>
              <w:t xml:space="preserve">borrador de </w:t>
            </w:r>
            <w:r w:rsidRPr="006F68E3">
              <w:rPr>
                <w:sz w:val="20"/>
                <w:lang w:val="es-ES_tradnl"/>
              </w:rPr>
              <w:t>anteproyecto de Ley de Actualización de</w:t>
            </w:r>
            <w:r w:rsidR="00C20D89">
              <w:rPr>
                <w:sz w:val="20"/>
                <w:lang w:val="es-ES_tradnl"/>
              </w:rPr>
              <w:t xml:space="preserve">l Marco Normativo </w:t>
            </w:r>
            <w:r w:rsidRPr="006F68E3">
              <w:rPr>
                <w:sz w:val="20"/>
                <w:lang w:val="es-ES_tradnl"/>
              </w:rPr>
              <w:t>de la Profesión Contable en Panamá</w:t>
            </w:r>
            <w:r w:rsidR="00C20D89">
              <w:rPr>
                <w:sz w:val="20"/>
                <w:lang w:val="es-ES_tradnl"/>
              </w:rPr>
              <w:t xml:space="preserve"> y del Código de Ética de la profesión Contable, en base a las mejores prácticas</w:t>
            </w:r>
            <w:r w:rsidRPr="006F68E3">
              <w:rPr>
                <w:sz w:val="20"/>
                <w:lang w:val="es-ES_tradnl"/>
              </w:rPr>
              <w:t xml:space="preserve">. </w:t>
            </w:r>
          </w:p>
        </w:tc>
      </w:tr>
      <w:tr w:rsidR="00973432" w:rsidRPr="003E2A3A" w14:paraId="1F24E312" w14:textId="77777777" w:rsidTr="0015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0142" w14:textId="657C1241" w:rsidR="00973432" w:rsidRPr="006F68E3" w:rsidRDefault="00973432" w:rsidP="00565F71">
            <w:pPr>
              <w:ind w:left="1435" w:right="142"/>
              <w:rPr>
                <w:b/>
                <w:bCs/>
                <w:sz w:val="20"/>
                <w:lang w:val="es-ES_tradnl"/>
              </w:rPr>
            </w:pPr>
          </w:p>
        </w:tc>
      </w:tr>
      <w:tr w:rsidR="00900FB8" w:rsidRPr="003E2A3A" w14:paraId="20E50FA5" w14:textId="77777777" w:rsidTr="00973432">
        <w:tc>
          <w:tcPr>
            <w:tcW w:w="3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F5D0" w14:textId="77777777" w:rsidR="00900FB8" w:rsidRPr="003E2A3A" w:rsidRDefault="00900FB8" w:rsidP="00B86804">
            <w:pPr>
              <w:rPr>
                <w:bCs/>
                <w:color w:val="000000"/>
                <w:sz w:val="20"/>
              </w:rPr>
            </w:pPr>
          </w:p>
          <w:p w14:paraId="490E2951" w14:textId="77777777" w:rsidR="00900FB8" w:rsidRPr="003E2A3A" w:rsidRDefault="00900FB8" w:rsidP="00B86804">
            <w:pPr>
              <w:rPr>
                <w:bCs/>
                <w:color w:val="000000"/>
                <w:sz w:val="20"/>
                <w:lang w:val="es-ES_tradnl"/>
              </w:rPr>
            </w:pPr>
            <w:r w:rsidRPr="003E2A3A">
              <w:rPr>
                <w:b/>
                <w:bCs/>
                <w:color w:val="000000"/>
                <w:sz w:val="20"/>
                <w:lang w:val="es-ES_tradnl"/>
              </w:rPr>
              <w:t xml:space="preserve">Adaptación del diseño organizativo </w:t>
            </w:r>
            <w:r w:rsidR="000479AF">
              <w:rPr>
                <w:b/>
                <w:bCs/>
                <w:color w:val="000000"/>
                <w:sz w:val="20"/>
                <w:lang w:val="es-ES_tradnl"/>
              </w:rPr>
              <w:t xml:space="preserve">de la SBP </w:t>
            </w:r>
            <w:r w:rsidRPr="00565F71">
              <w:rPr>
                <w:bCs/>
                <w:color w:val="000000"/>
                <w:sz w:val="20"/>
                <w:lang w:val="es-ES_tradnl"/>
              </w:rPr>
              <w:t>a la nueva regulación</w:t>
            </w:r>
            <w:r w:rsidRPr="003E2A3A">
              <w:rPr>
                <w:bCs/>
                <w:color w:val="000000"/>
                <w:sz w:val="20"/>
                <w:lang w:val="es-ES_tradnl"/>
              </w:rPr>
              <w:t xml:space="preserve"> y supervisión basada en riesgos.</w:t>
            </w:r>
          </w:p>
          <w:p w14:paraId="3F53F2D3" w14:textId="77777777" w:rsidR="00900FB8" w:rsidRPr="003E2A3A" w:rsidRDefault="00900FB8" w:rsidP="00B86804">
            <w:pPr>
              <w:rPr>
                <w:bCs/>
                <w:color w:val="000000"/>
                <w:sz w:val="20"/>
                <w:lang w:val="es-ES_tradnl"/>
              </w:rPr>
            </w:pPr>
          </w:p>
          <w:p w14:paraId="12975FCC" w14:textId="77777777" w:rsidR="00900FB8" w:rsidRPr="003E2A3A" w:rsidRDefault="00900FB8" w:rsidP="00B86804">
            <w:pPr>
              <w:rPr>
                <w:bCs/>
                <w:color w:val="000000"/>
                <w:sz w:val="20"/>
                <w:lang w:val="es-ES_tradnl"/>
              </w:rPr>
            </w:pPr>
          </w:p>
          <w:p w14:paraId="5442D21A" w14:textId="77777777" w:rsidR="00900FB8" w:rsidRPr="003E2A3A" w:rsidRDefault="00900FB8" w:rsidP="00B86804">
            <w:pPr>
              <w:rPr>
                <w:bCs/>
                <w:color w:val="000000"/>
                <w:sz w:val="20"/>
                <w:lang w:val="es-ES_tradnl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03BE" w14:textId="77777777" w:rsidR="00900FB8" w:rsidRPr="003E2A3A" w:rsidRDefault="00900FB8" w:rsidP="00B86804">
            <w:pPr>
              <w:rPr>
                <w:bCs/>
                <w:color w:val="000000"/>
                <w:sz w:val="20"/>
                <w:lang w:val="es-ES_tradnl"/>
              </w:rPr>
            </w:pPr>
          </w:p>
          <w:p w14:paraId="173350C4" w14:textId="63D5263F" w:rsidR="00C246E7" w:rsidRPr="007D20E4" w:rsidRDefault="00C246E7" w:rsidP="00C246E7">
            <w:pPr>
              <w:rPr>
                <w:color w:val="000000"/>
                <w:sz w:val="20"/>
                <w:lang w:val="es-ES_tradnl"/>
              </w:rPr>
            </w:pPr>
            <w:r>
              <w:rPr>
                <w:color w:val="000000"/>
                <w:sz w:val="20"/>
                <w:lang w:val="es-ES_tradnl"/>
              </w:rPr>
              <w:t>Que se haya f</w:t>
            </w:r>
            <w:r w:rsidRPr="007D20E4">
              <w:rPr>
                <w:color w:val="000000"/>
                <w:sz w:val="20"/>
                <w:lang w:val="es-ES_tradnl"/>
              </w:rPr>
              <w:t>ortaleci</w:t>
            </w:r>
            <w:r>
              <w:rPr>
                <w:color w:val="000000"/>
                <w:sz w:val="20"/>
                <w:lang w:val="es-ES_tradnl"/>
              </w:rPr>
              <w:t>do</w:t>
            </w:r>
            <w:r w:rsidRPr="007D20E4">
              <w:rPr>
                <w:color w:val="000000"/>
                <w:sz w:val="20"/>
                <w:lang w:val="es-ES_tradnl"/>
              </w:rPr>
              <w:t xml:space="preserve"> la Gerencia de Coordinación, Calidad y Políticas de Supervisión de la SBP</w:t>
            </w:r>
            <w:r>
              <w:rPr>
                <w:color w:val="000000"/>
                <w:sz w:val="20"/>
                <w:lang w:val="es-ES_tradnl"/>
              </w:rPr>
              <w:t xml:space="preserve"> mediante la dotación de personal</w:t>
            </w:r>
            <w:r w:rsidRPr="007D20E4">
              <w:rPr>
                <w:color w:val="000000"/>
                <w:sz w:val="20"/>
                <w:lang w:val="es-ES_tradnl"/>
              </w:rPr>
              <w:t>.</w:t>
            </w:r>
          </w:p>
          <w:p w14:paraId="26AE2048" w14:textId="77777777" w:rsidR="00C246E7" w:rsidRPr="007D20E4" w:rsidRDefault="00C246E7" w:rsidP="00C246E7">
            <w:pPr>
              <w:rPr>
                <w:color w:val="000000"/>
                <w:sz w:val="20"/>
                <w:lang w:val="es-ES_tradnl"/>
              </w:rPr>
            </w:pPr>
          </w:p>
          <w:p w14:paraId="01194306" w14:textId="21298FD9" w:rsidR="00900FB8" w:rsidRPr="003E2A3A" w:rsidRDefault="00C246E7" w:rsidP="00C33E76">
            <w:pPr>
              <w:ind w:left="29"/>
              <w:rPr>
                <w:color w:val="000000"/>
                <w:sz w:val="20"/>
                <w:lang w:val="es-ES_tradnl"/>
              </w:rPr>
            </w:pPr>
            <w:r>
              <w:rPr>
                <w:color w:val="000000"/>
                <w:sz w:val="20"/>
                <w:lang w:val="es-ES_tradnl"/>
              </w:rPr>
              <w:t>Que las acciones contempladas en el</w:t>
            </w:r>
            <w:r w:rsidRPr="007D20E4">
              <w:rPr>
                <w:color w:val="000000"/>
                <w:sz w:val="20"/>
                <w:lang w:val="es-ES_tradnl"/>
              </w:rPr>
              <w:t xml:space="preserve"> plan de control de calidad de firmas de auditoría externa</w:t>
            </w:r>
            <w:r>
              <w:rPr>
                <w:color w:val="000000"/>
                <w:sz w:val="20"/>
                <w:lang w:val="es-ES_tradnl"/>
              </w:rPr>
              <w:t xml:space="preserve"> se estén implementando adecuadamente</w:t>
            </w:r>
            <w:r w:rsidRPr="007D20E4">
              <w:rPr>
                <w:color w:val="000000"/>
                <w:sz w:val="20"/>
                <w:lang w:val="es-ES_tradnl"/>
              </w:rPr>
              <w:t>.</w:t>
            </w:r>
          </w:p>
        </w:tc>
        <w:tc>
          <w:tcPr>
            <w:tcW w:w="4632" w:type="dxa"/>
            <w:shd w:val="clear" w:color="auto" w:fill="FFFFFF"/>
          </w:tcPr>
          <w:p w14:paraId="412D00FD" w14:textId="77777777" w:rsidR="00900FB8" w:rsidRPr="006F68E3" w:rsidRDefault="00900FB8" w:rsidP="00565F71">
            <w:pPr>
              <w:ind w:left="150" w:right="142"/>
              <w:rPr>
                <w:bCs/>
                <w:sz w:val="20"/>
                <w:lang w:val="es-ES_tradnl"/>
              </w:rPr>
            </w:pPr>
          </w:p>
          <w:p w14:paraId="768BD282" w14:textId="52803905" w:rsidR="00D02BDF" w:rsidRPr="006F68E3" w:rsidRDefault="00D02BDF" w:rsidP="00565F71">
            <w:pPr>
              <w:ind w:left="150" w:right="142"/>
              <w:rPr>
                <w:bCs/>
                <w:sz w:val="20"/>
              </w:rPr>
            </w:pPr>
            <w:r w:rsidRPr="006F68E3">
              <w:rPr>
                <w:bCs/>
                <w:sz w:val="20"/>
                <w:lang w:val="es-ES_tradnl"/>
              </w:rPr>
              <w:t>Certificación</w:t>
            </w:r>
            <w:r w:rsidRPr="006F68E3">
              <w:rPr>
                <w:bCs/>
                <w:sz w:val="20"/>
              </w:rPr>
              <w:t xml:space="preserve"> </w:t>
            </w:r>
            <w:r w:rsidR="009700CD">
              <w:rPr>
                <w:bCs/>
                <w:sz w:val="20"/>
              </w:rPr>
              <w:t xml:space="preserve">del Superintendente </w:t>
            </w:r>
            <w:r w:rsidRPr="00C33E76">
              <w:rPr>
                <w:sz w:val="20"/>
                <w:lang w:val="es-ES_tradnl"/>
              </w:rPr>
              <w:t xml:space="preserve">de </w:t>
            </w:r>
            <w:r w:rsidR="00E93398">
              <w:rPr>
                <w:sz w:val="20"/>
                <w:lang w:val="es-ES_tradnl"/>
              </w:rPr>
              <w:t>Bancos</w:t>
            </w:r>
            <w:r w:rsidRPr="006F68E3">
              <w:rPr>
                <w:bCs/>
                <w:sz w:val="20"/>
              </w:rPr>
              <w:t>de la contratación de personal en la Gerencia de Coordinación, Calidad y Políticas de Supervisión.</w:t>
            </w:r>
          </w:p>
          <w:p w14:paraId="6D17C068" w14:textId="77777777" w:rsidR="00D02BDF" w:rsidRPr="006F68E3" w:rsidRDefault="00D02BDF" w:rsidP="00565F71">
            <w:pPr>
              <w:ind w:left="150" w:right="142"/>
              <w:rPr>
                <w:bCs/>
                <w:sz w:val="20"/>
              </w:rPr>
            </w:pPr>
          </w:p>
          <w:p w14:paraId="433D474C" w14:textId="25D20905" w:rsidR="00FD358D" w:rsidRPr="00C33E76" w:rsidRDefault="00D02BDF" w:rsidP="00C33E76">
            <w:pPr>
              <w:ind w:left="150" w:right="142"/>
              <w:rPr>
                <w:b/>
                <w:sz w:val="20"/>
              </w:rPr>
            </w:pPr>
            <w:r w:rsidRPr="006F68E3">
              <w:rPr>
                <w:bCs/>
                <w:sz w:val="20"/>
              </w:rPr>
              <w:t xml:space="preserve">Certificación </w:t>
            </w:r>
            <w:r w:rsidR="009700CD">
              <w:rPr>
                <w:bCs/>
                <w:sz w:val="20"/>
              </w:rPr>
              <w:t xml:space="preserve">Superintendente </w:t>
            </w:r>
            <w:r w:rsidR="00E93398" w:rsidRPr="00C33E76">
              <w:rPr>
                <w:sz w:val="20"/>
                <w:lang w:val="es-ES_tradnl"/>
              </w:rPr>
              <w:t xml:space="preserve">de </w:t>
            </w:r>
            <w:r w:rsidR="00E93398">
              <w:rPr>
                <w:sz w:val="20"/>
                <w:lang w:val="es-ES_tradnl"/>
              </w:rPr>
              <w:t>Bancos informando</w:t>
            </w:r>
            <w:r w:rsidRPr="00C33E76">
              <w:rPr>
                <w:sz w:val="20"/>
                <w:lang w:val="es-ES_tradnl"/>
              </w:rPr>
              <w:t xml:space="preserve"> </w:t>
            </w:r>
            <w:r w:rsidRPr="006F68E3">
              <w:rPr>
                <w:bCs/>
                <w:sz w:val="20"/>
              </w:rPr>
              <w:t xml:space="preserve">sobre el </w:t>
            </w:r>
            <w:r w:rsidR="009700CD">
              <w:rPr>
                <w:bCs/>
                <w:sz w:val="20"/>
              </w:rPr>
              <w:t>estado de avance de las acciones previstas en el</w:t>
            </w:r>
            <w:r w:rsidR="00114AB1">
              <w:rPr>
                <w:bCs/>
                <w:sz w:val="20"/>
              </w:rPr>
              <w:t xml:space="preserve"> </w:t>
            </w:r>
            <w:r w:rsidR="00786EC8" w:rsidRPr="006F68E3">
              <w:rPr>
                <w:bCs/>
                <w:sz w:val="20"/>
              </w:rPr>
              <w:t xml:space="preserve">plan de </w:t>
            </w:r>
            <w:r w:rsidRPr="006F68E3">
              <w:rPr>
                <w:bCs/>
                <w:sz w:val="20"/>
              </w:rPr>
              <w:t>control de calidad de firmas de auditoría</w:t>
            </w:r>
            <w:r w:rsidR="00114AB1">
              <w:rPr>
                <w:bCs/>
                <w:sz w:val="20"/>
              </w:rPr>
              <w:t xml:space="preserve">. </w:t>
            </w:r>
          </w:p>
        </w:tc>
      </w:tr>
      <w:tr w:rsidR="00C246E7" w:rsidRPr="003E2A3A" w14:paraId="61002E80" w14:textId="77777777" w:rsidTr="00F8004D">
        <w:tc>
          <w:tcPr>
            <w:tcW w:w="3815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E90A" w14:textId="77777777" w:rsidR="00C246E7" w:rsidRPr="003E2A3A" w:rsidRDefault="00C246E7" w:rsidP="00B86804">
            <w:pPr>
              <w:rPr>
                <w:bCs/>
                <w:color w:val="000000"/>
                <w:sz w:val="20"/>
                <w:lang w:val="es-ES_tradnl"/>
              </w:rPr>
            </w:pPr>
          </w:p>
          <w:p w14:paraId="2819CBAC" w14:textId="77777777" w:rsidR="00C246E7" w:rsidRPr="003E2A3A" w:rsidRDefault="00C246E7" w:rsidP="00B86804">
            <w:pPr>
              <w:rPr>
                <w:bCs/>
                <w:color w:val="000000"/>
                <w:sz w:val="20"/>
                <w:lang w:val="es-ES_tradnl"/>
              </w:rPr>
            </w:pPr>
            <w:r w:rsidRPr="003E2A3A">
              <w:rPr>
                <w:b/>
                <w:bCs/>
                <w:color w:val="000000"/>
                <w:sz w:val="20"/>
                <w:lang w:val="es-ES_tradnl"/>
              </w:rPr>
              <w:t>Mejora de la capacitación</w:t>
            </w:r>
            <w:r w:rsidRPr="003E2A3A">
              <w:rPr>
                <w:bCs/>
                <w:color w:val="000000"/>
                <w:sz w:val="20"/>
                <w:lang w:val="es-ES_tradnl"/>
              </w:rPr>
              <w:t xml:space="preserve"> y entrenamiento del personal y de la política de recursos humanos de la SBP. </w:t>
            </w:r>
          </w:p>
          <w:p w14:paraId="00A75151" w14:textId="77777777" w:rsidR="00C246E7" w:rsidRPr="003E2A3A" w:rsidRDefault="00C246E7" w:rsidP="00B86804">
            <w:pPr>
              <w:rPr>
                <w:bCs/>
                <w:color w:val="000000"/>
                <w:sz w:val="20"/>
                <w:lang w:val="es-ES_tradnl"/>
              </w:rPr>
            </w:pPr>
          </w:p>
          <w:p w14:paraId="2DE73D02" w14:textId="77777777" w:rsidR="00C246E7" w:rsidRPr="003E2A3A" w:rsidRDefault="00C246E7" w:rsidP="00B86804">
            <w:pPr>
              <w:rPr>
                <w:bCs/>
                <w:color w:val="000000"/>
                <w:sz w:val="20"/>
                <w:lang w:val="es-ES_tradnl"/>
              </w:rPr>
            </w:pPr>
          </w:p>
        </w:tc>
        <w:tc>
          <w:tcPr>
            <w:tcW w:w="4678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527E" w14:textId="77777777" w:rsidR="00C246E7" w:rsidRPr="007D20E4" w:rsidRDefault="00C246E7" w:rsidP="001D2C35">
            <w:pPr>
              <w:jc w:val="both"/>
              <w:rPr>
                <w:color w:val="000000"/>
                <w:sz w:val="20"/>
                <w:lang w:val="es-ES_tradnl"/>
              </w:rPr>
            </w:pPr>
          </w:p>
          <w:p w14:paraId="289565CF" w14:textId="6994D028" w:rsidR="00C246E7" w:rsidRPr="007D20E4" w:rsidRDefault="00C246E7" w:rsidP="001D2C35">
            <w:pPr>
              <w:rPr>
                <w:bCs/>
                <w:color w:val="000000"/>
                <w:sz w:val="20"/>
                <w:lang w:val="es-ES_tradnl"/>
              </w:rPr>
            </w:pPr>
            <w:r w:rsidRPr="007324B0">
              <w:rPr>
                <w:bCs/>
                <w:color w:val="000000"/>
                <w:sz w:val="20"/>
                <w:lang w:val="es-ES_tradnl"/>
              </w:rPr>
              <w:t>Que el personal de la SBP se esté capacitando de acuerdo con lo previsto en los planes de capacitación y se cumplan las acciones previstas en</w:t>
            </w:r>
            <w:r>
              <w:rPr>
                <w:bCs/>
                <w:color w:val="000000"/>
                <w:sz w:val="20"/>
                <w:lang w:val="es-ES_tradnl"/>
              </w:rPr>
              <w:t xml:space="preserve"> </w:t>
            </w:r>
            <w:r w:rsidRPr="007324B0">
              <w:rPr>
                <w:bCs/>
                <w:color w:val="000000"/>
                <w:sz w:val="20"/>
                <w:lang w:val="es-ES_tradnl"/>
              </w:rPr>
              <w:t>el código de ética, el plan de carrera, y la política salarial.</w:t>
            </w:r>
          </w:p>
          <w:p w14:paraId="066F709C" w14:textId="77777777" w:rsidR="00EF446F" w:rsidRDefault="00EF446F" w:rsidP="001D2C35">
            <w:pPr>
              <w:rPr>
                <w:bCs/>
                <w:color w:val="000000"/>
                <w:sz w:val="20"/>
                <w:lang w:val="es-ES_tradnl"/>
              </w:rPr>
            </w:pPr>
          </w:p>
          <w:p w14:paraId="7C3FC78E" w14:textId="77777777" w:rsidR="00EF446F" w:rsidRDefault="00EF446F" w:rsidP="001D2C35">
            <w:pPr>
              <w:rPr>
                <w:bCs/>
                <w:color w:val="000000"/>
                <w:sz w:val="20"/>
                <w:lang w:val="es-ES_tradnl"/>
              </w:rPr>
            </w:pPr>
          </w:p>
          <w:p w14:paraId="35D78198" w14:textId="0D026B85" w:rsidR="00EF446F" w:rsidRDefault="00EF446F" w:rsidP="001D2C35">
            <w:pPr>
              <w:rPr>
                <w:bCs/>
                <w:color w:val="000000"/>
                <w:sz w:val="20"/>
                <w:lang w:val="es-ES_tradnl"/>
              </w:rPr>
            </w:pPr>
          </w:p>
          <w:p w14:paraId="27936EC6" w14:textId="253501E0" w:rsidR="00C246E7" w:rsidRPr="007D20E4" w:rsidRDefault="00C246E7" w:rsidP="001D2C35">
            <w:pPr>
              <w:rPr>
                <w:bCs/>
                <w:color w:val="000000"/>
                <w:sz w:val="20"/>
                <w:lang w:val="es-ES_tradnl"/>
              </w:rPr>
            </w:pPr>
            <w:r>
              <w:rPr>
                <w:bCs/>
                <w:color w:val="000000"/>
                <w:sz w:val="20"/>
                <w:lang w:val="es-ES_tradnl"/>
              </w:rPr>
              <w:t xml:space="preserve">Que se haya revisado </w:t>
            </w:r>
            <w:r w:rsidRPr="007D20E4">
              <w:rPr>
                <w:bCs/>
                <w:color w:val="000000"/>
                <w:sz w:val="20"/>
                <w:lang w:val="es-ES_tradnl"/>
              </w:rPr>
              <w:t xml:space="preserve">el Manual de Descripción de Cargos (MDC) y el Manual de Organización y Funciones (MOF) y </w:t>
            </w:r>
            <w:r>
              <w:rPr>
                <w:bCs/>
                <w:color w:val="000000"/>
                <w:sz w:val="20"/>
                <w:lang w:val="es-ES_tradnl"/>
              </w:rPr>
              <w:t xml:space="preserve">se  hayan aprobado las </w:t>
            </w:r>
            <w:r w:rsidRPr="007D20E4">
              <w:rPr>
                <w:bCs/>
                <w:color w:val="000000"/>
                <w:sz w:val="20"/>
                <w:lang w:val="es-ES_tradnl"/>
              </w:rPr>
              <w:t xml:space="preserve">modificaciones </w:t>
            </w:r>
            <w:r>
              <w:rPr>
                <w:bCs/>
                <w:color w:val="000000"/>
                <w:sz w:val="20"/>
                <w:lang w:val="es-ES_tradnl"/>
              </w:rPr>
              <w:t>recomendadas</w:t>
            </w:r>
            <w:r w:rsidRPr="007D20E4">
              <w:rPr>
                <w:bCs/>
                <w:color w:val="000000"/>
                <w:sz w:val="20"/>
                <w:lang w:val="es-ES_tradnl"/>
              </w:rPr>
              <w:t>.</w:t>
            </w:r>
          </w:p>
          <w:p w14:paraId="5E0D7181" w14:textId="77777777" w:rsidR="00C246E7" w:rsidRPr="007D20E4" w:rsidRDefault="00C246E7" w:rsidP="001D2C35">
            <w:pPr>
              <w:rPr>
                <w:bCs/>
                <w:color w:val="000000"/>
                <w:sz w:val="20"/>
                <w:lang w:val="es-ES_tradnl"/>
              </w:rPr>
            </w:pPr>
          </w:p>
          <w:p w14:paraId="44C837F5" w14:textId="1D95531A" w:rsidR="00C246E7" w:rsidRPr="003E2A3A" w:rsidRDefault="00C246E7" w:rsidP="00E57845">
            <w:pPr>
              <w:rPr>
                <w:bCs/>
                <w:color w:val="000000"/>
                <w:sz w:val="20"/>
                <w:lang w:val="es-ES_tradnl"/>
              </w:rPr>
            </w:pPr>
            <w:r>
              <w:rPr>
                <w:bCs/>
                <w:color w:val="000000"/>
                <w:sz w:val="20"/>
                <w:lang w:val="es-ES_tradnl"/>
              </w:rPr>
              <w:t xml:space="preserve">Que </w:t>
            </w:r>
            <w:r w:rsidRPr="007D20E4">
              <w:rPr>
                <w:bCs/>
                <w:color w:val="000000"/>
                <w:sz w:val="20"/>
                <w:lang w:val="es-ES_tradnl"/>
              </w:rPr>
              <w:t>dentro del programa de capacitación técnica</w:t>
            </w:r>
            <w:r>
              <w:rPr>
                <w:bCs/>
                <w:color w:val="000000"/>
                <w:sz w:val="20"/>
                <w:lang w:val="es-ES_tradnl"/>
              </w:rPr>
              <w:t xml:space="preserve"> se hayan implementado</w:t>
            </w:r>
            <w:r w:rsidRPr="007D20E4">
              <w:rPr>
                <w:bCs/>
                <w:color w:val="000000"/>
                <w:sz w:val="20"/>
                <w:lang w:val="es-ES_tradnl"/>
              </w:rPr>
              <w:t xml:space="preserve"> seminarios dirigidos a supervisores sobre Normas Internacionales de Información Financiera (NIIF) relacionadas con los procesos de supervisión y Normas Internacionales de Auditoría (NIA) interna y externa.</w:t>
            </w:r>
          </w:p>
        </w:tc>
        <w:tc>
          <w:tcPr>
            <w:tcW w:w="4632" w:type="dxa"/>
            <w:tcBorders>
              <w:bottom w:val="single" w:sz="8" w:space="0" w:color="000000"/>
            </w:tcBorders>
            <w:shd w:val="clear" w:color="auto" w:fill="FFFFFF"/>
          </w:tcPr>
          <w:p w14:paraId="50178087" w14:textId="77777777" w:rsidR="00C246E7" w:rsidRPr="006F68E3" w:rsidRDefault="00C246E7" w:rsidP="00565F71">
            <w:pPr>
              <w:ind w:left="150" w:right="142"/>
              <w:jc w:val="both"/>
              <w:rPr>
                <w:b/>
                <w:sz w:val="20"/>
                <w:lang w:val="es-ES_tradnl"/>
              </w:rPr>
            </w:pPr>
          </w:p>
          <w:p w14:paraId="30AAA2AC" w14:textId="5F75FDC5" w:rsidR="00C246E7" w:rsidRPr="006F68E3" w:rsidRDefault="00C246E7" w:rsidP="00565F71">
            <w:pPr>
              <w:ind w:left="150" w:right="142"/>
              <w:rPr>
                <w:bCs/>
                <w:sz w:val="20"/>
                <w:lang w:val="es-ES_tradnl"/>
              </w:rPr>
            </w:pPr>
            <w:r w:rsidRPr="006F68E3">
              <w:rPr>
                <w:sz w:val="20"/>
                <w:lang w:val="es-ES_tradnl"/>
              </w:rPr>
              <w:t xml:space="preserve">Certificación </w:t>
            </w:r>
            <w:r>
              <w:rPr>
                <w:bCs/>
                <w:sz w:val="20"/>
                <w:lang w:val="es-ES_tradnl"/>
              </w:rPr>
              <w:t xml:space="preserve">del </w:t>
            </w:r>
            <w:r>
              <w:rPr>
                <w:sz w:val="20"/>
                <w:lang w:val="es-ES_tradnl"/>
              </w:rPr>
              <w:t xml:space="preserve">Superintendente </w:t>
            </w:r>
            <w:r w:rsidRPr="006F68E3">
              <w:rPr>
                <w:sz w:val="20"/>
                <w:lang w:val="es-ES_tradnl"/>
              </w:rPr>
              <w:t xml:space="preserve">de </w:t>
            </w:r>
            <w:r>
              <w:rPr>
                <w:sz w:val="20"/>
                <w:lang w:val="es-ES_tradnl"/>
              </w:rPr>
              <w:t>Bancos sobre el estado</w:t>
            </w:r>
            <w:r w:rsidRPr="006F68E3">
              <w:rPr>
                <w:sz w:val="20"/>
                <w:lang w:val="es-ES_tradnl"/>
              </w:rPr>
              <w:t xml:space="preserve"> de </w:t>
            </w:r>
            <w:r>
              <w:rPr>
                <w:sz w:val="20"/>
                <w:lang w:val="es-ES_tradnl"/>
              </w:rPr>
              <w:t>avance</w:t>
            </w:r>
            <w:r w:rsidRPr="006F68E3">
              <w:rPr>
                <w:sz w:val="20"/>
                <w:lang w:val="es-ES_tradnl"/>
              </w:rPr>
              <w:t xml:space="preserve"> de </w:t>
            </w:r>
            <w:r>
              <w:rPr>
                <w:sz w:val="20"/>
                <w:lang w:val="es-ES_tradnl"/>
              </w:rPr>
              <w:t xml:space="preserve">las acciones previstas en </w:t>
            </w:r>
            <w:r w:rsidRPr="006F68E3">
              <w:rPr>
                <w:sz w:val="20"/>
                <w:lang w:val="es-ES_tradnl"/>
              </w:rPr>
              <w:t xml:space="preserve">los planes de </w:t>
            </w:r>
            <w:r w:rsidRPr="006F68E3">
              <w:rPr>
                <w:bCs/>
                <w:sz w:val="20"/>
                <w:lang w:val="es-ES_tradnl"/>
              </w:rPr>
              <w:t>capacitación</w:t>
            </w:r>
            <w:r>
              <w:rPr>
                <w:bCs/>
                <w:sz w:val="20"/>
                <w:lang w:val="es-ES_tradnl"/>
              </w:rPr>
              <w:t xml:space="preserve"> y del avance en la implementación de las acciones previstas en</w:t>
            </w:r>
            <w:r w:rsidRPr="006F68E3">
              <w:rPr>
                <w:bCs/>
                <w:sz w:val="20"/>
                <w:lang w:val="es-ES_tradnl"/>
              </w:rPr>
              <w:t xml:space="preserve"> el código de ética, el plan de carrera, y la política salarial.</w:t>
            </w:r>
          </w:p>
          <w:p w14:paraId="1D2F5BFB" w14:textId="77777777" w:rsidR="00C246E7" w:rsidRPr="006F68E3" w:rsidRDefault="00C246E7" w:rsidP="00565F71">
            <w:pPr>
              <w:ind w:left="150" w:right="142"/>
              <w:rPr>
                <w:bCs/>
                <w:sz w:val="20"/>
                <w:lang w:val="es-ES_tradnl"/>
              </w:rPr>
            </w:pPr>
          </w:p>
          <w:p w14:paraId="3CE86834" w14:textId="1A8DFB56" w:rsidR="00C246E7" w:rsidRPr="006F68E3" w:rsidRDefault="00C246E7" w:rsidP="00565F71">
            <w:pPr>
              <w:ind w:left="150" w:right="142"/>
              <w:rPr>
                <w:bCs/>
                <w:sz w:val="20"/>
                <w:lang w:val="es-ES_tradnl"/>
              </w:rPr>
            </w:pPr>
            <w:r w:rsidRPr="006F68E3">
              <w:rPr>
                <w:bCs/>
                <w:sz w:val="20"/>
                <w:lang w:val="es-ES_tradnl"/>
              </w:rPr>
              <w:t xml:space="preserve">Certificación </w:t>
            </w:r>
            <w:r>
              <w:rPr>
                <w:bCs/>
                <w:sz w:val="20"/>
                <w:lang w:val="es-ES_tradnl"/>
              </w:rPr>
              <w:t>del Superintendente</w:t>
            </w:r>
            <w:r w:rsidRPr="006F68E3">
              <w:rPr>
                <w:bCs/>
                <w:sz w:val="20"/>
                <w:lang w:val="es-ES_tradnl"/>
              </w:rPr>
              <w:t xml:space="preserve"> de </w:t>
            </w:r>
            <w:r>
              <w:rPr>
                <w:sz w:val="20"/>
                <w:lang w:val="es-ES_tradnl"/>
              </w:rPr>
              <w:t xml:space="preserve">Bancos </w:t>
            </w:r>
            <w:r>
              <w:rPr>
                <w:bCs/>
                <w:sz w:val="20"/>
                <w:lang w:val="es-ES_tradnl"/>
              </w:rPr>
              <w:t>informando</w:t>
            </w:r>
            <w:r w:rsidRPr="006F68E3">
              <w:rPr>
                <w:bCs/>
                <w:sz w:val="20"/>
                <w:lang w:val="es-ES_tradnl"/>
              </w:rPr>
              <w:t xml:space="preserve"> </w:t>
            </w:r>
            <w:r>
              <w:rPr>
                <w:bCs/>
                <w:sz w:val="20"/>
                <w:lang w:val="es-ES_tradnl"/>
              </w:rPr>
              <w:t>sobre el proceso de</w:t>
            </w:r>
            <w:r w:rsidRPr="006F68E3">
              <w:rPr>
                <w:bCs/>
                <w:sz w:val="20"/>
                <w:lang w:val="es-ES_tradnl"/>
              </w:rPr>
              <w:t xml:space="preserve"> revisión del MDC y el MOF</w:t>
            </w:r>
            <w:r>
              <w:rPr>
                <w:bCs/>
                <w:sz w:val="20"/>
                <w:lang w:val="es-ES_tradnl"/>
              </w:rPr>
              <w:t xml:space="preserve"> y recomendaciones realizadas en dicho proceso</w:t>
            </w:r>
            <w:r w:rsidRPr="006F68E3">
              <w:rPr>
                <w:bCs/>
                <w:sz w:val="20"/>
                <w:lang w:val="es-ES_tradnl"/>
              </w:rPr>
              <w:t>.</w:t>
            </w:r>
          </w:p>
          <w:p w14:paraId="3AF25953" w14:textId="77777777" w:rsidR="00C246E7" w:rsidRPr="006F68E3" w:rsidRDefault="00C246E7" w:rsidP="00565F71">
            <w:pPr>
              <w:ind w:left="150" w:right="142"/>
              <w:rPr>
                <w:b/>
                <w:bCs/>
                <w:sz w:val="20"/>
                <w:lang w:val="es-ES_tradnl"/>
              </w:rPr>
            </w:pPr>
          </w:p>
          <w:p w14:paraId="7E599519" w14:textId="26894D50" w:rsidR="00C246E7" w:rsidRPr="006F68E3" w:rsidRDefault="00C246E7" w:rsidP="00565F71">
            <w:pPr>
              <w:ind w:left="150" w:right="142"/>
              <w:rPr>
                <w:bCs/>
                <w:sz w:val="20"/>
                <w:lang w:val="es-ES_tradnl"/>
              </w:rPr>
            </w:pPr>
            <w:r w:rsidRPr="006F68E3">
              <w:rPr>
                <w:bCs/>
                <w:sz w:val="20"/>
                <w:lang w:val="es-ES_tradnl"/>
              </w:rPr>
              <w:t xml:space="preserve">Certificación </w:t>
            </w:r>
            <w:r>
              <w:rPr>
                <w:bCs/>
                <w:sz w:val="20"/>
                <w:lang w:val="es-ES_tradnl"/>
              </w:rPr>
              <w:t>del Superintendente</w:t>
            </w:r>
            <w:r w:rsidRPr="006F68E3">
              <w:rPr>
                <w:bCs/>
                <w:sz w:val="20"/>
                <w:lang w:val="es-ES_tradnl"/>
              </w:rPr>
              <w:t xml:space="preserve"> de </w:t>
            </w:r>
            <w:r>
              <w:rPr>
                <w:sz w:val="20"/>
                <w:lang w:val="es-ES_tradnl"/>
              </w:rPr>
              <w:t>Bancos i</w:t>
            </w:r>
            <w:r>
              <w:rPr>
                <w:bCs/>
                <w:sz w:val="20"/>
                <w:lang w:val="es-ES_tradnl"/>
              </w:rPr>
              <w:t xml:space="preserve">nformando </w:t>
            </w:r>
            <w:r w:rsidRPr="006F68E3">
              <w:rPr>
                <w:bCs/>
                <w:sz w:val="20"/>
                <w:lang w:val="es-ES_tradnl"/>
              </w:rPr>
              <w:t>de la</w:t>
            </w:r>
            <w:r>
              <w:rPr>
                <w:bCs/>
                <w:sz w:val="20"/>
                <w:lang w:val="es-ES_tradnl"/>
              </w:rPr>
              <w:t xml:space="preserve">s capacitaciones realizadas </w:t>
            </w:r>
            <w:r w:rsidRPr="006F68E3">
              <w:rPr>
                <w:bCs/>
                <w:sz w:val="20"/>
                <w:lang w:val="es-ES_tradnl"/>
              </w:rPr>
              <w:t>en NIIF y NIA.</w:t>
            </w:r>
          </w:p>
          <w:p w14:paraId="4DB9D904" w14:textId="77777777" w:rsidR="00C246E7" w:rsidRPr="006F68E3" w:rsidRDefault="00C246E7" w:rsidP="00565F71">
            <w:pPr>
              <w:ind w:left="150" w:right="142"/>
              <w:rPr>
                <w:b/>
                <w:bCs/>
                <w:sz w:val="20"/>
                <w:lang w:val="es-ES_tradnl"/>
              </w:rPr>
            </w:pPr>
          </w:p>
          <w:p w14:paraId="6DC74EBC" w14:textId="77777777" w:rsidR="00C246E7" w:rsidRPr="006F68E3" w:rsidRDefault="00C246E7" w:rsidP="00565F71">
            <w:pPr>
              <w:ind w:left="150" w:right="142"/>
              <w:rPr>
                <w:b/>
                <w:bCs/>
                <w:sz w:val="20"/>
                <w:lang w:val="es-ES_tradnl"/>
              </w:rPr>
            </w:pPr>
          </w:p>
          <w:p w14:paraId="12246BCD" w14:textId="77777777" w:rsidR="00C246E7" w:rsidRPr="006F68E3" w:rsidRDefault="00C246E7" w:rsidP="00565F71">
            <w:pPr>
              <w:ind w:left="150" w:right="142"/>
              <w:jc w:val="both"/>
              <w:rPr>
                <w:b/>
                <w:sz w:val="20"/>
                <w:lang w:val="es-ES_tradnl"/>
              </w:rPr>
            </w:pPr>
          </w:p>
          <w:p w14:paraId="1A48415C" w14:textId="77777777" w:rsidR="00C246E7" w:rsidRPr="006F68E3" w:rsidRDefault="00C246E7" w:rsidP="00565F71">
            <w:pPr>
              <w:ind w:left="150" w:right="142"/>
              <w:jc w:val="both"/>
              <w:rPr>
                <w:b/>
                <w:sz w:val="20"/>
                <w:lang w:val="es-ES_tradnl"/>
              </w:rPr>
            </w:pPr>
          </w:p>
        </w:tc>
      </w:tr>
      <w:tr w:rsidR="00C246E7" w:rsidRPr="003E2A3A" w14:paraId="58457064" w14:textId="77777777" w:rsidTr="0015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DAA9" w14:textId="77777777" w:rsidR="00C246E7" w:rsidRPr="006F68E3" w:rsidRDefault="00C246E7" w:rsidP="00565F71">
            <w:pPr>
              <w:ind w:left="1525" w:right="142"/>
              <w:rPr>
                <w:b/>
                <w:bCs/>
                <w:sz w:val="20"/>
                <w:lang w:val="es-ES_tradnl"/>
              </w:rPr>
            </w:pPr>
            <w:r w:rsidRPr="006F68E3">
              <w:rPr>
                <w:b/>
                <w:bCs/>
                <w:sz w:val="20"/>
                <w:lang w:val="es-ES_tradnl"/>
              </w:rPr>
              <w:t xml:space="preserve">Subcomponente IV.3. </w:t>
            </w:r>
            <w:r w:rsidRPr="006F68E3">
              <w:rPr>
                <w:b/>
                <w:sz w:val="20"/>
                <w:lang w:val="es-ES_tradnl"/>
              </w:rPr>
              <w:t>Regulación del sector de las cooperativas de ahorro y crédito</w:t>
            </w:r>
          </w:p>
        </w:tc>
      </w:tr>
      <w:tr w:rsidR="00C246E7" w:rsidRPr="003E2A3A" w14:paraId="122D52A9" w14:textId="77777777" w:rsidTr="00973432">
        <w:tc>
          <w:tcPr>
            <w:tcW w:w="3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94DA" w14:textId="77777777" w:rsidR="00C246E7" w:rsidRPr="003E2A3A" w:rsidRDefault="00C246E7" w:rsidP="00E36CCB">
            <w:pPr>
              <w:rPr>
                <w:bCs/>
                <w:color w:val="000000"/>
                <w:sz w:val="20"/>
              </w:rPr>
            </w:pPr>
          </w:p>
          <w:p w14:paraId="3A5C57F2" w14:textId="77777777" w:rsidR="00C246E7" w:rsidRPr="003E2A3A" w:rsidRDefault="00C246E7" w:rsidP="00E36CCB">
            <w:pPr>
              <w:rPr>
                <w:bCs/>
                <w:color w:val="000000"/>
                <w:sz w:val="20"/>
                <w:lang w:val="es-ES_tradnl"/>
              </w:rPr>
            </w:pPr>
            <w:r w:rsidRPr="00565F71">
              <w:rPr>
                <w:b/>
                <w:bCs/>
                <w:color w:val="000000"/>
                <w:sz w:val="20"/>
                <w:lang w:val="es-ES_tradnl"/>
              </w:rPr>
              <w:t>Definición de un sistema de regulación</w:t>
            </w:r>
            <w:r w:rsidRPr="003E2A3A">
              <w:rPr>
                <w:bCs/>
                <w:color w:val="000000"/>
                <w:sz w:val="20"/>
                <w:lang w:val="es-ES_tradnl"/>
              </w:rPr>
              <w:t xml:space="preserve"> para el sector de las cooperativas de ahorro y crédito.</w:t>
            </w:r>
          </w:p>
          <w:p w14:paraId="03A6B636" w14:textId="77777777" w:rsidR="00C246E7" w:rsidRPr="003E2A3A" w:rsidRDefault="00C246E7" w:rsidP="00E36CCB">
            <w:pPr>
              <w:rPr>
                <w:bCs/>
                <w:color w:val="000000"/>
                <w:sz w:val="20"/>
                <w:lang w:val="es-ES_tradnl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DA2F" w14:textId="77777777" w:rsidR="00C246E7" w:rsidRPr="003E2A3A" w:rsidRDefault="00C246E7" w:rsidP="00E36CCB">
            <w:pPr>
              <w:jc w:val="both"/>
              <w:rPr>
                <w:color w:val="000000"/>
                <w:sz w:val="20"/>
                <w:lang w:val="es-ES_tradnl"/>
              </w:rPr>
            </w:pPr>
          </w:p>
          <w:p w14:paraId="41C70920" w14:textId="30EE18A6" w:rsidR="00C246E7" w:rsidRPr="00C246E7" w:rsidRDefault="00C246E7" w:rsidP="00C246E7">
            <w:pPr>
              <w:jc w:val="both"/>
              <w:rPr>
                <w:color w:val="000000"/>
                <w:sz w:val="20"/>
                <w:lang w:val="es-ES_tradnl"/>
              </w:rPr>
            </w:pPr>
            <w:r w:rsidRPr="00C246E7">
              <w:rPr>
                <w:color w:val="000000"/>
                <w:sz w:val="20"/>
                <w:lang w:val="es-ES_tradnl"/>
              </w:rPr>
              <w:t>Que se haya realizado un proceso de certificación de la calidad de los procesos la Dirección de Auditoría del Instituto Panameño de Cooperativas (IPACOOP).</w:t>
            </w:r>
          </w:p>
          <w:p w14:paraId="0BB5F87B" w14:textId="77777777" w:rsidR="00C246E7" w:rsidRPr="00C246E7" w:rsidRDefault="00C246E7" w:rsidP="00C246E7">
            <w:pPr>
              <w:jc w:val="both"/>
              <w:rPr>
                <w:color w:val="000000"/>
                <w:sz w:val="20"/>
                <w:lang w:val="es-ES_tradnl"/>
              </w:rPr>
            </w:pPr>
          </w:p>
          <w:p w14:paraId="5F0A30B8" w14:textId="47282E0D" w:rsidR="00C246E7" w:rsidRPr="003E2A3A" w:rsidRDefault="0061463A" w:rsidP="008C2CEB">
            <w:pPr>
              <w:jc w:val="both"/>
              <w:rPr>
                <w:color w:val="000000"/>
                <w:sz w:val="20"/>
                <w:lang w:val="es-ES_tradnl"/>
              </w:rPr>
            </w:pPr>
            <w:r>
              <w:rPr>
                <w:color w:val="000000"/>
                <w:sz w:val="20"/>
                <w:lang w:val="es-ES_tradnl"/>
              </w:rPr>
              <w:t>Que se haya p</w:t>
            </w:r>
            <w:r w:rsidR="00900FB8" w:rsidRPr="003E2A3A">
              <w:rPr>
                <w:color w:val="000000"/>
                <w:sz w:val="20"/>
                <w:lang w:val="es-ES_tradnl"/>
              </w:rPr>
              <w:t>resenta</w:t>
            </w:r>
            <w:r>
              <w:rPr>
                <w:color w:val="000000"/>
                <w:sz w:val="20"/>
                <w:lang w:val="es-ES_tradnl"/>
              </w:rPr>
              <w:t>do</w:t>
            </w:r>
            <w:r w:rsidR="00900FB8" w:rsidRPr="003E2A3A">
              <w:rPr>
                <w:color w:val="000000"/>
                <w:sz w:val="20"/>
                <w:lang w:val="es-ES_tradnl"/>
              </w:rPr>
              <w:t xml:space="preserve"> </w:t>
            </w:r>
            <w:r w:rsidR="00D02BDF" w:rsidRPr="003E2A3A">
              <w:rPr>
                <w:color w:val="000000"/>
                <w:sz w:val="20"/>
                <w:lang w:val="es-ES_tradnl"/>
              </w:rPr>
              <w:t>el borrador</w:t>
            </w:r>
            <w:r w:rsidR="00D02BDF" w:rsidRPr="003E2A3A">
              <w:rPr>
                <w:color w:val="000000"/>
                <w:sz w:val="20"/>
                <w:lang w:val="es-ES_tradnl"/>
              </w:rPr>
              <w:t xml:space="preserve"> </w:t>
            </w:r>
            <w:r w:rsidR="00364CA1">
              <w:rPr>
                <w:color w:val="000000"/>
                <w:sz w:val="20"/>
                <w:lang w:val="es-ES_tradnl"/>
              </w:rPr>
              <w:t xml:space="preserve">de un </w:t>
            </w:r>
            <w:r w:rsidR="00DC4C56">
              <w:rPr>
                <w:color w:val="000000"/>
                <w:sz w:val="20"/>
                <w:lang w:val="es-ES_tradnl"/>
              </w:rPr>
              <w:t>a</w:t>
            </w:r>
            <w:r w:rsidR="00C246E7" w:rsidRPr="00C246E7">
              <w:rPr>
                <w:color w:val="000000"/>
                <w:sz w:val="20"/>
                <w:lang w:val="es-ES_tradnl"/>
              </w:rPr>
              <w:t>nteproyecto de Ley de Regulación del Sector de las Cooperativas de Ahorro y Crédito y de Objeto Múltiple con secciones de crédito.</w:t>
            </w:r>
          </w:p>
        </w:tc>
        <w:tc>
          <w:tcPr>
            <w:tcW w:w="4632" w:type="dxa"/>
            <w:shd w:val="clear" w:color="auto" w:fill="FFFFFF"/>
          </w:tcPr>
          <w:p w14:paraId="24FBD8DD" w14:textId="77777777" w:rsidR="00C246E7" w:rsidRPr="006F68E3" w:rsidRDefault="00C246E7" w:rsidP="00565F71">
            <w:pPr>
              <w:ind w:left="150" w:right="142"/>
              <w:jc w:val="both"/>
              <w:rPr>
                <w:b/>
                <w:sz w:val="20"/>
                <w:lang w:val="es-ES_tradnl"/>
              </w:rPr>
            </w:pPr>
          </w:p>
          <w:p w14:paraId="6CBB5DD7" w14:textId="77777777" w:rsidR="00C246E7" w:rsidRPr="006F68E3" w:rsidRDefault="00C246E7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  <w:r w:rsidRPr="006F68E3">
              <w:rPr>
                <w:sz w:val="20"/>
                <w:lang w:val="es-ES_tradnl"/>
              </w:rPr>
              <w:t>Certificación ISO 9001 de la Dirección de Auditoría del IPACOOP.</w:t>
            </w:r>
          </w:p>
          <w:p w14:paraId="6B0BECDA" w14:textId="77777777" w:rsidR="00C246E7" w:rsidRPr="006F68E3" w:rsidRDefault="00C246E7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438A48AD" w14:textId="77777777" w:rsidR="00EF446F" w:rsidRDefault="00EF446F" w:rsidP="00565F71">
            <w:pPr>
              <w:ind w:left="150" w:right="142"/>
              <w:jc w:val="both"/>
              <w:rPr>
                <w:sz w:val="20"/>
                <w:lang w:val="es-ES_tradnl"/>
              </w:rPr>
            </w:pPr>
          </w:p>
          <w:p w14:paraId="2B12FAD4" w14:textId="3B7B530C" w:rsidR="00C246E7" w:rsidRPr="006F68E3" w:rsidRDefault="00C246E7" w:rsidP="00565F71">
            <w:pPr>
              <w:ind w:left="150" w:right="142"/>
              <w:jc w:val="both"/>
              <w:rPr>
                <w:b/>
                <w:sz w:val="20"/>
                <w:lang w:val="es-ES_tradnl"/>
              </w:rPr>
            </w:pPr>
            <w:r w:rsidRPr="006F68E3">
              <w:rPr>
                <w:sz w:val="20"/>
                <w:lang w:val="es-ES_tradnl"/>
              </w:rPr>
              <w:t xml:space="preserve">Borrador de anteproyecto de Ley de Regulación del Sector de las Cooperativas de Ahorro y Crédito y de Objeto Múltiple con </w:t>
            </w:r>
            <w:r>
              <w:rPr>
                <w:sz w:val="20"/>
                <w:lang w:val="es-ES_tradnl"/>
              </w:rPr>
              <w:t>secciones</w:t>
            </w:r>
            <w:r w:rsidRPr="006F68E3">
              <w:rPr>
                <w:sz w:val="20"/>
                <w:lang w:val="es-ES_tradnl"/>
              </w:rPr>
              <w:t xml:space="preserve"> de </w:t>
            </w:r>
            <w:r>
              <w:rPr>
                <w:sz w:val="20"/>
                <w:lang w:val="es-ES_tradnl"/>
              </w:rPr>
              <w:t>crédito</w:t>
            </w:r>
            <w:r w:rsidRPr="006F68E3">
              <w:rPr>
                <w:sz w:val="20"/>
                <w:lang w:val="es-ES_tradnl"/>
              </w:rPr>
              <w:t>.</w:t>
            </w:r>
          </w:p>
        </w:tc>
      </w:tr>
    </w:tbl>
    <w:p w14:paraId="6FC8E759" w14:textId="77777777" w:rsidR="00500F58" w:rsidRPr="00A85BE6" w:rsidRDefault="00500F58" w:rsidP="005D0299">
      <w:pPr>
        <w:jc w:val="both"/>
        <w:rPr>
          <w:b/>
          <w:color w:val="0070C0"/>
          <w:sz w:val="20"/>
        </w:rPr>
      </w:pPr>
    </w:p>
    <w:sectPr w:rsidR="00500F58" w:rsidRPr="00A85BE6" w:rsidSect="00500F58">
      <w:headerReference w:type="default" r:id="rId13"/>
      <w:footerReference w:type="default" r:id="rId14"/>
      <w:pgSz w:w="15840" w:h="12240" w:orient="landscape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ED88B" w14:textId="77777777" w:rsidR="0007340B" w:rsidRDefault="0007340B" w:rsidP="00500F58">
      <w:r>
        <w:separator/>
      </w:r>
    </w:p>
  </w:endnote>
  <w:endnote w:type="continuationSeparator" w:id="0">
    <w:p w14:paraId="2FC60BB6" w14:textId="77777777" w:rsidR="0007340B" w:rsidRDefault="0007340B" w:rsidP="00500F58">
      <w:r>
        <w:continuationSeparator/>
      </w:r>
    </w:p>
  </w:endnote>
  <w:endnote w:type="continuationNotice" w:id="1">
    <w:p w14:paraId="56EBDD7E" w14:textId="77777777" w:rsidR="0007340B" w:rsidRDefault="000734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284C9" w14:textId="77777777" w:rsidR="00D410D0" w:rsidRDefault="00D410D0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D02FE" w14:textId="77777777" w:rsidR="0007340B" w:rsidRDefault="0007340B" w:rsidP="00500F58">
      <w:r w:rsidRPr="00500F58">
        <w:rPr>
          <w:color w:val="000000"/>
        </w:rPr>
        <w:separator/>
      </w:r>
    </w:p>
  </w:footnote>
  <w:footnote w:type="continuationSeparator" w:id="0">
    <w:p w14:paraId="27D4FC66" w14:textId="77777777" w:rsidR="0007340B" w:rsidRDefault="0007340B" w:rsidP="00500F58">
      <w:r>
        <w:continuationSeparator/>
      </w:r>
    </w:p>
  </w:footnote>
  <w:footnote w:type="continuationNotice" w:id="1">
    <w:p w14:paraId="26C27B02" w14:textId="77777777" w:rsidR="0007340B" w:rsidRDefault="000734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025E4" w14:textId="77777777" w:rsidR="00D410D0" w:rsidRPr="00576700" w:rsidRDefault="00576700" w:rsidP="00576700">
    <w:pPr>
      <w:pStyle w:val="Header"/>
      <w:jc w:val="right"/>
      <w:rPr>
        <w:sz w:val="20"/>
        <w:lang w:val="pt-BR"/>
      </w:rPr>
    </w:pPr>
    <w:r w:rsidRPr="002F0E02">
      <w:rPr>
        <w:sz w:val="20"/>
        <w:lang w:val="pt-BR"/>
      </w:rPr>
      <w:t xml:space="preserve">Página </w:t>
    </w:r>
    <w:r w:rsidRPr="002F0E02">
      <w:rPr>
        <w:b/>
        <w:bCs/>
        <w:sz w:val="20"/>
      </w:rPr>
      <w:fldChar w:fldCharType="begin"/>
    </w:r>
    <w:r w:rsidRPr="002F0E02">
      <w:rPr>
        <w:b/>
        <w:bCs/>
        <w:sz w:val="20"/>
        <w:lang w:val="pt-BR"/>
      </w:rPr>
      <w:instrText xml:space="preserve"> PAGE </w:instrText>
    </w:r>
    <w:r w:rsidRPr="002F0E02">
      <w:rPr>
        <w:b/>
        <w:bCs/>
        <w:sz w:val="20"/>
      </w:rPr>
      <w:fldChar w:fldCharType="separate"/>
    </w:r>
    <w:r w:rsidR="008C2CEB">
      <w:rPr>
        <w:b/>
        <w:bCs/>
        <w:noProof/>
        <w:sz w:val="20"/>
        <w:lang w:val="pt-BR"/>
      </w:rPr>
      <w:t>1</w:t>
    </w:r>
    <w:r w:rsidRPr="002F0E02">
      <w:rPr>
        <w:b/>
        <w:bCs/>
        <w:sz w:val="20"/>
      </w:rPr>
      <w:fldChar w:fldCharType="end"/>
    </w:r>
    <w:r w:rsidRPr="002F0E02">
      <w:rPr>
        <w:sz w:val="20"/>
        <w:lang w:val="pt-BR"/>
      </w:rPr>
      <w:t xml:space="preserve"> de </w:t>
    </w:r>
    <w:r w:rsidRPr="002F0E02">
      <w:rPr>
        <w:b/>
        <w:bCs/>
        <w:sz w:val="20"/>
      </w:rPr>
      <w:fldChar w:fldCharType="begin"/>
    </w:r>
    <w:r w:rsidRPr="002F0E02">
      <w:rPr>
        <w:b/>
        <w:bCs/>
        <w:sz w:val="20"/>
        <w:lang w:val="pt-BR"/>
      </w:rPr>
      <w:instrText xml:space="preserve"> NUMPAGES  </w:instrText>
    </w:r>
    <w:r w:rsidRPr="002F0E02">
      <w:rPr>
        <w:b/>
        <w:bCs/>
        <w:sz w:val="20"/>
      </w:rPr>
      <w:fldChar w:fldCharType="separate"/>
    </w:r>
    <w:r w:rsidR="008C2CEB">
      <w:rPr>
        <w:b/>
        <w:bCs/>
        <w:noProof/>
        <w:sz w:val="20"/>
        <w:lang w:val="pt-BR"/>
      </w:rPr>
      <w:t>5</w:t>
    </w:r>
    <w:r w:rsidRPr="002F0E02">
      <w:rPr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2AD"/>
    <w:multiLevelType w:val="multilevel"/>
    <w:tmpl w:val="63E002D0"/>
    <w:styleLink w:val="LFO2"/>
    <w:lvl w:ilvl="0">
      <w:start w:val="1"/>
      <w:numFmt w:val="none"/>
      <w:pStyle w:val="Subheading2"/>
      <w:lvlText w:val="%1"/>
      <w:lvlJc w:val="left"/>
      <w:pPr>
        <w:ind w:left="482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400" w:hanging="576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ind w:left="5976" w:hanging="576"/>
      </w:pPr>
      <w:rPr>
        <w:rFonts w:cs="Times New Roman"/>
        <w:b/>
      </w:rPr>
    </w:lvl>
    <w:lvl w:ilvl="3">
      <w:start w:val="1"/>
      <w:numFmt w:val="lowerRoman"/>
      <w:lvlText w:val="(%4)"/>
      <w:lvlJc w:val="right"/>
      <w:pPr>
        <w:ind w:left="6480" w:hanging="288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ind w:left="5112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5256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5400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4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8" w:hanging="144"/>
      </w:pPr>
      <w:rPr>
        <w:rFonts w:cs="Times New Roman"/>
      </w:rPr>
    </w:lvl>
  </w:abstractNum>
  <w:abstractNum w:abstractNumId="1">
    <w:nsid w:val="0CE84124"/>
    <w:multiLevelType w:val="hybridMultilevel"/>
    <w:tmpl w:val="22743D7A"/>
    <w:lvl w:ilvl="0" w:tplc="8AEE3D82">
      <w:start w:val="1"/>
      <w:numFmt w:val="lowerLetter"/>
      <w:lvlText w:val="(%1)"/>
      <w:lvlJc w:val="left"/>
      <w:pPr>
        <w:ind w:left="3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9" w:hanging="360"/>
      </w:pPr>
    </w:lvl>
    <w:lvl w:ilvl="2" w:tplc="0C0A001B" w:tentative="1">
      <w:start w:val="1"/>
      <w:numFmt w:val="lowerRoman"/>
      <w:lvlText w:val="%3."/>
      <w:lvlJc w:val="right"/>
      <w:pPr>
        <w:ind w:left="1809" w:hanging="180"/>
      </w:pPr>
    </w:lvl>
    <w:lvl w:ilvl="3" w:tplc="0C0A000F" w:tentative="1">
      <w:start w:val="1"/>
      <w:numFmt w:val="decimal"/>
      <w:lvlText w:val="%4."/>
      <w:lvlJc w:val="left"/>
      <w:pPr>
        <w:ind w:left="2529" w:hanging="360"/>
      </w:pPr>
    </w:lvl>
    <w:lvl w:ilvl="4" w:tplc="0C0A0019" w:tentative="1">
      <w:start w:val="1"/>
      <w:numFmt w:val="lowerLetter"/>
      <w:lvlText w:val="%5."/>
      <w:lvlJc w:val="left"/>
      <w:pPr>
        <w:ind w:left="3249" w:hanging="360"/>
      </w:pPr>
    </w:lvl>
    <w:lvl w:ilvl="5" w:tplc="0C0A001B" w:tentative="1">
      <w:start w:val="1"/>
      <w:numFmt w:val="lowerRoman"/>
      <w:lvlText w:val="%6."/>
      <w:lvlJc w:val="right"/>
      <w:pPr>
        <w:ind w:left="3969" w:hanging="180"/>
      </w:pPr>
    </w:lvl>
    <w:lvl w:ilvl="6" w:tplc="0C0A000F" w:tentative="1">
      <w:start w:val="1"/>
      <w:numFmt w:val="decimal"/>
      <w:lvlText w:val="%7."/>
      <w:lvlJc w:val="left"/>
      <w:pPr>
        <w:ind w:left="4689" w:hanging="360"/>
      </w:pPr>
    </w:lvl>
    <w:lvl w:ilvl="7" w:tplc="0C0A0019" w:tentative="1">
      <w:start w:val="1"/>
      <w:numFmt w:val="lowerLetter"/>
      <w:lvlText w:val="%8."/>
      <w:lvlJc w:val="left"/>
      <w:pPr>
        <w:ind w:left="5409" w:hanging="360"/>
      </w:pPr>
    </w:lvl>
    <w:lvl w:ilvl="8" w:tplc="0C0A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0F277F72"/>
    <w:multiLevelType w:val="hybridMultilevel"/>
    <w:tmpl w:val="56E0392C"/>
    <w:lvl w:ilvl="0" w:tplc="204099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91998"/>
    <w:multiLevelType w:val="hybridMultilevel"/>
    <w:tmpl w:val="FC144A46"/>
    <w:lvl w:ilvl="0" w:tplc="C51E821C">
      <w:start w:val="1"/>
      <w:numFmt w:val="lowerLetter"/>
      <w:lvlText w:val="(%1)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>
    <w:nsid w:val="199A7166"/>
    <w:multiLevelType w:val="hybridMultilevel"/>
    <w:tmpl w:val="374A9146"/>
    <w:lvl w:ilvl="0" w:tplc="0942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6300D"/>
    <w:multiLevelType w:val="hybridMultilevel"/>
    <w:tmpl w:val="9FE0BE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3080E"/>
    <w:multiLevelType w:val="hybridMultilevel"/>
    <w:tmpl w:val="A4AE2B7C"/>
    <w:lvl w:ilvl="0" w:tplc="FA8A359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83C5C"/>
    <w:multiLevelType w:val="hybridMultilevel"/>
    <w:tmpl w:val="95100B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95C1F"/>
    <w:multiLevelType w:val="hybridMultilevel"/>
    <w:tmpl w:val="AB2412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62C86"/>
    <w:multiLevelType w:val="hybridMultilevel"/>
    <w:tmpl w:val="92E61C7C"/>
    <w:lvl w:ilvl="0" w:tplc="70FA9974">
      <w:numFmt w:val="bullet"/>
      <w:lvlText w:val="-"/>
      <w:lvlJc w:val="left"/>
      <w:pPr>
        <w:ind w:left="63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0">
    <w:nsid w:val="2D8E58BA"/>
    <w:multiLevelType w:val="hybridMultilevel"/>
    <w:tmpl w:val="4DE47442"/>
    <w:lvl w:ilvl="0" w:tplc="8FECB838">
      <w:start w:val="1"/>
      <w:numFmt w:val="decimal"/>
      <w:lvlText w:val="Etapa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F5C6E4C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22E42A2"/>
    <w:multiLevelType w:val="hybridMultilevel"/>
    <w:tmpl w:val="19A091F2"/>
    <w:lvl w:ilvl="0" w:tplc="0942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E090B"/>
    <w:multiLevelType w:val="hybridMultilevel"/>
    <w:tmpl w:val="3F8EA9C8"/>
    <w:lvl w:ilvl="0" w:tplc="0942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93CCF"/>
    <w:multiLevelType w:val="hybridMultilevel"/>
    <w:tmpl w:val="32041F5E"/>
    <w:lvl w:ilvl="0" w:tplc="903AA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97815"/>
    <w:multiLevelType w:val="hybridMultilevel"/>
    <w:tmpl w:val="0E227CD2"/>
    <w:lvl w:ilvl="0" w:tplc="DE2E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E6F15"/>
    <w:multiLevelType w:val="hybridMultilevel"/>
    <w:tmpl w:val="9F68031C"/>
    <w:lvl w:ilvl="0" w:tplc="0942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74EAE"/>
    <w:multiLevelType w:val="hybridMultilevel"/>
    <w:tmpl w:val="543CE9CE"/>
    <w:lvl w:ilvl="0" w:tplc="7346C4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90F22"/>
    <w:multiLevelType w:val="hybridMultilevel"/>
    <w:tmpl w:val="A18AA87C"/>
    <w:lvl w:ilvl="0" w:tplc="0942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B403D"/>
    <w:multiLevelType w:val="hybridMultilevel"/>
    <w:tmpl w:val="2AFEDB5C"/>
    <w:lvl w:ilvl="0" w:tplc="E47CF2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F06C3"/>
    <w:multiLevelType w:val="hybridMultilevel"/>
    <w:tmpl w:val="11C88D2C"/>
    <w:lvl w:ilvl="0" w:tplc="DE2E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867D7"/>
    <w:multiLevelType w:val="multilevel"/>
    <w:tmpl w:val="021C3E80"/>
    <w:styleLink w:val="LFO1"/>
    <w:lvl w:ilvl="0">
      <w:start w:val="1"/>
      <w:numFmt w:val="upperRoman"/>
      <w:pStyle w:val="SubSubPar"/>
      <w:lvlText w:val="%1."/>
      <w:lvlJc w:val="center"/>
      <w:pPr>
        <w:ind w:left="1440" w:firstLine="0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ind w:left="2448" w:hanging="1296"/>
      </w:pPr>
      <w:rPr>
        <w:rFonts w:cs="Times New Roman"/>
        <w:color w:val="auto"/>
      </w:rPr>
    </w:lvl>
    <w:lvl w:ilvl="2">
      <w:start w:val="1"/>
      <w:numFmt w:val="lowerLetter"/>
      <w:lvlText w:val="%3."/>
      <w:lvlJc w:val="left"/>
      <w:pPr>
        <w:ind w:left="2304" w:hanging="432"/>
      </w:pPr>
      <w:rPr>
        <w:rFonts w:cs="Times New Roman"/>
      </w:rPr>
    </w:lvl>
    <w:lvl w:ilvl="3">
      <w:start w:val="1"/>
      <w:numFmt w:val="lowerRoman"/>
      <w:lvlText w:val="%4."/>
      <w:lvlJc w:val="right"/>
      <w:pPr>
        <w:ind w:left="2736" w:hanging="28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04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448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9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36" w:hanging="1584"/>
      </w:pPr>
      <w:rPr>
        <w:rFonts w:cs="Times New Roman"/>
      </w:rPr>
    </w:lvl>
  </w:abstractNum>
  <w:abstractNum w:abstractNumId="21">
    <w:nsid w:val="47666676"/>
    <w:multiLevelType w:val="hybridMultilevel"/>
    <w:tmpl w:val="F1E0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25DA6"/>
    <w:multiLevelType w:val="hybridMultilevel"/>
    <w:tmpl w:val="0686C0D4"/>
    <w:lvl w:ilvl="0" w:tplc="A266C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B6689"/>
    <w:multiLevelType w:val="hybridMultilevel"/>
    <w:tmpl w:val="DF94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17727"/>
    <w:multiLevelType w:val="hybridMultilevel"/>
    <w:tmpl w:val="D9981A9C"/>
    <w:lvl w:ilvl="0" w:tplc="F1AC0E8A">
      <w:numFmt w:val="bullet"/>
      <w:lvlText w:val="-"/>
      <w:lvlJc w:val="left"/>
      <w:pPr>
        <w:ind w:left="63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5">
    <w:nsid w:val="53890148"/>
    <w:multiLevelType w:val="hybridMultilevel"/>
    <w:tmpl w:val="92A43284"/>
    <w:lvl w:ilvl="0" w:tplc="0942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A1AD2"/>
    <w:multiLevelType w:val="multilevel"/>
    <w:tmpl w:val="2DF4399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1"/>
      <w:lvlText w:val="%5)"/>
      <w:lvlJc w:val="left"/>
      <w:pPr>
        <w:ind w:left="5112" w:hanging="432"/>
      </w:pPr>
      <w:rPr>
        <w:rFonts w:cs="Times New Roman"/>
      </w:rPr>
    </w:lvl>
    <w:lvl w:ilvl="5">
      <w:start w:val="1"/>
      <w:numFmt w:val="lowerLetter"/>
      <w:pStyle w:val="Heading61"/>
      <w:lvlText w:val="%6)"/>
      <w:lvlJc w:val="left"/>
      <w:pPr>
        <w:ind w:left="5256" w:hanging="432"/>
      </w:pPr>
      <w:rPr>
        <w:rFonts w:cs="Times New Roman"/>
      </w:rPr>
    </w:lvl>
    <w:lvl w:ilvl="6">
      <w:start w:val="1"/>
      <w:numFmt w:val="lowerRoman"/>
      <w:pStyle w:val="Heading71"/>
      <w:lvlText w:val="%7)"/>
      <w:lvlJc w:val="right"/>
      <w:pPr>
        <w:ind w:left="5400" w:hanging="288"/>
      </w:pPr>
      <w:rPr>
        <w:rFonts w:cs="Times New Roman"/>
      </w:rPr>
    </w:lvl>
    <w:lvl w:ilvl="7">
      <w:start w:val="1"/>
      <w:numFmt w:val="lowerLetter"/>
      <w:pStyle w:val="Heading81"/>
      <w:lvlText w:val="%8."/>
      <w:lvlJc w:val="left"/>
      <w:pPr>
        <w:ind w:left="5544" w:hanging="432"/>
      </w:pPr>
      <w:rPr>
        <w:rFonts w:cs="Times New Roman"/>
      </w:rPr>
    </w:lvl>
    <w:lvl w:ilvl="8">
      <w:start w:val="1"/>
      <w:numFmt w:val="lowerRoman"/>
      <w:pStyle w:val="Heading91"/>
      <w:lvlText w:val="%9."/>
      <w:lvlJc w:val="right"/>
      <w:pPr>
        <w:ind w:left="5688" w:hanging="144"/>
      </w:pPr>
      <w:rPr>
        <w:rFonts w:cs="Times New Roman"/>
      </w:rPr>
    </w:lvl>
  </w:abstractNum>
  <w:abstractNum w:abstractNumId="27">
    <w:nsid w:val="55FB3828"/>
    <w:multiLevelType w:val="hybridMultilevel"/>
    <w:tmpl w:val="E46E12D4"/>
    <w:lvl w:ilvl="0" w:tplc="BE0A0A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B0EBA"/>
    <w:multiLevelType w:val="hybridMultilevel"/>
    <w:tmpl w:val="2EA845A6"/>
    <w:lvl w:ilvl="0" w:tplc="1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9D6F52"/>
    <w:multiLevelType w:val="hybridMultilevel"/>
    <w:tmpl w:val="BCCEBF5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19366D"/>
    <w:multiLevelType w:val="hybridMultilevel"/>
    <w:tmpl w:val="21D2E960"/>
    <w:lvl w:ilvl="0" w:tplc="1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B95743"/>
    <w:multiLevelType w:val="hybridMultilevel"/>
    <w:tmpl w:val="5AE20B86"/>
    <w:lvl w:ilvl="0" w:tplc="CCAA43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F2DD5"/>
    <w:multiLevelType w:val="hybridMultilevel"/>
    <w:tmpl w:val="DEEA73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DE61DA"/>
    <w:multiLevelType w:val="hybridMultilevel"/>
    <w:tmpl w:val="9A740524"/>
    <w:lvl w:ilvl="0" w:tplc="903AA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C3697"/>
    <w:multiLevelType w:val="hybridMultilevel"/>
    <w:tmpl w:val="178CC6F0"/>
    <w:lvl w:ilvl="0" w:tplc="0942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0"/>
  </w:num>
  <w:num w:numId="4">
    <w:abstractNumId w:val="24"/>
  </w:num>
  <w:num w:numId="5">
    <w:abstractNumId w:val="9"/>
  </w:num>
  <w:num w:numId="6">
    <w:abstractNumId w:val="10"/>
  </w:num>
  <w:num w:numId="7">
    <w:abstractNumId w:val="18"/>
  </w:num>
  <w:num w:numId="8">
    <w:abstractNumId w:val="32"/>
  </w:num>
  <w:num w:numId="9">
    <w:abstractNumId w:val="7"/>
  </w:num>
  <w:num w:numId="10">
    <w:abstractNumId w:val="8"/>
  </w:num>
  <w:num w:numId="11">
    <w:abstractNumId w:val="6"/>
  </w:num>
  <w:num w:numId="12">
    <w:abstractNumId w:val="29"/>
  </w:num>
  <w:num w:numId="13">
    <w:abstractNumId w:val="28"/>
  </w:num>
  <w:num w:numId="14">
    <w:abstractNumId w:val="30"/>
  </w:num>
  <w:num w:numId="15">
    <w:abstractNumId w:val="16"/>
  </w:num>
  <w:num w:numId="16">
    <w:abstractNumId w:val="1"/>
  </w:num>
  <w:num w:numId="17">
    <w:abstractNumId w:val="2"/>
  </w:num>
  <w:num w:numId="18">
    <w:abstractNumId w:val="31"/>
  </w:num>
  <w:num w:numId="19">
    <w:abstractNumId w:val="3"/>
  </w:num>
  <w:num w:numId="20">
    <w:abstractNumId w:val="33"/>
  </w:num>
  <w:num w:numId="21">
    <w:abstractNumId w:val="13"/>
  </w:num>
  <w:num w:numId="22">
    <w:abstractNumId w:val="22"/>
  </w:num>
  <w:num w:numId="23">
    <w:abstractNumId w:val="14"/>
  </w:num>
  <w:num w:numId="24">
    <w:abstractNumId w:val="5"/>
  </w:num>
  <w:num w:numId="25">
    <w:abstractNumId w:val="19"/>
  </w:num>
  <w:num w:numId="26">
    <w:abstractNumId w:val="17"/>
  </w:num>
  <w:num w:numId="27">
    <w:abstractNumId w:val="34"/>
  </w:num>
  <w:num w:numId="28">
    <w:abstractNumId w:val="12"/>
  </w:num>
  <w:num w:numId="29">
    <w:abstractNumId w:val="25"/>
  </w:num>
  <w:num w:numId="30">
    <w:abstractNumId w:val="4"/>
  </w:num>
  <w:num w:numId="31">
    <w:abstractNumId w:val="15"/>
  </w:num>
  <w:num w:numId="32">
    <w:abstractNumId w:val="11"/>
  </w:num>
  <w:num w:numId="33">
    <w:abstractNumId w:val="27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0F58"/>
    <w:rsid w:val="000047D0"/>
    <w:rsid w:val="00010AB6"/>
    <w:rsid w:val="0001284D"/>
    <w:rsid w:val="00023DB6"/>
    <w:rsid w:val="00032C07"/>
    <w:rsid w:val="00035CD2"/>
    <w:rsid w:val="000376CB"/>
    <w:rsid w:val="0004370F"/>
    <w:rsid w:val="000479AF"/>
    <w:rsid w:val="000550A0"/>
    <w:rsid w:val="00055C6B"/>
    <w:rsid w:val="0006772F"/>
    <w:rsid w:val="0007340B"/>
    <w:rsid w:val="00082358"/>
    <w:rsid w:val="000871EF"/>
    <w:rsid w:val="00087B69"/>
    <w:rsid w:val="000900E3"/>
    <w:rsid w:val="000A066F"/>
    <w:rsid w:val="000A65FD"/>
    <w:rsid w:val="000C449A"/>
    <w:rsid w:val="000C44ED"/>
    <w:rsid w:val="000D0C02"/>
    <w:rsid w:val="000D5C91"/>
    <w:rsid w:val="000E5BEB"/>
    <w:rsid w:val="000E6582"/>
    <w:rsid w:val="000F2C54"/>
    <w:rsid w:val="000F3B81"/>
    <w:rsid w:val="000F72DB"/>
    <w:rsid w:val="000F765B"/>
    <w:rsid w:val="001000AB"/>
    <w:rsid w:val="00114AB1"/>
    <w:rsid w:val="00114F44"/>
    <w:rsid w:val="00122060"/>
    <w:rsid w:val="001245CE"/>
    <w:rsid w:val="001332C3"/>
    <w:rsid w:val="00133610"/>
    <w:rsid w:val="00140FCF"/>
    <w:rsid w:val="001411AA"/>
    <w:rsid w:val="001431A2"/>
    <w:rsid w:val="00147B76"/>
    <w:rsid w:val="00151E47"/>
    <w:rsid w:val="001523B1"/>
    <w:rsid w:val="00154AAA"/>
    <w:rsid w:val="00155204"/>
    <w:rsid w:val="001574D4"/>
    <w:rsid w:val="00161988"/>
    <w:rsid w:val="001619AF"/>
    <w:rsid w:val="00163B79"/>
    <w:rsid w:val="00166479"/>
    <w:rsid w:val="00171553"/>
    <w:rsid w:val="00171AFE"/>
    <w:rsid w:val="00182F92"/>
    <w:rsid w:val="00183FD4"/>
    <w:rsid w:val="0019253B"/>
    <w:rsid w:val="001A05B0"/>
    <w:rsid w:val="001A5216"/>
    <w:rsid w:val="001B2F3B"/>
    <w:rsid w:val="001B7DF9"/>
    <w:rsid w:val="001C1B71"/>
    <w:rsid w:val="001C7ED6"/>
    <w:rsid w:val="001D2C35"/>
    <w:rsid w:val="001D5D5A"/>
    <w:rsid w:val="001D78BA"/>
    <w:rsid w:val="001D7AAA"/>
    <w:rsid w:val="001E035D"/>
    <w:rsid w:val="001F02E2"/>
    <w:rsid w:val="001F31A6"/>
    <w:rsid w:val="002029B9"/>
    <w:rsid w:val="0020555B"/>
    <w:rsid w:val="00207584"/>
    <w:rsid w:val="002103C1"/>
    <w:rsid w:val="00211178"/>
    <w:rsid w:val="00213BED"/>
    <w:rsid w:val="0022068C"/>
    <w:rsid w:val="00231055"/>
    <w:rsid w:val="00236089"/>
    <w:rsid w:val="00243956"/>
    <w:rsid w:val="00244FF1"/>
    <w:rsid w:val="00261032"/>
    <w:rsid w:val="002623AD"/>
    <w:rsid w:val="0026691F"/>
    <w:rsid w:val="00272E77"/>
    <w:rsid w:val="002777EC"/>
    <w:rsid w:val="00284D5B"/>
    <w:rsid w:val="00291A41"/>
    <w:rsid w:val="00293B2A"/>
    <w:rsid w:val="00294D1B"/>
    <w:rsid w:val="002960E5"/>
    <w:rsid w:val="002967F0"/>
    <w:rsid w:val="002A7C26"/>
    <w:rsid w:val="002B0C40"/>
    <w:rsid w:val="002C245B"/>
    <w:rsid w:val="002C2F2A"/>
    <w:rsid w:val="002C50F5"/>
    <w:rsid w:val="002D47A8"/>
    <w:rsid w:val="002D6BF8"/>
    <w:rsid w:val="002D7FE9"/>
    <w:rsid w:val="002E2337"/>
    <w:rsid w:val="002F1A14"/>
    <w:rsid w:val="003034BB"/>
    <w:rsid w:val="003041C0"/>
    <w:rsid w:val="00311858"/>
    <w:rsid w:val="00323C69"/>
    <w:rsid w:val="00331375"/>
    <w:rsid w:val="00331CAD"/>
    <w:rsid w:val="003335BC"/>
    <w:rsid w:val="0033484D"/>
    <w:rsid w:val="0034576C"/>
    <w:rsid w:val="0034589F"/>
    <w:rsid w:val="003502BB"/>
    <w:rsid w:val="0035322B"/>
    <w:rsid w:val="00354E3E"/>
    <w:rsid w:val="00364999"/>
    <w:rsid w:val="00364CA1"/>
    <w:rsid w:val="00375401"/>
    <w:rsid w:val="003822ED"/>
    <w:rsid w:val="00393772"/>
    <w:rsid w:val="003A309B"/>
    <w:rsid w:val="003A681E"/>
    <w:rsid w:val="003B13DE"/>
    <w:rsid w:val="003B734C"/>
    <w:rsid w:val="003C0B7D"/>
    <w:rsid w:val="003C3804"/>
    <w:rsid w:val="003C5D56"/>
    <w:rsid w:val="003C6728"/>
    <w:rsid w:val="003C6CF8"/>
    <w:rsid w:val="003C70EE"/>
    <w:rsid w:val="003C765D"/>
    <w:rsid w:val="003D307D"/>
    <w:rsid w:val="003D3213"/>
    <w:rsid w:val="003D6122"/>
    <w:rsid w:val="003D6401"/>
    <w:rsid w:val="003D7617"/>
    <w:rsid w:val="003D7EDA"/>
    <w:rsid w:val="003E2A3A"/>
    <w:rsid w:val="003E7ECE"/>
    <w:rsid w:val="003F463B"/>
    <w:rsid w:val="003F6E2D"/>
    <w:rsid w:val="00400C7B"/>
    <w:rsid w:val="00401D3F"/>
    <w:rsid w:val="0040591F"/>
    <w:rsid w:val="0041411F"/>
    <w:rsid w:val="00417F93"/>
    <w:rsid w:val="004336C7"/>
    <w:rsid w:val="00437FD0"/>
    <w:rsid w:val="00441376"/>
    <w:rsid w:val="004500BB"/>
    <w:rsid w:val="00465BFB"/>
    <w:rsid w:val="00476AEA"/>
    <w:rsid w:val="00481C3D"/>
    <w:rsid w:val="00482C22"/>
    <w:rsid w:val="00495BC7"/>
    <w:rsid w:val="004A5EA1"/>
    <w:rsid w:val="004A6D87"/>
    <w:rsid w:val="004D1228"/>
    <w:rsid w:val="004E3AD4"/>
    <w:rsid w:val="004E6399"/>
    <w:rsid w:val="004F0E08"/>
    <w:rsid w:val="00500F58"/>
    <w:rsid w:val="00515691"/>
    <w:rsid w:val="00543421"/>
    <w:rsid w:val="00552584"/>
    <w:rsid w:val="00553969"/>
    <w:rsid w:val="00565F71"/>
    <w:rsid w:val="005723A1"/>
    <w:rsid w:val="005752CC"/>
    <w:rsid w:val="00575637"/>
    <w:rsid w:val="00576700"/>
    <w:rsid w:val="00581238"/>
    <w:rsid w:val="00581632"/>
    <w:rsid w:val="005833B8"/>
    <w:rsid w:val="00590843"/>
    <w:rsid w:val="005965B6"/>
    <w:rsid w:val="00597F83"/>
    <w:rsid w:val="005A1557"/>
    <w:rsid w:val="005A45A8"/>
    <w:rsid w:val="005B3056"/>
    <w:rsid w:val="005B36A9"/>
    <w:rsid w:val="005B54D0"/>
    <w:rsid w:val="005C24E2"/>
    <w:rsid w:val="005D0299"/>
    <w:rsid w:val="005D18DC"/>
    <w:rsid w:val="005E4CE4"/>
    <w:rsid w:val="005E6C3D"/>
    <w:rsid w:val="005F6AB7"/>
    <w:rsid w:val="00606BE1"/>
    <w:rsid w:val="0061463A"/>
    <w:rsid w:val="00615A2E"/>
    <w:rsid w:val="0061672A"/>
    <w:rsid w:val="00623CC1"/>
    <w:rsid w:val="006310EF"/>
    <w:rsid w:val="006331DF"/>
    <w:rsid w:val="0064275D"/>
    <w:rsid w:val="00643B72"/>
    <w:rsid w:val="00647120"/>
    <w:rsid w:val="00651903"/>
    <w:rsid w:val="00654D7C"/>
    <w:rsid w:val="006664CF"/>
    <w:rsid w:val="006960B6"/>
    <w:rsid w:val="006A4D4E"/>
    <w:rsid w:val="006A7ABB"/>
    <w:rsid w:val="006B11E8"/>
    <w:rsid w:val="006B1C93"/>
    <w:rsid w:val="006B7DF3"/>
    <w:rsid w:val="006C6834"/>
    <w:rsid w:val="006E29B1"/>
    <w:rsid w:val="006F210C"/>
    <w:rsid w:val="006F68E3"/>
    <w:rsid w:val="007021B6"/>
    <w:rsid w:val="00714923"/>
    <w:rsid w:val="00726EA4"/>
    <w:rsid w:val="007451AE"/>
    <w:rsid w:val="00773428"/>
    <w:rsid w:val="00774C03"/>
    <w:rsid w:val="00777685"/>
    <w:rsid w:val="00785513"/>
    <w:rsid w:val="00786EC8"/>
    <w:rsid w:val="00791D50"/>
    <w:rsid w:val="00797BC0"/>
    <w:rsid w:val="007A2ACE"/>
    <w:rsid w:val="007B5F36"/>
    <w:rsid w:val="007C4843"/>
    <w:rsid w:val="007D0CA7"/>
    <w:rsid w:val="007D5AA3"/>
    <w:rsid w:val="007D5E0B"/>
    <w:rsid w:val="007D615C"/>
    <w:rsid w:val="007E5406"/>
    <w:rsid w:val="007F4DE5"/>
    <w:rsid w:val="007F68C8"/>
    <w:rsid w:val="008105FA"/>
    <w:rsid w:val="00813881"/>
    <w:rsid w:val="008162A9"/>
    <w:rsid w:val="0084181F"/>
    <w:rsid w:val="008453FF"/>
    <w:rsid w:val="0084546F"/>
    <w:rsid w:val="0084569A"/>
    <w:rsid w:val="0085788C"/>
    <w:rsid w:val="0087291E"/>
    <w:rsid w:val="00874823"/>
    <w:rsid w:val="00880835"/>
    <w:rsid w:val="00881912"/>
    <w:rsid w:val="00885513"/>
    <w:rsid w:val="008A286B"/>
    <w:rsid w:val="008A4FA6"/>
    <w:rsid w:val="008B0A4E"/>
    <w:rsid w:val="008B1B0F"/>
    <w:rsid w:val="008B3E83"/>
    <w:rsid w:val="008B5E4B"/>
    <w:rsid w:val="008C2CEB"/>
    <w:rsid w:val="008C35F4"/>
    <w:rsid w:val="008E04EF"/>
    <w:rsid w:val="008E0D1A"/>
    <w:rsid w:val="008E22DA"/>
    <w:rsid w:val="008E4CDD"/>
    <w:rsid w:val="008F04FF"/>
    <w:rsid w:val="00900FB8"/>
    <w:rsid w:val="009265AF"/>
    <w:rsid w:val="009373D8"/>
    <w:rsid w:val="00946574"/>
    <w:rsid w:val="00946BC9"/>
    <w:rsid w:val="009513AD"/>
    <w:rsid w:val="00951E25"/>
    <w:rsid w:val="00960F68"/>
    <w:rsid w:val="009610BF"/>
    <w:rsid w:val="00962B3E"/>
    <w:rsid w:val="009663C5"/>
    <w:rsid w:val="009667E6"/>
    <w:rsid w:val="00967C97"/>
    <w:rsid w:val="00967D7E"/>
    <w:rsid w:val="009700CD"/>
    <w:rsid w:val="00973432"/>
    <w:rsid w:val="00980E00"/>
    <w:rsid w:val="00982D95"/>
    <w:rsid w:val="009831D8"/>
    <w:rsid w:val="00984298"/>
    <w:rsid w:val="0099415C"/>
    <w:rsid w:val="00994860"/>
    <w:rsid w:val="00995252"/>
    <w:rsid w:val="009A0ACE"/>
    <w:rsid w:val="009A2A3B"/>
    <w:rsid w:val="009A6258"/>
    <w:rsid w:val="009A6351"/>
    <w:rsid w:val="009A79A5"/>
    <w:rsid w:val="009B0971"/>
    <w:rsid w:val="009B265E"/>
    <w:rsid w:val="009B5416"/>
    <w:rsid w:val="009C0617"/>
    <w:rsid w:val="009C1E0C"/>
    <w:rsid w:val="009C2122"/>
    <w:rsid w:val="009C3FEB"/>
    <w:rsid w:val="009C6531"/>
    <w:rsid w:val="009D4704"/>
    <w:rsid w:val="009D5CFF"/>
    <w:rsid w:val="009E4181"/>
    <w:rsid w:val="009E677E"/>
    <w:rsid w:val="009F56F9"/>
    <w:rsid w:val="009F70C3"/>
    <w:rsid w:val="00A05838"/>
    <w:rsid w:val="00A12161"/>
    <w:rsid w:val="00A17BF2"/>
    <w:rsid w:val="00A21474"/>
    <w:rsid w:val="00A225CA"/>
    <w:rsid w:val="00A33B88"/>
    <w:rsid w:val="00A34015"/>
    <w:rsid w:val="00A465CD"/>
    <w:rsid w:val="00A47B7C"/>
    <w:rsid w:val="00A53D7A"/>
    <w:rsid w:val="00A5582A"/>
    <w:rsid w:val="00A56861"/>
    <w:rsid w:val="00A60DDE"/>
    <w:rsid w:val="00A63664"/>
    <w:rsid w:val="00A7543B"/>
    <w:rsid w:val="00A81E2B"/>
    <w:rsid w:val="00A81E46"/>
    <w:rsid w:val="00A85BE6"/>
    <w:rsid w:val="00AA31F9"/>
    <w:rsid w:val="00AA3C78"/>
    <w:rsid w:val="00AA7B8A"/>
    <w:rsid w:val="00AB04A0"/>
    <w:rsid w:val="00AB6EBE"/>
    <w:rsid w:val="00AC0370"/>
    <w:rsid w:val="00AC07A3"/>
    <w:rsid w:val="00AC39E0"/>
    <w:rsid w:val="00AC7839"/>
    <w:rsid w:val="00AD019E"/>
    <w:rsid w:val="00AD502D"/>
    <w:rsid w:val="00AE2010"/>
    <w:rsid w:val="00AE2486"/>
    <w:rsid w:val="00AE34C0"/>
    <w:rsid w:val="00AF199D"/>
    <w:rsid w:val="00AF4A09"/>
    <w:rsid w:val="00AF6556"/>
    <w:rsid w:val="00AF7854"/>
    <w:rsid w:val="00B02D59"/>
    <w:rsid w:val="00B03CBC"/>
    <w:rsid w:val="00B0610A"/>
    <w:rsid w:val="00B36F8C"/>
    <w:rsid w:val="00B43E1A"/>
    <w:rsid w:val="00B44461"/>
    <w:rsid w:val="00B44DFF"/>
    <w:rsid w:val="00B551DB"/>
    <w:rsid w:val="00B56C44"/>
    <w:rsid w:val="00B611DA"/>
    <w:rsid w:val="00B66BA8"/>
    <w:rsid w:val="00B70DBE"/>
    <w:rsid w:val="00B725C4"/>
    <w:rsid w:val="00B75A45"/>
    <w:rsid w:val="00B76F97"/>
    <w:rsid w:val="00B80504"/>
    <w:rsid w:val="00B86804"/>
    <w:rsid w:val="00B93212"/>
    <w:rsid w:val="00B93AEB"/>
    <w:rsid w:val="00B971D5"/>
    <w:rsid w:val="00B976C8"/>
    <w:rsid w:val="00BA538F"/>
    <w:rsid w:val="00BA5F00"/>
    <w:rsid w:val="00BA77D2"/>
    <w:rsid w:val="00BA78E0"/>
    <w:rsid w:val="00BC1F93"/>
    <w:rsid w:val="00BC51F2"/>
    <w:rsid w:val="00BC61F3"/>
    <w:rsid w:val="00BD0646"/>
    <w:rsid w:val="00BD0F89"/>
    <w:rsid w:val="00BD657F"/>
    <w:rsid w:val="00BE383E"/>
    <w:rsid w:val="00BF0B2A"/>
    <w:rsid w:val="00BF0DAB"/>
    <w:rsid w:val="00C049B0"/>
    <w:rsid w:val="00C06EDC"/>
    <w:rsid w:val="00C071D9"/>
    <w:rsid w:val="00C2028E"/>
    <w:rsid w:val="00C20D89"/>
    <w:rsid w:val="00C21747"/>
    <w:rsid w:val="00C246E7"/>
    <w:rsid w:val="00C263BE"/>
    <w:rsid w:val="00C33257"/>
    <w:rsid w:val="00C33E76"/>
    <w:rsid w:val="00C35AEC"/>
    <w:rsid w:val="00C455D7"/>
    <w:rsid w:val="00C52796"/>
    <w:rsid w:val="00C56D89"/>
    <w:rsid w:val="00C56DE4"/>
    <w:rsid w:val="00C67F20"/>
    <w:rsid w:val="00C70840"/>
    <w:rsid w:val="00C86C24"/>
    <w:rsid w:val="00C95621"/>
    <w:rsid w:val="00CA3E1A"/>
    <w:rsid w:val="00CB075F"/>
    <w:rsid w:val="00CB2189"/>
    <w:rsid w:val="00CB5BE2"/>
    <w:rsid w:val="00CC0044"/>
    <w:rsid w:val="00CC1827"/>
    <w:rsid w:val="00CC3E05"/>
    <w:rsid w:val="00CC4BC6"/>
    <w:rsid w:val="00CC4D73"/>
    <w:rsid w:val="00CD0581"/>
    <w:rsid w:val="00CD3933"/>
    <w:rsid w:val="00CD6CA1"/>
    <w:rsid w:val="00CE59B5"/>
    <w:rsid w:val="00CF65CC"/>
    <w:rsid w:val="00D02BDF"/>
    <w:rsid w:val="00D04568"/>
    <w:rsid w:val="00D06286"/>
    <w:rsid w:val="00D146AE"/>
    <w:rsid w:val="00D21B96"/>
    <w:rsid w:val="00D21FC6"/>
    <w:rsid w:val="00D22191"/>
    <w:rsid w:val="00D253CD"/>
    <w:rsid w:val="00D3146D"/>
    <w:rsid w:val="00D36942"/>
    <w:rsid w:val="00D379DB"/>
    <w:rsid w:val="00D410D0"/>
    <w:rsid w:val="00D45DE2"/>
    <w:rsid w:val="00D479A5"/>
    <w:rsid w:val="00D57E1E"/>
    <w:rsid w:val="00D57E99"/>
    <w:rsid w:val="00D708A3"/>
    <w:rsid w:val="00D71ADC"/>
    <w:rsid w:val="00D83CF2"/>
    <w:rsid w:val="00D859F5"/>
    <w:rsid w:val="00D941E3"/>
    <w:rsid w:val="00DA22C1"/>
    <w:rsid w:val="00DC2FFF"/>
    <w:rsid w:val="00DC4C56"/>
    <w:rsid w:val="00DC6FA8"/>
    <w:rsid w:val="00DD394B"/>
    <w:rsid w:val="00DF07BE"/>
    <w:rsid w:val="00DF1C5B"/>
    <w:rsid w:val="00E053DE"/>
    <w:rsid w:val="00E11D61"/>
    <w:rsid w:val="00E16CAD"/>
    <w:rsid w:val="00E36CCB"/>
    <w:rsid w:val="00E456B3"/>
    <w:rsid w:val="00E57845"/>
    <w:rsid w:val="00E624B4"/>
    <w:rsid w:val="00E70F9F"/>
    <w:rsid w:val="00E717DD"/>
    <w:rsid w:val="00E72A90"/>
    <w:rsid w:val="00E73B78"/>
    <w:rsid w:val="00E93398"/>
    <w:rsid w:val="00EA0A76"/>
    <w:rsid w:val="00EA4D5B"/>
    <w:rsid w:val="00EB3C42"/>
    <w:rsid w:val="00EB5B44"/>
    <w:rsid w:val="00EC6906"/>
    <w:rsid w:val="00ED2E07"/>
    <w:rsid w:val="00ED2FC2"/>
    <w:rsid w:val="00EE0AD8"/>
    <w:rsid w:val="00EE40F5"/>
    <w:rsid w:val="00EF0F8E"/>
    <w:rsid w:val="00EF1D5E"/>
    <w:rsid w:val="00EF446F"/>
    <w:rsid w:val="00F00EE3"/>
    <w:rsid w:val="00F01545"/>
    <w:rsid w:val="00F02A37"/>
    <w:rsid w:val="00F02A4D"/>
    <w:rsid w:val="00F02F51"/>
    <w:rsid w:val="00F04AC3"/>
    <w:rsid w:val="00F119EC"/>
    <w:rsid w:val="00F26731"/>
    <w:rsid w:val="00F32290"/>
    <w:rsid w:val="00F35829"/>
    <w:rsid w:val="00F369EB"/>
    <w:rsid w:val="00F64794"/>
    <w:rsid w:val="00F8004D"/>
    <w:rsid w:val="00F82779"/>
    <w:rsid w:val="00F90705"/>
    <w:rsid w:val="00FA2BE0"/>
    <w:rsid w:val="00FA3943"/>
    <w:rsid w:val="00FA792D"/>
    <w:rsid w:val="00FB2D25"/>
    <w:rsid w:val="00FB388F"/>
    <w:rsid w:val="00FB3AC9"/>
    <w:rsid w:val="00FB45D1"/>
    <w:rsid w:val="00FB5DDB"/>
    <w:rsid w:val="00FC16A5"/>
    <w:rsid w:val="00FC523A"/>
    <w:rsid w:val="00FC6213"/>
    <w:rsid w:val="00FD358D"/>
    <w:rsid w:val="00FD7511"/>
    <w:rsid w:val="00FE14E0"/>
    <w:rsid w:val="00FE167E"/>
    <w:rsid w:val="00FE4A69"/>
    <w:rsid w:val="00FE64FA"/>
    <w:rsid w:val="00FE7E7D"/>
    <w:rsid w:val="00FF58C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0F58"/>
    <w:pPr>
      <w:suppressAutoHyphens/>
      <w:autoSpaceDN w:val="0"/>
      <w:textAlignment w:val="baseline"/>
    </w:pPr>
    <w:rPr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500F58"/>
    <w:pPr>
      <w:numPr>
        <w:numId w:val="1"/>
      </w:numPr>
    </w:pPr>
  </w:style>
  <w:style w:type="paragraph" w:customStyle="1" w:styleId="Heading11">
    <w:name w:val="Heading 11"/>
    <w:basedOn w:val="Normal"/>
    <w:next w:val="Normal"/>
    <w:rsid w:val="00500F58"/>
    <w:pPr>
      <w:keepNext/>
      <w:tabs>
        <w:tab w:val="left" w:pos="360"/>
      </w:tabs>
      <w:spacing w:before="240" w:after="60"/>
      <w:outlineLvl w:val="0"/>
    </w:pPr>
    <w:rPr>
      <w:rFonts w:ascii="Arial" w:hAnsi="Arial"/>
      <w:b/>
      <w:kern w:val="3"/>
      <w:sz w:val="28"/>
      <w:lang w:val="en-US"/>
    </w:rPr>
  </w:style>
  <w:style w:type="paragraph" w:customStyle="1" w:styleId="Heading21">
    <w:name w:val="Heading 21"/>
    <w:basedOn w:val="Normal"/>
    <w:next w:val="Normal"/>
    <w:rsid w:val="00500F58"/>
    <w:pPr>
      <w:keepNext/>
      <w:tabs>
        <w:tab w:val="left" w:pos="1080"/>
      </w:tabs>
      <w:spacing w:before="240" w:after="60"/>
      <w:ind w:left="720"/>
      <w:outlineLvl w:val="1"/>
    </w:pPr>
    <w:rPr>
      <w:rFonts w:ascii="Arial" w:hAnsi="Arial"/>
      <w:b/>
      <w:i/>
      <w:lang w:val="en-US"/>
    </w:rPr>
  </w:style>
  <w:style w:type="paragraph" w:customStyle="1" w:styleId="Heading31">
    <w:name w:val="Heading 31"/>
    <w:basedOn w:val="Normal"/>
    <w:next w:val="Normal"/>
    <w:rsid w:val="00500F58"/>
    <w:pPr>
      <w:keepNext/>
      <w:tabs>
        <w:tab w:val="left" w:pos="1800"/>
      </w:tabs>
      <w:spacing w:before="240" w:after="60"/>
      <w:ind w:left="1440"/>
      <w:outlineLvl w:val="2"/>
    </w:pPr>
    <w:rPr>
      <w:rFonts w:ascii="Arial" w:hAnsi="Arial"/>
      <w:lang w:val="en-US"/>
    </w:rPr>
  </w:style>
  <w:style w:type="paragraph" w:customStyle="1" w:styleId="Heading41">
    <w:name w:val="Heading 41"/>
    <w:basedOn w:val="Normal"/>
    <w:next w:val="Normal"/>
    <w:rsid w:val="00500F58"/>
    <w:pPr>
      <w:keepNext/>
      <w:tabs>
        <w:tab w:val="left" w:pos="2520"/>
      </w:tabs>
      <w:spacing w:before="240" w:after="60"/>
      <w:ind w:left="2160"/>
      <w:outlineLvl w:val="3"/>
    </w:pPr>
    <w:rPr>
      <w:rFonts w:ascii="Arial" w:hAnsi="Arial"/>
      <w:b/>
      <w:lang w:val="en-US"/>
    </w:rPr>
  </w:style>
  <w:style w:type="paragraph" w:customStyle="1" w:styleId="Heading51">
    <w:name w:val="Heading 51"/>
    <w:basedOn w:val="Normal"/>
    <w:next w:val="Normal"/>
    <w:rsid w:val="00500F5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1">
    <w:name w:val="Heading 61"/>
    <w:basedOn w:val="Normal"/>
    <w:next w:val="Normal"/>
    <w:rsid w:val="00500F5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rsid w:val="00500F58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customStyle="1" w:styleId="Heading81">
    <w:name w:val="Heading 81"/>
    <w:basedOn w:val="Normal"/>
    <w:next w:val="Normal"/>
    <w:rsid w:val="00500F58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customStyle="1" w:styleId="Heading91">
    <w:name w:val="Heading 91"/>
    <w:basedOn w:val="Normal"/>
    <w:next w:val="Normal"/>
    <w:rsid w:val="00500F5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Heading5Char">
    <w:name w:val="Heading 5 Char"/>
    <w:rsid w:val="00500F58"/>
    <w:rPr>
      <w:rFonts w:ascii="Calibri" w:hAnsi="Calibri" w:cs="Times New Roman"/>
      <w:b/>
      <w:bCs/>
      <w:i/>
      <w:iCs/>
      <w:sz w:val="26"/>
      <w:szCs w:val="26"/>
      <w:lang w:val="es-ES"/>
    </w:rPr>
  </w:style>
  <w:style w:type="character" w:customStyle="1" w:styleId="Heading6Char">
    <w:name w:val="Heading 6 Char"/>
    <w:rsid w:val="00500F58"/>
    <w:rPr>
      <w:rFonts w:ascii="Calibri" w:hAnsi="Calibri" w:cs="Times New Roman"/>
      <w:b/>
      <w:bCs/>
      <w:lang w:val="es-ES"/>
    </w:rPr>
  </w:style>
  <w:style w:type="character" w:customStyle="1" w:styleId="Heading7Char">
    <w:name w:val="Heading 7 Char"/>
    <w:rsid w:val="00500F58"/>
    <w:rPr>
      <w:rFonts w:ascii="Calibri" w:hAnsi="Calibri" w:cs="Times New Roman"/>
      <w:sz w:val="24"/>
      <w:szCs w:val="24"/>
      <w:lang w:val="es-ES"/>
    </w:rPr>
  </w:style>
  <w:style w:type="character" w:customStyle="1" w:styleId="Heading8Char">
    <w:name w:val="Heading 8 Char"/>
    <w:rsid w:val="00500F58"/>
    <w:rPr>
      <w:rFonts w:ascii="Calibri" w:hAnsi="Calibri" w:cs="Times New Roman"/>
      <w:i/>
      <w:iCs/>
      <w:sz w:val="24"/>
      <w:szCs w:val="24"/>
      <w:lang w:val="es-ES"/>
    </w:rPr>
  </w:style>
  <w:style w:type="character" w:customStyle="1" w:styleId="Heading9Char">
    <w:name w:val="Heading 9 Char"/>
    <w:rsid w:val="00500F58"/>
    <w:rPr>
      <w:rFonts w:ascii="Cambria" w:hAnsi="Cambria" w:cs="Times New Roman"/>
      <w:lang w:val="es-ES"/>
    </w:rPr>
  </w:style>
  <w:style w:type="paragraph" w:customStyle="1" w:styleId="Chapter">
    <w:name w:val="Chapter"/>
    <w:basedOn w:val="Normal"/>
    <w:next w:val="Normal"/>
    <w:rsid w:val="00500F58"/>
    <w:pPr>
      <w:keepNext/>
      <w:tabs>
        <w:tab w:val="left" w:pos="288"/>
        <w:tab w:val="left" w:pos="648"/>
      </w:tabs>
      <w:spacing w:before="240" w:after="240"/>
      <w:jc w:val="center"/>
    </w:pPr>
    <w:rPr>
      <w:b/>
      <w:smallCaps/>
    </w:rPr>
  </w:style>
  <w:style w:type="paragraph" w:customStyle="1" w:styleId="FirstHeading">
    <w:name w:val="FirstHeading"/>
    <w:basedOn w:val="Normal"/>
    <w:next w:val="Normal"/>
    <w:rsid w:val="00500F58"/>
    <w:pPr>
      <w:keepNext/>
      <w:tabs>
        <w:tab w:val="left" w:pos="0"/>
        <w:tab w:val="left" w:pos="86"/>
      </w:tabs>
      <w:spacing w:before="120" w:after="120"/>
      <w:ind w:left="720"/>
    </w:pPr>
    <w:rPr>
      <w:b/>
    </w:rPr>
  </w:style>
  <w:style w:type="paragraph" w:customStyle="1" w:styleId="Footer1">
    <w:name w:val="Footer1"/>
    <w:basedOn w:val="Normal"/>
    <w:rsid w:val="00500F58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500F58"/>
    <w:rPr>
      <w:rFonts w:cs="Times New Roman"/>
      <w:sz w:val="20"/>
      <w:szCs w:val="20"/>
      <w:lang w:val="es-ES"/>
    </w:rPr>
  </w:style>
  <w:style w:type="paragraph" w:customStyle="1" w:styleId="FootnoteText1">
    <w:name w:val="Footnote Text1"/>
    <w:basedOn w:val="Normal"/>
    <w:rsid w:val="00500F58"/>
    <w:pPr>
      <w:keepNext/>
      <w:keepLines/>
      <w:spacing w:after="120"/>
      <w:ind w:left="288" w:hanging="288"/>
      <w:jc w:val="both"/>
    </w:pPr>
    <w:rPr>
      <w:spacing w:val="-3"/>
      <w:sz w:val="20"/>
    </w:rPr>
  </w:style>
  <w:style w:type="character" w:customStyle="1" w:styleId="FootnoteTextChar">
    <w:name w:val="Footnote Text Char"/>
    <w:rsid w:val="00500F58"/>
    <w:rPr>
      <w:rFonts w:cs="Times New Roman"/>
      <w:spacing w:val="-3"/>
      <w:lang w:val="es-ES" w:eastAsia="en-US" w:bidi="ar-SA"/>
    </w:rPr>
  </w:style>
  <w:style w:type="paragraph" w:customStyle="1" w:styleId="Header1">
    <w:name w:val="Header1"/>
    <w:basedOn w:val="Normal"/>
    <w:rsid w:val="00500F58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500F58"/>
    <w:rPr>
      <w:rFonts w:cs="Times New Roman"/>
      <w:sz w:val="20"/>
      <w:szCs w:val="20"/>
      <w:lang w:val="es-ES"/>
    </w:rPr>
  </w:style>
  <w:style w:type="paragraph" w:customStyle="1" w:styleId="Newpage">
    <w:name w:val="Newpage"/>
    <w:basedOn w:val="Chapter"/>
    <w:rsid w:val="00500F58"/>
    <w:pPr>
      <w:tabs>
        <w:tab w:val="clear" w:pos="288"/>
        <w:tab w:val="clear" w:pos="648"/>
        <w:tab w:val="left" w:pos="1440"/>
        <w:tab w:val="left" w:pos="3060"/>
      </w:tabs>
      <w:spacing w:after="0"/>
    </w:pPr>
  </w:style>
  <w:style w:type="character" w:customStyle="1" w:styleId="PageNumber1">
    <w:name w:val="Page Number1"/>
    <w:rsid w:val="00500F58"/>
    <w:rPr>
      <w:rFonts w:cs="Times New Roman"/>
    </w:rPr>
  </w:style>
  <w:style w:type="paragraph" w:customStyle="1" w:styleId="Paragraph">
    <w:name w:val="Paragraph"/>
    <w:basedOn w:val="BodyTextIndent"/>
    <w:rsid w:val="00500F58"/>
    <w:pPr>
      <w:spacing w:before="120"/>
      <w:jc w:val="both"/>
      <w:outlineLvl w:val="1"/>
    </w:pPr>
  </w:style>
  <w:style w:type="paragraph" w:customStyle="1" w:styleId="SecHeading">
    <w:name w:val="SecHeading"/>
    <w:basedOn w:val="Normal"/>
    <w:next w:val="Paragraph"/>
    <w:rsid w:val="00500F58"/>
    <w:pPr>
      <w:keepNext/>
      <w:tabs>
        <w:tab w:val="left" w:pos="1296"/>
      </w:tabs>
      <w:spacing w:before="120" w:after="120"/>
      <w:ind w:left="1296"/>
    </w:pPr>
    <w:rPr>
      <w:b/>
    </w:rPr>
  </w:style>
  <w:style w:type="paragraph" w:customStyle="1" w:styleId="SubHeading1">
    <w:name w:val="SubHeading1"/>
    <w:basedOn w:val="SecHeading"/>
    <w:rsid w:val="00500F58"/>
    <w:pPr>
      <w:tabs>
        <w:tab w:val="clear" w:pos="1296"/>
        <w:tab w:val="left" w:pos="1872"/>
      </w:tabs>
      <w:ind w:left="1872"/>
    </w:pPr>
  </w:style>
  <w:style w:type="paragraph" w:customStyle="1" w:styleId="Subheading2">
    <w:name w:val="Subheading2"/>
    <w:basedOn w:val="SecHeading"/>
    <w:rsid w:val="00500F58"/>
    <w:pPr>
      <w:numPr>
        <w:numId w:val="3"/>
      </w:numPr>
      <w:tabs>
        <w:tab w:val="clear" w:pos="1296"/>
        <w:tab w:val="left" w:pos="2376"/>
      </w:tabs>
    </w:pPr>
  </w:style>
  <w:style w:type="paragraph" w:customStyle="1" w:styleId="subpar">
    <w:name w:val="subpar"/>
    <w:basedOn w:val="BodyTextIndent3"/>
    <w:rsid w:val="00500F58"/>
    <w:pPr>
      <w:tabs>
        <w:tab w:val="left" w:pos="1152"/>
      </w:tabs>
      <w:spacing w:before="120"/>
      <w:ind w:left="1152"/>
      <w:jc w:val="both"/>
      <w:outlineLvl w:val="2"/>
    </w:pPr>
    <w:rPr>
      <w:szCs w:val="20"/>
    </w:rPr>
  </w:style>
  <w:style w:type="paragraph" w:customStyle="1" w:styleId="SubSubPar">
    <w:name w:val="SubSubPar"/>
    <w:basedOn w:val="subpar"/>
    <w:rsid w:val="00500F58"/>
    <w:pPr>
      <w:numPr>
        <w:numId w:val="2"/>
      </w:numPr>
      <w:tabs>
        <w:tab w:val="clear" w:pos="1152"/>
        <w:tab w:val="left" w:pos="0"/>
        <w:tab w:val="left" w:pos="1296"/>
      </w:tabs>
    </w:pPr>
  </w:style>
  <w:style w:type="character" w:customStyle="1" w:styleId="FootnoteReference1">
    <w:name w:val="Footnote Reference1"/>
    <w:rsid w:val="00500F58"/>
    <w:rPr>
      <w:rFonts w:cs="Times New Roman"/>
      <w:position w:val="0"/>
      <w:vertAlign w:val="superscript"/>
    </w:rPr>
  </w:style>
  <w:style w:type="paragraph" w:styleId="BodyTextIndent">
    <w:name w:val="Body Text Indent"/>
    <w:basedOn w:val="Normal"/>
    <w:rsid w:val="00500F58"/>
    <w:pPr>
      <w:spacing w:after="120"/>
      <w:ind w:left="360"/>
    </w:pPr>
  </w:style>
  <w:style w:type="character" w:customStyle="1" w:styleId="BodyTextIndentChar">
    <w:name w:val="Body Text Indent Char"/>
    <w:rsid w:val="00500F58"/>
    <w:rPr>
      <w:rFonts w:cs="Times New Roman"/>
      <w:sz w:val="24"/>
      <w:lang w:val="es-ES" w:eastAsia="en-US" w:bidi="ar-SA"/>
    </w:rPr>
  </w:style>
  <w:style w:type="paragraph" w:styleId="BodyTextIndent3">
    <w:name w:val="Body Text Indent 3"/>
    <w:basedOn w:val="Normal"/>
    <w:rsid w:val="00500F5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rsid w:val="00500F58"/>
    <w:rPr>
      <w:rFonts w:cs="Times New Roman"/>
      <w:sz w:val="16"/>
      <w:szCs w:val="16"/>
      <w:lang w:val="es-ES" w:eastAsia="en-US" w:bidi="ar-SA"/>
    </w:rPr>
  </w:style>
  <w:style w:type="paragraph" w:customStyle="1" w:styleId="Regtable">
    <w:name w:val="Regtable"/>
    <w:basedOn w:val="Normal"/>
    <w:rsid w:val="00500F58"/>
    <w:pPr>
      <w:keepLines/>
      <w:spacing w:before="20" w:after="20"/>
    </w:pPr>
    <w:rPr>
      <w:sz w:val="20"/>
    </w:rPr>
  </w:style>
  <w:style w:type="paragraph" w:customStyle="1" w:styleId="TableTitle">
    <w:name w:val="TableTitle"/>
    <w:basedOn w:val="Normal"/>
    <w:rsid w:val="00500F58"/>
    <w:pPr>
      <w:keepNext/>
      <w:spacing w:before="20" w:after="20"/>
      <w:jc w:val="center"/>
    </w:pPr>
    <w:rPr>
      <w:rFonts w:ascii="Times New Roman Bold" w:hAnsi="Times New Roman Bold"/>
      <w:b/>
      <w:spacing w:val="-3"/>
      <w:sz w:val="20"/>
    </w:rPr>
  </w:style>
  <w:style w:type="character" w:customStyle="1" w:styleId="Heading1Char">
    <w:name w:val="Heading 1 Char"/>
    <w:rsid w:val="00500F58"/>
    <w:rPr>
      <w:rFonts w:ascii="Arial" w:hAnsi="Arial"/>
      <w:b/>
      <w:kern w:val="3"/>
      <w:sz w:val="28"/>
      <w:szCs w:val="20"/>
    </w:rPr>
  </w:style>
  <w:style w:type="character" w:customStyle="1" w:styleId="Heading2Char">
    <w:name w:val="Heading 2 Char"/>
    <w:rsid w:val="00500F58"/>
    <w:rPr>
      <w:rFonts w:ascii="Arial" w:hAnsi="Arial"/>
      <w:b/>
      <w:i/>
      <w:sz w:val="24"/>
      <w:szCs w:val="20"/>
    </w:rPr>
  </w:style>
  <w:style w:type="character" w:customStyle="1" w:styleId="Heading3Char">
    <w:name w:val="Heading 3 Char"/>
    <w:rsid w:val="00500F58"/>
    <w:rPr>
      <w:rFonts w:ascii="Arial" w:hAnsi="Arial"/>
      <w:sz w:val="24"/>
      <w:szCs w:val="20"/>
    </w:rPr>
  </w:style>
  <w:style w:type="character" w:customStyle="1" w:styleId="Heading4Char">
    <w:name w:val="Heading 4 Char"/>
    <w:rsid w:val="00500F58"/>
    <w:rPr>
      <w:rFonts w:ascii="Arial" w:hAnsi="Arial"/>
      <w:b/>
      <w:sz w:val="24"/>
      <w:szCs w:val="20"/>
    </w:rPr>
  </w:style>
  <w:style w:type="character" w:customStyle="1" w:styleId="ParagraphChar">
    <w:name w:val="Paragraph Char"/>
    <w:rsid w:val="00500F58"/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500F5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rsid w:val="00500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00F58"/>
    <w:rPr>
      <w:rFonts w:ascii="Tahoma" w:hAnsi="Tahoma" w:cs="Tahoma"/>
      <w:sz w:val="16"/>
      <w:szCs w:val="16"/>
      <w:lang w:val="es-ES"/>
    </w:rPr>
  </w:style>
  <w:style w:type="character" w:customStyle="1" w:styleId="CommentReference1">
    <w:name w:val="Comment Reference1"/>
    <w:rsid w:val="00500F58"/>
    <w:rPr>
      <w:sz w:val="16"/>
      <w:szCs w:val="16"/>
    </w:rPr>
  </w:style>
  <w:style w:type="paragraph" w:customStyle="1" w:styleId="CommentText1">
    <w:name w:val="Comment Text1"/>
    <w:basedOn w:val="Normal"/>
    <w:rsid w:val="00500F58"/>
    <w:rPr>
      <w:sz w:val="20"/>
    </w:rPr>
  </w:style>
  <w:style w:type="character" w:customStyle="1" w:styleId="CommentTextChar">
    <w:name w:val="Comment Text Char"/>
    <w:rsid w:val="00500F58"/>
    <w:rPr>
      <w:lang w:val="es-ES"/>
    </w:rPr>
  </w:style>
  <w:style w:type="paragraph" w:customStyle="1" w:styleId="CommentSubject1">
    <w:name w:val="Comment Subject1"/>
    <w:basedOn w:val="CommentText1"/>
    <w:next w:val="CommentText1"/>
    <w:rsid w:val="00500F58"/>
    <w:rPr>
      <w:b/>
      <w:bCs/>
    </w:rPr>
  </w:style>
  <w:style w:type="character" w:customStyle="1" w:styleId="CommentSubjectChar">
    <w:name w:val="Comment Subject Char"/>
    <w:rsid w:val="00500F58"/>
    <w:rPr>
      <w:b/>
      <w:bCs/>
      <w:lang w:val="es-ES"/>
    </w:rPr>
  </w:style>
  <w:style w:type="numbering" w:customStyle="1" w:styleId="LFO1">
    <w:name w:val="LFO1"/>
    <w:basedOn w:val="NoList"/>
    <w:rsid w:val="00500F58"/>
    <w:pPr>
      <w:numPr>
        <w:numId w:val="2"/>
      </w:numPr>
    </w:pPr>
  </w:style>
  <w:style w:type="numbering" w:customStyle="1" w:styleId="LFO2">
    <w:name w:val="LFO2"/>
    <w:basedOn w:val="NoList"/>
    <w:rsid w:val="00500F58"/>
    <w:pPr>
      <w:numPr>
        <w:numId w:val="3"/>
      </w:numPr>
    </w:pPr>
  </w:style>
  <w:style w:type="paragraph" w:styleId="CommentText">
    <w:name w:val="annotation text"/>
    <w:basedOn w:val="Normal"/>
    <w:link w:val="CommentTextChar1"/>
    <w:uiPriority w:val="99"/>
    <w:semiHidden/>
    <w:unhideWhenUsed/>
    <w:rsid w:val="00500F58"/>
    <w:rPr>
      <w:sz w:val="20"/>
      <w:lang w:eastAsia="x-none"/>
    </w:rPr>
  </w:style>
  <w:style w:type="character" w:customStyle="1" w:styleId="CommentTextChar1">
    <w:name w:val="Comment Text Char1"/>
    <w:link w:val="CommentText"/>
    <w:uiPriority w:val="99"/>
    <w:semiHidden/>
    <w:rsid w:val="00500F58"/>
    <w:rPr>
      <w:lang w:val="es-ES"/>
    </w:rPr>
  </w:style>
  <w:style w:type="character" w:styleId="CommentReference">
    <w:name w:val="annotation reference"/>
    <w:uiPriority w:val="99"/>
    <w:semiHidden/>
    <w:unhideWhenUsed/>
    <w:rsid w:val="00500F58"/>
    <w:rPr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500F58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HeaderChar1">
    <w:name w:val="Header Char1"/>
    <w:link w:val="Header"/>
    <w:uiPriority w:val="99"/>
    <w:rsid w:val="00500F58"/>
    <w:rPr>
      <w:sz w:val="24"/>
      <w:lang w:val="es-ES"/>
    </w:rPr>
  </w:style>
  <w:style w:type="paragraph" w:styleId="Footer">
    <w:name w:val="footer"/>
    <w:basedOn w:val="Normal"/>
    <w:link w:val="FooterChar1"/>
    <w:uiPriority w:val="99"/>
    <w:unhideWhenUsed/>
    <w:rsid w:val="00500F58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FooterChar1">
    <w:name w:val="Footer Char1"/>
    <w:link w:val="Footer"/>
    <w:uiPriority w:val="99"/>
    <w:rsid w:val="00500F58"/>
    <w:rPr>
      <w:sz w:val="24"/>
      <w:lang w:val="es-ES"/>
    </w:rPr>
  </w:style>
  <w:style w:type="paragraph" w:customStyle="1" w:styleId="Default">
    <w:name w:val="Default"/>
    <w:rsid w:val="007E540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7E5406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7E5406"/>
    <w:rPr>
      <w:b/>
      <w:bCs/>
      <w:lang w:val="es-ES"/>
    </w:rPr>
  </w:style>
  <w:style w:type="paragraph" w:styleId="Revision">
    <w:name w:val="Revision"/>
    <w:hidden/>
    <w:uiPriority w:val="99"/>
    <w:semiHidden/>
    <w:rsid w:val="007E5406"/>
    <w:rPr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0F58"/>
    <w:pPr>
      <w:suppressAutoHyphens/>
      <w:autoSpaceDN w:val="0"/>
      <w:textAlignment w:val="baseline"/>
    </w:pPr>
    <w:rPr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500F58"/>
    <w:pPr>
      <w:numPr>
        <w:numId w:val="1"/>
      </w:numPr>
    </w:pPr>
  </w:style>
  <w:style w:type="paragraph" w:customStyle="1" w:styleId="Heading11">
    <w:name w:val="Heading 11"/>
    <w:basedOn w:val="Normal"/>
    <w:next w:val="Normal"/>
    <w:rsid w:val="00500F58"/>
    <w:pPr>
      <w:keepNext/>
      <w:tabs>
        <w:tab w:val="left" w:pos="360"/>
      </w:tabs>
      <w:spacing w:before="240" w:after="60"/>
      <w:outlineLvl w:val="0"/>
    </w:pPr>
    <w:rPr>
      <w:rFonts w:ascii="Arial" w:hAnsi="Arial"/>
      <w:b/>
      <w:kern w:val="3"/>
      <w:sz w:val="28"/>
      <w:lang w:val="en-US"/>
    </w:rPr>
  </w:style>
  <w:style w:type="paragraph" w:customStyle="1" w:styleId="Heading21">
    <w:name w:val="Heading 21"/>
    <w:basedOn w:val="Normal"/>
    <w:next w:val="Normal"/>
    <w:rsid w:val="00500F58"/>
    <w:pPr>
      <w:keepNext/>
      <w:tabs>
        <w:tab w:val="left" w:pos="1080"/>
      </w:tabs>
      <w:spacing w:before="240" w:after="60"/>
      <w:ind w:left="720"/>
      <w:outlineLvl w:val="1"/>
    </w:pPr>
    <w:rPr>
      <w:rFonts w:ascii="Arial" w:hAnsi="Arial"/>
      <w:b/>
      <w:i/>
      <w:lang w:val="en-US"/>
    </w:rPr>
  </w:style>
  <w:style w:type="paragraph" w:customStyle="1" w:styleId="Heading31">
    <w:name w:val="Heading 31"/>
    <w:basedOn w:val="Normal"/>
    <w:next w:val="Normal"/>
    <w:rsid w:val="00500F58"/>
    <w:pPr>
      <w:keepNext/>
      <w:tabs>
        <w:tab w:val="left" w:pos="1800"/>
      </w:tabs>
      <w:spacing w:before="240" w:after="60"/>
      <w:ind w:left="1440"/>
      <w:outlineLvl w:val="2"/>
    </w:pPr>
    <w:rPr>
      <w:rFonts w:ascii="Arial" w:hAnsi="Arial"/>
      <w:lang w:val="en-US"/>
    </w:rPr>
  </w:style>
  <w:style w:type="paragraph" w:customStyle="1" w:styleId="Heading41">
    <w:name w:val="Heading 41"/>
    <w:basedOn w:val="Normal"/>
    <w:next w:val="Normal"/>
    <w:rsid w:val="00500F58"/>
    <w:pPr>
      <w:keepNext/>
      <w:tabs>
        <w:tab w:val="left" w:pos="2520"/>
      </w:tabs>
      <w:spacing w:before="240" w:after="60"/>
      <w:ind w:left="2160"/>
      <w:outlineLvl w:val="3"/>
    </w:pPr>
    <w:rPr>
      <w:rFonts w:ascii="Arial" w:hAnsi="Arial"/>
      <w:b/>
      <w:lang w:val="en-US"/>
    </w:rPr>
  </w:style>
  <w:style w:type="paragraph" w:customStyle="1" w:styleId="Heading51">
    <w:name w:val="Heading 51"/>
    <w:basedOn w:val="Normal"/>
    <w:next w:val="Normal"/>
    <w:rsid w:val="00500F5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1">
    <w:name w:val="Heading 61"/>
    <w:basedOn w:val="Normal"/>
    <w:next w:val="Normal"/>
    <w:rsid w:val="00500F5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rsid w:val="00500F58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customStyle="1" w:styleId="Heading81">
    <w:name w:val="Heading 81"/>
    <w:basedOn w:val="Normal"/>
    <w:next w:val="Normal"/>
    <w:rsid w:val="00500F58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customStyle="1" w:styleId="Heading91">
    <w:name w:val="Heading 91"/>
    <w:basedOn w:val="Normal"/>
    <w:next w:val="Normal"/>
    <w:rsid w:val="00500F5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Heading5Char">
    <w:name w:val="Heading 5 Char"/>
    <w:rsid w:val="00500F58"/>
    <w:rPr>
      <w:rFonts w:ascii="Calibri" w:hAnsi="Calibri" w:cs="Times New Roman"/>
      <w:b/>
      <w:bCs/>
      <w:i/>
      <w:iCs/>
      <w:sz w:val="26"/>
      <w:szCs w:val="26"/>
      <w:lang w:val="es-ES"/>
    </w:rPr>
  </w:style>
  <w:style w:type="character" w:customStyle="1" w:styleId="Heading6Char">
    <w:name w:val="Heading 6 Char"/>
    <w:rsid w:val="00500F58"/>
    <w:rPr>
      <w:rFonts w:ascii="Calibri" w:hAnsi="Calibri" w:cs="Times New Roman"/>
      <w:b/>
      <w:bCs/>
      <w:lang w:val="es-ES"/>
    </w:rPr>
  </w:style>
  <w:style w:type="character" w:customStyle="1" w:styleId="Heading7Char">
    <w:name w:val="Heading 7 Char"/>
    <w:rsid w:val="00500F58"/>
    <w:rPr>
      <w:rFonts w:ascii="Calibri" w:hAnsi="Calibri" w:cs="Times New Roman"/>
      <w:sz w:val="24"/>
      <w:szCs w:val="24"/>
      <w:lang w:val="es-ES"/>
    </w:rPr>
  </w:style>
  <w:style w:type="character" w:customStyle="1" w:styleId="Heading8Char">
    <w:name w:val="Heading 8 Char"/>
    <w:rsid w:val="00500F58"/>
    <w:rPr>
      <w:rFonts w:ascii="Calibri" w:hAnsi="Calibri" w:cs="Times New Roman"/>
      <w:i/>
      <w:iCs/>
      <w:sz w:val="24"/>
      <w:szCs w:val="24"/>
      <w:lang w:val="es-ES"/>
    </w:rPr>
  </w:style>
  <w:style w:type="character" w:customStyle="1" w:styleId="Heading9Char">
    <w:name w:val="Heading 9 Char"/>
    <w:rsid w:val="00500F58"/>
    <w:rPr>
      <w:rFonts w:ascii="Cambria" w:hAnsi="Cambria" w:cs="Times New Roman"/>
      <w:lang w:val="es-ES"/>
    </w:rPr>
  </w:style>
  <w:style w:type="paragraph" w:customStyle="1" w:styleId="Chapter">
    <w:name w:val="Chapter"/>
    <w:basedOn w:val="Normal"/>
    <w:next w:val="Normal"/>
    <w:rsid w:val="00500F58"/>
    <w:pPr>
      <w:keepNext/>
      <w:tabs>
        <w:tab w:val="left" w:pos="288"/>
        <w:tab w:val="left" w:pos="648"/>
      </w:tabs>
      <w:spacing w:before="240" w:after="240"/>
      <w:jc w:val="center"/>
    </w:pPr>
    <w:rPr>
      <w:b/>
      <w:smallCaps/>
    </w:rPr>
  </w:style>
  <w:style w:type="paragraph" w:customStyle="1" w:styleId="FirstHeading">
    <w:name w:val="FirstHeading"/>
    <w:basedOn w:val="Normal"/>
    <w:next w:val="Normal"/>
    <w:rsid w:val="00500F58"/>
    <w:pPr>
      <w:keepNext/>
      <w:tabs>
        <w:tab w:val="left" w:pos="0"/>
        <w:tab w:val="left" w:pos="86"/>
      </w:tabs>
      <w:spacing w:before="120" w:after="120"/>
      <w:ind w:left="720"/>
    </w:pPr>
    <w:rPr>
      <w:b/>
    </w:rPr>
  </w:style>
  <w:style w:type="paragraph" w:customStyle="1" w:styleId="Footer1">
    <w:name w:val="Footer1"/>
    <w:basedOn w:val="Normal"/>
    <w:rsid w:val="00500F58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500F58"/>
    <w:rPr>
      <w:rFonts w:cs="Times New Roman"/>
      <w:sz w:val="20"/>
      <w:szCs w:val="20"/>
      <w:lang w:val="es-ES"/>
    </w:rPr>
  </w:style>
  <w:style w:type="paragraph" w:customStyle="1" w:styleId="FootnoteText1">
    <w:name w:val="Footnote Text1"/>
    <w:basedOn w:val="Normal"/>
    <w:rsid w:val="00500F58"/>
    <w:pPr>
      <w:keepNext/>
      <w:keepLines/>
      <w:spacing w:after="120"/>
      <w:ind w:left="288" w:hanging="288"/>
      <w:jc w:val="both"/>
    </w:pPr>
    <w:rPr>
      <w:spacing w:val="-3"/>
      <w:sz w:val="20"/>
    </w:rPr>
  </w:style>
  <w:style w:type="character" w:customStyle="1" w:styleId="FootnoteTextChar">
    <w:name w:val="Footnote Text Char"/>
    <w:rsid w:val="00500F58"/>
    <w:rPr>
      <w:rFonts w:cs="Times New Roman"/>
      <w:spacing w:val="-3"/>
      <w:lang w:val="es-ES" w:eastAsia="en-US" w:bidi="ar-SA"/>
    </w:rPr>
  </w:style>
  <w:style w:type="paragraph" w:customStyle="1" w:styleId="Header1">
    <w:name w:val="Header1"/>
    <w:basedOn w:val="Normal"/>
    <w:rsid w:val="00500F58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500F58"/>
    <w:rPr>
      <w:rFonts w:cs="Times New Roman"/>
      <w:sz w:val="20"/>
      <w:szCs w:val="20"/>
      <w:lang w:val="es-ES"/>
    </w:rPr>
  </w:style>
  <w:style w:type="paragraph" w:customStyle="1" w:styleId="Newpage">
    <w:name w:val="Newpage"/>
    <w:basedOn w:val="Chapter"/>
    <w:rsid w:val="00500F58"/>
    <w:pPr>
      <w:tabs>
        <w:tab w:val="clear" w:pos="288"/>
        <w:tab w:val="clear" w:pos="648"/>
        <w:tab w:val="left" w:pos="1440"/>
        <w:tab w:val="left" w:pos="3060"/>
      </w:tabs>
      <w:spacing w:after="0"/>
    </w:pPr>
  </w:style>
  <w:style w:type="character" w:customStyle="1" w:styleId="PageNumber1">
    <w:name w:val="Page Number1"/>
    <w:rsid w:val="00500F58"/>
    <w:rPr>
      <w:rFonts w:cs="Times New Roman"/>
    </w:rPr>
  </w:style>
  <w:style w:type="paragraph" w:customStyle="1" w:styleId="Paragraph">
    <w:name w:val="Paragraph"/>
    <w:basedOn w:val="BodyTextIndent"/>
    <w:rsid w:val="00500F58"/>
    <w:pPr>
      <w:spacing w:before="120"/>
      <w:jc w:val="both"/>
      <w:outlineLvl w:val="1"/>
    </w:pPr>
  </w:style>
  <w:style w:type="paragraph" w:customStyle="1" w:styleId="SecHeading">
    <w:name w:val="SecHeading"/>
    <w:basedOn w:val="Normal"/>
    <w:next w:val="Paragraph"/>
    <w:rsid w:val="00500F58"/>
    <w:pPr>
      <w:keepNext/>
      <w:tabs>
        <w:tab w:val="left" w:pos="1296"/>
      </w:tabs>
      <w:spacing w:before="120" w:after="120"/>
      <w:ind w:left="1296"/>
    </w:pPr>
    <w:rPr>
      <w:b/>
    </w:rPr>
  </w:style>
  <w:style w:type="paragraph" w:customStyle="1" w:styleId="SubHeading1">
    <w:name w:val="SubHeading1"/>
    <w:basedOn w:val="SecHeading"/>
    <w:rsid w:val="00500F58"/>
    <w:pPr>
      <w:tabs>
        <w:tab w:val="clear" w:pos="1296"/>
        <w:tab w:val="left" w:pos="1872"/>
      </w:tabs>
      <w:ind w:left="1872"/>
    </w:pPr>
  </w:style>
  <w:style w:type="paragraph" w:customStyle="1" w:styleId="Subheading2">
    <w:name w:val="Subheading2"/>
    <w:basedOn w:val="SecHeading"/>
    <w:rsid w:val="00500F58"/>
    <w:pPr>
      <w:numPr>
        <w:numId w:val="3"/>
      </w:numPr>
      <w:tabs>
        <w:tab w:val="clear" w:pos="1296"/>
        <w:tab w:val="left" w:pos="2376"/>
      </w:tabs>
    </w:pPr>
  </w:style>
  <w:style w:type="paragraph" w:customStyle="1" w:styleId="subpar">
    <w:name w:val="subpar"/>
    <w:basedOn w:val="BodyTextIndent3"/>
    <w:rsid w:val="00500F58"/>
    <w:pPr>
      <w:tabs>
        <w:tab w:val="left" w:pos="1152"/>
      </w:tabs>
      <w:spacing w:before="120"/>
      <w:ind w:left="1152"/>
      <w:jc w:val="both"/>
      <w:outlineLvl w:val="2"/>
    </w:pPr>
    <w:rPr>
      <w:szCs w:val="20"/>
    </w:rPr>
  </w:style>
  <w:style w:type="paragraph" w:customStyle="1" w:styleId="SubSubPar">
    <w:name w:val="SubSubPar"/>
    <w:basedOn w:val="subpar"/>
    <w:rsid w:val="00500F58"/>
    <w:pPr>
      <w:numPr>
        <w:numId w:val="2"/>
      </w:numPr>
      <w:tabs>
        <w:tab w:val="clear" w:pos="1152"/>
        <w:tab w:val="left" w:pos="0"/>
        <w:tab w:val="left" w:pos="1296"/>
      </w:tabs>
    </w:pPr>
  </w:style>
  <w:style w:type="character" w:customStyle="1" w:styleId="FootnoteReference1">
    <w:name w:val="Footnote Reference1"/>
    <w:rsid w:val="00500F58"/>
    <w:rPr>
      <w:rFonts w:cs="Times New Roman"/>
      <w:position w:val="0"/>
      <w:vertAlign w:val="superscript"/>
    </w:rPr>
  </w:style>
  <w:style w:type="paragraph" w:styleId="BodyTextIndent">
    <w:name w:val="Body Text Indent"/>
    <w:basedOn w:val="Normal"/>
    <w:rsid w:val="00500F58"/>
    <w:pPr>
      <w:spacing w:after="120"/>
      <w:ind w:left="360"/>
    </w:pPr>
  </w:style>
  <w:style w:type="character" w:customStyle="1" w:styleId="BodyTextIndentChar">
    <w:name w:val="Body Text Indent Char"/>
    <w:rsid w:val="00500F58"/>
    <w:rPr>
      <w:rFonts w:cs="Times New Roman"/>
      <w:sz w:val="24"/>
      <w:lang w:val="es-ES" w:eastAsia="en-US" w:bidi="ar-SA"/>
    </w:rPr>
  </w:style>
  <w:style w:type="paragraph" w:styleId="BodyTextIndent3">
    <w:name w:val="Body Text Indent 3"/>
    <w:basedOn w:val="Normal"/>
    <w:rsid w:val="00500F5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rsid w:val="00500F58"/>
    <w:rPr>
      <w:rFonts w:cs="Times New Roman"/>
      <w:sz w:val="16"/>
      <w:szCs w:val="16"/>
      <w:lang w:val="es-ES" w:eastAsia="en-US" w:bidi="ar-SA"/>
    </w:rPr>
  </w:style>
  <w:style w:type="paragraph" w:customStyle="1" w:styleId="Regtable">
    <w:name w:val="Regtable"/>
    <w:basedOn w:val="Normal"/>
    <w:rsid w:val="00500F58"/>
    <w:pPr>
      <w:keepLines/>
      <w:spacing w:before="20" w:after="20"/>
    </w:pPr>
    <w:rPr>
      <w:sz w:val="20"/>
    </w:rPr>
  </w:style>
  <w:style w:type="paragraph" w:customStyle="1" w:styleId="TableTitle">
    <w:name w:val="TableTitle"/>
    <w:basedOn w:val="Normal"/>
    <w:rsid w:val="00500F58"/>
    <w:pPr>
      <w:keepNext/>
      <w:spacing w:before="20" w:after="20"/>
      <w:jc w:val="center"/>
    </w:pPr>
    <w:rPr>
      <w:rFonts w:ascii="Times New Roman Bold" w:hAnsi="Times New Roman Bold"/>
      <w:b/>
      <w:spacing w:val="-3"/>
      <w:sz w:val="20"/>
    </w:rPr>
  </w:style>
  <w:style w:type="character" w:customStyle="1" w:styleId="Heading1Char">
    <w:name w:val="Heading 1 Char"/>
    <w:rsid w:val="00500F58"/>
    <w:rPr>
      <w:rFonts w:ascii="Arial" w:hAnsi="Arial"/>
      <w:b/>
      <w:kern w:val="3"/>
      <w:sz w:val="28"/>
      <w:szCs w:val="20"/>
    </w:rPr>
  </w:style>
  <w:style w:type="character" w:customStyle="1" w:styleId="Heading2Char">
    <w:name w:val="Heading 2 Char"/>
    <w:rsid w:val="00500F58"/>
    <w:rPr>
      <w:rFonts w:ascii="Arial" w:hAnsi="Arial"/>
      <w:b/>
      <w:i/>
      <w:sz w:val="24"/>
      <w:szCs w:val="20"/>
    </w:rPr>
  </w:style>
  <w:style w:type="character" w:customStyle="1" w:styleId="Heading3Char">
    <w:name w:val="Heading 3 Char"/>
    <w:rsid w:val="00500F58"/>
    <w:rPr>
      <w:rFonts w:ascii="Arial" w:hAnsi="Arial"/>
      <w:sz w:val="24"/>
      <w:szCs w:val="20"/>
    </w:rPr>
  </w:style>
  <w:style w:type="character" w:customStyle="1" w:styleId="Heading4Char">
    <w:name w:val="Heading 4 Char"/>
    <w:rsid w:val="00500F58"/>
    <w:rPr>
      <w:rFonts w:ascii="Arial" w:hAnsi="Arial"/>
      <w:b/>
      <w:sz w:val="24"/>
      <w:szCs w:val="20"/>
    </w:rPr>
  </w:style>
  <w:style w:type="character" w:customStyle="1" w:styleId="ParagraphChar">
    <w:name w:val="Paragraph Char"/>
    <w:rsid w:val="00500F58"/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500F5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rsid w:val="00500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00F58"/>
    <w:rPr>
      <w:rFonts w:ascii="Tahoma" w:hAnsi="Tahoma" w:cs="Tahoma"/>
      <w:sz w:val="16"/>
      <w:szCs w:val="16"/>
      <w:lang w:val="es-ES"/>
    </w:rPr>
  </w:style>
  <w:style w:type="character" w:customStyle="1" w:styleId="CommentReference1">
    <w:name w:val="Comment Reference1"/>
    <w:rsid w:val="00500F58"/>
    <w:rPr>
      <w:sz w:val="16"/>
      <w:szCs w:val="16"/>
    </w:rPr>
  </w:style>
  <w:style w:type="paragraph" w:customStyle="1" w:styleId="CommentText1">
    <w:name w:val="Comment Text1"/>
    <w:basedOn w:val="Normal"/>
    <w:rsid w:val="00500F58"/>
    <w:rPr>
      <w:sz w:val="20"/>
    </w:rPr>
  </w:style>
  <w:style w:type="character" w:customStyle="1" w:styleId="CommentTextChar">
    <w:name w:val="Comment Text Char"/>
    <w:rsid w:val="00500F58"/>
    <w:rPr>
      <w:lang w:val="es-ES"/>
    </w:rPr>
  </w:style>
  <w:style w:type="paragraph" w:customStyle="1" w:styleId="CommentSubject1">
    <w:name w:val="Comment Subject1"/>
    <w:basedOn w:val="CommentText1"/>
    <w:next w:val="CommentText1"/>
    <w:rsid w:val="00500F58"/>
    <w:rPr>
      <w:b/>
      <w:bCs/>
    </w:rPr>
  </w:style>
  <w:style w:type="character" w:customStyle="1" w:styleId="CommentSubjectChar">
    <w:name w:val="Comment Subject Char"/>
    <w:rsid w:val="00500F58"/>
    <w:rPr>
      <w:b/>
      <w:bCs/>
      <w:lang w:val="es-ES"/>
    </w:rPr>
  </w:style>
  <w:style w:type="numbering" w:customStyle="1" w:styleId="LFO1">
    <w:name w:val="LFO1"/>
    <w:basedOn w:val="NoList"/>
    <w:rsid w:val="00500F58"/>
    <w:pPr>
      <w:numPr>
        <w:numId w:val="2"/>
      </w:numPr>
    </w:pPr>
  </w:style>
  <w:style w:type="numbering" w:customStyle="1" w:styleId="LFO2">
    <w:name w:val="LFO2"/>
    <w:basedOn w:val="NoList"/>
    <w:rsid w:val="00500F58"/>
    <w:pPr>
      <w:numPr>
        <w:numId w:val="3"/>
      </w:numPr>
    </w:pPr>
  </w:style>
  <w:style w:type="paragraph" w:styleId="CommentText">
    <w:name w:val="annotation text"/>
    <w:basedOn w:val="Normal"/>
    <w:link w:val="CommentTextChar1"/>
    <w:uiPriority w:val="99"/>
    <w:semiHidden/>
    <w:unhideWhenUsed/>
    <w:rsid w:val="00500F58"/>
    <w:rPr>
      <w:sz w:val="20"/>
      <w:lang w:eastAsia="x-none"/>
    </w:rPr>
  </w:style>
  <w:style w:type="character" w:customStyle="1" w:styleId="CommentTextChar1">
    <w:name w:val="Comment Text Char1"/>
    <w:link w:val="CommentText"/>
    <w:uiPriority w:val="99"/>
    <w:semiHidden/>
    <w:rsid w:val="00500F58"/>
    <w:rPr>
      <w:lang w:val="es-ES"/>
    </w:rPr>
  </w:style>
  <w:style w:type="character" w:styleId="CommentReference">
    <w:name w:val="annotation reference"/>
    <w:uiPriority w:val="99"/>
    <w:semiHidden/>
    <w:unhideWhenUsed/>
    <w:rsid w:val="00500F58"/>
    <w:rPr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500F58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HeaderChar1">
    <w:name w:val="Header Char1"/>
    <w:link w:val="Header"/>
    <w:uiPriority w:val="99"/>
    <w:rsid w:val="00500F58"/>
    <w:rPr>
      <w:sz w:val="24"/>
      <w:lang w:val="es-ES"/>
    </w:rPr>
  </w:style>
  <w:style w:type="paragraph" w:styleId="Footer">
    <w:name w:val="footer"/>
    <w:basedOn w:val="Normal"/>
    <w:link w:val="FooterChar1"/>
    <w:uiPriority w:val="99"/>
    <w:unhideWhenUsed/>
    <w:rsid w:val="00500F58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FooterChar1">
    <w:name w:val="Footer Char1"/>
    <w:link w:val="Footer"/>
    <w:uiPriority w:val="99"/>
    <w:rsid w:val="00500F58"/>
    <w:rPr>
      <w:sz w:val="24"/>
      <w:lang w:val="es-ES"/>
    </w:rPr>
  </w:style>
  <w:style w:type="paragraph" w:customStyle="1" w:styleId="Default">
    <w:name w:val="Default"/>
    <w:rsid w:val="007E540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7E5406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7E5406"/>
    <w:rPr>
      <w:b/>
      <w:bCs/>
      <w:lang w:val="es-ES"/>
    </w:rPr>
  </w:style>
  <w:style w:type="paragraph" w:styleId="Revision">
    <w:name w:val="Revision"/>
    <w:hidden/>
    <w:uiPriority w:val="99"/>
    <w:semiHidden/>
    <w:rsid w:val="007E5406"/>
    <w:rPr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17BC-748F-4989-B5A0-CF5B3887D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DBAF4-C121-4F5F-AB4C-56D57FBAF3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A90E81-3254-4632-B8A3-B2C8C20B3E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4FDE2C-A9CB-40DE-BB72-7CCBAC0947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6BCC30-9F05-4B4D-B8C2-2F445786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1673</Words>
  <Characters>9207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Matriz de Política Panamá - Draft</vt:lpstr>
      <vt:lpstr>Matriz de Política Panamá - Draft</vt:lpstr>
    </vt:vector>
  </TitlesOfParts>
  <Company>IADB</Company>
  <LinksUpToDate>false</LinksUpToDate>
  <CharactersWithSpaces>10859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Política Panamá - Draft</dc:title>
  <dc:creator>Rosa Matilde Guerrero</dc:creator>
  <cp:lastModifiedBy>Test</cp:lastModifiedBy>
  <cp:revision>3</cp:revision>
  <cp:lastPrinted>2013-05-02T18:25:00Z</cp:lastPrinted>
  <dcterms:created xsi:type="dcterms:W3CDTF">2013-05-02T18:37:00Z</dcterms:created>
  <dcterms:modified xsi:type="dcterms:W3CDTF">2013-05-02T18:37:00Z</dcterms:modified>
</cp:coreProperties>
</file>