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578"/>
      </w:tblGrid>
      <w:tr w:rsidR="006C74B4">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6C74B4" w:rsidRDefault="00A3554E" w:rsidP="00C11702">
            <w:pPr>
              <w:rPr>
                <w:rFonts w:ascii="Arial" w:eastAsia="Times New Roman" w:hAnsi="Arial" w:cs="Arial"/>
                <w:sz w:val="20"/>
                <w:szCs w:val="20"/>
              </w:rPr>
            </w:pPr>
            <w:bookmarkStart w:id="0" w:name="_GoBack"/>
            <w:bookmarkEnd w:id="0"/>
            <w:r>
              <w:rPr>
                <w:rFonts w:ascii="Arial" w:eastAsia="Times New Roman" w:hAnsi="Arial" w:cs="Arial"/>
                <w:b/>
                <w:bCs/>
                <w:sz w:val="28"/>
                <w:szCs w:val="28"/>
              </w:rPr>
              <w:t>SAFEGUARD POLICY FILTER REPORT</w:t>
            </w:r>
            <w:r>
              <w:rPr>
                <w:rFonts w:ascii="Arial" w:eastAsia="Times New Roman" w:hAnsi="Arial" w:cs="Arial"/>
                <w:sz w:val="20"/>
                <w:szCs w:val="20"/>
              </w:rPr>
              <w:br/>
            </w:r>
          </w:p>
          <w:p w:rsidR="006C74B4" w:rsidRDefault="00A3554E" w:rsidP="00C11702">
            <w:pPr>
              <w:divId w:val="44527484"/>
              <w:rPr>
                <w:rFonts w:ascii="Arial" w:eastAsia="Times New Roman" w:hAnsi="Arial" w:cs="Arial"/>
                <w:sz w:val="20"/>
                <w:szCs w:val="20"/>
              </w:rPr>
            </w:pPr>
            <w:r>
              <w:rPr>
                <w:rFonts w:ascii="Arial" w:eastAsia="Times New Roman" w:hAnsi="Arial" w:cs="Arial"/>
                <w:sz w:val="20"/>
                <w:szCs w:val="20"/>
              </w:rPr>
              <w:t>This Report provides guidance for project teams on safeguard policy triggers and should be attached as an annex to the PP (or equivalent) together with the Safeguard Screening Form, and sent to ESR.</w:t>
            </w:r>
          </w:p>
          <w:p w:rsidR="006C74B4" w:rsidRDefault="006C74B4" w:rsidP="00C11702">
            <w:pPr>
              <w:rPr>
                <w:rFonts w:ascii="Arial" w:eastAsia="Times New Roman" w:hAnsi="Arial" w:cs="Arial"/>
                <w:sz w:val="20"/>
                <w:szCs w:val="20"/>
              </w:rPr>
            </w:pPr>
          </w:p>
          <w:p w:rsidR="006C74B4" w:rsidRDefault="00A3554E" w:rsidP="00C11702">
            <w:pPr>
              <w:divId w:val="434521682"/>
              <w:rPr>
                <w:rFonts w:ascii="Arial" w:eastAsia="Times New Roman" w:hAnsi="Arial" w:cs="Arial"/>
                <w:sz w:val="20"/>
                <w:szCs w:val="20"/>
              </w:rPr>
            </w:pPr>
            <w:r>
              <w:rPr>
                <w:rFonts w:ascii="Arial" w:eastAsia="Times New Roman" w:hAnsi="Arial" w:cs="Arial"/>
                <w:sz w:val="20"/>
                <w:szCs w:val="20"/>
              </w:rPr>
              <w:t>1. Save as a Word document. 2. Enter additional information in the spaces provided, where applicable. 3. Save new changes.</w:t>
            </w:r>
          </w:p>
          <w:p w:rsidR="006C74B4" w:rsidRDefault="006C74B4" w:rsidP="00C11702">
            <w:pPr>
              <w:rPr>
                <w:rFonts w:ascii="Arial" w:eastAsia="Times New Roman" w:hAnsi="Arial" w:cs="Arial"/>
                <w:sz w:val="20"/>
                <w:szCs w:val="20"/>
              </w:rPr>
            </w:pPr>
          </w:p>
          <w:tbl>
            <w:tblPr>
              <w:tblW w:w="93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1"/>
              <w:gridCol w:w="3046"/>
              <w:gridCol w:w="4995"/>
            </w:tblGrid>
            <w:tr w:rsidR="006C74B4" w:rsidTr="00C11702">
              <w:tc>
                <w:tcPr>
                  <w:tcW w:w="1346"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A3554E" w:rsidP="00C11702">
                  <w:pPr>
                    <w:jc w:val="center"/>
                    <w:rPr>
                      <w:rFonts w:ascii="Arial" w:eastAsia="Times New Roman" w:hAnsi="Arial" w:cs="Arial"/>
                      <w:b/>
                      <w:bCs/>
                      <w:sz w:val="20"/>
                      <w:szCs w:val="20"/>
                    </w:rPr>
                  </w:pPr>
                  <w:r>
                    <w:rPr>
                      <w:rFonts w:ascii="Arial" w:eastAsia="Times New Roman" w:hAnsi="Arial" w:cs="Arial"/>
                      <w:b/>
                      <w:bCs/>
                      <w:sz w:val="20"/>
                      <w:szCs w:val="20"/>
                    </w:rPr>
                    <w:t>PROJECT DETAILS</w:t>
                  </w:r>
                </w:p>
              </w:tc>
              <w:tc>
                <w:tcPr>
                  <w:tcW w:w="25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IDB Sector</w:t>
                  </w:r>
                </w:p>
              </w:tc>
              <w:tc>
                <w:tcPr>
                  <w:tcW w:w="549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[Not Set]</w:t>
                  </w:r>
                </w:p>
              </w:tc>
            </w:tr>
            <w:tr w:rsidR="006C74B4"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Type of Operation</w:t>
                  </w:r>
                </w:p>
              </w:tc>
              <w:tc>
                <w:tcPr>
                  <w:tcW w:w="549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Policy Based Loan (PBL)</w:t>
                  </w:r>
                </w:p>
              </w:tc>
            </w:tr>
            <w:tr w:rsidR="006C74B4"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Additional Operation Details</w:t>
                  </w:r>
                </w:p>
              </w:tc>
              <w:tc>
                <w:tcPr>
                  <w:tcW w:w="549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6C74B4" w:rsidP="00C11702">
                  <w:pPr>
                    <w:rPr>
                      <w:rFonts w:ascii="Arial" w:eastAsia="Times New Roman" w:hAnsi="Arial" w:cs="Arial"/>
                      <w:sz w:val="20"/>
                      <w:szCs w:val="20"/>
                    </w:rPr>
                  </w:pPr>
                </w:p>
              </w:tc>
            </w:tr>
            <w:tr w:rsidR="006C74B4"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Investment Checklist</w:t>
                  </w:r>
                </w:p>
              </w:tc>
              <w:tc>
                <w:tcPr>
                  <w:tcW w:w="549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Generic Checklist</w:t>
                  </w:r>
                </w:p>
              </w:tc>
            </w:tr>
            <w:tr w:rsidR="006C74B4" w:rsidRPr="00DB229A"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Team Leader</w:t>
                  </w:r>
                </w:p>
              </w:tc>
              <w:tc>
                <w:tcPr>
                  <w:tcW w:w="549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Pr="008B10F2" w:rsidRDefault="00A3554E" w:rsidP="00C11702">
                  <w:pPr>
                    <w:rPr>
                      <w:rFonts w:ascii="Arial" w:eastAsia="Times New Roman" w:hAnsi="Arial" w:cs="Arial"/>
                      <w:sz w:val="20"/>
                      <w:szCs w:val="20"/>
                      <w:lang w:val="pt-BR"/>
                    </w:rPr>
                  </w:pPr>
                  <w:r w:rsidRPr="008B10F2">
                    <w:rPr>
                      <w:rFonts w:ascii="Arial" w:eastAsia="Times New Roman" w:hAnsi="Arial" w:cs="Arial"/>
                      <w:sz w:val="20"/>
                      <w:szCs w:val="20"/>
                      <w:lang w:val="pt-BR"/>
                    </w:rPr>
                    <w:t>Mac Dowell Dourado de Azevedo, Maria Cristina (MMACDOWELL@iadb.org)</w:t>
                  </w:r>
                </w:p>
              </w:tc>
            </w:tr>
            <w:tr w:rsidR="006C74B4"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Pr="008B10F2" w:rsidRDefault="006C74B4" w:rsidP="00C11702">
                  <w:pPr>
                    <w:rPr>
                      <w:rFonts w:ascii="Arial" w:eastAsia="Times New Roman" w:hAnsi="Arial" w:cs="Arial"/>
                      <w:b/>
                      <w:bCs/>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Project Title</w:t>
                  </w:r>
                </w:p>
              </w:tc>
              <w:tc>
                <w:tcPr>
                  <w:tcW w:w="549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Fiscal consolidation program for Amazonas</w:t>
                  </w:r>
                </w:p>
              </w:tc>
            </w:tr>
            <w:tr w:rsidR="006C74B4"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Project Number</w:t>
                  </w:r>
                </w:p>
              </w:tc>
              <w:tc>
                <w:tcPr>
                  <w:tcW w:w="549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BR-L1385</w:t>
                  </w:r>
                </w:p>
              </w:tc>
            </w:tr>
            <w:tr w:rsidR="006C74B4" w:rsidRPr="00DB229A"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Safeguard Screening Assessor(s)</w:t>
                  </w:r>
                </w:p>
              </w:tc>
              <w:tc>
                <w:tcPr>
                  <w:tcW w:w="549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Pr="008B10F2" w:rsidRDefault="00A3554E" w:rsidP="00C11702">
                  <w:pPr>
                    <w:rPr>
                      <w:rFonts w:ascii="Arial" w:eastAsia="Times New Roman" w:hAnsi="Arial" w:cs="Arial"/>
                      <w:sz w:val="20"/>
                      <w:szCs w:val="20"/>
                      <w:lang w:val="fr-FR"/>
                    </w:rPr>
                  </w:pPr>
                  <w:r w:rsidRPr="008B10F2">
                    <w:rPr>
                      <w:rFonts w:ascii="Arial" w:eastAsia="Times New Roman" w:hAnsi="Arial" w:cs="Arial"/>
                      <w:sz w:val="20"/>
                      <w:szCs w:val="20"/>
                      <w:lang w:val="fr-FR"/>
                    </w:rPr>
                    <w:t>Villela, Luiz A. (LUIZVI@iadb.org)</w:t>
                  </w:r>
                </w:p>
              </w:tc>
            </w:tr>
            <w:tr w:rsidR="006C74B4"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Pr="008B10F2" w:rsidRDefault="006C74B4" w:rsidP="00C11702">
                  <w:pPr>
                    <w:rPr>
                      <w:rFonts w:ascii="Arial" w:eastAsia="Times New Roman" w:hAnsi="Arial" w:cs="Arial"/>
                      <w:b/>
                      <w:bCs/>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Assessment Date</w:t>
                  </w:r>
                </w:p>
              </w:tc>
              <w:tc>
                <w:tcPr>
                  <w:tcW w:w="549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2013-07-18</w:t>
                  </w:r>
                </w:p>
              </w:tc>
            </w:tr>
            <w:tr w:rsidR="006C74B4" w:rsidTr="00C11702">
              <w:trPr>
                <w:trHeight w:val="21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Additional Comments</w:t>
                  </w:r>
                </w:p>
              </w:tc>
              <w:tc>
                <w:tcPr>
                  <w:tcW w:w="549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6C74B4" w:rsidP="00C11702">
                  <w:pPr>
                    <w:rPr>
                      <w:rFonts w:ascii="Arial" w:eastAsia="Times New Roman" w:hAnsi="Arial" w:cs="Arial"/>
                      <w:sz w:val="20"/>
                      <w:szCs w:val="20"/>
                    </w:rPr>
                  </w:pPr>
                </w:p>
              </w:tc>
            </w:tr>
          </w:tbl>
          <w:p w:rsidR="006C74B4" w:rsidRDefault="006C74B4" w:rsidP="00C11702">
            <w:pPr>
              <w:rPr>
                <w:rFonts w:ascii="Arial" w:eastAsia="Times New Roman" w:hAnsi="Arial" w:cs="Arial"/>
                <w:sz w:val="20"/>
                <w:szCs w:val="20"/>
              </w:rPr>
            </w:pPr>
          </w:p>
          <w:tbl>
            <w:tblPr>
              <w:tblW w:w="93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1"/>
              <w:gridCol w:w="2270"/>
              <w:gridCol w:w="4131"/>
              <w:gridCol w:w="1460"/>
            </w:tblGrid>
            <w:tr w:rsidR="006C74B4" w:rsidTr="00C11702">
              <w:tc>
                <w:tcPr>
                  <w:tcW w:w="1491"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A3554E" w:rsidP="00C11702">
                  <w:pPr>
                    <w:jc w:val="center"/>
                    <w:rPr>
                      <w:rFonts w:ascii="Arial" w:eastAsia="Times New Roman" w:hAnsi="Arial" w:cs="Arial"/>
                      <w:b/>
                      <w:bCs/>
                      <w:sz w:val="20"/>
                      <w:szCs w:val="20"/>
                    </w:rPr>
                  </w:pPr>
                  <w:r>
                    <w:rPr>
                      <w:rFonts w:ascii="Arial" w:eastAsia="Times New Roman" w:hAnsi="Arial" w:cs="Arial"/>
                      <w:b/>
                      <w:bCs/>
                      <w:sz w:val="20"/>
                      <w:szCs w:val="20"/>
                    </w:rPr>
                    <w:t>SAFEGUARD POLICY FILTER RESULTS</w:t>
                  </w:r>
                </w:p>
              </w:tc>
              <w:tc>
                <w:tcPr>
                  <w:tcW w:w="22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Type of Operation</w:t>
                  </w:r>
                </w:p>
              </w:tc>
              <w:tc>
                <w:tcPr>
                  <w:tcW w:w="5591"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Loan Operation</w:t>
                  </w:r>
                </w:p>
              </w:tc>
            </w:tr>
            <w:tr w:rsidR="006C74B4"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227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Safeguard Policy Items</w:t>
                  </w:r>
                  <w:r>
                    <w:rPr>
                      <w:rFonts w:ascii="Arial" w:eastAsia="Times New Roman" w:hAnsi="Arial" w:cs="Arial"/>
                      <w:b/>
                      <w:bCs/>
                      <w:sz w:val="20"/>
                      <w:szCs w:val="20"/>
                    </w:rPr>
                    <w:br/>
                    <w:t xml:space="preserve">Identified </w:t>
                  </w:r>
                  <w:r>
                    <w:rPr>
                      <w:rFonts w:ascii="Arial" w:eastAsia="Times New Roman" w:hAnsi="Arial" w:cs="Arial"/>
                      <w:b/>
                      <w:bCs/>
                      <w:color w:val="FF0000"/>
                      <w:sz w:val="20"/>
                      <w:szCs w:val="20"/>
                    </w:rPr>
                    <w:t>(Yes)</w:t>
                  </w:r>
                </w:p>
              </w:tc>
              <w:tc>
                <w:tcPr>
                  <w:tcW w:w="4131"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The operation is in compliance with environmental, specific women’s rights, gender, and indigenous laws and regulations of the country where the operation is being implemented (including national obligations established under ratified Multilateral Environmental Agreements).</w:t>
                  </w:r>
                </w:p>
              </w:tc>
              <w:tc>
                <w:tcPr>
                  <w:tcW w:w="14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color w:val="0000FF"/>
                      <w:sz w:val="20"/>
                      <w:szCs w:val="20"/>
                    </w:rPr>
                  </w:pPr>
                  <w:r>
                    <w:rPr>
                      <w:rFonts w:ascii="Arial" w:eastAsia="Times New Roman" w:hAnsi="Arial" w:cs="Arial"/>
                      <w:color w:val="0000FF"/>
                      <w:sz w:val="20"/>
                      <w:szCs w:val="20"/>
                    </w:rPr>
                    <w:t>(B.02)</w:t>
                  </w:r>
                </w:p>
              </w:tc>
            </w:tr>
            <w:tr w:rsidR="006C74B4"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4131"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The operation (including associated facilities) is screened and classified according to their potential environmental impacts.</w:t>
                  </w:r>
                </w:p>
              </w:tc>
              <w:tc>
                <w:tcPr>
                  <w:tcW w:w="14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color w:val="0000FF"/>
                      <w:sz w:val="20"/>
                      <w:szCs w:val="20"/>
                    </w:rPr>
                  </w:pPr>
                  <w:r>
                    <w:rPr>
                      <w:rFonts w:ascii="Arial" w:eastAsia="Times New Roman" w:hAnsi="Arial" w:cs="Arial"/>
                      <w:color w:val="0000FF"/>
                      <w:sz w:val="20"/>
                      <w:szCs w:val="20"/>
                    </w:rPr>
                    <w:t>(B.03)</w:t>
                  </w:r>
                </w:p>
              </w:tc>
            </w:tr>
            <w:tr w:rsidR="006C74B4"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4131"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The Bank will monitor the executing agency/borrower’s compliance with all safeguard requirements stipulated in the loan agreement and project operating or credit regulations.</w:t>
                  </w:r>
                </w:p>
              </w:tc>
              <w:tc>
                <w:tcPr>
                  <w:tcW w:w="14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color w:val="0000FF"/>
                      <w:sz w:val="20"/>
                      <w:szCs w:val="20"/>
                    </w:rPr>
                  </w:pPr>
                  <w:r>
                    <w:rPr>
                      <w:rFonts w:ascii="Arial" w:eastAsia="Times New Roman" w:hAnsi="Arial" w:cs="Arial"/>
                      <w:color w:val="0000FF"/>
                      <w:sz w:val="20"/>
                      <w:szCs w:val="20"/>
                    </w:rPr>
                    <w:t>(B.07)</w:t>
                  </w:r>
                </w:p>
              </w:tc>
            </w:tr>
            <w:tr w:rsidR="006C74B4"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4131"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Operation for which ex-ante impact classification may not be feasible. These loans are: Policy-based loans, Financial Intermediaries (FIs) or loans that are based on performance criteria, sector-based approaches, or conditional credit lines for investment projects.</w:t>
                  </w:r>
                </w:p>
              </w:tc>
              <w:tc>
                <w:tcPr>
                  <w:tcW w:w="14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color w:val="0000FF"/>
                      <w:sz w:val="20"/>
                      <w:szCs w:val="20"/>
                    </w:rPr>
                  </w:pPr>
                  <w:r>
                    <w:rPr>
                      <w:rFonts w:ascii="Arial" w:eastAsia="Times New Roman" w:hAnsi="Arial" w:cs="Arial"/>
                      <w:color w:val="0000FF"/>
                      <w:sz w:val="20"/>
                      <w:szCs w:val="20"/>
                    </w:rPr>
                    <w:t>(B.13)</w:t>
                  </w:r>
                </w:p>
              </w:tc>
            </w:tr>
            <w:tr w:rsidR="006C74B4"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4131"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Suitable safeguard provisions for procurement of goods and services in Bank financed projects may be incorporated into project-specific loan agreements, operating regulations and bidding documents, as appropriate, to ensure environmentally responsible procurement.</w:t>
                  </w:r>
                </w:p>
              </w:tc>
              <w:tc>
                <w:tcPr>
                  <w:tcW w:w="14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color w:val="0000FF"/>
                      <w:sz w:val="20"/>
                      <w:szCs w:val="20"/>
                    </w:rPr>
                  </w:pPr>
                  <w:r>
                    <w:rPr>
                      <w:rFonts w:ascii="Arial" w:eastAsia="Times New Roman" w:hAnsi="Arial" w:cs="Arial"/>
                      <w:color w:val="0000FF"/>
                      <w:sz w:val="20"/>
                      <w:szCs w:val="20"/>
                    </w:rPr>
                    <w:t>(B.17)</w:t>
                  </w:r>
                </w:p>
              </w:tc>
            </w:tr>
            <w:tr w:rsidR="006C74B4"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22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Potential Safeguard Policy</w:t>
                  </w:r>
                  <w:r>
                    <w:rPr>
                      <w:rFonts w:ascii="Arial" w:eastAsia="Times New Roman" w:hAnsi="Arial" w:cs="Arial"/>
                      <w:b/>
                      <w:bCs/>
                      <w:sz w:val="20"/>
                      <w:szCs w:val="20"/>
                    </w:rPr>
                    <w:br/>
                    <w:t>Items</w:t>
                  </w:r>
                  <w:r>
                    <w:rPr>
                      <w:rFonts w:ascii="Arial" w:eastAsia="Times New Roman" w:hAnsi="Arial" w:cs="Arial"/>
                      <w:b/>
                      <w:bCs/>
                      <w:color w:val="FF0000"/>
                      <w:sz w:val="20"/>
                      <w:szCs w:val="20"/>
                    </w:rPr>
                    <w:t>(?)</w:t>
                  </w:r>
                </w:p>
              </w:tc>
              <w:tc>
                <w:tcPr>
                  <w:tcW w:w="4131"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No potential issues identified</w:t>
                  </w:r>
                </w:p>
              </w:tc>
              <w:tc>
                <w:tcPr>
                  <w:tcW w:w="14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6C74B4" w:rsidP="00C11702">
                  <w:pPr>
                    <w:rPr>
                      <w:rFonts w:ascii="Arial" w:eastAsia="Times New Roman" w:hAnsi="Arial" w:cs="Arial"/>
                      <w:sz w:val="20"/>
                      <w:szCs w:val="20"/>
                    </w:rPr>
                  </w:pPr>
                </w:p>
              </w:tc>
            </w:tr>
            <w:tr w:rsidR="006C74B4" w:rsidTr="00C117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22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Recommended Action:</w:t>
                  </w:r>
                </w:p>
              </w:tc>
              <w:tc>
                <w:tcPr>
                  <w:tcW w:w="5591"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Operation has triggered 1 or more Policy Directives; please refer to appropriate Directive(s), including B13, for guidance. No project classification required. Submit Report and PP (or equivalent) to ESR.</w:t>
                  </w:r>
                </w:p>
              </w:tc>
            </w:tr>
            <w:tr w:rsidR="006C74B4" w:rsidTr="00C11702">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22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Additional Comments:</w:t>
                  </w:r>
                </w:p>
              </w:tc>
              <w:tc>
                <w:tcPr>
                  <w:tcW w:w="5591"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6C74B4" w:rsidP="00C11702">
                  <w:pPr>
                    <w:rPr>
                      <w:rFonts w:ascii="Arial" w:eastAsia="Times New Roman" w:hAnsi="Arial" w:cs="Arial"/>
                      <w:sz w:val="20"/>
                      <w:szCs w:val="20"/>
                    </w:rPr>
                  </w:pPr>
                </w:p>
              </w:tc>
            </w:tr>
          </w:tbl>
          <w:p w:rsidR="006C74B4" w:rsidRDefault="006C74B4" w:rsidP="00C11702">
            <w:pPr>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0"/>
              <w:gridCol w:w="2505"/>
              <w:gridCol w:w="5397"/>
            </w:tblGrid>
            <w:tr w:rsidR="006C74B4" w:rsidRPr="00DB229A">
              <w:trPr>
                <w:trHeight w:val="3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A3554E" w:rsidP="00C11702">
                  <w:pPr>
                    <w:jc w:val="center"/>
                    <w:rPr>
                      <w:rFonts w:ascii="Arial" w:eastAsia="Times New Roman" w:hAnsi="Arial" w:cs="Arial"/>
                      <w:b/>
                      <w:bCs/>
                      <w:sz w:val="20"/>
                      <w:szCs w:val="20"/>
                    </w:rPr>
                  </w:pPr>
                  <w:r>
                    <w:rPr>
                      <w:rFonts w:ascii="Arial" w:eastAsia="Times New Roman"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Pr="008B10F2" w:rsidRDefault="00A3554E" w:rsidP="00C11702">
                  <w:pPr>
                    <w:rPr>
                      <w:rFonts w:ascii="Arial" w:eastAsia="Times New Roman" w:hAnsi="Arial" w:cs="Arial"/>
                      <w:sz w:val="20"/>
                      <w:szCs w:val="20"/>
                      <w:lang w:val="fr-FR"/>
                    </w:rPr>
                  </w:pPr>
                  <w:r w:rsidRPr="008B10F2">
                    <w:rPr>
                      <w:rFonts w:ascii="Arial" w:eastAsia="Times New Roman" w:hAnsi="Arial" w:cs="Arial"/>
                      <w:sz w:val="20"/>
                      <w:szCs w:val="20"/>
                      <w:lang w:val="fr-FR"/>
                    </w:rPr>
                    <w:t>Villela, Luiz A. (LUIZVI@iadb.org)</w:t>
                  </w:r>
                </w:p>
              </w:tc>
            </w:tr>
            <w:tr w:rsidR="006C74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Pr="008B10F2" w:rsidRDefault="006C74B4" w:rsidP="00C11702">
                  <w:pPr>
                    <w:rPr>
                      <w:rFonts w:ascii="Arial" w:eastAsia="Times New Roman" w:hAnsi="Arial" w:cs="Arial"/>
                      <w:b/>
                      <w:bCs/>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6C74B4" w:rsidP="00C11702">
                  <w:pPr>
                    <w:rPr>
                      <w:rFonts w:ascii="Arial" w:eastAsia="Times New Roman" w:hAnsi="Arial" w:cs="Arial"/>
                      <w:sz w:val="20"/>
                      <w:szCs w:val="20"/>
                    </w:rPr>
                  </w:pPr>
                </w:p>
              </w:tc>
            </w:tr>
            <w:tr w:rsidR="006C74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4B4" w:rsidRDefault="006C74B4" w:rsidP="00C11702">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C74B4" w:rsidRDefault="00A3554E" w:rsidP="00C11702">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C74B4" w:rsidRDefault="00A3554E" w:rsidP="00C11702">
                  <w:pPr>
                    <w:rPr>
                      <w:rFonts w:ascii="Arial" w:eastAsia="Times New Roman" w:hAnsi="Arial" w:cs="Arial"/>
                      <w:sz w:val="20"/>
                      <w:szCs w:val="20"/>
                    </w:rPr>
                  </w:pPr>
                  <w:r>
                    <w:rPr>
                      <w:rFonts w:ascii="Arial" w:eastAsia="Times New Roman" w:hAnsi="Arial" w:cs="Arial"/>
                      <w:sz w:val="20"/>
                      <w:szCs w:val="20"/>
                    </w:rPr>
                    <w:t>2013-07-18</w:t>
                  </w:r>
                </w:p>
              </w:tc>
            </w:tr>
          </w:tbl>
          <w:p w:rsidR="006C74B4" w:rsidRDefault="006C74B4" w:rsidP="00C11702">
            <w:pPr>
              <w:rPr>
                <w:rFonts w:ascii="Arial" w:eastAsia="Times New Roman" w:hAnsi="Arial" w:cs="Arial"/>
                <w:sz w:val="20"/>
                <w:szCs w:val="20"/>
              </w:rPr>
            </w:pPr>
          </w:p>
        </w:tc>
      </w:tr>
    </w:tbl>
    <w:p w:rsidR="006C74B4" w:rsidRDefault="006C74B4" w:rsidP="00C11702">
      <w:pPr>
        <w:rPr>
          <w:rFonts w:eastAsia="Times New Roman"/>
        </w:rPr>
      </w:pPr>
    </w:p>
    <w:sectPr w:rsidR="006C74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F2" w:rsidRDefault="008B10F2" w:rsidP="008B10F2">
      <w:r>
        <w:separator/>
      </w:r>
    </w:p>
  </w:endnote>
  <w:endnote w:type="continuationSeparator" w:id="0">
    <w:p w:rsidR="008B10F2" w:rsidRDefault="008B10F2" w:rsidP="008B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F2" w:rsidRDefault="008B10F2" w:rsidP="008B10F2">
      <w:r>
        <w:separator/>
      </w:r>
    </w:p>
  </w:footnote>
  <w:footnote w:type="continuationSeparator" w:id="0">
    <w:p w:rsidR="008B10F2" w:rsidRDefault="008B10F2" w:rsidP="008B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F2" w:rsidRPr="00C11702" w:rsidRDefault="00C11702">
    <w:pPr>
      <w:pStyle w:val="Header"/>
      <w:jc w:val="right"/>
      <w:rPr>
        <w:b/>
        <w:lang w:val="pt-BR"/>
      </w:rPr>
    </w:pPr>
    <w:r w:rsidRPr="00C11702">
      <w:rPr>
        <w:b/>
        <w:lang w:val="pt-BR"/>
      </w:rPr>
      <w:t>A</w:t>
    </w:r>
    <w:r w:rsidR="00DB229A">
      <w:rPr>
        <w:b/>
        <w:lang w:val="pt-BR"/>
      </w:rPr>
      <w:t>nexo</w:t>
    </w:r>
    <w:r w:rsidRPr="00C11702">
      <w:rPr>
        <w:b/>
        <w:lang w:val="pt-BR"/>
      </w:rPr>
      <w:t xml:space="preserve"> II – BR-L1385</w:t>
    </w:r>
  </w:p>
  <w:p w:rsidR="008B10F2" w:rsidRPr="00C11702" w:rsidRDefault="008B10F2">
    <w:pPr>
      <w:pStyle w:val="Header"/>
      <w:jc w:val="right"/>
      <w:rPr>
        <w:sz w:val="20"/>
        <w:lang w:val="pt-BR"/>
      </w:rPr>
    </w:pPr>
    <w:r w:rsidRPr="00C11702">
      <w:rPr>
        <w:sz w:val="20"/>
        <w:lang w:val="pt-BR"/>
      </w:rPr>
      <w:t xml:space="preserve">Página </w:t>
    </w:r>
    <w:sdt>
      <w:sdtPr>
        <w:rPr>
          <w:sz w:val="20"/>
        </w:rPr>
        <w:id w:val="-1121151278"/>
        <w:docPartObj>
          <w:docPartGallery w:val="Page Numbers (Top of Page)"/>
          <w:docPartUnique/>
        </w:docPartObj>
      </w:sdtPr>
      <w:sdtEndPr>
        <w:rPr>
          <w:noProof/>
        </w:rPr>
      </w:sdtEndPr>
      <w:sdtContent>
        <w:r w:rsidRPr="008B10F2">
          <w:rPr>
            <w:sz w:val="20"/>
          </w:rPr>
          <w:fldChar w:fldCharType="begin"/>
        </w:r>
        <w:r w:rsidRPr="00C11702">
          <w:rPr>
            <w:sz w:val="20"/>
            <w:lang w:val="pt-BR"/>
          </w:rPr>
          <w:instrText xml:space="preserve"> PAGE   \* MERGEFORMAT </w:instrText>
        </w:r>
        <w:r w:rsidRPr="008B10F2">
          <w:rPr>
            <w:sz w:val="20"/>
          </w:rPr>
          <w:fldChar w:fldCharType="separate"/>
        </w:r>
        <w:r w:rsidR="00DB229A">
          <w:rPr>
            <w:noProof/>
            <w:sz w:val="20"/>
            <w:lang w:val="pt-BR"/>
          </w:rPr>
          <w:t>1</w:t>
        </w:r>
        <w:r w:rsidRPr="008B10F2">
          <w:rPr>
            <w:noProof/>
            <w:sz w:val="20"/>
          </w:rPr>
          <w:fldChar w:fldCharType="end"/>
        </w:r>
        <w:r w:rsidRPr="00C11702">
          <w:rPr>
            <w:noProof/>
            <w:sz w:val="20"/>
            <w:lang w:val="pt-BR"/>
          </w:rPr>
          <w:t xml:space="preserve"> de 2</w:t>
        </w:r>
      </w:sdtContent>
    </w:sdt>
  </w:p>
  <w:p w:rsidR="008B10F2" w:rsidRPr="00C11702" w:rsidRDefault="008B10F2" w:rsidP="008B10F2">
    <w:pPr>
      <w:pStyle w:val="Header"/>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3554E"/>
    <w:rsid w:val="006C74B4"/>
    <w:rsid w:val="008B10F2"/>
    <w:rsid w:val="00A3554E"/>
    <w:rsid w:val="00C11702"/>
    <w:rsid w:val="00DB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tablehead">
    <w:name w:val="tablehead"/>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 w:type="paragraph" w:styleId="Header">
    <w:name w:val="header"/>
    <w:basedOn w:val="Normal"/>
    <w:link w:val="HeaderChar"/>
    <w:uiPriority w:val="99"/>
    <w:unhideWhenUsed/>
    <w:rsid w:val="008B10F2"/>
    <w:pPr>
      <w:tabs>
        <w:tab w:val="center" w:pos="4680"/>
        <w:tab w:val="right" w:pos="9360"/>
      </w:tabs>
    </w:pPr>
  </w:style>
  <w:style w:type="character" w:customStyle="1" w:styleId="HeaderChar">
    <w:name w:val="Header Char"/>
    <w:basedOn w:val="DefaultParagraphFont"/>
    <w:link w:val="Header"/>
    <w:uiPriority w:val="99"/>
    <w:rsid w:val="008B10F2"/>
    <w:rPr>
      <w:rFonts w:eastAsiaTheme="minorEastAsia"/>
      <w:sz w:val="24"/>
      <w:szCs w:val="24"/>
    </w:rPr>
  </w:style>
  <w:style w:type="paragraph" w:styleId="Footer">
    <w:name w:val="footer"/>
    <w:basedOn w:val="Normal"/>
    <w:link w:val="FooterChar"/>
    <w:uiPriority w:val="99"/>
    <w:unhideWhenUsed/>
    <w:rsid w:val="008B10F2"/>
    <w:pPr>
      <w:tabs>
        <w:tab w:val="center" w:pos="4680"/>
        <w:tab w:val="right" w:pos="9360"/>
      </w:tabs>
    </w:pPr>
  </w:style>
  <w:style w:type="character" w:customStyle="1" w:styleId="FooterChar">
    <w:name w:val="Footer Char"/>
    <w:basedOn w:val="DefaultParagraphFont"/>
    <w:link w:val="Footer"/>
    <w:uiPriority w:val="99"/>
    <w:rsid w:val="008B10F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tablehead">
    <w:name w:val="tablehead"/>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 w:type="paragraph" w:styleId="Header">
    <w:name w:val="header"/>
    <w:basedOn w:val="Normal"/>
    <w:link w:val="HeaderChar"/>
    <w:uiPriority w:val="99"/>
    <w:unhideWhenUsed/>
    <w:rsid w:val="008B10F2"/>
    <w:pPr>
      <w:tabs>
        <w:tab w:val="center" w:pos="4680"/>
        <w:tab w:val="right" w:pos="9360"/>
      </w:tabs>
    </w:pPr>
  </w:style>
  <w:style w:type="character" w:customStyle="1" w:styleId="HeaderChar">
    <w:name w:val="Header Char"/>
    <w:basedOn w:val="DefaultParagraphFont"/>
    <w:link w:val="Header"/>
    <w:uiPriority w:val="99"/>
    <w:rsid w:val="008B10F2"/>
    <w:rPr>
      <w:rFonts w:eastAsiaTheme="minorEastAsia"/>
      <w:sz w:val="24"/>
      <w:szCs w:val="24"/>
    </w:rPr>
  </w:style>
  <w:style w:type="paragraph" w:styleId="Footer">
    <w:name w:val="footer"/>
    <w:basedOn w:val="Normal"/>
    <w:link w:val="FooterChar"/>
    <w:uiPriority w:val="99"/>
    <w:unhideWhenUsed/>
    <w:rsid w:val="008B10F2"/>
    <w:pPr>
      <w:tabs>
        <w:tab w:val="center" w:pos="4680"/>
        <w:tab w:val="right" w:pos="9360"/>
      </w:tabs>
    </w:pPr>
  </w:style>
  <w:style w:type="character" w:customStyle="1" w:styleId="FooterChar">
    <w:name w:val="Footer Char"/>
    <w:basedOn w:val="DefaultParagraphFont"/>
    <w:link w:val="Footer"/>
    <w:uiPriority w:val="99"/>
    <w:rsid w:val="008B10F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484">
      <w:marLeft w:val="0"/>
      <w:marRight w:val="0"/>
      <w:marTop w:val="0"/>
      <w:marBottom w:val="0"/>
      <w:divBdr>
        <w:top w:val="none" w:sz="0" w:space="0" w:color="auto"/>
        <w:left w:val="none" w:sz="0" w:space="0" w:color="auto"/>
        <w:bottom w:val="none" w:sz="0" w:space="0" w:color="auto"/>
        <w:right w:val="none" w:sz="0" w:space="0" w:color="auto"/>
      </w:divBdr>
    </w:div>
    <w:div w:id="43452168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323</Words>
  <Characters>2186</Characters>
  <Application>Microsoft Office Word</Application>
  <DocSecurity>0</DocSecurity>
  <Lines>18</Lines>
  <Paragraphs>5</Paragraphs>
  <ScaleCrop>false</ScaleCrop>
  <Company>Inter-American Development Bank</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lastModifiedBy>Test</cp:lastModifiedBy>
  <cp:revision>5</cp:revision>
  <cp:lastPrinted>2013-08-16T14:06:00Z</cp:lastPrinted>
  <dcterms:created xsi:type="dcterms:W3CDTF">2013-07-24T21:08:00Z</dcterms:created>
  <dcterms:modified xsi:type="dcterms:W3CDTF">2013-08-16T14:06:00Z</dcterms:modified>
</cp:coreProperties>
</file>