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51" w:rsidRPr="00CC5162" w:rsidRDefault="004D3A51" w:rsidP="00CC5162">
      <w:pPr>
        <w:tabs>
          <w:tab w:val="left" w:pos="1440"/>
          <w:tab w:val="left" w:pos="3060"/>
        </w:tabs>
        <w:spacing w:before="120" w:after="120" w:line="300" w:lineRule="exact"/>
        <w:jc w:val="center"/>
        <w:rPr>
          <w:rFonts w:ascii="Times New Roman" w:hAnsi="Times New Roman"/>
          <w:smallCaps/>
          <w:sz w:val="24"/>
          <w:szCs w:val="24"/>
          <w:lang w:val="es-ES_tradnl"/>
        </w:rPr>
      </w:pPr>
      <w:bookmarkStart w:id="0" w:name="_GoBack"/>
      <w:bookmarkEnd w:id="0"/>
      <w:r w:rsidRPr="00CC5162">
        <w:rPr>
          <w:rFonts w:ascii="Times New Roman" w:hAnsi="Times New Roman"/>
          <w:smallCaps/>
          <w:sz w:val="24"/>
          <w:szCs w:val="24"/>
          <w:lang w:val="es-ES_tradnl"/>
        </w:rPr>
        <w:t>Documento del Banco Interamericano de Desarrollo</w:t>
      </w:r>
    </w:p>
    <w:p w:rsidR="00657EEA" w:rsidRPr="00CC5162" w:rsidRDefault="0089548D" w:rsidP="00CC5162">
      <w:pPr>
        <w:tabs>
          <w:tab w:val="left" w:pos="1440"/>
          <w:tab w:val="left" w:pos="3060"/>
        </w:tabs>
        <w:spacing w:before="120" w:after="120" w:line="300" w:lineRule="exact"/>
        <w:jc w:val="center"/>
        <w:rPr>
          <w:rFonts w:ascii="Times New Roman" w:hAnsi="Times New Roman"/>
          <w:smallCaps/>
          <w:sz w:val="24"/>
          <w:szCs w:val="24"/>
          <w:lang w:val="es-ES_tradnl"/>
        </w:rPr>
      </w:pPr>
      <w:r w:rsidRPr="00CC5162">
        <w:rPr>
          <w:rFonts w:ascii="Times New Roman" w:hAnsi="Times New Roman"/>
          <w:smallCaps/>
          <w:sz w:val="24"/>
          <w:szCs w:val="24"/>
          <w:lang w:val="es-ES_tradnl"/>
        </w:rPr>
        <w:t>D</w:t>
      </w:r>
      <w:r w:rsidR="004D3A51" w:rsidRPr="00CC5162">
        <w:rPr>
          <w:rFonts w:ascii="Times New Roman" w:hAnsi="Times New Roman"/>
          <w:smallCaps/>
          <w:sz w:val="24"/>
          <w:szCs w:val="24"/>
          <w:lang w:val="es-ES_tradnl"/>
        </w:rPr>
        <w:t>ivisión de Gestión Fiscal y Municipal</w:t>
      </w: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764790" w:rsidRPr="004D3A51" w:rsidRDefault="00764790"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764790" w:rsidRPr="004D3A51" w:rsidRDefault="00764790"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4D3A51" w:rsidRDefault="003B3E23" w:rsidP="004D3A51">
      <w:pPr>
        <w:tabs>
          <w:tab w:val="left" w:pos="1440"/>
          <w:tab w:val="left" w:pos="3060"/>
        </w:tabs>
        <w:spacing w:before="120" w:after="120" w:line="300" w:lineRule="exact"/>
        <w:jc w:val="center"/>
        <w:rPr>
          <w:rFonts w:ascii="Times New Roman" w:hAnsi="Times New Roman"/>
          <w:smallCaps/>
          <w:sz w:val="24"/>
          <w:szCs w:val="24"/>
          <w:lang w:val="es-ES_tradnl"/>
        </w:rPr>
      </w:pPr>
      <w:r>
        <w:rPr>
          <w:rFonts w:ascii="Times New Roman" w:hAnsi="Times New Roman"/>
          <w:smallCaps/>
          <w:sz w:val="24"/>
          <w:szCs w:val="24"/>
          <w:lang w:val="es-ES_tradnl"/>
        </w:rPr>
        <w:t xml:space="preserve">URUGUAY </w:t>
      </w:r>
    </w:p>
    <w:p w:rsidR="004D3A51" w:rsidRPr="004D3A51" w:rsidRDefault="004D3A51"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4D3A51" w:rsidRPr="004D3A51" w:rsidRDefault="004D3A51"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4D3A51" w:rsidRPr="004D3A51" w:rsidRDefault="004D3A51"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0C7DD3" w:rsidRPr="004D3A51" w:rsidRDefault="000C7DD3"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B77AF5" w:rsidRPr="004D3A51" w:rsidRDefault="00B77AF5" w:rsidP="004D3A51">
      <w:pPr>
        <w:tabs>
          <w:tab w:val="left" w:pos="1440"/>
          <w:tab w:val="left" w:pos="3060"/>
        </w:tabs>
        <w:spacing w:before="120" w:after="120" w:line="300" w:lineRule="exact"/>
        <w:jc w:val="center"/>
        <w:rPr>
          <w:rFonts w:ascii="Times New Roman" w:hAnsi="Times New Roman"/>
          <w:smallCaps/>
          <w:sz w:val="24"/>
          <w:szCs w:val="24"/>
          <w:lang w:val="es-ES_tradnl"/>
        </w:rPr>
      </w:pPr>
      <w:r w:rsidRPr="004D3A51">
        <w:rPr>
          <w:rFonts w:ascii="Times New Roman" w:hAnsi="Times New Roman"/>
          <w:smallCaps/>
          <w:sz w:val="24"/>
          <w:szCs w:val="24"/>
          <w:lang w:val="es-ES_tradnl"/>
        </w:rPr>
        <w:t>P</w:t>
      </w:r>
      <w:r w:rsidR="004D3A51">
        <w:rPr>
          <w:rFonts w:ascii="Times New Roman" w:hAnsi="Times New Roman"/>
          <w:smallCaps/>
          <w:sz w:val="24"/>
          <w:szCs w:val="24"/>
          <w:lang w:val="es-ES_tradnl"/>
        </w:rPr>
        <w:t>rograma de Mejoramiento de Barrios II</w:t>
      </w:r>
    </w:p>
    <w:p w:rsidR="005F3E16" w:rsidRPr="004D3A51" w:rsidRDefault="005F3E16" w:rsidP="004D3A51">
      <w:pPr>
        <w:tabs>
          <w:tab w:val="left" w:pos="1440"/>
          <w:tab w:val="left" w:pos="3060"/>
        </w:tabs>
        <w:spacing w:before="120" w:after="120" w:line="300" w:lineRule="exact"/>
        <w:jc w:val="center"/>
        <w:rPr>
          <w:rFonts w:ascii="Times New Roman" w:hAnsi="Times New Roman"/>
          <w:smallCaps/>
          <w:sz w:val="24"/>
          <w:szCs w:val="24"/>
          <w:lang w:val="es-ES_tradnl"/>
        </w:rPr>
      </w:pPr>
      <w:r w:rsidRPr="004D3A51">
        <w:rPr>
          <w:rFonts w:ascii="Times New Roman" w:hAnsi="Times New Roman"/>
          <w:smallCaps/>
          <w:sz w:val="24"/>
          <w:szCs w:val="24"/>
          <w:lang w:val="es-ES_tradnl"/>
        </w:rPr>
        <w:t>(</w:t>
      </w:r>
      <w:r w:rsidR="003B3E23">
        <w:rPr>
          <w:rFonts w:ascii="Times New Roman" w:hAnsi="Times New Roman"/>
          <w:smallCaps/>
          <w:sz w:val="24"/>
          <w:szCs w:val="24"/>
          <w:lang w:val="es-ES_tradnl"/>
        </w:rPr>
        <w:t>UR</w:t>
      </w:r>
      <w:r w:rsidRPr="004D3A51">
        <w:rPr>
          <w:rFonts w:ascii="Times New Roman" w:hAnsi="Times New Roman"/>
          <w:smallCaps/>
          <w:sz w:val="24"/>
          <w:szCs w:val="24"/>
          <w:lang w:val="es-ES_tradnl"/>
        </w:rPr>
        <w:t>-L1</w:t>
      </w:r>
      <w:r w:rsidR="008A5381" w:rsidRPr="004D3A51">
        <w:rPr>
          <w:rFonts w:ascii="Times New Roman" w:hAnsi="Times New Roman"/>
          <w:smallCaps/>
          <w:sz w:val="24"/>
          <w:szCs w:val="24"/>
          <w:lang w:val="es-ES_tradnl"/>
        </w:rPr>
        <w:t>O</w:t>
      </w:r>
      <w:r w:rsidR="000C7DD3" w:rsidRPr="004D3A51">
        <w:rPr>
          <w:rFonts w:ascii="Times New Roman" w:hAnsi="Times New Roman"/>
          <w:smallCaps/>
          <w:sz w:val="24"/>
          <w:szCs w:val="24"/>
          <w:lang w:val="es-ES_tradnl"/>
        </w:rPr>
        <w:t>8</w:t>
      </w:r>
      <w:r w:rsidR="008A5381" w:rsidRPr="004D3A51">
        <w:rPr>
          <w:rFonts w:ascii="Times New Roman" w:hAnsi="Times New Roman"/>
          <w:smallCaps/>
          <w:sz w:val="24"/>
          <w:szCs w:val="24"/>
          <w:lang w:val="es-ES_tradnl"/>
        </w:rPr>
        <w:t>4</w:t>
      </w:r>
      <w:r w:rsidRPr="004D3A51">
        <w:rPr>
          <w:rFonts w:ascii="Times New Roman" w:hAnsi="Times New Roman"/>
          <w:smallCaps/>
          <w:sz w:val="24"/>
          <w:szCs w:val="24"/>
          <w:lang w:val="es-ES_tradnl"/>
        </w:rPr>
        <w:t>)</w:t>
      </w:r>
    </w:p>
    <w:p w:rsidR="00B34EBB" w:rsidRPr="004D3A51" w:rsidRDefault="00B34EBB"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5F3E16" w:rsidRPr="004D3A51" w:rsidRDefault="009705FE" w:rsidP="004D3A51">
      <w:pPr>
        <w:tabs>
          <w:tab w:val="left" w:pos="1440"/>
          <w:tab w:val="left" w:pos="3060"/>
        </w:tabs>
        <w:spacing w:before="120" w:after="120" w:line="300" w:lineRule="exact"/>
        <w:jc w:val="center"/>
        <w:rPr>
          <w:rFonts w:ascii="Times New Roman" w:hAnsi="Times New Roman"/>
          <w:smallCaps/>
          <w:sz w:val="24"/>
          <w:szCs w:val="24"/>
          <w:lang w:val="es-ES_tradnl"/>
        </w:rPr>
      </w:pPr>
      <w:r w:rsidRPr="004D3A51">
        <w:rPr>
          <w:rFonts w:ascii="Times New Roman" w:hAnsi="Times New Roman"/>
          <w:smallCaps/>
          <w:sz w:val="24"/>
          <w:szCs w:val="24"/>
          <w:lang w:val="es-ES_tradnl"/>
        </w:rPr>
        <w:t>Evaluación Económic</w:t>
      </w:r>
      <w:r w:rsidR="007D1AB1" w:rsidRPr="004D3A51">
        <w:rPr>
          <w:rFonts w:ascii="Times New Roman" w:hAnsi="Times New Roman"/>
          <w:smallCaps/>
          <w:sz w:val="24"/>
          <w:szCs w:val="24"/>
          <w:lang w:val="es-ES_tradnl"/>
        </w:rPr>
        <w:t>a</w:t>
      </w:r>
    </w:p>
    <w:p w:rsidR="005F3E16" w:rsidRPr="004D3A51" w:rsidRDefault="005F3E16"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764790" w:rsidRPr="004D3A51" w:rsidRDefault="00764790"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0C7DD3" w:rsidRPr="004D3A51" w:rsidRDefault="000C7DD3"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9705FE" w:rsidRPr="004D3A51" w:rsidRDefault="009705FE"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9705FE" w:rsidRPr="004D3A51" w:rsidRDefault="009705FE"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9705FE" w:rsidRPr="004D3A51" w:rsidRDefault="009705FE"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657EEA" w:rsidP="004D3A51">
      <w:pPr>
        <w:tabs>
          <w:tab w:val="left" w:pos="1440"/>
          <w:tab w:val="left" w:pos="3060"/>
        </w:tabs>
        <w:spacing w:before="120" w:after="120" w:line="300" w:lineRule="exact"/>
        <w:jc w:val="center"/>
        <w:rPr>
          <w:rFonts w:ascii="Times New Roman" w:hAnsi="Times New Roman"/>
          <w:smallCaps/>
          <w:sz w:val="24"/>
          <w:szCs w:val="24"/>
          <w:lang w:val="es-ES_tradnl"/>
        </w:rPr>
      </w:pPr>
    </w:p>
    <w:p w:rsidR="00657EEA" w:rsidRPr="004D3A51" w:rsidRDefault="008A5381" w:rsidP="004D3A51">
      <w:pPr>
        <w:tabs>
          <w:tab w:val="left" w:pos="1440"/>
          <w:tab w:val="left" w:pos="3060"/>
        </w:tabs>
        <w:spacing w:before="120" w:after="120" w:line="300" w:lineRule="exact"/>
        <w:jc w:val="center"/>
        <w:rPr>
          <w:rFonts w:ascii="Times New Roman" w:hAnsi="Times New Roman"/>
          <w:smallCaps/>
          <w:sz w:val="24"/>
          <w:szCs w:val="24"/>
          <w:lang w:val="es-ES_tradnl"/>
        </w:rPr>
      </w:pPr>
      <w:r w:rsidRPr="004D3A51">
        <w:rPr>
          <w:rFonts w:ascii="Times New Roman" w:hAnsi="Times New Roman"/>
          <w:smallCaps/>
          <w:sz w:val="24"/>
          <w:szCs w:val="24"/>
          <w:lang w:val="es-ES_tradnl"/>
        </w:rPr>
        <w:t>Montevideo</w:t>
      </w:r>
      <w:r w:rsidR="000C7DD3" w:rsidRPr="004D3A51">
        <w:rPr>
          <w:rFonts w:ascii="Times New Roman" w:hAnsi="Times New Roman"/>
          <w:smallCaps/>
          <w:sz w:val="24"/>
          <w:szCs w:val="24"/>
          <w:lang w:val="es-ES_tradnl"/>
        </w:rPr>
        <w:t xml:space="preserve">, </w:t>
      </w:r>
      <w:r w:rsidRPr="004D3A51">
        <w:rPr>
          <w:rFonts w:ascii="Times New Roman" w:hAnsi="Times New Roman"/>
          <w:smallCaps/>
          <w:sz w:val="24"/>
          <w:szCs w:val="24"/>
          <w:lang w:val="es-ES_tradnl"/>
        </w:rPr>
        <w:t>Septiembre</w:t>
      </w:r>
      <w:r w:rsidR="008920EF" w:rsidRPr="004D3A51">
        <w:rPr>
          <w:rFonts w:ascii="Times New Roman" w:hAnsi="Times New Roman"/>
          <w:smallCaps/>
          <w:sz w:val="24"/>
          <w:szCs w:val="24"/>
          <w:lang w:val="es-ES_tradnl"/>
        </w:rPr>
        <w:t xml:space="preserve"> </w:t>
      </w:r>
      <w:r w:rsidR="000C7DD3" w:rsidRPr="004D3A51">
        <w:rPr>
          <w:rFonts w:ascii="Times New Roman" w:hAnsi="Times New Roman"/>
          <w:smallCaps/>
          <w:sz w:val="24"/>
          <w:szCs w:val="24"/>
          <w:lang w:val="es-ES_tradnl"/>
        </w:rPr>
        <w:t>de 201</w:t>
      </w:r>
      <w:r w:rsidRPr="004D3A51">
        <w:rPr>
          <w:rFonts w:ascii="Times New Roman" w:hAnsi="Times New Roman"/>
          <w:smallCaps/>
          <w:sz w:val="24"/>
          <w:szCs w:val="24"/>
          <w:lang w:val="es-ES_tradnl"/>
        </w:rPr>
        <w:t>3</w:t>
      </w:r>
    </w:p>
    <w:p w:rsidR="00C006E6" w:rsidRPr="004D3A51" w:rsidRDefault="00C006E6" w:rsidP="004D3A51">
      <w:pPr>
        <w:tabs>
          <w:tab w:val="left" w:pos="1440"/>
          <w:tab w:val="left" w:pos="3060"/>
        </w:tabs>
        <w:spacing w:before="120" w:after="120" w:line="300" w:lineRule="exact"/>
        <w:jc w:val="center"/>
        <w:rPr>
          <w:rFonts w:ascii="Times New Roman" w:hAnsi="Times New Roman"/>
          <w:smallCaps/>
          <w:sz w:val="24"/>
          <w:szCs w:val="24"/>
          <w:lang w:val="es-ES_tradnl"/>
        </w:rPr>
        <w:sectPr w:rsidR="00C006E6" w:rsidRPr="004D3A51" w:rsidSect="00924D56">
          <w:headerReference w:type="default" r:id="rId9"/>
          <w:footerReference w:type="even" r:id="rId10"/>
          <w:type w:val="continuous"/>
          <w:pgSz w:w="12240" w:h="15840" w:code="1"/>
          <w:pgMar w:top="1560" w:right="1800" w:bottom="1440" w:left="1800" w:header="720" w:footer="720" w:gutter="0"/>
          <w:pgNumType w:start="1"/>
          <w:cols w:space="720"/>
        </w:sectPr>
      </w:pPr>
    </w:p>
    <w:p w:rsidR="00685536" w:rsidRPr="00727C2A" w:rsidRDefault="00685536" w:rsidP="008F680B">
      <w:pPr>
        <w:pStyle w:val="TOCHeading"/>
        <w:ind w:left="360"/>
        <w:rPr>
          <w:rFonts w:ascii="Times New Roman" w:hAnsi="Times New Roman"/>
          <w:i w:val="0"/>
          <w:color w:val="000000"/>
          <w:sz w:val="24"/>
          <w:szCs w:val="24"/>
        </w:rPr>
      </w:pPr>
      <w:r w:rsidRPr="00727C2A">
        <w:rPr>
          <w:rFonts w:ascii="Times New Roman" w:hAnsi="Times New Roman"/>
          <w:i w:val="0"/>
          <w:color w:val="000000"/>
          <w:sz w:val="24"/>
          <w:szCs w:val="24"/>
        </w:rPr>
        <w:lastRenderedPageBreak/>
        <w:t>Contenido</w:t>
      </w:r>
    </w:p>
    <w:p w:rsidR="00B50375" w:rsidRPr="00DC73F9" w:rsidRDefault="00B50375" w:rsidP="00B50375">
      <w:pPr>
        <w:rPr>
          <w:rFonts w:ascii="Times New Roman" w:hAnsi="Times New Roman"/>
          <w:lang w:val="es-ES"/>
        </w:rPr>
      </w:pPr>
    </w:p>
    <w:p w:rsidR="00B50375" w:rsidRPr="00DC73F9" w:rsidRDefault="00B50375" w:rsidP="00B50375">
      <w:pPr>
        <w:rPr>
          <w:rFonts w:ascii="Times New Roman" w:hAnsi="Times New Roman"/>
          <w:lang w:val="es-ES"/>
        </w:rPr>
      </w:pPr>
    </w:p>
    <w:p w:rsidR="00727C2A" w:rsidRPr="00727C2A" w:rsidRDefault="00F7699C" w:rsidP="00727C2A">
      <w:pPr>
        <w:pStyle w:val="TOC1"/>
        <w:spacing w:before="120" w:after="120"/>
        <w:rPr>
          <w:rFonts w:asciiTheme="minorHAnsi" w:eastAsiaTheme="minorEastAsia" w:hAnsiTheme="minorHAnsi" w:cstheme="minorBidi"/>
          <w:b w:val="0"/>
          <w:noProof/>
          <w:sz w:val="24"/>
          <w:szCs w:val="24"/>
          <w:lang w:val="es-AR" w:eastAsia="es-AR"/>
        </w:rPr>
      </w:pPr>
      <w:r w:rsidRPr="00DC73F9">
        <w:rPr>
          <w:lang w:val="es-ES"/>
        </w:rPr>
        <w:fldChar w:fldCharType="begin"/>
      </w:r>
      <w:r w:rsidR="000822B7" w:rsidRPr="00DC73F9">
        <w:rPr>
          <w:lang w:val="es-ES"/>
        </w:rPr>
        <w:instrText xml:space="preserve"> TOC \o "1-4" \h \z \u </w:instrText>
      </w:r>
      <w:r w:rsidRPr="00DC73F9">
        <w:rPr>
          <w:lang w:val="es-ES"/>
        </w:rPr>
        <w:fldChar w:fldCharType="separate"/>
      </w:r>
      <w:hyperlink w:anchor="_Toc366836875" w:history="1">
        <w:r w:rsidR="00727C2A" w:rsidRPr="00727C2A">
          <w:rPr>
            <w:rStyle w:val="Hyperlink"/>
            <w:b w:val="0"/>
            <w:noProof/>
            <w:sz w:val="24"/>
            <w:szCs w:val="24"/>
            <w:lang w:val="es-ES" w:eastAsia="es-ES_tradnl"/>
          </w:rPr>
          <w:t>1.</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Introducción</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_Toc366836875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1</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76" w:history="1">
        <w:r w:rsidR="00727C2A" w:rsidRPr="00727C2A">
          <w:rPr>
            <w:rStyle w:val="Hyperlink"/>
            <w:b w:val="0"/>
            <w:noProof/>
            <w:sz w:val="24"/>
            <w:szCs w:val="24"/>
          </w:rPr>
          <w:t>2.</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Metodología y supuestos</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_Toc366836876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3</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77" w:history="1">
        <w:r w:rsidR="00727C2A" w:rsidRPr="00727C2A">
          <w:rPr>
            <w:rStyle w:val="Hyperlink"/>
            <w:b w:val="0"/>
            <w:noProof/>
            <w:sz w:val="24"/>
            <w:szCs w:val="24"/>
          </w:rPr>
          <w:t>3.</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Beneficios</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_Toc366836877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7</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78" w:history="1">
        <w:r w:rsidR="00727C2A" w:rsidRPr="00727C2A">
          <w:rPr>
            <w:rStyle w:val="Hyperlink"/>
            <w:b w:val="0"/>
            <w:noProof/>
            <w:sz w:val="24"/>
            <w:szCs w:val="24"/>
          </w:rPr>
          <w:t>4.</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Costos</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_Toc366836878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9</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79" w:history="1">
        <w:r w:rsidR="00727C2A" w:rsidRPr="00727C2A">
          <w:rPr>
            <w:rStyle w:val="Hyperlink"/>
            <w:b w:val="0"/>
            <w:noProof/>
            <w:sz w:val="24"/>
            <w:szCs w:val="24"/>
          </w:rPr>
          <w:t>5.</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Resultados de Evaluación Económica.</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_Toc366836879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11</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80" w:history="1">
        <w:r w:rsidR="00727C2A" w:rsidRPr="00727C2A">
          <w:rPr>
            <w:rStyle w:val="Hyperlink"/>
            <w:b w:val="0"/>
            <w:noProof/>
            <w:sz w:val="24"/>
            <w:szCs w:val="24"/>
          </w:rPr>
          <w:t>6.</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Análisis de Sensibilidad.</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_Toc366836880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12</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81" w:history="1">
        <w:r w:rsidR="00727C2A" w:rsidRPr="00727C2A">
          <w:rPr>
            <w:rStyle w:val="Hyperlink"/>
            <w:b w:val="0"/>
            <w:noProof/>
            <w:sz w:val="24"/>
            <w:szCs w:val="24"/>
          </w:rPr>
          <w:t>7.</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Límites de inversión por proyecto.</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_Toc366836881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12</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82" w:history="1">
        <w:r w:rsidR="00727C2A" w:rsidRPr="00727C2A">
          <w:rPr>
            <w:rStyle w:val="Hyperlink"/>
            <w:b w:val="0"/>
            <w:noProof/>
            <w:sz w:val="24"/>
            <w:szCs w:val="24"/>
          </w:rPr>
          <w:t>8.</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Conclusiones.</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_Toc366836882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14</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83" w:history="1">
        <w:r w:rsidR="00727C2A" w:rsidRPr="00727C2A">
          <w:rPr>
            <w:rStyle w:val="Hyperlink"/>
            <w:b w:val="0"/>
            <w:noProof/>
            <w:sz w:val="24"/>
            <w:szCs w:val="24"/>
          </w:rPr>
          <w:t>9.</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Bibliografía y Fuentes:</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_Toc366836883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15</w:t>
        </w:r>
        <w:r w:rsidR="00727C2A" w:rsidRPr="00727C2A">
          <w:rPr>
            <w:b w:val="0"/>
            <w:noProof/>
            <w:webHidden/>
            <w:sz w:val="24"/>
            <w:szCs w:val="24"/>
          </w:rPr>
          <w:fldChar w:fldCharType="end"/>
        </w:r>
      </w:hyperlink>
    </w:p>
    <w:p w:rsidR="00727C2A" w:rsidRPr="00727C2A" w:rsidRDefault="009360C5" w:rsidP="00727C2A">
      <w:pPr>
        <w:pStyle w:val="TOC1"/>
        <w:spacing w:before="120" w:after="120"/>
        <w:rPr>
          <w:rFonts w:asciiTheme="minorHAnsi" w:eastAsiaTheme="minorEastAsia" w:hAnsiTheme="minorHAnsi" w:cstheme="minorBidi"/>
          <w:b w:val="0"/>
          <w:noProof/>
          <w:sz w:val="24"/>
          <w:szCs w:val="24"/>
          <w:lang w:val="es-AR" w:eastAsia="es-AR"/>
        </w:rPr>
      </w:pPr>
      <w:hyperlink w:anchor="_Toc366836884" w:history="1">
        <w:r w:rsidR="00727C2A" w:rsidRPr="00727C2A">
          <w:rPr>
            <w:rStyle w:val="Hyperlink"/>
            <w:b w:val="0"/>
            <w:noProof/>
            <w:sz w:val="24"/>
            <w:szCs w:val="24"/>
          </w:rPr>
          <w:t>10.</w:t>
        </w:r>
        <w:r w:rsidR="00727C2A" w:rsidRPr="00727C2A">
          <w:rPr>
            <w:rFonts w:asciiTheme="minorHAnsi" w:eastAsiaTheme="minorEastAsia" w:hAnsiTheme="minorHAnsi" w:cstheme="minorBidi"/>
            <w:b w:val="0"/>
            <w:noProof/>
            <w:sz w:val="24"/>
            <w:szCs w:val="24"/>
            <w:lang w:val="es-AR" w:eastAsia="es-AR"/>
          </w:rPr>
          <w:tab/>
        </w:r>
        <w:r w:rsidR="00727C2A" w:rsidRPr="00727C2A">
          <w:rPr>
            <w:rStyle w:val="Hyperlink"/>
            <w:b w:val="0"/>
            <w:noProof/>
            <w:sz w:val="24"/>
            <w:szCs w:val="24"/>
          </w:rPr>
          <w:t>Anexo I. Especificación del Modelo de Precios Hedónicos y resultados estadísticos</w:t>
        </w:r>
        <w:r w:rsidR="00727C2A" w:rsidRPr="00727C2A">
          <w:rPr>
            <w:b w:val="0"/>
            <w:noProof/>
            <w:webHidden/>
            <w:sz w:val="24"/>
            <w:szCs w:val="24"/>
          </w:rPr>
          <w:tab/>
        </w:r>
        <w:r w:rsidR="00727C2A" w:rsidRPr="00727C2A">
          <w:rPr>
            <w:b w:val="0"/>
            <w:noProof/>
            <w:webHidden/>
            <w:sz w:val="24"/>
            <w:szCs w:val="24"/>
          </w:rPr>
          <w:fldChar w:fldCharType="begin"/>
        </w:r>
        <w:r w:rsidR="00727C2A" w:rsidRPr="00727C2A">
          <w:rPr>
            <w:b w:val="0"/>
            <w:noProof/>
            <w:webHidden/>
            <w:sz w:val="24"/>
            <w:szCs w:val="24"/>
          </w:rPr>
          <w:instrText xml:space="preserve"> PAGEREF _Toc366836884 \h </w:instrText>
        </w:r>
        <w:r w:rsidR="00727C2A" w:rsidRPr="00727C2A">
          <w:rPr>
            <w:b w:val="0"/>
            <w:noProof/>
            <w:webHidden/>
            <w:sz w:val="24"/>
            <w:szCs w:val="24"/>
          </w:rPr>
        </w:r>
        <w:r w:rsidR="00727C2A" w:rsidRPr="00727C2A">
          <w:rPr>
            <w:b w:val="0"/>
            <w:noProof/>
            <w:webHidden/>
            <w:sz w:val="24"/>
            <w:szCs w:val="24"/>
          </w:rPr>
          <w:fldChar w:fldCharType="separate"/>
        </w:r>
        <w:r w:rsidR="002050A0">
          <w:rPr>
            <w:b w:val="0"/>
            <w:noProof/>
            <w:webHidden/>
            <w:sz w:val="24"/>
            <w:szCs w:val="24"/>
          </w:rPr>
          <w:t>16</w:t>
        </w:r>
        <w:r w:rsidR="00727C2A" w:rsidRPr="00727C2A">
          <w:rPr>
            <w:b w:val="0"/>
            <w:noProof/>
            <w:webHidden/>
            <w:sz w:val="24"/>
            <w:szCs w:val="24"/>
          </w:rPr>
          <w:fldChar w:fldCharType="end"/>
        </w:r>
      </w:hyperlink>
    </w:p>
    <w:p w:rsidR="00055DFD" w:rsidRPr="00DC73F9" w:rsidRDefault="00F7699C" w:rsidP="00CC5162">
      <w:pPr>
        <w:spacing w:line="600" w:lineRule="auto"/>
        <w:rPr>
          <w:rFonts w:ascii="Times New Roman" w:hAnsi="Times New Roman"/>
          <w:b/>
          <w:bCs/>
          <w:caps/>
          <w:lang w:val="es-ES"/>
        </w:rPr>
      </w:pPr>
      <w:r w:rsidRPr="00DC73F9">
        <w:rPr>
          <w:rFonts w:ascii="Times New Roman" w:hAnsi="Times New Roman"/>
          <w:b/>
          <w:bCs/>
          <w:caps/>
          <w:lang w:val="es-ES"/>
        </w:rPr>
        <w:fldChar w:fldCharType="end"/>
      </w:r>
    </w:p>
    <w:p w:rsidR="00055DFD" w:rsidRPr="00DC73F9" w:rsidRDefault="00055DFD" w:rsidP="00504996">
      <w:pPr>
        <w:rPr>
          <w:rFonts w:ascii="Times New Roman" w:hAnsi="Times New Roman"/>
          <w:b/>
          <w:bCs/>
          <w:caps/>
          <w:lang w:val="es-ES"/>
        </w:rPr>
      </w:pPr>
    </w:p>
    <w:p w:rsidR="00055DFD" w:rsidRPr="00DC73F9" w:rsidRDefault="00055DFD" w:rsidP="00504996">
      <w:pPr>
        <w:rPr>
          <w:rFonts w:ascii="Times New Roman" w:hAnsi="Times New Roman"/>
          <w:b/>
          <w:bCs/>
          <w:caps/>
          <w:lang w:val="es-ES"/>
        </w:rPr>
      </w:pPr>
    </w:p>
    <w:p w:rsidR="00CC5162" w:rsidRDefault="00CC5162" w:rsidP="00924D56">
      <w:pPr>
        <w:tabs>
          <w:tab w:val="left" w:pos="1440"/>
          <w:tab w:val="left" w:pos="3060"/>
        </w:tabs>
        <w:spacing w:before="120" w:after="120" w:line="300" w:lineRule="exact"/>
        <w:jc w:val="center"/>
        <w:rPr>
          <w:lang w:val="es-ES"/>
        </w:rPr>
        <w:sectPr w:rsidR="00CC5162" w:rsidSect="00150E9B">
          <w:footerReference w:type="default" r:id="rId11"/>
          <w:pgSz w:w="12240" w:h="15840" w:code="1"/>
          <w:pgMar w:top="1440" w:right="1800" w:bottom="1440" w:left="1800" w:header="720" w:footer="720" w:gutter="0"/>
          <w:cols w:space="720"/>
        </w:sectPr>
      </w:pPr>
    </w:p>
    <w:p w:rsidR="00F05467" w:rsidRPr="00924D56" w:rsidRDefault="00924D56" w:rsidP="00924D56">
      <w:pPr>
        <w:tabs>
          <w:tab w:val="left" w:pos="1440"/>
          <w:tab w:val="left" w:pos="3060"/>
        </w:tabs>
        <w:spacing w:before="120" w:after="120" w:line="300" w:lineRule="exact"/>
        <w:jc w:val="center"/>
        <w:rPr>
          <w:rFonts w:ascii="Times New Roman" w:hAnsi="Times New Roman"/>
          <w:smallCaps/>
          <w:sz w:val="24"/>
          <w:szCs w:val="24"/>
          <w:lang w:val="es-ES_tradnl"/>
        </w:rPr>
      </w:pPr>
      <w:r w:rsidRPr="00924D56">
        <w:rPr>
          <w:rFonts w:ascii="Times New Roman" w:hAnsi="Times New Roman"/>
          <w:smallCaps/>
          <w:sz w:val="24"/>
          <w:szCs w:val="24"/>
          <w:lang w:val="es-ES_tradnl"/>
        </w:rPr>
        <w:lastRenderedPageBreak/>
        <w:t>Uruguay</w:t>
      </w:r>
      <w:r w:rsidR="00B06EFB" w:rsidRPr="00924D56">
        <w:rPr>
          <w:rFonts w:ascii="Times New Roman" w:hAnsi="Times New Roman"/>
          <w:smallCaps/>
          <w:sz w:val="24"/>
          <w:szCs w:val="24"/>
          <w:lang w:val="es-ES_tradnl"/>
        </w:rPr>
        <w:t xml:space="preserve"> </w:t>
      </w:r>
    </w:p>
    <w:p w:rsidR="00F05467" w:rsidRPr="00924D56" w:rsidRDefault="005F3E16" w:rsidP="00924D56">
      <w:pPr>
        <w:tabs>
          <w:tab w:val="left" w:pos="1440"/>
          <w:tab w:val="left" w:pos="3060"/>
        </w:tabs>
        <w:spacing w:before="120" w:after="120" w:line="300" w:lineRule="exact"/>
        <w:jc w:val="center"/>
        <w:rPr>
          <w:rFonts w:ascii="Times New Roman" w:hAnsi="Times New Roman"/>
          <w:smallCaps/>
          <w:sz w:val="24"/>
          <w:szCs w:val="24"/>
          <w:lang w:val="es-ES_tradnl"/>
        </w:rPr>
      </w:pPr>
      <w:r w:rsidRPr="00924D56">
        <w:rPr>
          <w:rFonts w:ascii="Times New Roman" w:hAnsi="Times New Roman"/>
          <w:smallCaps/>
          <w:sz w:val="24"/>
          <w:szCs w:val="24"/>
          <w:lang w:val="es-ES_tradnl"/>
        </w:rPr>
        <w:t>P</w:t>
      </w:r>
      <w:r w:rsidR="00924D56" w:rsidRPr="00924D56">
        <w:rPr>
          <w:rFonts w:ascii="Times New Roman" w:hAnsi="Times New Roman"/>
          <w:smallCaps/>
          <w:sz w:val="24"/>
          <w:szCs w:val="24"/>
          <w:lang w:val="es-ES_tradnl"/>
        </w:rPr>
        <w:t xml:space="preserve">rograma </w:t>
      </w:r>
      <w:r w:rsidR="00451BA3">
        <w:rPr>
          <w:rFonts w:ascii="Times New Roman" w:hAnsi="Times New Roman"/>
          <w:smallCaps/>
          <w:sz w:val="24"/>
          <w:szCs w:val="24"/>
          <w:lang w:val="es-ES_tradnl"/>
        </w:rPr>
        <w:t xml:space="preserve">de Mejoramiento de Barrios </w:t>
      </w:r>
      <w:r w:rsidR="004D3A51" w:rsidRPr="00924D56">
        <w:rPr>
          <w:rFonts w:ascii="Times New Roman" w:hAnsi="Times New Roman"/>
          <w:smallCaps/>
          <w:sz w:val="24"/>
          <w:szCs w:val="24"/>
          <w:lang w:val="es-ES_tradnl"/>
        </w:rPr>
        <w:t>II</w:t>
      </w:r>
    </w:p>
    <w:p w:rsidR="0089548D" w:rsidRPr="00924D56" w:rsidRDefault="005F3E16" w:rsidP="00924D56">
      <w:pPr>
        <w:tabs>
          <w:tab w:val="left" w:pos="1440"/>
          <w:tab w:val="left" w:pos="3060"/>
        </w:tabs>
        <w:spacing w:before="120" w:after="120" w:line="300" w:lineRule="exact"/>
        <w:jc w:val="center"/>
        <w:rPr>
          <w:rFonts w:ascii="Times New Roman" w:hAnsi="Times New Roman"/>
          <w:smallCaps/>
          <w:sz w:val="24"/>
          <w:szCs w:val="24"/>
          <w:lang w:val="es-ES_tradnl"/>
        </w:rPr>
      </w:pPr>
      <w:r w:rsidRPr="00924D56">
        <w:rPr>
          <w:rFonts w:ascii="Times New Roman" w:hAnsi="Times New Roman"/>
          <w:smallCaps/>
          <w:sz w:val="24"/>
          <w:szCs w:val="24"/>
          <w:lang w:val="es-ES_tradnl"/>
        </w:rPr>
        <w:t>(</w:t>
      </w:r>
      <w:r w:rsidR="00D62042" w:rsidRPr="00924D56">
        <w:rPr>
          <w:rFonts w:ascii="Times New Roman" w:hAnsi="Times New Roman"/>
          <w:smallCaps/>
          <w:sz w:val="24"/>
          <w:szCs w:val="24"/>
          <w:lang w:val="es-ES_tradnl"/>
        </w:rPr>
        <w:t>A</w:t>
      </w:r>
      <w:r w:rsidRPr="00924D56">
        <w:rPr>
          <w:rFonts w:ascii="Times New Roman" w:hAnsi="Times New Roman"/>
          <w:smallCaps/>
          <w:sz w:val="24"/>
          <w:szCs w:val="24"/>
          <w:lang w:val="es-ES_tradnl"/>
        </w:rPr>
        <w:t>R-L</w:t>
      </w:r>
      <w:r w:rsidR="00B77AF5" w:rsidRPr="00924D56">
        <w:rPr>
          <w:rFonts w:ascii="Times New Roman" w:hAnsi="Times New Roman"/>
          <w:smallCaps/>
          <w:sz w:val="24"/>
          <w:szCs w:val="24"/>
          <w:lang w:val="es-ES_tradnl"/>
        </w:rPr>
        <w:t xml:space="preserve"> 108</w:t>
      </w:r>
      <w:r w:rsidR="004D3A51" w:rsidRPr="00924D56">
        <w:rPr>
          <w:rFonts w:ascii="Times New Roman" w:hAnsi="Times New Roman"/>
          <w:smallCaps/>
          <w:sz w:val="24"/>
          <w:szCs w:val="24"/>
          <w:lang w:val="es-ES_tradnl"/>
        </w:rPr>
        <w:t>4</w:t>
      </w:r>
      <w:r w:rsidR="00B77AF5" w:rsidRPr="00924D56">
        <w:rPr>
          <w:rFonts w:ascii="Times New Roman" w:hAnsi="Times New Roman"/>
          <w:smallCaps/>
          <w:sz w:val="24"/>
          <w:szCs w:val="24"/>
          <w:lang w:val="es-ES_tradnl"/>
        </w:rPr>
        <w:t>)</w:t>
      </w:r>
    </w:p>
    <w:p w:rsidR="005F3E16" w:rsidRPr="00924D56" w:rsidRDefault="00451BA3" w:rsidP="00924D56">
      <w:pPr>
        <w:tabs>
          <w:tab w:val="left" w:pos="1440"/>
          <w:tab w:val="left" w:pos="3060"/>
        </w:tabs>
        <w:spacing w:before="120" w:after="120" w:line="300" w:lineRule="exact"/>
        <w:jc w:val="center"/>
        <w:rPr>
          <w:rFonts w:ascii="Times New Roman" w:hAnsi="Times New Roman"/>
          <w:smallCaps/>
          <w:sz w:val="24"/>
          <w:szCs w:val="24"/>
          <w:lang w:val="es-ES_tradnl"/>
        </w:rPr>
      </w:pPr>
      <w:r>
        <w:rPr>
          <w:rFonts w:ascii="Times New Roman" w:hAnsi="Times New Roman"/>
          <w:smallCaps/>
          <w:sz w:val="24"/>
          <w:szCs w:val="24"/>
          <w:lang w:val="es-ES_tradnl"/>
        </w:rPr>
        <w:t>Evaluación Económica</w:t>
      </w:r>
    </w:p>
    <w:p w:rsidR="00657EEA" w:rsidRPr="00DC73F9" w:rsidRDefault="00657EEA" w:rsidP="00504996">
      <w:pPr>
        <w:rPr>
          <w:lang w:val="es-ES"/>
        </w:rPr>
      </w:pPr>
    </w:p>
    <w:p w:rsidR="00360606" w:rsidRPr="008A1B46" w:rsidRDefault="00451BA3" w:rsidP="004D3A51">
      <w:pPr>
        <w:pStyle w:val="Heading1"/>
        <w:numPr>
          <w:ilvl w:val="0"/>
          <w:numId w:val="10"/>
        </w:numPr>
        <w:jc w:val="left"/>
        <w:rPr>
          <w:bCs w:val="0"/>
          <w:sz w:val="24"/>
          <w:szCs w:val="24"/>
          <w:lang w:val="es-ES" w:eastAsia="es-ES_tradnl"/>
        </w:rPr>
      </w:pPr>
      <w:bookmarkStart w:id="1" w:name="_Toc339982338"/>
      <w:bookmarkStart w:id="2" w:name="_Toc366836875"/>
      <w:r w:rsidRPr="008A1B46">
        <w:rPr>
          <w:i w:val="0"/>
          <w:sz w:val="24"/>
          <w:szCs w:val="24"/>
        </w:rPr>
        <w:t>I</w:t>
      </w:r>
      <w:r w:rsidR="007E2BEB">
        <w:rPr>
          <w:i w:val="0"/>
          <w:sz w:val="24"/>
          <w:szCs w:val="24"/>
        </w:rPr>
        <w:t>ntroducción</w:t>
      </w:r>
      <w:bookmarkEnd w:id="1"/>
      <w:bookmarkEnd w:id="2"/>
    </w:p>
    <w:p w:rsidR="00AD41EB" w:rsidRPr="00017858" w:rsidRDefault="00AD41EB" w:rsidP="00747085">
      <w:pPr>
        <w:autoSpaceDE w:val="0"/>
        <w:autoSpaceDN w:val="0"/>
        <w:adjustRightInd w:val="0"/>
        <w:jc w:val="both"/>
        <w:rPr>
          <w:rFonts w:ascii="Times New Roman" w:hAnsi="Times New Roman"/>
          <w:bCs/>
          <w:sz w:val="24"/>
          <w:szCs w:val="24"/>
          <w:lang w:val="es-ES_tradnl"/>
        </w:rPr>
      </w:pPr>
    </w:p>
    <w:p w:rsidR="00FD5990" w:rsidRDefault="007062AA" w:rsidP="00FD5990">
      <w:pPr>
        <w:numPr>
          <w:ilvl w:val="1"/>
          <w:numId w:val="10"/>
        </w:numPr>
        <w:autoSpaceDE w:val="0"/>
        <w:autoSpaceDN w:val="0"/>
        <w:adjustRightInd w:val="0"/>
        <w:ind w:left="426"/>
        <w:jc w:val="both"/>
        <w:rPr>
          <w:rFonts w:ascii="Times New Roman" w:hAnsi="Times New Roman"/>
          <w:bCs/>
          <w:sz w:val="24"/>
          <w:szCs w:val="24"/>
          <w:lang w:val="es-ES_tradnl"/>
        </w:rPr>
      </w:pPr>
      <w:bookmarkStart w:id="3" w:name="_Ref288643065"/>
      <w:bookmarkStart w:id="4" w:name="_Ref287964768"/>
      <w:r w:rsidRPr="00747085">
        <w:rPr>
          <w:rFonts w:ascii="Times New Roman" w:hAnsi="Times New Roman"/>
          <w:bCs/>
          <w:sz w:val="24"/>
          <w:szCs w:val="24"/>
          <w:lang w:val="es-ES_tradnl"/>
        </w:rPr>
        <w:t>Uruguay ha afianzado un sólido marco macroeconómico y ha estado a la vanguardia en la implementación de programas sociales que han contribuido a la reducción de los niveles de pobreza desde un 34,4% en 2006 a un 12,4% en 2012</w:t>
      </w:r>
      <w:r w:rsidRPr="00747085">
        <w:rPr>
          <w:rFonts w:ascii="Times New Roman" w:hAnsi="Times New Roman"/>
          <w:bCs/>
          <w:sz w:val="24"/>
          <w:szCs w:val="24"/>
          <w:vertAlign w:val="superscript"/>
          <w:lang w:val="es-ES_tradnl"/>
        </w:rPr>
        <w:footnoteReference w:id="1"/>
      </w:r>
      <w:r w:rsidRPr="00747085">
        <w:rPr>
          <w:rFonts w:ascii="Times New Roman" w:hAnsi="Times New Roman"/>
          <w:bCs/>
          <w:sz w:val="24"/>
          <w:szCs w:val="24"/>
          <w:lang w:val="es-ES_tradnl"/>
        </w:rPr>
        <w:t>. Sin embargo, los avances observados no han sido suficientes para superar las aún persistentes desigualdades en la distribución del ingreso.</w:t>
      </w:r>
    </w:p>
    <w:p w:rsidR="00FD5990" w:rsidRDefault="00FD5990" w:rsidP="00FD5990">
      <w:pPr>
        <w:autoSpaceDE w:val="0"/>
        <w:autoSpaceDN w:val="0"/>
        <w:adjustRightInd w:val="0"/>
        <w:ind w:left="426"/>
        <w:jc w:val="both"/>
        <w:rPr>
          <w:rFonts w:ascii="Times New Roman" w:hAnsi="Times New Roman"/>
          <w:bCs/>
          <w:sz w:val="24"/>
          <w:szCs w:val="24"/>
          <w:lang w:val="es-ES_tradnl"/>
        </w:rPr>
      </w:pPr>
    </w:p>
    <w:p w:rsidR="00FD5990" w:rsidRDefault="007062AA" w:rsidP="00FD5990">
      <w:pPr>
        <w:numPr>
          <w:ilvl w:val="1"/>
          <w:numId w:val="10"/>
        </w:numPr>
        <w:autoSpaceDE w:val="0"/>
        <w:autoSpaceDN w:val="0"/>
        <w:adjustRightInd w:val="0"/>
        <w:ind w:left="426"/>
        <w:jc w:val="both"/>
        <w:rPr>
          <w:rFonts w:ascii="Times New Roman" w:hAnsi="Times New Roman"/>
          <w:bCs/>
          <w:sz w:val="24"/>
          <w:szCs w:val="24"/>
          <w:lang w:val="es-ES_tradnl"/>
        </w:rPr>
      </w:pPr>
      <w:r w:rsidRPr="00FD5990">
        <w:rPr>
          <w:rFonts w:ascii="Times New Roman" w:hAnsi="Times New Roman"/>
          <w:bCs/>
          <w:sz w:val="24"/>
          <w:szCs w:val="24"/>
          <w:lang w:val="es-ES_tradnl"/>
        </w:rPr>
        <w:t>El país está altamente urbanizado, con 95% de sus 3.3 millones de habitantes residiendo en áreas urbanas, pero donde aún el 5% de la población (49 mil viviendas, 165 mil habitantes/ 48.000 hogares) viven en zonas con algún déficit de acceso a servicios básicos y sin seguridad de tenencia, denominados asentamientos</w:t>
      </w:r>
      <w:r w:rsidRPr="00747085">
        <w:rPr>
          <w:vertAlign w:val="superscript"/>
          <w:lang w:val="es-ES_tradnl"/>
        </w:rPr>
        <w:footnoteReference w:id="2"/>
      </w:r>
      <w:r w:rsidRPr="00FD5990">
        <w:rPr>
          <w:rFonts w:ascii="Times New Roman" w:hAnsi="Times New Roman"/>
          <w:bCs/>
          <w:sz w:val="24"/>
          <w:szCs w:val="24"/>
          <w:lang w:val="es-ES_tradnl"/>
        </w:rPr>
        <w:t xml:space="preserve">. </w:t>
      </w:r>
      <w:bookmarkEnd w:id="3"/>
      <w:r w:rsidRPr="00FD5990">
        <w:rPr>
          <w:rFonts w:ascii="Times New Roman" w:hAnsi="Times New Roman"/>
          <w:bCs/>
          <w:sz w:val="24"/>
          <w:szCs w:val="24"/>
          <w:lang w:val="es-ES_tradnl"/>
        </w:rPr>
        <w:t>Las principales falencias de los hogares residentes en asentamientos se relacionan con la ausencia de soluciones adecuadas de saneamiento, una red vial deficiente, acceso limitado a transporte público, ausencia o mal estado de sistemas de drenajes y baja calidad ambiental.</w:t>
      </w:r>
      <w:r w:rsidR="00A07778" w:rsidRPr="00FD5990">
        <w:rPr>
          <w:rFonts w:ascii="Times New Roman" w:hAnsi="Times New Roman"/>
          <w:bCs/>
          <w:sz w:val="24"/>
          <w:szCs w:val="24"/>
          <w:lang w:val="es-ES_tradnl"/>
        </w:rPr>
        <w:t xml:space="preserve"> </w:t>
      </w:r>
      <w:r w:rsidR="00FD5990">
        <w:rPr>
          <w:rFonts w:ascii="Times New Roman" w:hAnsi="Times New Roman"/>
          <w:bCs/>
          <w:sz w:val="24"/>
          <w:szCs w:val="24"/>
          <w:lang w:val="es-ES_tradnl"/>
        </w:rPr>
        <w:t xml:space="preserve">Los asentamientos </w:t>
      </w:r>
      <w:r w:rsidR="00A07778" w:rsidRPr="00FD5990">
        <w:rPr>
          <w:rFonts w:ascii="Times New Roman" w:hAnsi="Times New Roman"/>
          <w:bCs/>
          <w:sz w:val="24"/>
          <w:szCs w:val="24"/>
          <w:lang w:val="es-ES_tradnl"/>
        </w:rPr>
        <w:t>presentan también déficit de espacios públicos y/o recreativos, de centros comunitarios y de servicios sociales.</w:t>
      </w:r>
      <w:r w:rsidRPr="00FD5990">
        <w:rPr>
          <w:rFonts w:ascii="Times New Roman" w:hAnsi="Times New Roman"/>
          <w:bCs/>
          <w:sz w:val="24"/>
          <w:szCs w:val="24"/>
          <w:lang w:val="es-ES_tradnl"/>
        </w:rPr>
        <w:t xml:space="preserve"> Asimismo, el régimen de tenencia de la propiedad es irregular, lo que limita la capacidad de movilidad, el acceso al crédito y la acumulación de capital.</w:t>
      </w:r>
      <w:bookmarkStart w:id="5" w:name="_Ref288576094"/>
    </w:p>
    <w:p w:rsidR="00FD5990" w:rsidRDefault="00FD5990" w:rsidP="00FD5990">
      <w:pPr>
        <w:pStyle w:val="ListParagraph"/>
        <w:rPr>
          <w:rFonts w:ascii="Times New Roman" w:hAnsi="Times New Roman"/>
          <w:bCs/>
          <w:sz w:val="24"/>
          <w:szCs w:val="24"/>
          <w:lang w:val="es-ES_tradnl"/>
        </w:rPr>
      </w:pPr>
    </w:p>
    <w:p w:rsidR="00FD5990" w:rsidRDefault="007062AA" w:rsidP="00FD5990">
      <w:pPr>
        <w:numPr>
          <w:ilvl w:val="1"/>
          <w:numId w:val="10"/>
        </w:numPr>
        <w:autoSpaceDE w:val="0"/>
        <w:autoSpaceDN w:val="0"/>
        <w:adjustRightInd w:val="0"/>
        <w:ind w:left="426"/>
        <w:jc w:val="both"/>
        <w:rPr>
          <w:rFonts w:ascii="Times New Roman" w:hAnsi="Times New Roman"/>
          <w:bCs/>
          <w:sz w:val="24"/>
          <w:szCs w:val="24"/>
          <w:lang w:val="es-ES_tradnl"/>
        </w:rPr>
      </w:pPr>
      <w:r w:rsidRPr="00FD5990">
        <w:rPr>
          <w:rFonts w:ascii="Times New Roman" w:hAnsi="Times New Roman"/>
          <w:bCs/>
          <w:sz w:val="24"/>
          <w:szCs w:val="24"/>
          <w:lang w:val="es-ES_tradnl"/>
        </w:rPr>
        <w:t>En estas áreas residen hogares con altos niveles de pobreza y con características demográficas y sociales que agudizan su vulnerabilidad.</w:t>
      </w:r>
      <w:bookmarkEnd w:id="5"/>
      <w:r w:rsidRPr="00FD5990">
        <w:rPr>
          <w:rFonts w:ascii="Times New Roman" w:hAnsi="Times New Roman"/>
          <w:bCs/>
          <w:sz w:val="24"/>
          <w:szCs w:val="24"/>
          <w:lang w:val="es-ES_tradnl"/>
        </w:rPr>
        <w:t xml:space="preserve"> </w:t>
      </w:r>
      <w:r w:rsidR="008541F6" w:rsidRPr="00FD5990">
        <w:rPr>
          <w:rFonts w:ascii="Times New Roman" w:hAnsi="Times New Roman"/>
          <w:bCs/>
          <w:sz w:val="24"/>
          <w:szCs w:val="24"/>
          <w:lang w:val="es-ES_tradnl"/>
        </w:rPr>
        <w:t>E</w:t>
      </w:r>
      <w:r w:rsidRPr="00FD5990">
        <w:rPr>
          <w:rFonts w:ascii="Times New Roman" w:hAnsi="Times New Roman"/>
          <w:bCs/>
          <w:sz w:val="24"/>
          <w:szCs w:val="24"/>
          <w:lang w:val="es-ES_tradnl"/>
        </w:rPr>
        <w:t>l porcentaje de ocupados en los asentamientos es significativamente inferior al del resto del país (44 y 49% respectivamente), a pesar de que la población inactiva es superior a</w:t>
      </w:r>
      <w:r w:rsidR="00A07778" w:rsidRPr="00FD5990">
        <w:rPr>
          <w:rFonts w:ascii="Times New Roman" w:hAnsi="Times New Roman"/>
          <w:bCs/>
          <w:sz w:val="24"/>
          <w:szCs w:val="24"/>
          <w:lang w:val="es-ES_tradnl"/>
        </w:rPr>
        <w:t xml:space="preserve"> </w:t>
      </w:r>
      <w:r w:rsidRPr="00FD5990">
        <w:rPr>
          <w:rFonts w:ascii="Times New Roman" w:hAnsi="Times New Roman"/>
          <w:bCs/>
          <w:sz w:val="24"/>
          <w:szCs w:val="24"/>
          <w:lang w:val="es-ES_tradnl"/>
        </w:rPr>
        <w:t>l</w:t>
      </w:r>
      <w:r w:rsidR="00A07778" w:rsidRPr="00FD5990">
        <w:rPr>
          <w:rFonts w:ascii="Times New Roman" w:hAnsi="Times New Roman"/>
          <w:bCs/>
          <w:sz w:val="24"/>
          <w:szCs w:val="24"/>
          <w:lang w:val="es-ES_tradnl"/>
        </w:rPr>
        <w:t>a</w:t>
      </w:r>
      <w:r w:rsidRPr="00FD5990">
        <w:rPr>
          <w:rFonts w:ascii="Times New Roman" w:hAnsi="Times New Roman"/>
          <w:bCs/>
          <w:sz w:val="24"/>
          <w:szCs w:val="24"/>
          <w:lang w:val="es-ES_tradnl"/>
        </w:rPr>
        <w:t xml:space="preserve"> del resto del país (7.6 y 5.6 % respectivamente). El ingreso del hogar en asentamientos irregulares es de un 65 % del ingreso promedio de los hogares a nivel nacional</w:t>
      </w:r>
      <w:r w:rsidRPr="00747085">
        <w:rPr>
          <w:rFonts w:ascii="Times New Roman" w:hAnsi="Times New Roman"/>
          <w:bCs/>
          <w:sz w:val="24"/>
          <w:szCs w:val="24"/>
          <w:vertAlign w:val="superscript"/>
          <w:lang w:val="es-ES_tradnl"/>
        </w:rPr>
        <w:footnoteReference w:id="3"/>
      </w:r>
      <w:r w:rsidRPr="00FD5990">
        <w:rPr>
          <w:rFonts w:ascii="Times New Roman" w:hAnsi="Times New Roman"/>
          <w:bCs/>
          <w:sz w:val="24"/>
          <w:szCs w:val="24"/>
          <w:lang w:val="es-ES_tradnl"/>
        </w:rPr>
        <w:t>. También se acentúan las disparidades de género: mientras que la proporción de mujeres jefas de hogar  es del 25%</w:t>
      </w:r>
      <w:r w:rsidRPr="00747085">
        <w:rPr>
          <w:rFonts w:ascii="Times New Roman" w:hAnsi="Times New Roman"/>
          <w:bCs/>
          <w:sz w:val="24"/>
          <w:szCs w:val="24"/>
          <w:vertAlign w:val="superscript"/>
          <w:lang w:val="es-ES_tradnl"/>
        </w:rPr>
        <w:footnoteReference w:id="4"/>
      </w:r>
      <w:r w:rsidR="00A07778" w:rsidRPr="00FD5990">
        <w:rPr>
          <w:rFonts w:ascii="Times New Roman" w:hAnsi="Times New Roman"/>
          <w:bCs/>
          <w:sz w:val="24"/>
          <w:szCs w:val="24"/>
          <w:lang w:val="es-ES_tradnl"/>
        </w:rPr>
        <w:t xml:space="preserve"> a nivel nacional (</w:t>
      </w:r>
      <w:r w:rsidRPr="00FD5990">
        <w:rPr>
          <w:rFonts w:ascii="Times New Roman" w:hAnsi="Times New Roman"/>
          <w:bCs/>
          <w:sz w:val="24"/>
          <w:szCs w:val="24"/>
          <w:lang w:val="es-ES_tradnl"/>
        </w:rPr>
        <w:t>entre 19 y 50 años), en una muestra de asentamientos la misma fue del 36%.</w:t>
      </w:r>
    </w:p>
    <w:p w:rsidR="00FD5990" w:rsidRDefault="00FD5990" w:rsidP="00FD5990">
      <w:pPr>
        <w:pStyle w:val="ListParagraph"/>
        <w:rPr>
          <w:rFonts w:ascii="Times New Roman" w:hAnsi="Times New Roman"/>
          <w:bCs/>
          <w:sz w:val="24"/>
          <w:szCs w:val="24"/>
          <w:lang w:val="es-ES_tradnl"/>
        </w:rPr>
      </w:pPr>
    </w:p>
    <w:p w:rsidR="00D94D17" w:rsidRPr="00656576" w:rsidRDefault="00A07778" w:rsidP="00656576">
      <w:pPr>
        <w:numPr>
          <w:ilvl w:val="1"/>
          <w:numId w:val="10"/>
        </w:numPr>
        <w:autoSpaceDE w:val="0"/>
        <w:autoSpaceDN w:val="0"/>
        <w:adjustRightInd w:val="0"/>
        <w:ind w:left="426"/>
        <w:jc w:val="both"/>
        <w:rPr>
          <w:rFonts w:ascii="Times New Roman" w:hAnsi="Times New Roman"/>
          <w:bCs/>
          <w:sz w:val="24"/>
          <w:szCs w:val="24"/>
          <w:lang w:val="es-ES_tradnl"/>
        </w:rPr>
      </w:pPr>
      <w:r>
        <w:rPr>
          <w:rFonts w:ascii="Times New Roman" w:hAnsi="Times New Roman"/>
          <w:bCs/>
          <w:sz w:val="24"/>
          <w:szCs w:val="24"/>
          <w:lang w:val="es-ES_tradnl"/>
        </w:rPr>
        <w:t>El P</w:t>
      </w:r>
      <w:r w:rsidR="007062AA" w:rsidRPr="00747085">
        <w:rPr>
          <w:rFonts w:ascii="Times New Roman" w:hAnsi="Times New Roman"/>
          <w:bCs/>
          <w:sz w:val="24"/>
          <w:szCs w:val="24"/>
          <w:lang w:val="es-ES_tradnl"/>
        </w:rPr>
        <w:t>rograma</w:t>
      </w:r>
      <w:r>
        <w:rPr>
          <w:rFonts w:ascii="Times New Roman" w:hAnsi="Times New Roman"/>
          <w:bCs/>
          <w:sz w:val="24"/>
          <w:szCs w:val="24"/>
          <w:lang w:val="es-ES_tradnl"/>
        </w:rPr>
        <w:t xml:space="preserve"> de Mejoramientos de Barrios II</w:t>
      </w:r>
      <w:r w:rsidR="007062AA" w:rsidRPr="00747085">
        <w:rPr>
          <w:rFonts w:ascii="Times New Roman" w:hAnsi="Times New Roman"/>
          <w:bCs/>
          <w:sz w:val="24"/>
          <w:szCs w:val="24"/>
          <w:lang w:val="es-ES_tradnl"/>
        </w:rPr>
        <w:t xml:space="preserve">, como segunda etapa de un CCLIP, mantiene su abordaje integral, atendiendo paralelamente tanto las necesidades de infraestructura física como de acceso a servicios sociales de la población. </w:t>
      </w:r>
      <w:bookmarkEnd w:id="4"/>
      <w:r w:rsidR="00B1579C" w:rsidRPr="00747085">
        <w:rPr>
          <w:rFonts w:ascii="Times New Roman" w:hAnsi="Times New Roman"/>
          <w:bCs/>
          <w:sz w:val="24"/>
          <w:szCs w:val="24"/>
          <w:lang w:val="es-ES_tradnl"/>
        </w:rPr>
        <w:t xml:space="preserve">El </w:t>
      </w:r>
      <w:r w:rsidR="00B1579C" w:rsidRPr="00747085">
        <w:rPr>
          <w:rFonts w:ascii="Times New Roman" w:hAnsi="Times New Roman"/>
          <w:bCs/>
          <w:sz w:val="24"/>
          <w:szCs w:val="24"/>
          <w:lang w:val="es-ES_tradnl"/>
        </w:rPr>
        <w:lastRenderedPageBreak/>
        <w:t xml:space="preserve">programa </w:t>
      </w:r>
      <w:r>
        <w:rPr>
          <w:rFonts w:ascii="Times New Roman" w:hAnsi="Times New Roman"/>
          <w:bCs/>
          <w:sz w:val="24"/>
          <w:szCs w:val="24"/>
          <w:lang w:val="es-ES_tradnl"/>
        </w:rPr>
        <w:t xml:space="preserve">se integra  por </w:t>
      </w:r>
      <w:r w:rsidR="00D94D17" w:rsidRPr="00747085">
        <w:rPr>
          <w:rFonts w:ascii="Times New Roman" w:hAnsi="Times New Roman"/>
          <w:bCs/>
          <w:sz w:val="24"/>
          <w:szCs w:val="24"/>
          <w:lang w:val="es-ES_tradnl"/>
        </w:rPr>
        <w:t xml:space="preserve">tres componentes. El </w:t>
      </w:r>
      <w:r w:rsidR="00B1579C" w:rsidRPr="00747085">
        <w:rPr>
          <w:rFonts w:ascii="Times New Roman" w:hAnsi="Times New Roman"/>
          <w:bCs/>
          <w:sz w:val="24"/>
          <w:szCs w:val="24"/>
          <w:lang w:val="es-ES_tradnl"/>
        </w:rPr>
        <w:t xml:space="preserve">Componente 1 </w:t>
      </w:r>
      <w:r w:rsidR="00D94D17" w:rsidRPr="00747085">
        <w:rPr>
          <w:rFonts w:ascii="Times New Roman" w:hAnsi="Times New Roman"/>
          <w:bCs/>
          <w:sz w:val="24"/>
          <w:szCs w:val="24"/>
          <w:lang w:val="es-ES_tradnl"/>
        </w:rPr>
        <w:t>de</w:t>
      </w:r>
      <w:r w:rsidR="00B1579C" w:rsidRPr="00747085">
        <w:rPr>
          <w:rFonts w:ascii="Times New Roman" w:hAnsi="Times New Roman"/>
          <w:bCs/>
          <w:sz w:val="24"/>
          <w:szCs w:val="24"/>
          <w:lang w:val="es-ES_tradnl"/>
        </w:rPr>
        <w:t xml:space="preserve"> Mejoramiento de Barrios</w:t>
      </w:r>
      <w:r w:rsidR="00D94D17" w:rsidRPr="00747085">
        <w:rPr>
          <w:rFonts w:ascii="Times New Roman" w:hAnsi="Times New Roman"/>
          <w:bCs/>
          <w:sz w:val="24"/>
          <w:szCs w:val="24"/>
          <w:lang w:val="es-ES_tradnl"/>
        </w:rPr>
        <w:t>, financia accio</w:t>
      </w:r>
      <w:r w:rsidR="00B1579C" w:rsidRPr="00747085">
        <w:rPr>
          <w:rFonts w:ascii="Times New Roman" w:hAnsi="Times New Roman"/>
          <w:bCs/>
          <w:sz w:val="24"/>
          <w:szCs w:val="24"/>
          <w:lang w:val="es-ES_tradnl"/>
        </w:rPr>
        <w:t>nes que buscan (i) ampliar o mejorar la infraestructura y los servicios urbanos básicos en los asentamientos e integrarlos a la ciudad; (ii) mejorar el entorno ecológico; (iii) reducir la vulnerabilidad de la población asentada en zonas de riesgo frente a amenazas de origen natural; y (iv) proveer o rehabilitar el equipamiento y mobiliario urbanos. Este componente financia también las actividades requeridas para otorgar títulos de propiedad a las familias residentes</w:t>
      </w:r>
      <w:r>
        <w:rPr>
          <w:rFonts w:ascii="Times New Roman" w:hAnsi="Times New Roman"/>
          <w:bCs/>
          <w:sz w:val="24"/>
          <w:szCs w:val="24"/>
          <w:lang w:val="es-ES_tradnl"/>
        </w:rPr>
        <w:t xml:space="preserve">  así como </w:t>
      </w:r>
      <w:r w:rsidR="00B1579C" w:rsidRPr="00747085">
        <w:rPr>
          <w:rFonts w:ascii="Times New Roman" w:hAnsi="Times New Roman"/>
          <w:bCs/>
          <w:sz w:val="24"/>
          <w:szCs w:val="24"/>
          <w:lang w:val="es-ES_tradnl"/>
        </w:rPr>
        <w:t>acciones de desarrollo barrial y social</w:t>
      </w:r>
      <w:r>
        <w:rPr>
          <w:rFonts w:ascii="Times New Roman" w:hAnsi="Times New Roman"/>
          <w:bCs/>
          <w:sz w:val="24"/>
          <w:szCs w:val="24"/>
          <w:lang w:val="es-ES_tradnl"/>
        </w:rPr>
        <w:t>.</w:t>
      </w:r>
      <w:r w:rsidR="00B1579C" w:rsidRPr="00747085">
        <w:rPr>
          <w:rFonts w:ascii="Times New Roman" w:hAnsi="Times New Roman"/>
          <w:bCs/>
          <w:sz w:val="24"/>
          <w:szCs w:val="24"/>
          <w:lang w:val="es-ES_tradnl"/>
        </w:rPr>
        <w:t xml:space="preserve"> </w:t>
      </w:r>
      <w:r w:rsidR="00D94D17" w:rsidRPr="00656576">
        <w:rPr>
          <w:rFonts w:ascii="Times New Roman" w:hAnsi="Times New Roman"/>
          <w:bCs/>
          <w:sz w:val="24"/>
          <w:szCs w:val="24"/>
          <w:lang w:val="es-ES_tradnl"/>
        </w:rPr>
        <w:t>El c</w:t>
      </w:r>
      <w:r w:rsidR="00B1579C" w:rsidRPr="00656576">
        <w:rPr>
          <w:rFonts w:ascii="Times New Roman" w:hAnsi="Times New Roman"/>
          <w:bCs/>
          <w:sz w:val="24"/>
          <w:szCs w:val="24"/>
          <w:lang w:val="es-ES_tradnl"/>
        </w:rPr>
        <w:t xml:space="preserve">omponente 2 </w:t>
      </w:r>
      <w:r w:rsidRPr="00656576">
        <w:rPr>
          <w:rFonts w:ascii="Times New Roman" w:hAnsi="Times New Roman"/>
          <w:bCs/>
          <w:sz w:val="24"/>
          <w:szCs w:val="24"/>
          <w:lang w:val="es-ES_tradnl"/>
        </w:rPr>
        <w:t>de</w:t>
      </w:r>
      <w:r w:rsidR="00B1579C" w:rsidRPr="00656576">
        <w:rPr>
          <w:rFonts w:ascii="Times New Roman" w:hAnsi="Times New Roman"/>
          <w:bCs/>
          <w:sz w:val="24"/>
          <w:szCs w:val="24"/>
          <w:lang w:val="es-ES_tradnl"/>
        </w:rPr>
        <w:t xml:space="preserve"> </w:t>
      </w:r>
      <w:r w:rsidRPr="00656576">
        <w:rPr>
          <w:rFonts w:ascii="Times New Roman" w:hAnsi="Times New Roman"/>
          <w:bCs/>
          <w:sz w:val="24"/>
          <w:szCs w:val="24"/>
          <w:lang w:val="es-ES_tradnl"/>
        </w:rPr>
        <w:t>a</w:t>
      </w:r>
      <w:r w:rsidR="00B1579C" w:rsidRPr="00656576">
        <w:rPr>
          <w:rFonts w:ascii="Times New Roman" w:hAnsi="Times New Roman"/>
          <w:bCs/>
          <w:sz w:val="24"/>
          <w:szCs w:val="24"/>
          <w:lang w:val="es-ES_tradnl"/>
        </w:rPr>
        <w:t>ctuaciones urbanas integrales en áreas degradadas</w:t>
      </w:r>
      <w:r w:rsidR="00D94D17" w:rsidRPr="00656576">
        <w:rPr>
          <w:rFonts w:ascii="Times New Roman" w:hAnsi="Times New Roman"/>
          <w:bCs/>
          <w:sz w:val="24"/>
          <w:szCs w:val="24"/>
          <w:lang w:val="es-ES_tradnl"/>
        </w:rPr>
        <w:t>,</w:t>
      </w:r>
      <w:r w:rsidR="00B1579C" w:rsidRPr="00656576">
        <w:rPr>
          <w:rFonts w:ascii="Times New Roman" w:hAnsi="Times New Roman"/>
          <w:bCs/>
          <w:sz w:val="24"/>
          <w:szCs w:val="24"/>
          <w:lang w:val="es-ES_tradnl"/>
        </w:rPr>
        <w:t xml:space="preserve"> financiará </w:t>
      </w:r>
      <w:r w:rsidR="00D94D17" w:rsidRPr="00656576">
        <w:rPr>
          <w:rFonts w:ascii="Times New Roman" w:hAnsi="Times New Roman"/>
          <w:bCs/>
          <w:sz w:val="24"/>
          <w:szCs w:val="24"/>
          <w:lang w:val="es-ES_tradnl"/>
        </w:rPr>
        <w:t>intervenciones</w:t>
      </w:r>
      <w:r w:rsidR="00B1579C" w:rsidRPr="00656576">
        <w:rPr>
          <w:rFonts w:ascii="Times New Roman" w:hAnsi="Times New Roman"/>
          <w:bCs/>
          <w:sz w:val="24"/>
          <w:szCs w:val="24"/>
          <w:lang w:val="es-ES_tradnl"/>
        </w:rPr>
        <w:t xml:space="preserve"> destinadas a poner en valor áreas urbanas que por diversos motivos han decaído en su funcionalidad y vocación económica </w:t>
      </w:r>
      <w:r w:rsidRPr="00656576">
        <w:rPr>
          <w:rFonts w:ascii="Times New Roman" w:hAnsi="Times New Roman"/>
          <w:bCs/>
          <w:sz w:val="24"/>
          <w:szCs w:val="24"/>
          <w:lang w:val="es-ES_tradnl"/>
        </w:rPr>
        <w:t>a pesar de que poseen la totalidad de los servicios públicos</w:t>
      </w:r>
      <w:r w:rsidR="00B1579C" w:rsidRPr="00656576">
        <w:rPr>
          <w:rFonts w:ascii="Times New Roman" w:hAnsi="Times New Roman"/>
          <w:bCs/>
          <w:sz w:val="24"/>
          <w:szCs w:val="24"/>
          <w:lang w:val="es-ES_tradnl"/>
        </w:rPr>
        <w:t xml:space="preserve">. </w:t>
      </w:r>
      <w:r w:rsidR="00D94D17" w:rsidRPr="00656576">
        <w:rPr>
          <w:rFonts w:ascii="Times New Roman" w:hAnsi="Times New Roman"/>
          <w:bCs/>
          <w:sz w:val="24"/>
          <w:szCs w:val="24"/>
          <w:lang w:val="es-ES_tradnl"/>
        </w:rPr>
        <w:t>Finalmente el c</w:t>
      </w:r>
      <w:r w:rsidR="00B1579C" w:rsidRPr="00656576">
        <w:rPr>
          <w:rFonts w:ascii="Times New Roman" w:hAnsi="Times New Roman"/>
          <w:bCs/>
          <w:sz w:val="24"/>
          <w:szCs w:val="24"/>
          <w:lang w:val="es-ES_tradnl"/>
        </w:rPr>
        <w:t xml:space="preserve">omponente 3 </w:t>
      </w:r>
      <w:r w:rsidR="00D94D17" w:rsidRPr="00656576">
        <w:rPr>
          <w:rFonts w:ascii="Times New Roman" w:hAnsi="Times New Roman"/>
          <w:bCs/>
          <w:sz w:val="24"/>
          <w:szCs w:val="24"/>
          <w:lang w:val="es-ES_tradnl"/>
        </w:rPr>
        <w:t>de</w:t>
      </w:r>
      <w:r w:rsidR="00B1579C" w:rsidRPr="00656576">
        <w:rPr>
          <w:rFonts w:ascii="Times New Roman" w:hAnsi="Times New Roman"/>
          <w:bCs/>
          <w:sz w:val="24"/>
          <w:szCs w:val="24"/>
          <w:lang w:val="es-ES_tradnl"/>
        </w:rPr>
        <w:t xml:space="preserve"> Fortalecimiento institucional</w:t>
      </w:r>
      <w:r w:rsidR="00D94D17" w:rsidRPr="00656576">
        <w:rPr>
          <w:rFonts w:ascii="Times New Roman" w:hAnsi="Times New Roman"/>
          <w:bCs/>
          <w:sz w:val="24"/>
          <w:szCs w:val="24"/>
          <w:lang w:val="es-ES_tradnl"/>
        </w:rPr>
        <w:t>,</w:t>
      </w:r>
      <w:r w:rsidR="00B1579C" w:rsidRPr="00656576">
        <w:rPr>
          <w:rFonts w:ascii="Times New Roman" w:hAnsi="Times New Roman"/>
          <w:bCs/>
          <w:sz w:val="24"/>
          <w:szCs w:val="24"/>
          <w:lang w:val="es-ES_tradnl"/>
        </w:rPr>
        <w:t xml:space="preserve"> tiene el objetivo de mejorar las capacidades de diseño de políticas y de gestión operativa de las instituciones con responsabilidades de ejecución del programa.</w:t>
      </w:r>
    </w:p>
    <w:p w:rsidR="00747085" w:rsidRPr="00747085" w:rsidRDefault="00747085" w:rsidP="00747085">
      <w:pPr>
        <w:autoSpaceDE w:val="0"/>
        <w:autoSpaceDN w:val="0"/>
        <w:adjustRightInd w:val="0"/>
        <w:jc w:val="both"/>
        <w:rPr>
          <w:rFonts w:ascii="Times New Roman" w:hAnsi="Times New Roman"/>
          <w:bCs/>
          <w:sz w:val="24"/>
          <w:szCs w:val="24"/>
          <w:lang w:val="es-ES_tradnl"/>
        </w:rPr>
      </w:pPr>
    </w:p>
    <w:p w:rsidR="00747085" w:rsidRDefault="008E37A9" w:rsidP="00747085">
      <w:pPr>
        <w:numPr>
          <w:ilvl w:val="1"/>
          <w:numId w:val="10"/>
        </w:numPr>
        <w:autoSpaceDE w:val="0"/>
        <w:autoSpaceDN w:val="0"/>
        <w:adjustRightInd w:val="0"/>
        <w:ind w:left="426"/>
        <w:jc w:val="both"/>
        <w:rPr>
          <w:rFonts w:ascii="Times New Roman" w:hAnsi="Times New Roman"/>
          <w:bCs/>
          <w:sz w:val="24"/>
          <w:szCs w:val="24"/>
          <w:lang w:val="es-ES_tradnl"/>
        </w:rPr>
      </w:pPr>
      <w:r w:rsidRPr="00747085">
        <w:rPr>
          <w:rFonts w:ascii="Times New Roman" w:hAnsi="Times New Roman"/>
          <w:bCs/>
          <w:sz w:val="24"/>
          <w:szCs w:val="24"/>
          <w:lang w:val="es-ES_tradnl"/>
        </w:rPr>
        <w:t>El análisis económico se concentra en el componente</w:t>
      </w:r>
      <w:r w:rsidR="00D94D17" w:rsidRPr="00747085">
        <w:rPr>
          <w:rFonts w:ascii="Times New Roman" w:hAnsi="Times New Roman"/>
          <w:bCs/>
          <w:sz w:val="24"/>
          <w:szCs w:val="24"/>
          <w:lang w:val="es-ES_tradnl"/>
        </w:rPr>
        <w:t xml:space="preserve"> 1</w:t>
      </w:r>
      <w:r w:rsidRPr="00747085">
        <w:rPr>
          <w:rFonts w:ascii="Times New Roman" w:hAnsi="Times New Roman"/>
          <w:bCs/>
          <w:sz w:val="24"/>
          <w:szCs w:val="24"/>
          <w:lang w:val="es-ES_tradnl"/>
        </w:rPr>
        <w:t xml:space="preserve"> de mejoramiento de Barrios, eje central de las intervenciones del Programa, </w:t>
      </w:r>
      <w:r w:rsidR="00BF2405" w:rsidRPr="00747085">
        <w:rPr>
          <w:rFonts w:ascii="Times New Roman" w:hAnsi="Times New Roman"/>
          <w:bCs/>
          <w:sz w:val="24"/>
          <w:szCs w:val="24"/>
          <w:lang w:val="es-ES_tradnl"/>
        </w:rPr>
        <w:t xml:space="preserve">mediante la </w:t>
      </w:r>
      <w:r w:rsidRPr="00747085">
        <w:rPr>
          <w:rFonts w:ascii="Times New Roman" w:hAnsi="Times New Roman"/>
          <w:bCs/>
          <w:sz w:val="24"/>
          <w:szCs w:val="24"/>
          <w:lang w:val="es-ES_tradnl"/>
        </w:rPr>
        <w:t xml:space="preserve">evaluación de una muestra representativa de proyectos. Este componente representa el </w:t>
      </w:r>
      <w:r w:rsidR="00D94D17" w:rsidRPr="00747085">
        <w:rPr>
          <w:rFonts w:ascii="Times New Roman" w:hAnsi="Times New Roman"/>
          <w:bCs/>
          <w:sz w:val="24"/>
          <w:szCs w:val="24"/>
          <w:lang w:val="es-ES_tradnl"/>
        </w:rPr>
        <w:t>74</w:t>
      </w:r>
      <w:r w:rsidRPr="00747085">
        <w:rPr>
          <w:rFonts w:ascii="Times New Roman" w:hAnsi="Times New Roman"/>
          <w:bCs/>
          <w:sz w:val="24"/>
          <w:szCs w:val="24"/>
          <w:lang w:val="es-ES_tradnl"/>
        </w:rPr>
        <w:t>% de los recursos</w:t>
      </w:r>
      <w:r w:rsidR="00D94D17" w:rsidRPr="00747085">
        <w:rPr>
          <w:rFonts w:ascii="Times New Roman" w:hAnsi="Times New Roman"/>
          <w:bCs/>
          <w:sz w:val="24"/>
          <w:szCs w:val="24"/>
          <w:lang w:val="es-ES_tradnl"/>
        </w:rPr>
        <w:t xml:space="preserve"> del programa</w:t>
      </w:r>
      <w:r w:rsidRPr="00747085">
        <w:rPr>
          <w:rFonts w:ascii="Times New Roman" w:hAnsi="Times New Roman"/>
          <w:bCs/>
          <w:sz w:val="24"/>
          <w:szCs w:val="24"/>
          <w:lang w:val="es-ES_tradnl"/>
        </w:rPr>
        <w:t xml:space="preserve">, lo cuales se destinarán </w:t>
      </w:r>
      <w:r w:rsidR="00D94D17" w:rsidRPr="00747085">
        <w:rPr>
          <w:rFonts w:ascii="Times New Roman" w:hAnsi="Times New Roman"/>
          <w:bCs/>
          <w:sz w:val="24"/>
          <w:szCs w:val="24"/>
          <w:lang w:val="es-ES_tradnl"/>
        </w:rPr>
        <w:t xml:space="preserve">en una alta proporción </w:t>
      </w:r>
      <w:r w:rsidRPr="00747085">
        <w:rPr>
          <w:rFonts w:ascii="Times New Roman" w:hAnsi="Times New Roman"/>
          <w:bCs/>
          <w:sz w:val="24"/>
          <w:szCs w:val="24"/>
          <w:lang w:val="es-ES_tradnl"/>
        </w:rPr>
        <w:t xml:space="preserve">al financiamiento de infraestructura y servicios básicos (agua potable, drenaje, vialidad, electrificación y alumbrado público, obras viales, equipamiento social y comunitario) en asentamientos informales. </w:t>
      </w:r>
    </w:p>
    <w:p w:rsidR="00747085" w:rsidRPr="00747085" w:rsidRDefault="00747085" w:rsidP="00747085">
      <w:pPr>
        <w:autoSpaceDE w:val="0"/>
        <w:autoSpaceDN w:val="0"/>
        <w:adjustRightInd w:val="0"/>
        <w:jc w:val="both"/>
        <w:rPr>
          <w:rFonts w:ascii="Times New Roman" w:hAnsi="Times New Roman"/>
          <w:bCs/>
          <w:sz w:val="24"/>
          <w:szCs w:val="24"/>
          <w:lang w:val="es-ES_tradnl"/>
        </w:rPr>
      </w:pPr>
    </w:p>
    <w:p w:rsidR="00747085" w:rsidRDefault="00BF2405" w:rsidP="00747085">
      <w:pPr>
        <w:numPr>
          <w:ilvl w:val="1"/>
          <w:numId w:val="10"/>
        </w:numPr>
        <w:autoSpaceDE w:val="0"/>
        <w:autoSpaceDN w:val="0"/>
        <w:adjustRightInd w:val="0"/>
        <w:ind w:left="426"/>
        <w:jc w:val="both"/>
        <w:rPr>
          <w:rFonts w:ascii="Times New Roman" w:hAnsi="Times New Roman"/>
          <w:bCs/>
          <w:sz w:val="24"/>
          <w:szCs w:val="24"/>
          <w:lang w:val="es-ES_tradnl"/>
        </w:rPr>
      </w:pPr>
      <w:r w:rsidRPr="00747085">
        <w:rPr>
          <w:rFonts w:ascii="Times New Roman" w:hAnsi="Times New Roman"/>
          <w:bCs/>
          <w:sz w:val="24"/>
          <w:szCs w:val="24"/>
          <w:lang w:val="es-ES_tradnl"/>
        </w:rPr>
        <w:t xml:space="preserve">Sobre la muestra </w:t>
      </w:r>
      <w:r w:rsidR="00D94D17" w:rsidRPr="00747085">
        <w:rPr>
          <w:rFonts w:ascii="Times New Roman" w:hAnsi="Times New Roman"/>
          <w:bCs/>
          <w:sz w:val="24"/>
          <w:szCs w:val="24"/>
          <w:lang w:val="es-ES_tradnl"/>
        </w:rPr>
        <w:t xml:space="preserve">representativa </w:t>
      </w:r>
      <w:r w:rsidRPr="00747085">
        <w:rPr>
          <w:rFonts w:ascii="Times New Roman" w:hAnsi="Times New Roman"/>
          <w:bCs/>
          <w:sz w:val="24"/>
          <w:szCs w:val="24"/>
          <w:lang w:val="es-ES_tradnl"/>
        </w:rPr>
        <w:t xml:space="preserve">se realizó </w:t>
      </w:r>
      <w:r w:rsidR="00017858" w:rsidRPr="00747085">
        <w:rPr>
          <w:rFonts w:ascii="Times New Roman" w:hAnsi="Times New Roman"/>
          <w:bCs/>
          <w:sz w:val="24"/>
          <w:szCs w:val="24"/>
          <w:lang w:val="es-ES_tradnl"/>
        </w:rPr>
        <w:t>una evaluación económica de</w:t>
      </w:r>
      <w:r w:rsidR="00264BAE">
        <w:rPr>
          <w:rFonts w:ascii="Times New Roman" w:hAnsi="Times New Roman"/>
          <w:bCs/>
          <w:sz w:val="24"/>
          <w:szCs w:val="24"/>
          <w:lang w:val="es-ES_tradnl"/>
        </w:rPr>
        <w:t>l</w:t>
      </w:r>
      <w:r w:rsidR="00017858" w:rsidRPr="00747085">
        <w:rPr>
          <w:rFonts w:ascii="Times New Roman" w:hAnsi="Times New Roman"/>
          <w:bCs/>
          <w:sz w:val="24"/>
          <w:szCs w:val="24"/>
          <w:lang w:val="es-ES_tradnl"/>
        </w:rPr>
        <w:t xml:space="preserve"> tipo costo-beneficio, basada en la </w:t>
      </w:r>
      <w:r w:rsidR="00264BAE">
        <w:rPr>
          <w:rFonts w:ascii="Times New Roman" w:hAnsi="Times New Roman"/>
          <w:bCs/>
          <w:sz w:val="24"/>
          <w:szCs w:val="24"/>
          <w:lang w:val="es-ES_tradnl"/>
        </w:rPr>
        <w:t>valorización inmobiliaria esperada producto de la intervención</w:t>
      </w:r>
      <w:r w:rsidR="00017858" w:rsidRPr="00747085">
        <w:rPr>
          <w:rFonts w:ascii="Times New Roman" w:hAnsi="Times New Roman"/>
          <w:bCs/>
          <w:sz w:val="24"/>
          <w:szCs w:val="24"/>
          <w:lang w:val="es-ES_tradnl"/>
        </w:rPr>
        <w:t xml:space="preserve">. Durante </w:t>
      </w:r>
      <w:r w:rsidR="00264BAE">
        <w:rPr>
          <w:rFonts w:ascii="Times New Roman" w:hAnsi="Times New Roman"/>
          <w:bCs/>
          <w:sz w:val="24"/>
          <w:szCs w:val="24"/>
          <w:lang w:val="es-ES_tradnl"/>
        </w:rPr>
        <w:t>la primera etapa del CCLIP</w:t>
      </w:r>
      <w:r w:rsidR="00017858" w:rsidRPr="00747085">
        <w:rPr>
          <w:rFonts w:ascii="Times New Roman" w:hAnsi="Times New Roman"/>
          <w:bCs/>
          <w:sz w:val="24"/>
          <w:szCs w:val="24"/>
          <w:lang w:val="es-ES_tradnl"/>
        </w:rPr>
        <w:t>, con apoyo del Banco,</w:t>
      </w:r>
      <w:r w:rsidR="001D1469" w:rsidRPr="00747085">
        <w:rPr>
          <w:rFonts w:ascii="Times New Roman" w:hAnsi="Times New Roman"/>
          <w:bCs/>
          <w:sz w:val="24"/>
          <w:szCs w:val="24"/>
          <w:lang w:val="es-ES_tradnl"/>
        </w:rPr>
        <w:t xml:space="preserve"> se desarrolló un modelo de precios hedónicos para estimar el impacto de las intervenciones del programa </w:t>
      </w:r>
      <w:r w:rsidR="00264BAE">
        <w:rPr>
          <w:rFonts w:ascii="Times New Roman" w:hAnsi="Times New Roman"/>
          <w:bCs/>
          <w:sz w:val="24"/>
          <w:szCs w:val="24"/>
          <w:lang w:val="es-ES_tradnl"/>
        </w:rPr>
        <w:t xml:space="preserve">sobre el valor de </w:t>
      </w:r>
      <w:r w:rsidR="001D1469" w:rsidRPr="00747085">
        <w:rPr>
          <w:rFonts w:ascii="Times New Roman" w:hAnsi="Times New Roman"/>
          <w:bCs/>
          <w:sz w:val="24"/>
          <w:szCs w:val="24"/>
          <w:lang w:val="es-ES_tradnl"/>
        </w:rPr>
        <w:t>las viviendas beneficiar</w:t>
      </w:r>
      <w:r w:rsidR="00FF54C5" w:rsidRPr="00747085">
        <w:rPr>
          <w:rFonts w:ascii="Times New Roman" w:hAnsi="Times New Roman"/>
          <w:bCs/>
          <w:sz w:val="24"/>
          <w:szCs w:val="24"/>
          <w:lang w:val="es-ES_tradnl"/>
        </w:rPr>
        <w:t>ia</w:t>
      </w:r>
      <w:r w:rsidR="001D1469" w:rsidRPr="00747085">
        <w:rPr>
          <w:rFonts w:ascii="Times New Roman" w:hAnsi="Times New Roman"/>
          <w:bCs/>
          <w:sz w:val="24"/>
          <w:szCs w:val="24"/>
          <w:lang w:val="es-ES_tradnl"/>
        </w:rPr>
        <w:t xml:space="preserve">s. </w:t>
      </w:r>
      <w:r w:rsidR="00264BAE">
        <w:rPr>
          <w:rFonts w:ascii="Times New Roman" w:hAnsi="Times New Roman"/>
          <w:bCs/>
          <w:sz w:val="24"/>
          <w:szCs w:val="24"/>
          <w:lang w:val="es-ES_tradnl"/>
        </w:rPr>
        <w:t>El modelo</w:t>
      </w:r>
      <w:r w:rsidR="000D2138" w:rsidRPr="00747085">
        <w:rPr>
          <w:rFonts w:ascii="Times New Roman" w:hAnsi="Times New Roman"/>
          <w:bCs/>
          <w:sz w:val="24"/>
          <w:szCs w:val="24"/>
          <w:lang w:val="es-ES_tradnl"/>
        </w:rPr>
        <w:t xml:space="preserve"> posibilitó </w:t>
      </w:r>
      <w:r w:rsidR="00264BAE">
        <w:rPr>
          <w:rFonts w:ascii="Times New Roman" w:hAnsi="Times New Roman"/>
          <w:bCs/>
          <w:sz w:val="24"/>
          <w:szCs w:val="24"/>
          <w:lang w:val="es-ES_tradnl"/>
        </w:rPr>
        <w:t xml:space="preserve">estimar la valorización producida para cada tipo de intervención propuesta: </w:t>
      </w:r>
      <w:r w:rsidR="000D2138" w:rsidRPr="00747085">
        <w:rPr>
          <w:rFonts w:ascii="Times New Roman" w:hAnsi="Times New Roman"/>
          <w:bCs/>
          <w:sz w:val="24"/>
          <w:szCs w:val="24"/>
          <w:lang w:val="es-ES_tradnl"/>
        </w:rPr>
        <w:t xml:space="preserve">acceso vial, </w:t>
      </w:r>
      <w:r w:rsidR="00264BAE">
        <w:rPr>
          <w:rFonts w:ascii="Times New Roman" w:hAnsi="Times New Roman"/>
          <w:bCs/>
          <w:sz w:val="24"/>
          <w:szCs w:val="24"/>
          <w:lang w:val="es-ES_tradnl"/>
        </w:rPr>
        <w:t xml:space="preserve">drenaje, </w:t>
      </w:r>
      <w:r w:rsidR="000D2138" w:rsidRPr="00747085">
        <w:rPr>
          <w:rFonts w:ascii="Times New Roman" w:hAnsi="Times New Roman"/>
          <w:bCs/>
          <w:sz w:val="24"/>
          <w:szCs w:val="24"/>
          <w:lang w:val="es-ES_tradnl"/>
        </w:rPr>
        <w:t>agua potable, saneamiento, electricidad, alumbrado público, equipamiento social</w:t>
      </w:r>
      <w:r w:rsidR="00264BAE">
        <w:rPr>
          <w:rFonts w:ascii="Times New Roman" w:hAnsi="Times New Roman"/>
          <w:bCs/>
          <w:sz w:val="24"/>
          <w:szCs w:val="24"/>
          <w:lang w:val="es-ES_tradnl"/>
        </w:rPr>
        <w:t>,</w:t>
      </w:r>
      <w:r w:rsidR="000D2138" w:rsidRPr="00747085">
        <w:rPr>
          <w:rFonts w:ascii="Times New Roman" w:hAnsi="Times New Roman"/>
          <w:bCs/>
          <w:sz w:val="24"/>
          <w:szCs w:val="24"/>
          <w:lang w:val="es-ES_tradnl"/>
        </w:rPr>
        <w:t xml:space="preserve"> y regularización de las propiedades). El resultado obtenido mostró una valorización producto de la intervención equivalente</w:t>
      </w:r>
      <w:r w:rsidR="00532AD2" w:rsidRPr="00747085">
        <w:rPr>
          <w:rFonts w:ascii="Times New Roman" w:hAnsi="Times New Roman"/>
          <w:bCs/>
          <w:sz w:val="24"/>
          <w:szCs w:val="24"/>
          <w:lang w:val="es-ES_tradnl"/>
        </w:rPr>
        <w:t>,</w:t>
      </w:r>
      <w:r w:rsidR="000D2138" w:rsidRPr="00747085">
        <w:rPr>
          <w:rFonts w:ascii="Times New Roman" w:hAnsi="Times New Roman"/>
          <w:bCs/>
          <w:sz w:val="24"/>
          <w:szCs w:val="24"/>
          <w:lang w:val="es-ES_tradnl"/>
        </w:rPr>
        <w:t xml:space="preserve"> en promedio</w:t>
      </w:r>
      <w:r w:rsidR="00532AD2" w:rsidRPr="00747085">
        <w:rPr>
          <w:rFonts w:ascii="Times New Roman" w:hAnsi="Times New Roman"/>
          <w:bCs/>
          <w:sz w:val="24"/>
          <w:szCs w:val="24"/>
          <w:lang w:val="es-ES_tradnl"/>
        </w:rPr>
        <w:t>,</w:t>
      </w:r>
      <w:r w:rsidR="000D2138" w:rsidRPr="00747085">
        <w:rPr>
          <w:rFonts w:ascii="Times New Roman" w:hAnsi="Times New Roman"/>
          <w:bCs/>
          <w:sz w:val="24"/>
          <w:szCs w:val="24"/>
          <w:lang w:val="es-ES_tradnl"/>
        </w:rPr>
        <w:t xml:space="preserve"> a un 154% del valor inmueble</w:t>
      </w:r>
      <w:r w:rsidR="00532AD2" w:rsidRPr="00747085">
        <w:rPr>
          <w:rFonts w:ascii="Times New Roman" w:hAnsi="Times New Roman"/>
          <w:sz w:val="24"/>
          <w:vertAlign w:val="superscript"/>
        </w:rPr>
        <w:footnoteReference w:id="5"/>
      </w:r>
      <w:r w:rsidR="000D2138" w:rsidRPr="00747085">
        <w:rPr>
          <w:rFonts w:ascii="Times New Roman" w:hAnsi="Times New Roman"/>
          <w:bCs/>
          <w:sz w:val="24"/>
          <w:szCs w:val="24"/>
          <w:lang w:val="es-ES_tradnl"/>
        </w:rPr>
        <w:t xml:space="preserve">. </w:t>
      </w:r>
    </w:p>
    <w:p w:rsidR="00747085" w:rsidRPr="00747085" w:rsidRDefault="00747085" w:rsidP="00747085">
      <w:pPr>
        <w:autoSpaceDE w:val="0"/>
        <w:autoSpaceDN w:val="0"/>
        <w:adjustRightInd w:val="0"/>
        <w:jc w:val="both"/>
        <w:rPr>
          <w:rFonts w:ascii="Times New Roman" w:hAnsi="Times New Roman"/>
          <w:bCs/>
          <w:sz w:val="24"/>
          <w:szCs w:val="24"/>
          <w:lang w:val="es-ES_tradnl"/>
        </w:rPr>
      </w:pPr>
    </w:p>
    <w:p w:rsidR="00747085" w:rsidRDefault="00017858" w:rsidP="00747085">
      <w:pPr>
        <w:numPr>
          <w:ilvl w:val="1"/>
          <w:numId w:val="10"/>
        </w:numPr>
        <w:autoSpaceDE w:val="0"/>
        <w:autoSpaceDN w:val="0"/>
        <w:adjustRightInd w:val="0"/>
        <w:ind w:left="426"/>
        <w:jc w:val="both"/>
        <w:rPr>
          <w:rFonts w:ascii="Times New Roman" w:hAnsi="Times New Roman"/>
          <w:bCs/>
          <w:sz w:val="24"/>
          <w:szCs w:val="24"/>
          <w:lang w:val="es-ES_tradnl"/>
        </w:rPr>
      </w:pPr>
      <w:r w:rsidRPr="00747085">
        <w:rPr>
          <w:rFonts w:ascii="Times New Roman" w:hAnsi="Times New Roman"/>
          <w:bCs/>
          <w:sz w:val="24"/>
          <w:szCs w:val="24"/>
          <w:lang w:val="es-ES_tradnl"/>
        </w:rPr>
        <w:t xml:space="preserve">Es importante destacar que </w:t>
      </w:r>
      <w:r w:rsidR="00264BAE">
        <w:rPr>
          <w:rFonts w:ascii="Times New Roman" w:hAnsi="Times New Roman"/>
          <w:bCs/>
          <w:sz w:val="24"/>
          <w:szCs w:val="24"/>
          <w:lang w:val="es-ES_tradnl"/>
        </w:rPr>
        <w:t xml:space="preserve">en el desarrollo del modelo </w:t>
      </w:r>
      <w:r w:rsidRPr="00747085">
        <w:rPr>
          <w:rFonts w:ascii="Times New Roman" w:hAnsi="Times New Roman"/>
          <w:bCs/>
          <w:sz w:val="24"/>
          <w:szCs w:val="24"/>
          <w:lang w:val="es-ES_tradnl"/>
        </w:rPr>
        <w:t xml:space="preserve">se buscó explícitamente que la metodología de evaluación, y los resultados obtenidos fuesen replicables y válidos para estimar beneficios </w:t>
      </w:r>
      <w:r w:rsidR="008F0C67" w:rsidRPr="00747085">
        <w:rPr>
          <w:rFonts w:ascii="Times New Roman" w:hAnsi="Times New Roman"/>
          <w:bCs/>
          <w:sz w:val="24"/>
          <w:szCs w:val="24"/>
          <w:lang w:val="es-ES_tradnl"/>
        </w:rPr>
        <w:t>de las intervenciones del programa</w:t>
      </w:r>
      <w:r w:rsidRPr="00747085">
        <w:rPr>
          <w:rFonts w:ascii="Times New Roman" w:hAnsi="Times New Roman"/>
          <w:bCs/>
          <w:sz w:val="24"/>
          <w:szCs w:val="24"/>
          <w:lang w:val="es-ES_tradnl"/>
        </w:rPr>
        <w:t xml:space="preserve">. Por ello, la presente evaluación parte de estos resultados, ya que no existen razones técnicas para pensar </w:t>
      </w:r>
      <w:r w:rsidRPr="00747085">
        <w:rPr>
          <w:rFonts w:ascii="Times New Roman" w:hAnsi="Times New Roman"/>
          <w:bCs/>
          <w:sz w:val="24"/>
          <w:szCs w:val="24"/>
          <w:lang w:val="es-ES_tradnl"/>
        </w:rPr>
        <w:lastRenderedPageBreak/>
        <w:t>que los coeficientes de valorización estimados durante la primera fase se hayan modificado</w:t>
      </w:r>
      <w:r w:rsidR="00A70F2B">
        <w:rPr>
          <w:rStyle w:val="FootnoteReference"/>
          <w:rFonts w:ascii="Times New Roman" w:hAnsi="Times New Roman"/>
          <w:bCs/>
          <w:sz w:val="24"/>
          <w:szCs w:val="24"/>
          <w:lang w:val="es-ES_tradnl"/>
        </w:rPr>
        <w:footnoteReference w:id="6"/>
      </w:r>
      <w:r w:rsidRPr="00747085">
        <w:rPr>
          <w:rFonts w:ascii="Times New Roman" w:hAnsi="Times New Roman"/>
          <w:bCs/>
          <w:sz w:val="24"/>
          <w:szCs w:val="24"/>
          <w:lang w:val="es-ES_tradnl"/>
        </w:rPr>
        <w:t xml:space="preserve">. </w:t>
      </w:r>
    </w:p>
    <w:p w:rsidR="00747085" w:rsidRPr="00747085" w:rsidRDefault="00747085" w:rsidP="00747085">
      <w:pPr>
        <w:autoSpaceDE w:val="0"/>
        <w:autoSpaceDN w:val="0"/>
        <w:adjustRightInd w:val="0"/>
        <w:jc w:val="both"/>
        <w:rPr>
          <w:rFonts w:ascii="Times New Roman" w:hAnsi="Times New Roman"/>
          <w:bCs/>
          <w:sz w:val="24"/>
          <w:szCs w:val="24"/>
          <w:lang w:val="es-ES_tradnl"/>
        </w:rPr>
      </w:pPr>
    </w:p>
    <w:p w:rsidR="00017858" w:rsidRPr="00747085" w:rsidRDefault="00017858" w:rsidP="00747085">
      <w:pPr>
        <w:numPr>
          <w:ilvl w:val="1"/>
          <w:numId w:val="10"/>
        </w:numPr>
        <w:autoSpaceDE w:val="0"/>
        <w:autoSpaceDN w:val="0"/>
        <w:adjustRightInd w:val="0"/>
        <w:ind w:left="426"/>
        <w:jc w:val="both"/>
        <w:rPr>
          <w:rFonts w:ascii="Times New Roman" w:hAnsi="Times New Roman"/>
          <w:bCs/>
          <w:sz w:val="24"/>
          <w:szCs w:val="24"/>
          <w:lang w:val="es-ES_tradnl"/>
        </w:rPr>
      </w:pPr>
      <w:r w:rsidRPr="00747085">
        <w:rPr>
          <w:rFonts w:ascii="Times New Roman" w:hAnsi="Times New Roman"/>
          <w:bCs/>
          <w:sz w:val="24"/>
          <w:szCs w:val="24"/>
          <w:lang w:val="es-ES_tradnl"/>
        </w:rPr>
        <w:t xml:space="preserve">Al igual que los resultados </w:t>
      </w:r>
      <w:r w:rsidR="00264BAE">
        <w:rPr>
          <w:rFonts w:ascii="Times New Roman" w:hAnsi="Times New Roman"/>
          <w:bCs/>
          <w:sz w:val="24"/>
          <w:szCs w:val="24"/>
          <w:lang w:val="es-ES_tradnl"/>
        </w:rPr>
        <w:t>del primer tramo del CCLIP</w:t>
      </w:r>
      <w:r w:rsidRPr="00747085">
        <w:rPr>
          <w:rFonts w:ascii="Times New Roman" w:hAnsi="Times New Roman"/>
          <w:bCs/>
          <w:sz w:val="24"/>
          <w:szCs w:val="24"/>
          <w:lang w:val="es-ES_tradnl"/>
        </w:rPr>
        <w:t>, los de est</w:t>
      </w:r>
      <w:r w:rsidR="00264BAE">
        <w:rPr>
          <w:rFonts w:ascii="Times New Roman" w:hAnsi="Times New Roman"/>
          <w:bCs/>
          <w:sz w:val="24"/>
          <w:szCs w:val="24"/>
          <w:lang w:val="es-ES_tradnl"/>
        </w:rPr>
        <w:t>e</w:t>
      </w:r>
      <w:r w:rsidRPr="00747085">
        <w:rPr>
          <w:rFonts w:ascii="Times New Roman" w:hAnsi="Times New Roman"/>
          <w:bCs/>
          <w:sz w:val="24"/>
          <w:szCs w:val="24"/>
          <w:lang w:val="es-ES_tradnl"/>
        </w:rPr>
        <w:t xml:space="preserve">  estarían indicando una alta rentabilidad del componente de </w:t>
      </w:r>
      <w:r w:rsidR="00260A1C" w:rsidRPr="00747085">
        <w:rPr>
          <w:rFonts w:ascii="Times New Roman" w:hAnsi="Times New Roman"/>
          <w:bCs/>
          <w:sz w:val="24"/>
          <w:szCs w:val="24"/>
          <w:lang w:val="es-ES_tradnl"/>
        </w:rPr>
        <w:t>mejoramiento de barrios</w:t>
      </w:r>
      <w:r w:rsidRPr="00747085">
        <w:rPr>
          <w:rFonts w:ascii="Times New Roman" w:hAnsi="Times New Roman"/>
          <w:bCs/>
          <w:sz w:val="24"/>
          <w:szCs w:val="24"/>
          <w:lang w:val="es-ES_tradnl"/>
        </w:rPr>
        <w:t>, que sólo podría modificarse con fuer</w:t>
      </w:r>
      <w:r w:rsidR="00260A1C" w:rsidRPr="00747085">
        <w:rPr>
          <w:rFonts w:ascii="Times New Roman" w:hAnsi="Times New Roman"/>
          <w:bCs/>
          <w:sz w:val="24"/>
          <w:szCs w:val="24"/>
          <w:lang w:val="es-ES_tradnl"/>
        </w:rPr>
        <w:t>tes variaciones</w:t>
      </w:r>
      <w:r w:rsidRPr="00747085">
        <w:rPr>
          <w:rFonts w:ascii="Times New Roman" w:hAnsi="Times New Roman"/>
          <w:bCs/>
          <w:sz w:val="24"/>
          <w:szCs w:val="24"/>
          <w:lang w:val="es-ES_tradnl"/>
        </w:rPr>
        <w:t xml:space="preserve"> en los costos de </w:t>
      </w:r>
      <w:r w:rsidR="00260A1C" w:rsidRPr="00747085">
        <w:rPr>
          <w:rFonts w:ascii="Times New Roman" w:hAnsi="Times New Roman"/>
          <w:bCs/>
          <w:sz w:val="24"/>
          <w:szCs w:val="24"/>
          <w:lang w:val="es-ES_tradnl"/>
        </w:rPr>
        <w:t xml:space="preserve">inversión </w:t>
      </w:r>
      <w:r w:rsidRPr="00747085">
        <w:rPr>
          <w:rFonts w:ascii="Times New Roman" w:hAnsi="Times New Roman"/>
          <w:bCs/>
          <w:sz w:val="24"/>
          <w:szCs w:val="24"/>
          <w:lang w:val="es-ES_tradnl"/>
        </w:rPr>
        <w:t>de las obras, o</w:t>
      </w:r>
      <w:r w:rsidR="00264BAE">
        <w:rPr>
          <w:rFonts w:ascii="Times New Roman" w:hAnsi="Times New Roman"/>
          <w:bCs/>
          <w:sz w:val="24"/>
          <w:szCs w:val="24"/>
          <w:lang w:val="es-ES_tradnl"/>
        </w:rPr>
        <w:t xml:space="preserve"> en las</w:t>
      </w:r>
      <w:r w:rsidRPr="00747085">
        <w:rPr>
          <w:rFonts w:ascii="Times New Roman" w:hAnsi="Times New Roman"/>
          <w:bCs/>
          <w:sz w:val="24"/>
          <w:szCs w:val="24"/>
          <w:lang w:val="es-ES_tradnl"/>
        </w:rPr>
        <w:t xml:space="preserve"> valorizaciones de los </w:t>
      </w:r>
      <w:r w:rsidR="00264BAE">
        <w:rPr>
          <w:rFonts w:ascii="Times New Roman" w:hAnsi="Times New Roman"/>
          <w:bCs/>
          <w:sz w:val="24"/>
          <w:szCs w:val="24"/>
          <w:lang w:val="es-ES_tradnl"/>
        </w:rPr>
        <w:t>inmuebles</w:t>
      </w:r>
      <w:r w:rsidRPr="00747085">
        <w:rPr>
          <w:rFonts w:ascii="Times New Roman" w:hAnsi="Times New Roman"/>
          <w:bCs/>
          <w:sz w:val="24"/>
          <w:szCs w:val="24"/>
          <w:lang w:val="es-ES_tradnl"/>
        </w:rPr>
        <w:t>.</w:t>
      </w:r>
      <w:r w:rsidR="00264BAE" w:rsidRPr="00264BAE">
        <w:rPr>
          <w:rFonts w:ascii="Times New Roman" w:hAnsi="Times New Roman"/>
          <w:bCs/>
          <w:sz w:val="24"/>
          <w:szCs w:val="24"/>
          <w:lang w:val="es-ES_tradnl"/>
        </w:rPr>
        <w:t xml:space="preserve"> </w:t>
      </w:r>
      <w:r w:rsidR="00264BAE" w:rsidRPr="00747085">
        <w:rPr>
          <w:rFonts w:ascii="Times New Roman" w:hAnsi="Times New Roman"/>
          <w:bCs/>
          <w:sz w:val="24"/>
          <w:szCs w:val="24"/>
          <w:lang w:val="es-ES_tradnl"/>
        </w:rPr>
        <w:t>A continuación se detalla la</w:t>
      </w:r>
      <w:r w:rsidR="00264BAE">
        <w:rPr>
          <w:rFonts w:ascii="Times New Roman" w:hAnsi="Times New Roman"/>
          <w:bCs/>
          <w:sz w:val="24"/>
          <w:szCs w:val="24"/>
          <w:lang w:val="es-ES_tradnl"/>
        </w:rPr>
        <w:t xml:space="preserve"> metodología y los p</w:t>
      </w:r>
      <w:r w:rsidR="00264BAE" w:rsidRPr="00747085">
        <w:rPr>
          <w:rFonts w:ascii="Times New Roman" w:hAnsi="Times New Roman"/>
          <w:bCs/>
          <w:sz w:val="24"/>
          <w:szCs w:val="24"/>
          <w:lang w:val="es-ES_tradnl"/>
        </w:rPr>
        <w:t>rincipales supuestos y resultados del análisis costo-beneficio</w:t>
      </w:r>
      <w:r w:rsidR="00264BAE">
        <w:rPr>
          <w:rFonts w:ascii="Times New Roman" w:hAnsi="Times New Roman"/>
          <w:bCs/>
          <w:sz w:val="24"/>
          <w:szCs w:val="24"/>
          <w:lang w:val="es-ES_tradnl"/>
        </w:rPr>
        <w:t xml:space="preserve"> realizado</w:t>
      </w:r>
      <w:r w:rsidR="00264BAE" w:rsidRPr="00747085">
        <w:rPr>
          <w:rFonts w:ascii="Times New Roman" w:hAnsi="Times New Roman"/>
          <w:bCs/>
          <w:sz w:val="24"/>
          <w:szCs w:val="24"/>
          <w:lang w:val="es-ES_tradnl"/>
        </w:rPr>
        <w:t>.</w:t>
      </w:r>
    </w:p>
    <w:p w:rsidR="00017858" w:rsidRPr="00017858" w:rsidRDefault="00017858" w:rsidP="00260A1C">
      <w:pPr>
        <w:autoSpaceDE w:val="0"/>
        <w:autoSpaceDN w:val="0"/>
        <w:adjustRightInd w:val="0"/>
        <w:ind w:left="-6"/>
        <w:jc w:val="both"/>
        <w:rPr>
          <w:rFonts w:ascii="Times New Roman" w:hAnsi="Times New Roman"/>
          <w:bCs/>
          <w:sz w:val="24"/>
          <w:szCs w:val="24"/>
          <w:lang w:val="es-ES_tradnl"/>
        </w:rPr>
      </w:pPr>
    </w:p>
    <w:p w:rsidR="003E5B59" w:rsidRPr="00DC73F9" w:rsidRDefault="003E5B59" w:rsidP="008571F2">
      <w:pPr>
        <w:jc w:val="both"/>
        <w:rPr>
          <w:rFonts w:ascii="Times New Roman" w:hAnsi="Times New Roman"/>
          <w:bCs/>
          <w:lang w:val="es-ES" w:eastAsia="es-ES_tradnl"/>
        </w:rPr>
      </w:pPr>
    </w:p>
    <w:p w:rsidR="00D1628A" w:rsidRPr="008A1B46" w:rsidRDefault="0010764E" w:rsidP="00347D22">
      <w:pPr>
        <w:pStyle w:val="Heading1"/>
        <w:numPr>
          <w:ilvl w:val="0"/>
          <w:numId w:val="10"/>
        </w:numPr>
        <w:jc w:val="left"/>
        <w:rPr>
          <w:i w:val="0"/>
          <w:sz w:val="24"/>
          <w:szCs w:val="24"/>
        </w:rPr>
      </w:pPr>
      <w:bookmarkStart w:id="6" w:name="_Toc339982341"/>
      <w:bookmarkStart w:id="7" w:name="_Toc366836876"/>
      <w:r w:rsidRPr="008A1B46">
        <w:rPr>
          <w:i w:val="0"/>
          <w:sz w:val="24"/>
          <w:szCs w:val="24"/>
        </w:rPr>
        <w:t>M</w:t>
      </w:r>
      <w:r w:rsidR="007E2BEB">
        <w:rPr>
          <w:i w:val="0"/>
          <w:sz w:val="24"/>
          <w:szCs w:val="24"/>
        </w:rPr>
        <w:t>etodología y supuestos</w:t>
      </w:r>
      <w:bookmarkEnd w:id="6"/>
      <w:bookmarkEnd w:id="7"/>
      <w:r w:rsidR="00584327" w:rsidRPr="008A1B46">
        <w:rPr>
          <w:i w:val="0"/>
          <w:sz w:val="24"/>
          <w:szCs w:val="24"/>
        </w:rPr>
        <w:t xml:space="preserve"> </w:t>
      </w:r>
    </w:p>
    <w:p w:rsidR="005B5FD1" w:rsidRPr="00DC73F9" w:rsidRDefault="005B5FD1" w:rsidP="00A428D4">
      <w:pPr>
        <w:ind w:left="100"/>
        <w:jc w:val="both"/>
        <w:rPr>
          <w:rFonts w:ascii="Times New Roman" w:hAnsi="Times New Roman"/>
          <w:bCs/>
          <w:lang w:val="es-ES" w:eastAsia="es-ES_tradnl"/>
        </w:rPr>
      </w:pPr>
    </w:p>
    <w:p w:rsidR="00D536C7" w:rsidRDefault="00AC3DA8" w:rsidP="00D536C7">
      <w:pPr>
        <w:numPr>
          <w:ilvl w:val="1"/>
          <w:numId w:val="10"/>
        </w:numPr>
        <w:autoSpaceDE w:val="0"/>
        <w:autoSpaceDN w:val="0"/>
        <w:adjustRightInd w:val="0"/>
        <w:ind w:left="426"/>
        <w:jc w:val="both"/>
        <w:rPr>
          <w:rFonts w:ascii="Times New Roman" w:hAnsi="Times New Roman"/>
          <w:bCs/>
          <w:sz w:val="24"/>
          <w:szCs w:val="24"/>
          <w:lang w:val="es-ES_tradnl"/>
        </w:rPr>
      </w:pPr>
      <w:r w:rsidRPr="00D536C7">
        <w:rPr>
          <w:rFonts w:ascii="Times New Roman" w:hAnsi="Times New Roman"/>
          <w:bCs/>
          <w:sz w:val="24"/>
          <w:szCs w:val="24"/>
          <w:lang w:val="es-ES_tradnl"/>
        </w:rPr>
        <w:t>Para la evaluación del</w:t>
      </w:r>
      <w:r w:rsidR="00EB1BCA" w:rsidRPr="00D536C7">
        <w:rPr>
          <w:rFonts w:ascii="Times New Roman" w:hAnsi="Times New Roman"/>
          <w:bCs/>
          <w:sz w:val="24"/>
          <w:szCs w:val="24"/>
          <w:lang w:val="es-ES_tradnl"/>
        </w:rPr>
        <w:t xml:space="preserve"> programa se</w:t>
      </w:r>
      <w:r w:rsidRPr="00D536C7">
        <w:rPr>
          <w:rFonts w:ascii="Times New Roman" w:hAnsi="Times New Roman"/>
          <w:bCs/>
          <w:sz w:val="24"/>
          <w:szCs w:val="24"/>
          <w:lang w:val="es-ES_tradnl"/>
        </w:rPr>
        <w:t xml:space="preserve"> adoptó el </w:t>
      </w:r>
      <w:r w:rsidR="00EB1BCA" w:rsidRPr="00D536C7">
        <w:rPr>
          <w:rFonts w:ascii="Times New Roman" w:hAnsi="Times New Roman"/>
          <w:bCs/>
          <w:sz w:val="24"/>
          <w:szCs w:val="24"/>
          <w:lang w:val="es-ES_tradnl"/>
        </w:rPr>
        <w:t>método de Análisis de Costo- Beneficio que permite</w:t>
      </w:r>
      <w:r w:rsidR="00AA40F5" w:rsidRPr="00D536C7">
        <w:rPr>
          <w:rFonts w:ascii="Times New Roman" w:hAnsi="Times New Roman"/>
          <w:bCs/>
          <w:sz w:val="24"/>
          <w:szCs w:val="24"/>
          <w:lang w:val="es-ES_tradnl"/>
        </w:rPr>
        <w:t>,</w:t>
      </w:r>
      <w:r w:rsidR="00EB1BCA" w:rsidRPr="00D536C7">
        <w:rPr>
          <w:rFonts w:ascii="Times New Roman" w:hAnsi="Times New Roman"/>
          <w:bCs/>
          <w:sz w:val="24"/>
          <w:szCs w:val="24"/>
          <w:lang w:val="es-ES_tradnl"/>
        </w:rPr>
        <w:t xml:space="preserve"> a partir de la comparación de costos y beneficios resultantes de cada intervención, analizar la rentabilidad económica de</w:t>
      </w:r>
      <w:r w:rsidR="002A0175">
        <w:rPr>
          <w:rFonts w:ascii="Times New Roman" w:hAnsi="Times New Roman"/>
          <w:bCs/>
          <w:sz w:val="24"/>
          <w:szCs w:val="24"/>
          <w:lang w:val="es-ES_tradnl"/>
        </w:rPr>
        <w:t xml:space="preserve"> </w:t>
      </w:r>
      <w:r w:rsidR="00EB1BCA" w:rsidRPr="00D536C7">
        <w:rPr>
          <w:rFonts w:ascii="Times New Roman" w:hAnsi="Times New Roman"/>
          <w:bCs/>
          <w:sz w:val="24"/>
          <w:szCs w:val="24"/>
          <w:lang w:val="es-ES_tradnl"/>
        </w:rPr>
        <w:t>l</w:t>
      </w:r>
      <w:r w:rsidR="002A0175">
        <w:rPr>
          <w:rFonts w:ascii="Times New Roman" w:hAnsi="Times New Roman"/>
          <w:bCs/>
          <w:sz w:val="24"/>
          <w:szCs w:val="24"/>
          <w:lang w:val="es-ES_tradnl"/>
        </w:rPr>
        <w:t>a</w:t>
      </w:r>
      <w:r w:rsidR="00EB1BCA" w:rsidRPr="00D536C7">
        <w:rPr>
          <w:rFonts w:ascii="Times New Roman" w:hAnsi="Times New Roman"/>
          <w:bCs/>
          <w:sz w:val="24"/>
          <w:szCs w:val="24"/>
          <w:lang w:val="es-ES_tradnl"/>
        </w:rPr>
        <w:t xml:space="preserve"> mism</w:t>
      </w:r>
      <w:r w:rsidR="002A0175">
        <w:rPr>
          <w:rFonts w:ascii="Times New Roman" w:hAnsi="Times New Roman"/>
          <w:bCs/>
          <w:sz w:val="24"/>
          <w:szCs w:val="24"/>
          <w:lang w:val="es-ES_tradnl"/>
        </w:rPr>
        <w:t>a</w:t>
      </w:r>
      <w:r w:rsidR="00EB1BCA" w:rsidRPr="00D536C7">
        <w:rPr>
          <w:rFonts w:ascii="Times New Roman" w:hAnsi="Times New Roman"/>
          <w:bCs/>
          <w:sz w:val="24"/>
          <w:szCs w:val="24"/>
          <w:lang w:val="es-ES_tradnl"/>
        </w:rPr>
        <w:t>.</w:t>
      </w:r>
      <w:r w:rsidR="00026591" w:rsidRPr="00D536C7">
        <w:rPr>
          <w:rFonts w:ascii="Times New Roman" w:hAnsi="Times New Roman"/>
          <w:bCs/>
          <w:sz w:val="24"/>
          <w:szCs w:val="24"/>
          <w:lang w:val="es-ES_tradnl"/>
        </w:rPr>
        <w:t xml:space="preserve"> </w:t>
      </w:r>
      <w:r w:rsidR="00AA40F5" w:rsidRPr="00D536C7">
        <w:rPr>
          <w:rFonts w:ascii="Times New Roman" w:hAnsi="Times New Roman"/>
          <w:bCs/>
          <w:sz w:val="24"/>
          <w:szCs w:val="24"/>
          <w:lang w:val="es-ES_tradnl"/>
        </w:rPr>
        <w:t>La metodología r</w:t>
      </w:r>
      <w:r w:rsidR="00026591" w:rsidRPr="00D536C7">
        <w:rPr>
          <w:rFonts w:ascii="Times New Roman" w:hAnsi="Times New Roman"/>
          <w:bCs/>
          <w:sz w:val="24"/>
          <w:szCs w:val="24"/>
          <w:lang w:val="es-ES_tradnl"/>
        </w:rPr>
        <w:t xml:space="preserve">equiere estimar </w:t>
      </w:r>
      <w:r w:rsidR="00AA40F5" w:rsidRPr="00D536C7">
        <w:rPr>
          <w:rFonts w:ascii="Times New Roman" w:hAnsi="Times New Roman"/>
          <w:bCs/>
          <w:sz w:val="24"/>
          <w:szCs w:val="24"/>
          <w:lang w:val="es-ES_tradnl"/>
        </w:rPr>
        <w:t xml:space="preserve">los flujos </w:t>
      </w:r>
      <w:r w:rsidR="00026591" w:rsidRPr="00D536C7">
        <w:rPr>
          <w:rFonts w:ascii="Times New Roman" w:hAnsi="Times New Roman"/>
          <w:bCs/>
          <w:sz w:val="24"/>
          <w:szCs w:val="24"/>
          <w:lang w:val="es-ES_tradnl"/>
        </w:rPr>
        <w:t>económicos</w:t>
      </w:r>
      <w:r w:rsidR="00AA40F5" w:rsidRPr="00D536C7">
        <w:rPr>
          <w:rFonts w:ascii="Times New Roman" w:hAnsi="Times New Roman"/>
          <w:bCs/>
          <w:sz w:val="24"/>
          <w:szCs w:val="24"/>
          <w:lang w:val="es-ES_tradnl"/>
        </w:rPr>
        <w:t xml:space="preserve"> que cada proyecto genera al conjunto de la sociedad independientemente de quienes sean su</w:t>
      </w:r>
      <w:r w:rsidR="00026591" w:rsidRPr="00D536C7">
        <w:rPr>
          <w:rFonts w:ascii="Times New Roman" w:hAnsi="Times New Roman"/>
          <w:bCs/>
          <w:sz w:val="24"/>
          <w:szCs w:val="24"/>
          <w:lang w:val="es-ES_tradnl"/>
        </w:rPr>
        <w:t>s beneficiaros o financiadores directos debiendo</w:t>
      </w:r>
      <w:r w:rsidR="00AA40F5" w:rsidRPr="00D536C7">
        <w:rPr>
          <w:rFonts w:ascii="Times New Roman" w:hAnsi="Times New Roman"/>
          <w:bCs/>
          <w:sz w:val="24"/>
          <w:szCs w:val="24"/>
          <w:lang w:val="es-ES_tradnl"/>
        </w:rPr>
        <w:t>,</w:t>
      </w:r>
      <w:r w:rsidR="00026591" w:rsidRPr="00D536C7">
        <w:rPr>
          <w:rFonts w:ascii="Times New Roman" w:hAnsi="Times New Roman"/>
          <w:bCs/>
          <w:sz w:val="24"/>
          <w:szCs w:val="24"/>
          <w:lang w:val="es-ES_tradnl"/>
        </w:rPr>
        <w:t xml:space="preserve"> por tanto</w:t>
      </w:r>
      <w:r w:rsidR="00AA40F5" w:rsidRPr="00D536C7">
        <w:rPr>
          <w:rFonts w:ascii="Times New Roman" w:hAnsi="Times New Roman"/>
          <w:bCs/>
          <w:sz w:val="24"/>
          <w:szCs w:val="24"/>
          <w:lang w:val="es-ES_tradnl"/>
        </w:rPr>
        <w:t>,</w:t>
      </w:r>
      <w:r w:rsidR="00026591" w:rsidRPr="00D536C7">
        <w:rPr>
          <w:rFonts w:ascii="Times New Roman" w:hAnsi="Times New Roman"/>
          <w:bCs/>
          <w:sz w:val="24"/>
          <w:szCs w:val="24"/>
          <w:lang w:val="es-ES_tradnl"/>
        </w:rPr>
        <w:t xml:space="preserve"> reconocerse la existencia de externalidades, tanto positivas como negativas. Es importante también considerar sólo </w:t>
      </w:r>
      <w:r w:rsidR="00663276" w:rsidRPr="00D536C7">
        <w:rPr>
          <w:rFonts w:ascii="Times New Roman" w:hAnsi="Times New Roman"/>
          <w:bCs/>
          <w:sz w:val="24"/>
          <w:szCs w:val="24"/>
          <w:lang w:val="es-ES_tradnl"/>
        </w:rPr>
        <w:t xml:space="preserve">los </w:t>
      </w:r>
      <w:r w:rsidR="00026591" w:rsidRPr="00D536C7">
        <w:rPr>
          <w:rFonts w:ascii="Times New Roman" w:hAnsi="Times New Roman"/>
          <w:bCs/>
          <w:sz w:val="24"/>
          <w:szCs w:val="24"/>
          <w:lang w:val="es-ES_tradnl"/>
        </w:rPr>
        <w:t xml:space="preserve">beneficios y costos incrementales </w:t>
      </w:r>
      <w:r w:rsidR="00663276" w:rsidRPr="00D536C7">
        <w:rPr>
          <w:rFonts w:ascii="Times New Roman" w:hAnsi="Times New Roman"/>
          <w:bCs/>
          <w:sz w:val="24"/>
          <w:szCs w:val="24"/>
          <w:lang w:val="es-ES_tradnl"/>
        </w:rPr>
        <w:t xml:space="preserve">de cada </w:t>
      </w:r>
      <w:r w:rsidR="00026591" w:rsidRPr="00D536C7">
        <w:rPr>
          <w:rFonts w:ascii="Times New Roman" w:hAnsi="Times New Roman"/>
          <w:bCs/>
          <w:sz w:val="24"/>
          <w:szCs w:val="24"/>
          <w:lang w:val="es-ES_tradnl"/>
        </w:rPr>
        <w:t>intervenci</w:t>
      </w:r>
      <w:r w:rsidR="00663276" w:rsidRPr="00D536C7">
        <w:rPr>
          <w:rFonts w:ascii="Times New Roman" w:hAnsi="Times New Roman"/>
          <w:bCs/>
          <w:sz w:val="24"/>
          <w:szCs w:val="24"/>
          <w:lang w:val="es-ES_tradnl"/>
        </w:rPr>
        <w:t>ó</w:t>
      </w:r>
      <w:r w:rsidR="00026591" w:rsidRPr="00D536C7">
        <w:rPr>
          <w:rFonts w:ascii="Times New Roman" w:hAnsi="Times New Roman"/>
          <w:bCs/>
          <w:sz w:val="24"/>
          <w:szCs w:val="24"/>
          <w:lang w:val="es-ES_tradnl"/>
        </w:rPr>
        <w:t>n del programa</w:t>
      </w:r>
      <w:r w:rsidR="00663276" w:rsidRPr="00D536C7">
        <w:rPr>
          <w:rFonts w:ascii="Times New Roman" w:hAnsi="Times New Roman"/>
          <w:bCs/>
          <w:sz w:val="24"/>
          <w:szCs w:val="24"/>
          <w:lang w:val="es-ES_tradnl"/>
        </w:rPr>
        <w:t xml:space="preserve"> para poder </w:t>
      </w:r>
      <w:r w:rsidR="00026591" w:rsidRPr="00D536C7">
        <w:rPr>
          <w:rFonts w:ascii="Times New Roman" w:hAnsi="Times New Roman"/>
          <w:bCs/>
          <w:sz w:val="24"/>
          <w:szCs w:val="24"/>
          <w:lang w:val="es-ES_tradnl"/>
        </w:rPr>
        <w:t>comparar la “situación con programa” con la que se hubiese dado en ausencia del mis</w:t>
      </w:r>
      <w:r w:rsidR="008B1C83" w:rsidRPr="00D536C7">
        <w:rPr>
          <w:rFonts w:ascii="Times New Roman" w:hAnsi="Times New Roman"/>
          <w:bCs/>
          <w:sz w:val="24"/>
          <w:szCs w:val="24"/>
          <w:lang w:val="es-ES_tradnl"/>
        </w:rPr>
        <w:t>mo, la “situación sin programa”.</w:t>
      </w:r>
    </w:p>
    <w:p w:rsidR="00D536C7" w:rsidRDefault="00D536C7" w:rsidP="00D536C7">
      <w:pPr>
        <w:autoSpaceDE w:val="0"/>
        <w:autoSpaceDN w:val="0"/>
        <w:adjustRightInd w:val="0"/>
        <w:ind w:left="426"/>
        <w:jc w:val="both"/>
        <w:rPr>
          <w:rFonts w:ascii="Times New Roman" w:hAnsi="Times New Roman"/>
          <w:bCs/>
          <w:sz w:val="24"/>
          <w:szCs w:val="24"/>
          <w:lang w:val="es-ES_tradnl"/>
        </w:rPr>
      </w:pPr>
    </w:p>
    <w:p w:rsidR="00D536C7" w:rsidRDefault="00B61935" w:rsidP="00D536C7">
      <w:pPr>
        <w:numPr>
          <w:ilvl w:val="1"/>
          <w:numId w:val="10"/>
        </w:numPr>
        <w:autoSpaceDE w:val="0"/>
        <w:autoSpaceDN w:val="0"/>
        <w:adjustRightInd w:val="0"/>
        <w:ind w:left="426"/>
        <w:jc w:val="both"/>
        <w:rPr>
          <w:rFonts w:ascii="Times New Roman" w:hAnsi="Times New Roman"/>
          <w:bCs/>
          <w:sz w:val="24"/>
          <w:szCs w:val="24"/>
          <w:lang w:val="es-ES_tradnl"/>
        </w:rPr>
      </w:pPr>
      <w:r w:rsidRPr="00D536C7">
        <w:rPr>
          <w:rFonts w:ascii="Times New Roman" w:hAnsi="Times New Roman"/>
          <w:bCs/>
          <w:sz w:val="24"/>
          <w:szCs w:val="24"/>
          <w:lang w:val="es-ES_tradnl"/>
        </w:rPr>
        <w:t>En l</w:t>
      </w:r>
      <w:r w:rsidR="00026591" w:rsidRPr="00D536C7">
        <w:rPr>
          <w:rFonts w:ascii="Times New Roman" w:hAnsi="Times New Roman"/>
          <w:bCs/>
          <w:sz w:val="24"/>
          <w:szCs w:val="24"/>
          <w:lang w:val="es-ES_tradnl"/>
        </w:rPr>
        <w:t xml:space="preserve">a </w:t>
      </w:r>
      <w:r w:rsidR="002159AE" w:rsidRPr="00D536C7">
        <w:rPr>
          <w:rFonts w:ascii="Times New Roman" w:hAnsi="Times New Roman"/>
          <w:bCs/>
          <w:sz w:val="24"/>
          <w:szCs w:val="24"/>
          <w:lang w:val="es-ES_tradnl"/>
        </w:rPr>
        <w:t>identificación</w:t>
      </w:r>
      <w:r w:rsidR="00026591" w:rsidRPr="00D536C7">
        <w:rPr>
          <w:rFonts w:ascii="Times New Roman" w:hAnsi="Times New Roman"/>
          <w:bCs/>
          <w:sz w:val="24"/>
          <w:szCs w:val="24"/>
          <w:lang w:val="es-ES_tradnl"/>
        </w:rPr>
        <w:t xml:space="preserve"> de </w:t>
      </w:r>
      <w:r w:rsidR="002159AE" w:rsidRPr="00D536C7">
        <w:rPr>
          <w:rFonts w:ascii="Times New Roman" w:hAnsi="Times New Roman"/>
          <w:bCs/>
          <w:sz w:val="24"/>
          <w:szCs w:val="24"/>
          <w:lang w:val="es-ES_tradnl"/>
        </w:rPr>
        <w:t xml:space="preserve">los </w:t>
      </w:r>
      <w:r w:rsidR="00026591" w:rsidRPr="00D536C7">
        <w:rPr>
          <w:rFonts w:ascii="Times New Roman" w:hAnsi="Times New Roman"/>
          <w:bCs/>
          <w:sz w:val="24"/>
          <w:szCs w:val="24"/>
          <w:lang w:val="es-ES_tradnl"/>
        </w:rPr>
        <w:t xml:space="preserve">costos económicos </w:t>
      </w:r>
      <w:r w:rsidRPr="00D536C7">
        <w:rPr>
          <w:rFonts w:ascii="Times New Roman" w:hAnsi="Times New Roman"/>
          <w:bCs/>
          <w:sz w:val="24"/>
          <w:szCs w:val="24"/>
          <w:lang w:val="es-ES_tradnl"/>
        </w:rPr>
        <w:t xml:space="preserve">del programa se </w:t>
      </w:r>
      <w:r w:rsidR="00026591" w:rsidRPr="00D536C7">
        <w:rPr>
          <w:rFonts w:ascii="Times New Roman" w:hAnsi="Times New Roman"/>
          <w:bCs/>
          <w:sz w:val="24"/>
          <w:szCs w:val="24"/>
          <w:lang w:val="es-ES_tradnl"/>
        </w:rPr>
        <w:t>i</w:t>
      </w:r>
      <w:r w:rsidR="002159AE" w:rsidRPr="00D536C7">
        <w:rPr>
          <w:rFonts w:ascii="Times New Roman" w:hAnsi="Times New Roman"/>
          <w:bCs/>
          <w:sz w:val="24"/>
          <w:szCs w:val="24"/>
          <w:lang w:val="es-ES_tradnl"/>
        </w:rPr>
        <w:t xml:space="preserve">ncluyeron </w:t>
      </w:r>
      <w:r w:rsidR="00026591" w:rsidRPr="00D536C7">
        <w:rPr>
          <w:rFonts w:ascii="Times New Roman" w:hAnsi="Times New Roman"/>
          <w:bCs/>
          <w:sz w:val="24"/>
          <w:szCs w:val="24"/>
          <w:lang w:val="es-ES_tradnl"/>
        </w:rPr>
        <w:t>los costos incrementales de inversión, operación y mantenimiento asociados a los</w:t>
      </w:r>
      <w:r w:rsidRPr="00D536C7">
        <w:rPr>
          <w:rFonts w:ascii="Times New Roman" w:hAnsi="Times New Roman"/>
          <w:bCs/>
          <w:sz w:val="24"/>
          <w:szCs w:val="24"/>
          <w:lang w:val="es-ES_tradnl"/>
        </w:rPr>
        <w:t xml:space="preserve"> </w:t>
      </w:r>
      <w:r w:rsidR="00026591" w:rsidRPr="00D536C7">
        <w:rPr>
          <w:rFonts w:ascii="Times New Roman" w:hAnsi="Times New Roman"/>
          <w:bCs/>
          <w:sz w:val="24"/>
          <w:szCs w:val="24"/>
          <w:lang w:val="es-ES_tradnl"/>
        </w:rPr>
        <w:t xml:space="preserve">resultados que </w:t>
      </w:r>
      <w:r w:rsidRPr="00D536C7">
        <w:rPr>
          <w:rFonts w:ascii="Times New Roman" w:hAnsi="Times New Roman"/>
          <w:bCs/>
          <w:sz w:val="24"/>
          <w:szCs w:val="24"/>
          <w:lang w:val="es-ES_tradnl"/>
        </w:rPr>
        <w:t xml:space="preserve">se espera obtener con cada proyecto. </w:t>
      </w:r>
      <w:r w:rsidR="00663276" w:rsidRPr="00D536C7">
        <w:rPr>
          <w:rFonts w:ascii="Times New Roman" w:hAnsi="Times New Roman"/>
          <w:bCs/>
          <w:sz w:val="24"/>
          <w:szCs w:val="24"/>
          <w:lang w:val="es-ES_tradnl"/>
        </w:rPr>
        <w:t>N</w:t>
      </w:r>
      <w:r w:rsidRPr="00D536C7">
        <w:rPr>
          <w:rFonts w:ascii="Times New Roman" w:hAnsi="Times New Roman"/>
          <w:bCs/>
          <w:sz w:val="24"/>
          <w:szCs w:val="24"/>
          <w:lang w:val="es-ES_tradnl"/>
        </w:rPr>
        <w:t xml:space="preserve">o se </w:t>
      </w:r>
      <w:r w:rsidR="00663276" w:rsidRPr="00D536C7">
        <w:rPr>
          <w:rFonts w:ascii="Times New Roman" w:hAnsi="Times New Roman"/>
          <w:bCs/>
          <w:sz w:val="24"/>
          <w:szCs w:val="24"/>
          <w:lang w:val="es-ES_tradnl"/>
        </w:rPr>
        <w:t xml:space="preserve">computan los </w:t>
      </w:r>
      <w:r w:rsidR="00026591" w:rsidRPr="00D536C7">
        <w:rPr>
          <w:rFonts w:ascii="Times New Roman" w:hAnsi="Times New Roman"/>
          <w:bCs/>
          <w:sz w:val="24"/>
          <w:szCs w:val="24"/>
          <w:lang w:val="es-ES_tradnl"/>
        </w:rPr>
        <w:t xml:space="preserve">costos </w:t>
      </w:r>
      <w:r w:rsidRPr="00D536C7">
        <w:rPr>
          <w:rFonts w:ascii="Times New Roman" w:hAnsi="Times New Roman"/>
          <w:bCs/>
          <w:sz w:val="24"/>
          <w:szCs w:val="24"/>
          <w:lang w:val="es-ES_tradnl"/>
        </w:rPr>
        <w:t>de</w:t>
      </w:r>
      <w:r w:rsidR="00026591" w:rsidRPr="00D536C7">
        <w:rPr>
          <w:rFonts w:ascii="Times New Roman" w:hAnsi="Times New Roman"/>
          <w:bCs/>
          <w:sz w:val="24"/>
          <w:szCs w:val="24"/>
          <w:lang w:val="es-ES_tradnl"/>
        </w:rPr>
        <w:t xml:space="preserve"> posibles</w:t>
      </w:r>
      <w:r w:rsidRPr="00D536C7">
        <w:rPr>
          <w:rFonts w:ascii="Times New Roman" w:hAnsi="Times New Roman"/>
          <w:bCs/>
          <w:sz w:val="24"/>
          <w:szCs w:val="24"/>
          <w:lang w:val="es-ES_tradnl"/>
        </w:rPr>
        <w:t xml:space="preserve"> </w:t>
      </w:r>
      <w:r w:rsidR="00026591" w:rsidRPr="00D536C7">
        <w:rPr>
          <w:rFonts w:ascii="Times New Roman" w:hAnsi="Times New Roman"/>
          <w:bCs/>
          <w:sz w:val="24"/>
          <w:szCs w:val="24"/>
          <w:lang w:val="es-ES_tradnl"/>
        </w:rPr>
        <w:t xml:space="preserve">externalidades negativas </w:t>
      </w:r>
      <w:r w:rsidRPr="00D536C7">
        <w:rPr>
          <w:rFonts w:ascii="Times New Roman" w:hAnsi="Times New Roman"/>
          <w:bCs/>
          <w:sz w:val="24"/>
          <w:szCs w:val="24"/>
          <w:lang w:val="es-ES_tradnl"/>
        </w:rPr>
        <w:t xml:space="preserve">sobre </w:t>
      </w:r>
      <w:r w:rsidR="00026591" w:rsidRPr="00D536C7">
        <w:rPr>
          <w:rFonts w:ascii="Times New Roman" w:hAnsi="Times New Roman"/>
          <w:bCs/>
          <w:sz w:val="24"/>
          <w:szCs w:val="24"/>
          <w:lang w:val="es-ES_tradnl"/>
        </w:rPr>
        <w:t>el bienestar de algún</w:t>
      </w:r>
      <w:r w:rsidRPr="00D536C7">
        <w:rPr>
          <w:rFonts w:ascii="Times New Roman" w:hAnsi="Times New Roman"/>
          <w:bCs/>
          <w:sz w:val="24"/>
          <w:szCs w:val="24"/>
          <w:lang w:val="es-ES_tradnl"/>
        </w:rPr>
        <w:t xml:space="preserve"> </w:t>
      </w:r>
      <w:r w:rsidR="00026591" w:rsidRPr="00D536C7">
        <w:rPr>
          <w:rFonts w:ascii="Times New Roman" w:hAnsi="Times New Roman"/>
          <w:bCs/>
          <w:sz w:val="24"/>
          <w:szCs w:val="24"/>
          <w:lang w:val="es-ES_tradnl"/>
        </w:rPr>
        <w:t>grupo de la sociedad</w:t>
      </w:r>
      <w:r w:rsidRPr="00D536C7">
        <w:rPr>
          <w:rFonts w:ascii="Times New Roman" w:hAnsi="Times New Roman"/>
          <w:bCs/>
          <w:sz w:val="24"/>
          <w:szCs w:val="24"/>
          <w:lang w:val="es-ES_tradnl"/>
        </w:rPr>
        <w:t xml:space="preserve"> debido que </w:t>
      </w:r>
      <w:r w:rsidR="00663276" w:rsidRPr="00D536C7">
        <w:rPr>
          <w:rFonts w:ascii="Times New Roman" w:hAnsi="Times New Roman"/>
          <w:bCs/>
          <w:sz w:val="24"/>
          <w:szCs w:val="24"/>
          <w:lang w:val="es-ES_tradnl"/>
        </w:rPr>
        <w:lastRenderedPageBreak/>
        <w:t xml:space="preserve">a </w:t>
      </w:r>
      <w:r w:rsidRPr="00D536C7">
        <w:rPr>
          <w:rFonts w:ascii="Times New Roman" w:hAnsi="Times New Roman"/>
          <w:bCs/>
          <w:sz w:val="24"/>
          <w:szCs w:val="24"/>
          <w:lang w:val="es-ES_tradnl"/>
        </w:rPr>
        <w:t>las mismas no se considera</w:t>
      </w:r>
      <w:r w:rsidR="00663276" w:rsidRPr="00D536C7">
        <w:rPr>
          <w:rFonts w:ascii="Times New Roman" w:hAnsi="Times New Roman"/>
          <w:bCs/>
          <w:sz w:val="24"/>
          <w:szCs w:val="24"/>
          <w:lang w:val="es-ES_tradnl"/>
        </w:rPr>
        <w:t>n</w:t>
      </w:r>
      <w:r w:rsidRPr="00D536C7">
        <w:rPr>
          <w:rFonts w:ascii="Times New Roman" w:hAnsi="Times New Roman"/>
          <w:bCs/>
          <w:sz w:val="24"/>
          <w:szCs w:val="24"/>
          <w:lang w:val="es-ES_tradnl"/>
        </w:rPr>
        <w:t xml:space="preserve"> ni significativas ni permanentes en l</w:t>
      </w:r>
      <w:r w:rsidR="00766373" w:rsidRPr="00D536C7">
        <w:rPr>
          <w:rFonts w:ascii="Times New Roman" w:hAnsi="Times New Roman"/>
          <w:bCs/>
          <w:sz w:val="24"/>
          <w:szCs w:val="24"/>
          <w:lang w:val="es-ES_tradnl"/>
        </w:rPr>
        <w:t>os proyectos de la muestra</w:t>
      </w:r>
      <w:r w:rsidR="00E707C9">
        <w:rPr>
          <w:rStyle w:val="FootnoteReference"/>
          <w:rFonts w:ascii="Times New Roman" w:hAnsi="Times New Roman"/>
          <w:bCs/>
          <w:sz w:val="24"/>
          <w:szCs w:val="24"/>
          <w:lang w:val="es-ES_tradnl"/>
        </w:rPr>
        <w:footnoteReference w:id="7"/>
      </w:r>
      <w:r w:rsidR="00347D22" w:rsidRPr="00D536C7">
        <w:rPr>
          <w:rFonts w:ascii="Times New Roman" w:hAnsi="Times New Roman"/>
          <w:bCs/>
          <w:sz w:val="24"/>
          <w:szCs w:val="24"/>
          <w:lang w:val="es-ES_tradnl"/>
        </w:rPr>
        <w:t>.</w:t>
      </w:r>
    </w:p>
    <w:p w:rsidR="00D536C7" w:rsidRPr="001200F7" w:rsidRDefault="00D536C7" w:rsidP="001200F7">
      <w:pPr>
        <w:rPr>
          <w:rFonts w:ascii="Times New Roman" w:hAnsi="Times New Roman"/>
          <w:bCs/>
          <w:sz w:val="24"/>
          <w:szCs w:val="24"/>
          <w:lang w:val="es-ES_tradnl"/>
        </w:rPr>
      </w:pPr>
    </w:p>
    <w:p w:rsidR="00D536C7" w:rsidRDefault="002A0175" w:rsidP="00D536C7">
      <w:pPr>
        <w:numPr>
          <w:ilvl w:val="1"/>
          <w:numId w:val="10"/>
        </w:numPr>
        <w:autoSpaceDE w:val="0"/>
        <w:autoSpaceDN w:val="0"/>
        <w:adjustRightInd w:val="0"/>
        <w:ind w:left="426"/>
        <w:jc w:val="both"/>
        <w:rPr>
          <w:rFonts w:ascii="Times New Roman" w:hAnsi="Times New Roman"/>
          <w:bCs/>
          <w:sz w:val="24"/>
          <w:szCs w:val="24"/>
          <w:lang w:val="es-ES_tradnl"/>
        </w:rPr>
      </w:pPr>
      <w:r>
        <w:rPr>
          <w:rFonts w:ascii="Times New Roman" w:hAnsi="Times New Roman"/>
          <w:bCs/>
          <w:sz w:val="24"/>
          <w:szCs w:val="24"/>
          <w:lang w:val="es-ES_tradnl"/>
        </w:rPr>
        <w:t>Luego de</w:t>
      </w:r>
      <w:r w:rsidR="00026591" w:rsidRPr="00D536C7">
        <w:rPr>
          <w:rFonts w:ascii="Times New Roman" w:hAnsi="Times New Roman"/>
          <w:bCs/>
          <w:sz w:val="24"/>
          <w:szCs w:val="24"/>
          <w:lang w:val="es-ES_tradnl"/>
        </w:rPr>
        <w:t xml:space="preserve"> </w:t>
      </w:r>
      <w:r>
        <w:rPr>
          <w:rFonts w:ascii="Times New Roman" w:hAnsi="Times New Roman"/>
          <w:bCs/>
          <w:sz w:val="24"/>
          <w:szCs w:val="24"/>
          <w:lang w:val="es-ES_tradnl"/>
        </w:rPr>
        <w:t>e</w:t>
      </w:r>
      <w:r w:rsidR="00026591" w:rsidRPr="00D536C7">
        <w:rPr>
          <w:rFonts w:ascii="Times New Roman" w:hAnsi="Times New Roman"/>
          <w:bCs/>
          <w:sz w:val="24"/>
          <w:szCs w:val="24"/>
          <w:lang w:val="es-ES_tradnl"/>
        </w:rPr>
        <w:t xml:space="preserve">valuar los recursos insumidos en </w:t>
      </w:r>
      <w:r w:rsidR="002159AE" w:rsidRPr="00D536C7">
        <w:rPr>
          <w:rFonts w:ascii="Times New Roman" w:hAnsi="Times New Roman"/>
          <w:bCs/>
          <w:sz w:val="24"/>
          <w:szCs w:val="24"/>
          <w:lang w:val="es-ES_tradnl"/>
        </w:rPr>
        <w:t xml:space="preserve">cada </w:t>
      </w:r>
      <w:r w:rsidR="00026591" w:rsidRPr="00D536C7">
        <w:rPr>
          <w:rFonts w:ascii="Times New Roman" w:hAnsi="Times New Roman"/>
          <w:bCs/>
          <w:sz w:val="24"/>
          <w:szCs w:val="24"/>
          <w:lang w:val="es-ES_tradnl"/>
        </w:rPr>
        <w:t>proyecto</w:t>
      </w:r>
      <w:r w:rsidR="002159AE" w:rsidRPr="00D536C7">
        <w:rPr>
          <w:rFonts w:ascii="Times New Roman" w:hAnsi="Times New Roman"/>
          <w:bCs/>
          <w:sz w:val="24"/>
          <w:szCs w:val="24"/>
          <w:lang w:val="es-ES_tradnl"/>
        </w:rPr>
        <w:t xml:space="preserve"> se </w:t>
      </w:r>
      <w:r w:rsidR="005C2A41" w:rsidRPr="00D536C7">
        <w:rPr>
          <w:rFonts w:ascii="Times New Roman" w:hAnsi="Times New Roman"/>
          <w:bCs/>
          <w:sz w:val="24"/>
          <w:szCs w:val="24"/>
          <w:lang w:val="es-ES_tradnl"/>
        </w:rPr>
        <w:t>corrigieron los precios de mercado</w:t>
      </w:r>
      <w:r w:rsidR="00663276" w:rsidRPr="00D536C7">
        <w:rPr>
          <w:rFonts w:ascii="Times New Roman" w:hAnsi="Times New Roman"/>
          <w:bCs/>
          <w:sz w:val="24"/>
          <w:szCs w:val="24"/>
          <w:lang w:val="es-ES_tradnl"/>
        </w:rPr>
        <w:t>,</w:t>
      </w:r>
      <w:r w:rsidR="005C2A41" w:rsidRPr="00D536C7">
        <w:rPr>
          <w:rFonts w:ascii="Times New Roman" w:hAnsi="Times New Roman"/>
          <w:bCs/>
          <w:sz w:val="24"/>
          <w:szCs w:val="24"/>
          <w:lang w:val="es-ES_tradnl"/>
        </w:rPr>
        <w:t xml:space="preserve"> para eliminar </w:t>
      </w:r>
      <w:r w:rsidR="00663276" w:rsidRPr="00D536C7">
        <w:rPr>
          <w:rFonts w:ascii="Times New Roman" w:hAnsi="Times New Roman"/>
          <w:bCs/>
          <w:sz w:val="24"/>
          <w:szCs w:val="24"/>
          <w:lang w:val="es-ES_tradnl"/>
        </w:rPr>
        <w:t>e</w:t>
      </w:r>
      <w:r w:rsidR="005C2A41" w:rsidRPr="00D536C7">
        <w:rPr>
          <w:rFonts w:ascii="Times New Roman" w:hAnsi="Times New Roman"/>
          <w:bCs/>
          <w:sz w:val="24"/>
          <w:szCs w:val="24"/>
          <w:lang w:val="es-ES_tradnl"/>
        </w:rPr>
        <w:t>l</w:t>
      </w:r>
      <w:r w:rsidR="00663276" w:rsidRPr="00D536C7">
        <w:rPr>
          <w:rFonts w:ascii="Times New Roman" w:hAnsi="Times New Roman"/>
          <w:bCs/>
          <w:sz w:val="24"/>
          <w:szCs w:val="24"/>
          <w:lang w:val="es-ES_tradnl"/>
        </w:rPr>
        <w:t xml:space="preserve"> </w:t>
      </w:r>
      <w:r w:rsidR="005C2A41" w:rsidRPr="00D536C7">
        <w:rPr>
          <w:rFonts w:ascii="Times New Roman" w:hAnsi="Times New Roman"/>
          <w:bCs/>
          <w:sz w:val="24"/>
          <w:szCs w:val="24"/>
          <w:lang w:val="es-ES_tradnl"/>
        </w:rPr>
        <w:t>efecto de impuestos</w:t>
      </w:r>
      <w:r w:rsidR="00766373" w:rsidRPr="00D536C7">
        <w:rPr>
          <w:rFonts w:ascii="Times New Roman" w:hAnsi="Times New Roman"/>
          <w:bCs/>
          <w:sz w:val="24"/>
          <w:szCs w:val="24"/>
          <w:lang w:val="es-ES_tradnl"/>
        </w:rPr>
        <w:t xml:space="preserve"> y subsidios</w:t>
      </w:r>
      <w:r w:rsidR="00663276" w:rsidRPr="00D536C7">
        <w:rPr>
          <w:rFonts w:ascii="Times New Roman" w:hAnsi="Times New Roman"/>
          <w:bCs/>
          <w:sz w:val="24"/>
          <w:szCs w:val="24"/>
          <w:lang w:val="es-ES_tradnl"/>
        </w:rPr>
        <w:t xml:space="preserve"> sobre el </w:t>
      </w:r>
      <w:r w:rsidR="00F87C26" w:rsidRPr="00D536C7">
        <w:rPr>
          <w:rFonts w:ascii="Times New Roman" w:hAnsi="Times New Roman"/>
          <w:bCs/>
          <w:sz w:val="24"/>
          <w:szCs w:val="24"/>
          <w:lang w:val="es-ES_tradnl"/>
        </w:rPr>
        <w:t>costo de las inversiones,</w:t>
      </w:r>
      <w:r w:rsidR="005C2A41" w:rsidRPr="00D536C7">
        <w:rPr>
          <w:rFonts w:ascii="Times New Roman" w:hAnsi="Times New Roman"/>
          <w:bCs/>
          <w:sz w:val="24"/>
          <w:szCs w:val="24"/>
          <w:lang w:val="es-ES_tradnl"/>
        </w:rPr>
        <w:t xml:space="preserve"> </w:t>
      </w:r>
      <w:r>
        <w:rPr>
          <w:rFonts w:ascii="Times New Roman" w:hAnsi="Times New Roman"/>
          <w:bCs/>
          <w:sz w:val="24"/>
          <w:szCs w:val="24"/>
          <w:lang w:val="es-ES_tradnl"/>
        </w:rPr>
        <w:t>y</w:t>
      </w:r>
      <w:r w:rsidR="005C2A41" w:rsidRPr="00D536C7">
        <w:rPr>
          <w:rFonts w:ascii="Times New Roman" w:hAnsi="Times New Roman"/>
          <w:bCs/>
          <w:sz w:val="24"/>
          <w:szCs w:val="24"/>
          <w:lang w:val="es-ES_tradnl"/>
        </w:rPr>
        <w:t xml:space="preserve"> l</w:t>
      </w:r>
      <w:r w:rsidR="00F87C26" w:rsidRPr="00D536C7">
        <w:rPr>
          <w:rFonts w:ascii="Times New Roman" w:hAnsi="Times New Roman"/>
          <w:bCs/>
          <w:sz w:val="24"/>
          <w:szCs w:val="24"/>
          <w:lang w:val="es-ES_tradnl"/>
        </w:rPr>
        <w:t>legar a los precios económicos que reflejen el verdadero costo de oportunidad que los recursos tienen para la sociedad.</w:t>
      </w:r>
      <w:r w:rsidR="00766373" w:rsidRPr="00D536C7">
        <w:rPr>
          <w:rFonts w:ascii="Times New Roman" w:hAnsi="Times New Roman"/>
          <w:bCs/>
          <w:sz w:val="24"/>
          <w:szCs w:val="24"/>
          <w:lang w:val="es-ES_tradnl"/>
        </w:rPr>
        <w:t xml:space="preserve"> </w:t>
      </w:r>
    </w:p>
    <w:p w:rsidR="00D536C7" w:rsidRPr="001200F7" w:rsidRDefault="00D536C7" w:rsidP="001200F7">
      <w:pPr>
        <w:rPr>
          <w:rFonts w:ascii="Times New Roman" w:hAnsi="Times New Roman"/>
          <w:bCs/>
          <w:sz w:val="24"/>
          <w:szCs w:val="24"/>
          <w:lang w:val="es-ES_tradnl"/>
        </w:rPr>
      </w:pPr>
    </w:p>
    <w:p w:rsidR="00D536C7" w:rsidRDefault="00D4111B" w:rsidP="00D536C7">
      <w:pPr>
        <w:numPr>
          <w:ilvl w:val="1"/>
          <w:numId w:val="10"/>
        </w:numPr>
        <w:autoSpaceDE w:val="0"/>
        <w:autoSpaceDN w:val="0"/>
        <w:adjustRightInd w:val="0"/>
        <w:ind w:left="426"/>
        <w:jc w:val="both"/>
        <w:rPr>
          <w:rFonts w:ascii="Times New Roman" w:hAnsi="Times New Roman"/>
          <w:bCs/>
          <w:sz w:val="24"/>
          <w:szCs w:val="24"/>
          <w:lang w:val="es-ES_tradnl"/>
        </w:rPr>
      </w:pPr>
      <w:r w:rsidRPr="00D536C7">
        <w:rPr>
          <w:rFonts w:ascii="Times New Roman" w:hAnsi="Times New Roman"/>
          <w:bCs/>
          <w:sz w:val="24"/>
          <w:szCs w:val="24"/>
          <w:lang w:val="es-ES_tradnl"/>
        </w:rPr>
        <w:t xml:space="preserve">Para </w:t>
      </w:r>
      <w:r w:rsidR="0001021A" w:rsidRPr="00D536C7">
        <w:rPr>
          <w:rFonts w:ascii="Times New Roman" w:hAnsi="Times New Roman"/>
          <w:bCs/>
          <w:sz w:val="24"/>
          <w:szCs w:val="24"/>
          <w:lang w:val="es-ES_tradnl"/>
        </w:rPr>
        <w:t>la valuación de los beneficios</w:t>
      </w:r>
      <w:r w:rsidRPr="00D536C7">
        <w:rPr>
          <w:rFonts w:ascii="Times New Roman" w:hAnsi="Times New Roman"/>
          <w:bCs/>
          <w:sz w:val="24"/>
          <w:szCs w:val="24"/>
          <w:lang w:val="es-ES_tradnl"/>
        </w:rPr>
        <w:t xml:space="preserve"> de las intervenciones propuestas, </w:t>
      </w:r>
      <w:r w:rsidR="00347D22" w:rsidRPr="00D536C7">
        <w:rPr>
          <w:rFonts w:ascii="Times New Roman" w:hAnsi="Times New Roman"/>
          <w:bCs/>
          <w:sz w:val="24"/>
          <w:szCs w:val="24"/>
          <w:lang w:val="es-ES_tradnl"/>
        </w:rPr>
        <w:t>se adoptó, l</w:t>
      </w:r>
      <w:r w:rsidR="00060CD8" w:rsidRPr="00D536C7">
        <w:rPr>
          <w:rFonts w:ascii="Times New Roman" w:hAnsi="Times New Roman"/>
          <w:bCs/>
          <w:sz w:val="24"/>
          <w:szCs w:val="24"/>
          <w:lang w:val="es-ES_tradnl"/>
        </w:rPr>
        <w:t>a técnica de los precios hedónicos (</w:t>
      </w:r>
      <w:r w:rsidR="00DA0012" w:rsidRPr="00D536C7">
        <w:rPr>
          <w:rFonts w:ascii="Times New Roman" w:hAnsi="Times New Roman"/>
          <w:bCs/>
          <w:sz w:val="24"/>
          <w:szCs w:val="24"/>
          <w:lang w:val="es-ES_tradnl"/>
        </w:rPr>
        <w:t xml:space="preserve">Lancaster 1966, </w:t>
      </w:r>
      <w:r w:rsidR="00060CD8" w:rsidRPr="00D536C7">
        <w:rPr>
          <w:rFonts w:ascii="Times New Roman" w:hAnsi="Times New Roman"/>
          <w:bCs/>
          <w:sz w:val="24"/>
          <w:szCs w:val="24"/>
          <w:lang w:val="es-ES_tradnl"/>
        </w:rPr>
        <w:t>Rosen, 1974, Freeman, 1974</w:t>
      </w:r>
      <w:r w:rsidR="00DA0012" w:rsidRPr="00D536C7">
        <w:rPr>
          <w:rFonts w:ascii="Times New Roman" w:hAnsi="Times New Roman"/>
          <w:bCs/>
          <w:sz w:val="24"/>
          <w:szCs w:val="24"/>
          <w:lang w:val="es-ES_tradnl"/>
        </w:rPr>
        <w:t>)</w:t>
      </w:r>
      <w:r w:rsidR="00347D22" w:rsidRPr="00D536C7">
        <w:rPr>
          <w:rFonts w:ascii="Times New Roman" w:hAnsi="Times New Roman"/>
          <w:bCs/>
          <w:sz w:val="24"/>
          <w:szCs w:val="24"/>
          <w:lang w:val="es-ES_tradnl"/>
        </w:rPr>
        <w:t xml:space="preserve"> que </w:t>
      </w:r>
      <w:r w:rsidR="00060CD8" w:rsidRPr="00D536C7">
        <w:rPr>
          <w:rFonts w:ascii="Times New Roman" w:hAnsi="Times New Roman"/>
          <w:bCs/>
          <w:sz w:val="24"/>
          <w:szCs w:val="24"/>
          <w:lang w:val="es-ES_tradnl"/>
        </w:rPr>
        <w:t>se basa en pensar el v</w:t>
      </w:r>
      <w:r w:rsidR="00361670" w:rsidRPr="00D536C7">
        <w:rPr>
          <w:rFonts w:ascii="Times New Roman" w:hAnsi="Times New Roman"/>
          <w:bCs/>
          <w:sz w:val="24"/>
          <w:szCs w:val="24"/>
          <w:lang w:val="es-ES_tradnl"/>
        </w:rPr>
        <w:t>alor de un producto diferenciado</w:t>
      </w:r>
      <w:r w:rsidR="00060CD8" w:rsidRPr="00D536C7">
        <w:rPr>
          <w:rFonts w:ascii="Times New Roman" w:hAnsi="Times New Roman"/>
          <w:bCs/>
          <w:sz w:val="24"/>
          <w:szCs w:val="24"/>
          <w:lang w:val="es-ES_tradnl"/>
        </w:rPr>
        <w:t xml:space="preserve"> como la suma de los valores de los atributos </w:t>
      </w:r>
      <w:r w:rsidR="00361670" w:rsidRPr="00D536C7">
        <w:rPr>
          <w:rFonts w:ascii="Times New Roman" w:hAnsi="Times New Roman"/>
          <w:bCs/>
          <w:sz w:val="24"/>
          <w:szCs w:val="24"/>
          <w:lang w:val="es-ES_tradnl"/>
        </w:rPr>
        <w:t xml:space="preserve">que </w:t>
      </w:r>
      <w:r w:rsidR="00060CD8" w:rsidRPr="00D536C7">
        <w:rPr>
          <w:rFonts w:ascii="Times New Roman" w:hAnsi="Times New Roman"/>
          <w:bCs/>
          <w:sz w:val="24"/>
          <w:szCs w:val="24"/>
          <w:lang w:val="es-ES_tradnl"/>
        </w:rPr>
        <w:t>dicho producto</w:t>
      </w:r>
      <w:r w:rsidR="00361670" w:rsidRPr="00D536C7">
        <w:rPr>
          <w:rFonts w:ascii="Times New Roman" w:hAnsi="Times New Roman"/>
          <w:bCs/>
          <w:sz w:val="24"/>
          <w:szCs w:val="24"/>
          <w:lang w:val="es-ES_tradnl"/>
        </w:rPr>
        <w:t xml:space="preserve"> posee</w:t>
      </w:r>
      <w:r w:rsidR="00060CD8" w:rsidRPr="00D536C7">
        <w:rPr>
          <w:rFonts w:ascii="Times New Roman" w:hAnsi="Times New Roman"/>
          <w:bCs/>
          <w:sz w:val="24"/>
          <w:szCs w:val="24"/>
          <w:lang w:val="es-ES_tradnl"/>
        </w:rPr>
        <w:t xml:space="preserve">. </w:t>
      </w:r>
      <w:r w:rsidR="00862017" w:rsidRPr="00D536C7">
        <w:rPr>
          <w:rFonts w:ascii="Times New Roman" w:hAnsi="Times New Roman"/>
          <w:bCs/>
          <w:sz w:val="24"/>
          <w:szCs w:val="24"/>
          <w:lang w:val="es-ES_tradnl"/>
        </w:rPr>
        <w:t xml:space="preserve">La idea central es que los atributos no se transan explícitamente en los mercados sino que componen un paquete de características que se transfieren junto con los derechos de propiedad del bien. </w:t>
      </w:r>
      <w:r w:rsidR="00361670" w:rsidRPr="00D536C7">
        <w:rPr>
          <w:rFonts w:ascii="Times New Roman" w:hAnsi="Times New Roman"/>
          <w:bCs/>
          <w:sz w:val="24"/>
          <w:szCs w:val="24"/>
          <w:lang w:val="es-ES_tradnl"/>
        </w:rPr>
        <w:t xml:space="preserve">Sobre esta idea y utilizando </w:t>
      </w:r>
      <w:r w:rsidR="006814A2" w:rsidRPr="00D536C7">
        <w:rPr>
          <w:rFonts w:ascii="Times New Roman" w:hAnsi="Times New Roman"/>
          <w:bCs/>
          <w:sz w:val="24"/>
          <w:szCs w:val="24"/>
          <w:lang w:val="es-ES_tradnl"/>
        </w:rPr>
        <w:t xml:space="preserve">técnicas econométricas </w:t>
      </w:r>
      <w:r w:rsidR="00361670" w:rsidRPr="00D536C7">
        <w:rPr>
          <w:rFonts w:ascii="Times New Roman" w:hAnsi="Times New Roman"/>
          <w:bCs/>
          <w:sz w:val="24"/>
          <w:szCs w:val="24"/>
          <w:lang w:val="es-ES_tradnl"/>
        </w:rPr>
        <w:t xml:space="preserve">es posible </w:t>
      </w:r>
      <w:r w:rsidR="006814A2" w:rsidRPr="00D536C7">
        <w:rPr>
          <w:rFonts w:ascii="Times New Roman" w:hAnsi="Times New Roman"/>
          <w:bCs/>
          <w:sz w:val="24"/>
          <w:szCs w:val="24"/>
          <w:lang w:val="es-ES_tradnl"/>
        </w:rPr>
        <w:t>determina</w:t>
      </w:r>
      <w:r w:rsidR="00361670" w:rsidRPr="00D536C7">
        <w:rPr>
          <w:rFonts w:ascii="Times New Roman" w:hAnsi="Times New Roman"/>
          <w:bCs/>
          <w:sz w:val="24"/>
          <w:szCs w:val="24"/>
          <w:lang w:val="es-ES_tradnl"/>
        </w:rPr>
        <w:t>r</w:t>
      </w:r>
      <w:r w:rsidR="006814A2" w:rsidRPr="00D536C7">
        <w:rPr>
          <w:rFonts w:ascii="Times New Roman" w:hAnsi="Times New Roman"/>
          <w:bCs/>
          <w:sz w:val="24"/>
          <w:szCs w:val="24"/>
          <w:lang w:val="es-ES_tradnl"/>
        </w:rPr>
        <w:t xml:space="preserve"> una "ecuación hedónica", a través de la cual se puede estimar el cambio en el precio del bien ante un cambio e</w:t>
      </w:r>
      <w:r w:rsidR="00594566" w:rsidRPr="00D536C7">
        <w:rPr>
          <w:rFonts w:ascii="Times New Roman" w:hAnsi="Times New Roman"/>
          <w:bCs/>
          <w:sz w:val="24"/>
          <w:szCs w:val="24"/>
          <w:lang w:val="es-ES_tradnl"/>
        </w:rPr>
        <w:t>n</w:t>
      </w:r>
      <w:r w:rsidR="006814A2" w:rsidRPr="00D536C7">
        <w:rPr>
          <w:rFonts w:ascii="Times New Roman" w:hAnsi="Times New Roman"/>
          <w:bCs/>
          <w:sz w:val="24"/>
          <w:szCs w:val="24"/>
          <w:lang w:val="es-ES_tradnl"/>
        </w:rPr>
        <w:t xml:space="preserve"> uno de sus atributos. </w:t>
      </w:r>
    </w:p>
    <w:p w:rsidR="00D536C7" w:rsidRDefault="00D536C7" w:rsidP="00A42C86">
      <w:pPr>
        <w:pStyle w:val="ListParagraph"/>
        <w:ind w:left="426"/>
        <w:rPr>
          <w:rFonts w:ascii="Times New Roman" w:hAnsi="Times New Roman"/>
          <w:bCs/>
          <w:sz w:val="24"/>
          <w:szCs w:val="24"/>
          <w:lang w:val="es-ES_tradnl"/>
        </w:rPr>
      </w:pPr>
    </w:p>
    <w:p w:rsidR="00A42C86" w:rsidRPr="00A42C86" w:rsidRDefault="00862017" w:rsidP="00A42C86">
      <w:pPr>
        <w:numPr>
          <w:ilvl w:val="1"/>
          <w:numId w:val="10"/>
        </w:numPr>
        <w:autoSpaceDE w:val="0"/>
        <w:autoSpaceDN w:val="0"/>
        <w:adjustRightInd w:val="0"/>
        <w:ind w:left="426"/>
        <w:jc w:val="both"/>
        <w:rPr>
          <w:rFonts w:ascii="Times New Roman" w:hAnsi="Times New Roman"/>
          <w:bCs/>
          <w:sz w:val="24"/>
          <w:szCs w:val="24"/>
          <w:lang w:val="es-AR"/>
        </w:rPr>
      </w:pPr>
      <w:r w:rsidRPr="00A42C86">
        <w:rPr>
          <w:rFonts w:ascii="Times New Roman" w:hAnsi="Times New Roman"/>
          <w:bCs/>
          <w:sz w:val="24"/>
          <w:szCs w:val="24"/>
          <w:lang w:val="es-ES_tradnl"/>
        </w:rPr>
        <w:t xml:space="preserve">El campo de la economía urbana ha sido muy prolífico en el análisis de los valores de </w:t>
      </w:r>
      <w:r w:rsidR="00484236" w:rsidRPr="00A42C86">
        <w:rPr>
          <w:rFonts w:ascii="Times New Roman" w:hAnsi="Times New Roman"/>
          <w:bCs/>
          <w:sz w:val="24"/>
          <w:szCs w:val="24"/>
          <w:lang w:val="es-ES_tradnl"/>
        </w:rPr>
        <w:t xml:space="preserve">los inmuebles </w:t>
      </w:r>
      <w:r w:rsidRPr="00A42C86">
        <w:rPr>
          <w:rFonts w:ascii="Times New Roman" w:hAnsi="Times New Roman"/>
          <w:bCs/>
          <w:sz w:val="24"/>
          <w:szCs w:val="24"/>
          <w:lang w:val="es-ES_tradnl"/>
        </w:rPr>
        <w:t xml:space="preserve">y de sus determinantes a través del enfoque de los precios hedónicos. Los numerosos trabajos sobre el tema, en general, se refieren a Estados Unidos de América, y tienen como antecedentes más lejanos en el tiempo el estudio pionero de Ridker y Henning (1967) y los de Kain y Quingley (1970 a, b). Los estudios referidos al caso </w:t>
      </w:r>
      <w:r w:rsidR="00347D22" w:rsidRPr="00A42C86">
        <w:rPr>
          <w:rFonts w:ascii="Times New Roman" w:hAnsi="Times New Roman"/>
          <w:bCs/>
          <w:sz w:val="24"/>
          <w:szCs w:val="24"/>
          <w:lang w:val="es-ES_tradnl"/>
        </w:rPr>
        <w:t xml:space="preserve">uruguayo </w:t>
      </w:r>
      <w:r w:rsidRPr="00A42C86">
        <w:rPr>
          <w:rFonts w:ascii="Times New Roman" w:hAnsi="Times New Roman"/>
          <w:bCs/>
          <w:sz w:val="24"/>
          <w:szCs w:val="24"/>
          <w:lang w:val="es-ES_tradnl"/>
        </w:rPr>
        <w:t>son escasos</w:t>
      </w:r>
      <w:r w:rsidR="00B7345A" w:rsidRPr="00A42C86">
        <w:rPr>
          <w:rFonts w:ascii="Times New Roman" w:hAnsi="Times New Roman"/>
          <w:bCs/>
          <w:sz w:val="24"/>
          <w:szCs w:val="24"/>
          <w:lang w:val="es-ES_tradnl"/>
        </w:rPr>
        <w:t>.</w:t>
      </w:r>
      <w:r w:rsidR="00DA0012" w:rsidRPr="00A42C86">
        <w:rPr>
          <w:rFonts w:ascii="Times New Roman" w:hAnsi="Times New Roman"/>
          <w:bCs/>
          <w:sz w:val="24"/>
          <w:szCs w:val="24"/>
          <w:lang w:val="es-ES_tradnl"/>
        </w:rPr>
        <w:t xml:space="preserve"> Martha Siniacoff (2010) </w:t>
      </w:r>
      <w:r w:rsidRPr="00A42C86">
        <w:rPr>
          <w:rFonts w:ascii="Times New Roman" w:hAnsi="Times New Roman"/>
          <w:bCs/>
          <w:sz w:val="24"/>
          <w:szCs w:val="24"/>
          <w:lang w:val="es-ES_tradnl"/>
        </w:rPr>
        <w:t xml:space="preserve">estima </w:t>
      </w:r>
      <w:r w:rsidR="00952F55" w:rsidRPr="00A42C86">
        <w:rPr>
          <w:rFonts w:ascii="Times New Roman" w:hAnsi="Times New Roman"/>
          <w:bCs/>
          <w:sz w:val="24"/>
          <w:szCs w:val="24"/>
          <w:lang w:val="es-ES_tradnl"/>
        </w:rPr>
        <w:t xml:space="preserve">una función de </w:t>
      </w:r>
      <w:r w:rsidRPr="00A42C86">
        <w:rPr>
          <w:rFonts w:ascii="Times New Roman" w:hAnsi="Times New Roman"/>
          <w:bCs/>
          <w:sz w:val="24"/>
          <w:szCs w:val="24"/>
          <w:lang w:val="es-ES_tradnl"/>
        </w:rPr>
        <w:t xml:space="preserve">precios hedónicos </w:t>
      </w:r>
      <w:r w:rsidR="00952F55" w:rsidRPr="00A42C86">
        <w:rPr>
          <w:rFonts w:ascii="Times New Roman" w:hAnsi="Times New Roman"/>
          <w:bCs/>
          <w:sz w:val="24"/>
          <w:szCs w:val="24"/>
          <w:lang w:val="es-ES_tradnl"/>
        </w:rPr>
        <w:t xml:space="preserve">a partir de datos de transacciones </w:t>
      </w:r>
      <w:r w:rsidRPr="00A42C86">
        <w:rPr>
          <w:rFonts w:ascii="Times New Roman" w:hAnsi="Times New Roman"/>
          <w:bCs/>
          <w:sz w:val="24"/>
          <w:szCs w:val="24"/>
          <w:lang w:val="es-ES_tradnl"/>
        </w:rPr>
        <w:t xml:space="preserve">de </w:t>
      </w:r>
      <w:r w:rsidR="00952F55" w:rsidRPr="00A42C86">
        <w:rPr>
          <w:rFonts w:ascii="Times New Roman" w:hAnsi="Times New Roman"/>
          <w:bCs/>
          <w:sz w:val="24"/>
          <w:szCs w:val="24"/>
          <w:lang w:val="es-ES_tradnl"/>
        </w:rPr>
        <w:t xml:space="preserve">inmuebles inscriptas en la Dirección General de Registros </w:t>
      </w:r>
      <w:r w:rsidRPr="00A42C86">
        <w:rPr>
          <w:rFonts w:ascii="Times New Roman" w:hAnsi="Times New Roman"/>
          <w:bCs/>
          <w:sz w:val="24"/>
          <w:szCs w:val="24"/>
          <w:lang w:val="es-ES_tradnl"/>
        </w:rPr>
        <w:t xml:space="preserve">en </w:t>
      </w:r>
      <w:r w:rsidR="00DA0012" w:rsidRPr="00A42C86">
        <w:rPr>
          <w:rFonts w:ascii="Times New Roman" w:hAnsi="Times New Roman"/>
          <w:bCs/>
          <w:sz w:val="24"/>
          <w:szCs w:val="24"/>
          <w:lang w:val="es-ES_tradnl"/>
        </w:rPr>
        <w:t>Montevideo</w:t>
      </w:r>
      <w:r w:rsidR="00952F55" w:rsidRPr="00A42C86">
        <w:rPr>
          <w:rFonts w:ascii="Times New Roman" w:hAnsi="Times New Roman"/>
          <w:bCs/>
          <w:sz w:val="24"/>
          <w:szCs w:val="24"/>
          <w:lang w:val="es-ES_tradnl"/>
        </w:rPr>
        <w:t>. La estimación realizada para el año 2001</w:t>
      </w:r>
      <w:r w:rsidR="00952F55" w:rsidRPr="00D536C7">
        <w:rPr>
          <w:rFonts w:ascii="Times New Roman" w:hAnsi="Times New Roman"/>
          <w:sz w:val="24"/>
          <w:szCs w:val="24"/>
          <w:vertAlign w:val="superscript"/>
        </w:rPr>
        <w:footnoteReference w:id="8"/>
      </w:r>
      <w:r w:rsidRPr="00A42C86">
        <w:rPr>
          <w:rFonts w:ascii="Times New Roman" w:hAnsi="Times New Roman"/>
          <w:bCs/>
          <w:sz w:val="24"/>
          <w:szCs w:val="24"/>
          <w:lang w:val="es-ES_tradnl"/>
        </w:rPr>
        <w:t xml:space="preserve">, </w:t>
      </w:r>
      <w:r w:rsidR="00952F55" w:rsidRPr="00A42C86">
        <w:rPr>
          <w:rFonts w:ascii="Times New Roman" w:hAnsi="Times New Roman"/>
          <w:bCs/>
          <w:sz w:val="24"/>
          <w:szCs w:val="24"/>
          <w:lang w:val="es-ES_tradnl"/>
        </w:rPr>
        <w:t xml:space="preserve">muestra </w:t>
      </w:r>
      <w:r w:rsidR="00C11443" w:rsidRPr="00A42C86">
        <w:rPr>
          <w:rFonts w:ascii="Times New Roman" w:hAnsi="Times New Roman"/>
          <w:bCs/>
          <w:sz w:val="24"/>
          <w:szCs w:val="24"/>
          <w:lang w:val="es-ES_tradnl"/>
        </w:rPr>
        <w:t xml:space="preserve">que las variables relacionadas con los servicios públicos existentes (alumbrado público, transporte y calidad de las vías de tránsito) resultan significativas en la formación de precios. </w:t>
      </w:r>
    </w:p>
    <w:p w:rsidR="00A42C86" w:rsidRPr="00A42C86" w:rsidRDefault="00A42C86" w:rsidP="00A42C86">
      <w:pPr>
        <w:rPr>
          <w:rFonts w:ascii="Times New Roman" w:hAnsi="Times New Roman"/>
          <w:bCs/>
          <w:sz w:val="24"/>
          <w:szCs w:val="24"/>
          <w:lang w:val="es-ES_tradnl"/>
        </w:rPr>
      </w:pPr>
    </w:p>
    <w:p w:rsidR="00A42C86" w:rsidRPr="00755EF0" w:rsidRDefault="003F2164" w:rsidP="00A42C86">
      <w:pPr>
        <w:numPr>
          <w:ilvl w:val="1"/>
          <w:numId w:val="10"/>
        </w:numPr>
        <w:autoSpaceDE w:val="0"/>
        <w:autoSpaceDN w:val="0"/>
        <w:adjustRightInd w:val="0"/>
        <w:ind w:left="426"/>
        <w:jc w:val="both"/>
        <w:rPr>
          <w:rFonts w:ascii="Times New Roman" w:hAnsi="Times New Roman"/>
          <w:bCs/>
          <w:sz w:val="24"/>
          <w:szCs w:val="24"/>
          <w:lang w:val="es-AR"/>
        </w:rPr>
      </w:pPr>
      <w:r w:rsidRPr="00A42C86">
        <w:rPr>
          <w:rFonts w:ascii="Times New Roman" w:hAnsi="Times New Roman"/>
          <w:bCs/>
          <w:sz w:val="24"/>
          <w:szCs w:val="24"/>
          <w:lang w:val="es-ES_tradnl"/>
        </w:rPr>
        <w:t>Natalia Garabato -Magdalena Ramada-Sarasola (2012) estiman precios hedónicos para 34 mercados diferentes (20 barrios de Montevideo y 14 localidades del interior del país)</w:t>
      </w:r>
      <w:r w:rsidR="002A0175">
        <w:rPr>
          <w:rFonts w:ascii="Times New Roman" w:hAnsi="Times New Roman"/>
          <w:bCs/>
          <w:sz w:val="24"/>
          <w:szCs w:val="24"/>
          <w:lang w:val="es-ES_tradnl"/>
        </w:rPr>
        <w:t xml:space="preserve"> de Uruguay</w:t>
      </w:r>
      <w:r w:rsidR="00EF7316" w:rsidRPr="00A42C86">
        <w:rPr>
          <w:rFonts w:ascii="Times New Roman" w:hAnsi="Times New Roman"/>
          <w:bCs/>
          <w:sz w:val="24"/>
          <w:szCs w:val="24"/>
          <w:lang w:val="es-ES_tradnl"/>
        </w:rPr>
        <w:t xml:space="preserve">. Las estimaciones realizadas </w:t>
      </w:r>
      <w:r w:rsidRPr="00A42C86">
        <w:rPr>
          <w:rFonts w:ascii="Times New Roman" w:hAnsi="Times New Roman"/>
          <w:bCs/>
          <w:sz w:val="24"/>
          <w:szCs w:val="24"/>
          <w:lang w:val="es-ES_tradnl"/>
        </w:rPr>
        <w:t>a partir de datos de la Encuesta Nacional de Hogares del 2006 del Instituto Nacional de Estadísticas (INE)</w:t>
      </w:r>
      <w:r w:rsidR="00EF7316" w:rsidRPr="00A42C86">
        <w:rPr>
          <w:rFonts w:ascii="Times New Roman" w:hAnsi="Times New Roman"/>
          <w:bCs/>
          <w:sz w:val="24"/>
          <w:szCs w:val="24"/>
          <w:lang w:val="es-ES_tradnl"/>
        </w:rPr>
        <w:t xml:space="preserve"> muestran que</w:t>
      </w:r>
      <w:r w:rsidR="008F70E5" w:rsidRPr="00A42C86">
        <w:rPr>
          <w:rFonts w:ascii="Times New Roman" w:hAnsi="Times New Roman"/>
          <w:bCs/>
          <w:sz w:val="24"/>
          <w:szCs w:val="24"/>
          <w:lang w:val="es-ES_tradnl"/>
        </w:rPr>
        <w:t>,</w:t>
      </w:r>
      <w:r w:rsidR="00EF7316" w:rsidRPr="00A42C86">
        <w:rPr>
          <w:rFonts w:ascii="Times New Roman" w:hAnsi="Times New Roman"/>
          <w:bCs/>
          <w:sz w:val="24"/>
          <w:szCs w:val="24"/>
          <w:lang w:val="es-ES_tradnl"/>
        </w:rPr>
        <w:t xml:space="preserve"> </w:t>
      </w:r>
      <w:r w:rsidR="008F70E5" w:rsidRPr="00A42C86">
        <w:rPr>
          <w:rFonts w:ascii="Times New Roman" w:hAnsi="Times New Roman"/>
          <w:bCs/>
          <w:sz w:val="24"/>
          <w:szCs w:val="24"/>
          <w:lang w:val="es-ES_tradnl"/>
        </w:rPr>
        <w:t xml:space="preserve">aún </w:t>
      </w:r>
      <w:r w:rsidR="00172683" w:rsidRPr="00A42C86">
        <w:rPr>
          <w:rFonts w:ascii="Times New Roman" w:hAnsi="Times New Roman"/>
          <w:bCs/>
          <w:sz w:val="24"/>
          <w:szCs w:val="24"/>
          <w:lang w:val="es-ES_tradnl"/>
        </w:rPr>
        <w:t>en los barrios más pobre</w:t>
      </w:r>
      <w:r w:rsidR="00A42C86">
        <w:rPr>
          <w:rStyle w:val="FootnoteReference"/>
          <w:rFonts w:ascii="Times New Roman" w:hAnsi="Times New Roman"/>
          <w:bCs/>
          <w:sz w:val="24"/>
          <w:szCs w:val="24"/>
          <w:lang w:val="es-ES_tradnl"/>
        </w:rPr>
        <w:footnoteReference w:id="9"/>
      </w:r>
      <w:r w:rsidR="00172683" w:rsidRPr="00A42C86">
        <w:rPr>
          <w:rFonts w:ascii="Times New Roman" w:hAnsi="Times New Roman"/>
          <w:bCs/>
          <w:sz w:val="24"/>
          <w:szCs w:val="24"/>
          <w:lang w:val="es-ES_tradnl"/>
        </w:rPr>
        <w:t xml:space="preserve">, donde todas las construcciones son precarias y las viviendas </w:t>
      </w:r>
      <w:r w:rsidR="008F70E5" w:rsidRPr="00A42C86">
        <w:rPr>
          <w:rFonts w:ascii="Times New Roman" w:hAnsi="Times New Roman"/>
          <w:bCs/>
          <w:sz w:val="24"/>
          <w:szCs w:val="24"/>
          <w:lang w:val="es-ES_tradnl"/>
        </w:rPr>
        <w:t xml:space="preserve">tienen </w:t>
      </w:r>
      <w:r w:rsidR="00172683" w:rsidRPr="00A42C86">
        <w:rPr>
          <w:rFonts w:ascii="Times New Roman" w:hAnsi="Times New Roman"/>
          <w:bCs/>
          <w:sz w:val="24"/>
          <w:szCs w:val="24"/>
          <w:lang w:val="es-ES_tradnl"/>
        </w:rPr>
        <w:t xml:space="preserve">mayores déficits y problemas constructivos, el valor de </w:t>
      </w:r>
      <w:r w:rsidR="00295F8A" w:rsidRPr="00A42C86">
        <w:rPr>
          <w:rFonts w:ascii="Times New Roman" w:hAnsi="Times New Roman"/>
          <w:bCs/>
          <w:sz w:val="24"/>
          <w:szCs w:val="24"/>
          <w:lang w:val="es-ES_tradnl"/>
        </w:rPr>
        <w:t>estas</w:t>
      </w:r>
      <w:r w:rsidR="00172683" w:rsidRPr="00A42C86">
        <w:rPr>
          <w:rFonts w:ascii="Times New Roman" w:hAnsi="Times New Roman"/>
          <w:bCs/>
          <w:sz w:val="24"/>
          <w:szCs w:val="24"/>
          <w:lang w:val="es-ES_tradnl"/>
        </w:rPr>
        <w:t xml:space="preserve"> se ve significativamente impactado por dichas características.</w:t>
      </w:r>
      <w:r w:rsidR="008F70E5" w:rsidRPr="00A42C86">
        <w:rPr>
          <w:rFonts w:ascii="Times New Roman" w:hAnsi="Times New Roman"/>
          <w:bCs/>
          <w:sz w:val="24"/>
          <w:szCs w:val="24"/>
          <w:lang w:val="es-ES_tradnl"/>
        </w:rPr>
        <w:t xml:space="preserve"> </w:t>
      </w:r>
      <w:r w:rsidR="003C40AE" w:rsidRPr="00755EF0">
        <w:rPr>
          <w:rFonts w:ascii="Times New Roman" w:hAnsi="Times New Roman"/>
          <w:bCs/>
          <w:sz w:val="24"/>
          <w:szCs w:val="24"/>
          <w:lang w:val="es-ES_tradnl"/>
        </w:rPr>
        <w:t>En dichos barrios l</w:t>
      </w:r>
      <w:r w:rsidR="008F70E5" w:rsidRPr="00755EF0">
        <w:rPr>
          <w:rFonts w:ascii="Times New Roman" w:hAnsi="Times New Roman"/>
          <w:bCs/>
          <w:sz w:val="24"/>
          <w:szCs w:val="24"/>
          <w:lang w:val="es-ES_tradnl"/>
        </w:rPr>
        <w:t xml:space="preserve">a </w:t>
      </w:r>
      <w:r w:rsidR="008F70E5" w:rsidRPr="00755EF0">
        <w:rPr>
          <w:rFonts w:ascii="Times New Roman" w:hAnsi="Times New Roman"/>
          <w:bCs/>
          <w:sz w:val="24"/>
          <w:szCs w:val="24"/>
          <w:lang w:val="es-ES_tradnl"/>
        </w:rPr>
        <w:lastRenderedPageBreak/>
        <w:t xml:space="preserve">disponibilidad de agua, electricidad y saneamiento dentro de la vivienda tiene </w:t>
      </w:r>
      <w:r w:rsidR="003C40AE" w:rsidRPr="00755EF0">
        <w:rPr>
          <w:rFonts w:ascii="Times New Roman" w:hAnsi="Times New Roman"/>
          <w:bCs/>
          <w:sz w:val="24"/>
          <w:szCs w:val="24"/>
          <w:lang w:val="es-ES_tradnl"/>
        </w:rPr>
        <w:t>un impacto</w:t>
      </w:r>
      <w:r w:rsidR="00F36C73" w:rsidRPr="00755EF0">
        <w:rPr>
          <w:rFonts w:ascii="Times New Roman" w:hAnsi="Times New Roman"/>
          <w:bCs/>
          <w:sz w:val="24"/>
          <w:szCs w:val="24"/>
          <w:lang w:val="es-ES_tradnl"/>
        </w:rPr>
        <w:t xml:space="preserve"> (18%) </w:t>
      </w:r>
      <w:r w:rsidR="003C40AE" w:rsidRPr="00755EF0">
        <w:rPr>
          <w:rFonts w:ascii="Times New Roman" w:hAnsi="Times New Roman"/>
          <w:bCs/>
          <w:sz w:val="24"/>
          <w:szCs w:val="24"/>
          <w:lang w:val="es-ES_tradnl"/>
        </w:rPr>
        <w:t xml:space="preserve">sobre el valor de las mismas. </w:t>
      </w:r>
      <w:r w:rsidR="00F36C73" w:rsidRPr="00755EF0">
        <w:rPr>
          <w:rFonts w:ascii="Times New Roman" w:hAnsi="Times New Roman"/>
          <w:bCs/>
          <w:sz w:val="24"/>
          <w:szCs w:val="24"/>
          <w:lang w:val="es-ES_tradnl"/>
        </w:rPr>
        <w:t xml:space="preserve">Además, </w:t>
      </w:r>
      <w:r w:rsidR="00A42C86" w:rsidRPr="00755EF0">
        <w:rPr>
          <w:rFonts w:ascii="Times New Roman" w:hAnsi="Times New Roman"/>
          <w:bCs/>
          <w:sz w:val="24"/>
          <w:szCs w:val="24"/>
          <w:lang w:val="es-ES_tradnl"/>
        </w:rPr>
        <w:t xml:space="preserve">el acceso a cada </w:t>
      </w:r>
      <w:r w:rsidR="003C40AE" w:rsidRPr="00755EF0">
        <w:rPr>
          <w:rFonts w:ascii="Times New Roman" w:hAnsi="Times New Roman"/>
          <w:bCs/>
          <w:sz w:val="24"/>
          <w:szCs w:val="24"/>
          <w:lang w:val="es-ES_tradnl"/>
        </w:rPr>
        <w:t>servicio</w:t>
      </w:r>
      <w:r w:rsidR="005C670E" w:rsidRPr="00755EF0">
        <w:rPr>
          <w:rFonts w:ascii="Times New Roman" w:hAnsi="Times New Roman"/>
          <w:bCs/>
          <w:sz w:val="24"/>
          <w:szCs w:val="24"/>
          <w:lang w:val="es-ES_tradnl"/>
        </w:rPr>
        <w:t xml:space="preserve"> público</w:t>
      </w:r>
      <w:r w:rsidR="005C670E" w:rsidRPr="00755EF0">
        <w:rPr>
          <w:rStyle w:val="FootnoteReference"/>
          <w:rFonts w:ascii="Times New Roman" w:hAnsi="Times New Roman"/>
          <w:bCs/>
          <w:sz w:val="24"/>
          <w:szCs w:val="24"/>
          <w:lang w:val="es-ES_tradnl"/>
        </w:rPr>
        <w:footnoteReference w:id="10"/>
      </w:r>
      <w:r w:rsidR="00F36C73" w:rsidRPr="00755EF0">
        <w:rPr>
          <w:rFonts w:ascii="Times New Roman" w:hAnsi="Times New Roman"/>
          <w:bCs/>
          <w:sz w:val="24"/>
          <w:szCs w:val="24"/>
          <w:lang w:val="es-ES_tradnl"/>
        </w:rPr>
        <w:t xml:space="preserve"> muestra un impacto sobre el valor del inmueble del 2</w:t>
      </w:r>
      <w:r w:rsidR="005C670E" w:rsidRPr="00755EF0">
        <w:rPr>
          <w:rFonts w:ascii="Times New Roman" w:hAnsi="Times New Roman"/>
          <w:bCs/>
          <w:sz w:val="24"/>
          <w:szCs w:val="24"/>
          <w:lang w:val="es-ES_tradnl"/>
        </w:rPr>
        <w:t xml:space="preserve">5% y la </w:t>
      </w:r>
      <w:r w:rsidR="00F36C73" w:rsidRPr="00755EF0">
        <w:rPr>
          <w:rFonts w:ascii="Times New Roman" w:hAnsi="Times New Roman"/>
          <w:bCs/>
          <w:sz w:val="24"/>
          <w:szCs w:val="24"/>
          <w:lang w:val="es-ES_tradnl"/>
        </w:rPr>
        <w:t xml:space="preserve">elasticidad </w:t>
      </w:r>
      <w:r w:rsidR="005C670E" w:rsidRPr="00755EF0">
        <w:rPr>
          <w:rFonts w:ascii="Times New Roman" w:hAnsi="Times New Roman"/>
          <w:bCs/>
          <w:sz w:val="24"/>
          <w:szCs w:val="24"/>
          <w:lang w:val="es-ES_tradnl"/>
        </w:rPr>
        <w:t>resultante del tipo de barrio</w:t>
      </w:r>
      <w:r w:rsidR="00F36C73" w:rsidRPr="00755EF0">
        <w:rPr>
          <w:rStyle w:val="FootnoteReference"/>
          <w:rFonts w:ascii="Times New Roman" w:hAnsi="Times New Roman"/>
          <w:bCs/>
          <w:sz w:val="24"/>
          <w:szCs w:val="24"/>
          <w:lang w:val="es-ES_tradnl"/>
        </w:rPr>
        <w:footnoteReference w:id="11"/>
      </w:r>
      <w:r w:rsidR="005C670E" w:rsidRPr="00755EF0">
        <w:rPr>
          <w:rFonts w:ascii="Times New Roman" w:hAnsi="Times New Roman"/>
          <w:bCs/>
          <w:sz w:val="24"/>
          <w:szCs w:val="24"/>
          <w:lang w:val="es-ES_tradnl"/>
        </w:rPr>
        <w:t xml:space="preserve"> </w:t>
      </w:r>
      <w:r w:rsidR="003840DB" w:rsidRPr="00755EF0">
        <w:rPr>
          <w:rFonts w:ascii="Times New Roman" w:hAnsi="Times New Roman"/>
          <w:bCs/>
          <w:sz w:val="24"/>
          <w:szCs w:val="24"/>
          <w:lang w:val="es-ES_tradnl"/>
        </w:rPr>
        <w:t>es como mínimo del 44%.</w:t>
      </w:r>
      <w:r w:rsidR="00DF1BDA" w:rsidRPr="00755EF0">
        <w:rPr>
          <w:rFonts w:ascii="Times New Roman" w:hAnsi="Times New Roman"/>
          <w:bCs/>
          <w:sz w:val="24"/>
          <w:szCs w:val="24"/>
          <w:lang w:val="es-ES_tradnl"/>
        </w:rPr>
        <w:t xml:space="preserve"> Finalmente, entre otras consideraciones establecen </w:t>
      </w:r>
      <w:r w:rsidR="00A42C86" w:rsidRPr="00755EF0">
        <w:rPr>
          <w:rFonts w:ascii="Times New Roman" w:hAnsi="Times New Roman"/>
          <w:bCs/>
          <w:sz w:val="24"/>
          <w:szCs w:val="24"/>
          <w:lang w:val="es-AR"/>
        </w:rPr>
        <w:t>q</w:t>
      </w:r>
      <w:r w:rsidR="00DF1BDA" w:rsidRPr="00755EF0">
        <w:rPr>
          <w:rFonts w:ascii="Times New Roman" w:hAnsi="Times New Roman"/>
          <w:bCs/>
          <w:sz w:val="24"/>
          <w:szCs w:val="24"/>
          <w:lang w:val="es-ES_tradnl"/>
        </w:rPr>
        <w:t>ue el mercado informal de viviendas presenta una mayor elasticidad precio</w:t>
      </w:r>
      <w:r w:rsidR="00F36C73" w:rsidRPr="00755EF0">
        <w:rPr>
          <w:rStyle w:val="FootnoteReference"/>
          <w:rFonts w:ascii="Times New Roman" w:hAnsi="Times New Roman"/>
          <w:bCs/>
          <w:sz w:val="24"/>
          <w:szCs w:val="24"/>
          <w:lang w:val="es-ES_tradnl"/>
        </w:rPr>
        <w:footnoteReference w:id="12"/>
      </w:r>
      <w:r w:rsidR="00DF1BDA" w:rsidRPr="00755EF0">
        <w:rPr>
          <w:rFonts w:ascii="Times New Roman" w:hAnsi="Times New Roman"/>
          <w:bCs/>
          <w:sz w:val="24"/>
          <w:szCs w:val="24"/>
          <w:lang w:val="es-ES_tradnl"/>
        </w:rPr>
        <w:t xml:space="preserve"> e ingresos</w:t>
      </w:r>
      <w:r w:rsidR="00F36C73" w:rsidRPr="00755EF0">
        <w:rPr>
          <w:rStyle w:val="FootnoteReference"/>
          <w:rFonts w:ascii="Times New Roman" w:hAnsi="Times New Roman"/>
          <w:bCs/>
          <w:sz w:val="24"/>
          <w:szCs w:val="24"/>
          <w:lang w:val="es-ES_tradnl"/>
        </w:rPr>
        <w:footnoteReference w:id="13"/>
      </w:r>
      <w:r w:rsidR="00DF1BDA" w:rsidRPr="00755EF0">
        <w:rPr>
          <w:rFonts w:ascii="Times New Roman" w:hAnsi="Times New Roman"/>
          <w:bCs/>
          <w:sz w:val="24"/>
          <w:szCs w:val="24"/>
          <w:lang w:val="es-ES_tradnl"/>
        </w:rPr>
        <w:t xml:space="preserve"> que el mercado formal</w:t>
      </w:r>
      <w:r w:rsidR="00A42C86" w:rsidRPr="00755EF0">
        <w:rPr>
          <w:rFonts w:ascii="Times New Roman" w:hAnsi="Times New Roman"/>
          <w:bCs/>
          <w:sz w:val="24"/>
          <w:szCs w:val="24"/>
          <w:lang w:val="es-ES_tradnl"/>
        </w:rPr>
        <w:t>, por lo que parecería que el primero funciona como un mercado inmobiliario más consolidado.</w:t>
      </w:r>
    </w:p>
    <w:p w:rsidR="00254A58" w:rsidRPr="00DF1BDA" w:rsidRDefault="00254A58" w:rsidP="00DF1BDA">
      <w:pPr>
        <w:autoSpaceDE w:val="0"/>
        <w:autoSpaceDN w:val="0"/>
        <w:adjustRightInd w:val="0"/>
        <w:ind w:left="426"/>
        <w:jc w:val="both"/>
        <w:rPr>
          <w:rFonts w:ascii="Times New Roman" w:hAnsi="Times New Roman"/>
          <w:bCs/>
          <w:sz w:val="24"/>
          <w:szCs w:val="24"/>
          <w:lang w:val="es-AR"/>
        </w:rPr>
      </w:pPr>
    </w:p>
    <w:p w:rsidR="001200F7" w:rsidRDefault="00484236" w:rsidP="00CC1970">
      <w:pPr>
        <w:numPr>
          <w:ilvl w:val="1"/>
          <w:numId w:val="10"/>
        </w:numPr>
        <w:autoSpaceDE w:val="0"/>
        <w:autoSpaceDN w:val="0"/>
        <w:adjustRightInd w:val="0"/>
        <w:ind w:left="426"/>
        <w:jc w:val="both"/>
        <w:rPr>
          <w:rFonts w:ascii="Times New Roman" w:hAnsi="Times New Roman"/>
          <w:bCs/>
          <w:sz w:val="24"/>
          <w:szCs w:val="24"/>
          <w:lang w:val="es-ES_tradnl"/>
        </w:rPr>
      </w:pPr>
      <w:r w:rsidRPr="001200F7">
        <w:rPr>
          <w:rFonts w:ascii="Times New Roman" w:hAnsi="Times New Roman"/>
          <w:bCs/>
          <w:sz w:val="24"/>
          <w:szCs w:val="24"/>
          <w:lang w:val="es-ES_tradnl"/>
        </w:rPr>
        <w:t>Como fuera señalado en la introducción, durante la fase de preparación del Programa de Mejoramiento de Barrios se desarrolló, con apoyo del BID, un modelo de precios hedónicos para estimar el impacto de las intervenciones del programa en las viviendas beneficiarias.</w:t>
      </w:r>
      <w:r w:rsidR="001200F7" w:rsidRPr="001200F7">
        <w:rPr>
          <w:rFonts w:ascii="Times New Roman" w:hAnsi="Times New Roman"/>
          <w:bCs/>
          <w:sz w:val="24"/>
          <w:szCs w:val="24"/>
          <w:lang w:val="es-ES_tradnl"/>
        </w:rPr>
        <w:t xml:space="preserve"> Para el desarrollo del modelo se efectuaron encuestas específicas a una muestra de viviendas localizadas en el área del proyecto (asentamientos irregulares en Pando y Montevideo), y a una muestra de control fuera del área. Ellas incluyeron básicamente la determinación del valor de la propiedad por medio de consulta directa al propietario (o arrendatario) y de variables seleccionadas en función de su relación con las intervenciones del programa y su significación estadística (caracterización del inmueble, disponibilidad de infraestructura y servicios, accesibilidad y otras representativas tanto de aspectos sociales como ambientales).</w:t>
      </w:r>
      <w:r w:rsidR="001200F7">
        <w:rPr>
          <w:rFonts w:ascii="Times New Roman" w:hAnsi="Times New Roman"/>
          <w:bCs/>
          <w:sz w:val="24"/>
          <w:szCs w:val="24"/>
          <w:lang w:val="es-ES_tradnl"/>
        </w:rPr>
        <w:t xml:space="preserve"> </w:t>
      </w:r>
      <w:r w:rsidR="001200F7" w:rsidRPr="001200F7">
        <w:rPr>
          <w:rFonts w:ascii="Times New Roman" w:hAnsi="Times New Roman"/>
          <w:bCs/>
          <w:sz w:val="24"/>
          <w:szCs w:val="24"/>
          <w:lang w:val="es-ES_tradnl"/>
        </w:rPr>
        <w:t xml:space="preserve">La muestra de viviendas utilizadas siguió un diseño factorial contemplándose un total de 882 casos útiles. </w:t>
      </w:r>
    </w:p>
    <w:p w:rsidR="001200F7" w:rsidRDefault="001200F7" w:rsidP="00CC1970">
      <w:pPr>
        <w:autoSpaceDE w:val="0"/>
        <w:autoSpaceDN w:val="0"/>
        <w:adjustRightInd w:val="0"/>
        <w:ind w:left="426"/>
        <w:jc w:val="both"/>
        <w:rPr>
          <w:rFonts w:ascii="Times New Roman" w:hAnsi="Times New Roman"/>
          <w:bCs/>
          <w:sz w:val="24"/>
          <w:szCs w:val="24"/>
          <w:lang w:val="es-ES_tradnl"/>
        </w:rPr>
      </w:pPr>
    </w:p>
    <w:p w:rsidR="00CC1970" w:rsidRDefault="00B007EA" w:rsidP="00B007EA">
      <w:pPr>
        <w:numPr>
          <w:ilvl w:val="1"/>
          <w:numId w:val="10"/>
        </w:numPr>
        <w:autoSpaceDE w:val="0"/>
        <w:autoSpaceDN w:val="0"/>
        <w:adjustRightInd w:val="0"/>
        <w:ind w:left="426"/>
        <w:jc w:val="both"/>
        <w:rPr>
          <w:rFonts w:ascii="Times New Roman" w:hAnsi="Times New Roman"/>
          <w:bCs/>
          <w:sz w:val="24"/>
          <w:szCs w:val="24"/>
          <w:lang w:val="es-ES_tradnl"/>
        </w:rPr>
      </w:pPr>
      <w:r w:rsidRPr="00B007EA">
        <w:rPr>
          <w:rFonts w:ascii="Times New Roman" w:hAnsi="Times New Roman"/>
          <w:bCs/>
          <w:sz w:val="24"/>
          <w:szCs w:val="24"/>
          <w:lang w:val="es-ES_tradnl"/>
        </w:rPr>
        <w:t xml:space="preserve">A </w:t>
      </w:r>
      <w:r w:rsidR="002A0175">
        <w:rPr>
          <w:rFonts w:ascii="Times New Roman" w:hAnsi="Times New Roman"/>
          <w:bCs/>
          <w:sz w:val="24"/>
          <w:szCs w:val="24"/>
          <w:lang w:val="es-ES_tradnl"/>
        </w:rPr>
        <w:t xml:space="preserve">los </w:t>
      </w:r>
      <w:r w:rsidRPr="00B007EA">
        <w:rPr>
          <w:rFonts w:ascii="Times New Roman" w:hAnsi="Times New Roman"/>
          <w:bCs/>
          <w:sz w:val="24"/>
          <w:szCs w:val="24"/>
          <w:lang w:val="es-ES_tradnl"/>
        </w:rPr>
        <w:t>datos obtenid</w:t>
      </w:r>
      <w:r w:rsidR="002A0175">
        <w:rPr>
          <w:rFonts w:ascii="Times New Roman" w:hAnsi="Times New Roman"/>
          <w:bCs/>
          <w:sz w:val="24"/>
          <w:szCs w:val="24"/>
          <w:lang w:val="es-ES_tradnl"/>
        </w:rPr>
        <w:t xml:space="preserve">os, </w:t>
      </w:r>
      <w:r w:rsidRPr="00B007EA">
        <w:rPr>
          <w:rFonts w:ascii="Times New Roman" w:hAnsi="Times New Roman"/>
          <w:bCs/>
          <w:sz w:val="24"/>
          <w:szCs w:val="24"/>
          <w:lang w:val="es-ES_tradnl"/>
        </w:rPr>
        <w:t>se aplicaron los procedimientos estadísticos y econométricos usuales que permitieron disponer de la medida de los impactos</w:t>
      </w:r>
      <w:r w:rsidR="002A0175">
        <w:rPr>
          <w:rFonts w:ascii="Times New Roman" w:hAnsi="Times New Roman"/>
          <w:bCs/>
          <w:sz w:val="24"/>
          <w:szCs w:val="24"/>
          <w:lang w:val="es-ES_tradnl"/>
        </w:rPr>
        <w:t xml:space="preserve"> de las inversiones</w:t>
      </w:r>
      <w:r w:rsidRPr="00B007EA">
        <w:rPr>
          <w:rFonts w:ascii="Times New Roman" w:hAnsi="Times New Roman"/>
          <w:bCs/>
          <w:sz w:val="24"/>
          <w:szCs w:val="24"/>
          <w:lang w:val="es-ES_tradnl"/>
        </w:rPr>
        <w:t xml:space="preserve"> sobre el valor de las propiedades de cada una de las variables de interés. </w:t>
      </w:r>
      <w:r w:rsidR="001200F7">
        <w:rPr>
          <w:rFonts w:ascii="Times New Roman" w:hAnsi="Times New Roman"/>
          <w:bCs/>
          <w:sz w:val="24"/>
          <w:szCs w:val="24"/>
          <w:lang w:val="es-ES_tradnl"/>
        </w:rPr>
        <w:t>E</w:t>
      </w:r>
      <w:r w:rsidR="001200F7" w:rsidRPr="001200F7">
        <w:rPr>
          <w:rFonts w:ascii="Times New Roman" w:hAnsi="Times New Roman"/>
          <w:bCs/>
          <w:sz w:val="24"/>
          <w:szCs w:val="24"/>
          <w:lang w:val="es-ES_tradnl"/>
        </w:rPr>
        <w:t xml:space="preserve">l </w:t>
      </w:r>
      <w:r w:rsidR="00CC1970">
        <w:rPr>
          <w:rFonts w:ascii="Times New Roman" w:hAnsi="Times New Roman"/>
          <w:bCs/>
          <w:sz w:val="24"/>
          <w:szCs w:val="24"/>
          <w:lang w:val="es-ES_tradnl"/>
        </w:rPr>
        <w:t>modelo seleccionado, con una especificación semilogarítmica</w:t>
      </w:r>
      <w:r w:rsidR="00CC1970" w:rsidRPr="00B007EA">
        <w:rPr>
          <w:rFonts w:ascii="Times New Roman" w:hAnsi="Times New Roman"/>
          <w:sz w:val="24"/>
          <w:szCs w:val="24"/>
          <w:vertAlign w:val="superscript"/>
        </w:rPr>
        <w:footnoteReference w:id="14"/>
      </w:r>
      <w:r w:rsidR="00CC1970">
        <w:rPr>
          <w:rFonts w:ascii="Times New Roman" w:hAnsi="Times New Roman"/>
          <w:bCs/>
          <w:sz w:val="24"/>
          <w:szCs w:val="24"/>
          <w:lang w:val="es-ES_tradnl"/>
        </w:rPr>
        <w:t xml:space="preserve">, mostró un </w:t>
      </w:r>
      <w:r w:rsidR="00CC1970" w:rsidRPr="00CC1970">
        <w:rPr>
          <w:rFonts w:ascii="Times New Roman" w:hAnsi="Times New Roman"/>
          <w:bCs/>
          <w:sz w:val="24"/>
          <w:szCs w:val="24"/>
          <w:lang w:val="es-ES_tradnl"/>
        </w:rPr>
        <w:t xml:space="preserve">ajuste global </w:t>
      </w:r>
      <w:r w:rsidR="00CC1970">
        <w:rPr>
          <w:rFonts w:ascii="Times New Roman" w:hAnsi="Times New Roman"/>
          <w:bCs/>
          <w:sz w:val="24"/>
          <w:szCs w:val="24"/>
          <w:lang w:val="es-ES_tradnl"/>
        </w:rPr>
        <w:t>r</w:t>
      </w:r>
      <w:r w:rsidR="00CC1970" w:rsidRPr="00CC1970">
        <w:rPr>
          <w:rFonts w:ascii="Times New Roman" w:hAnsi="Times New Roman"/>
          <w:bCs/>
          <w:sz w:val="24"/>
          <w:szCs w:val="24"/>
          <w:lang w:val="es-ES_tradnl"/>
        </w:rPr>
        <w:t>elativamente bueno</w:t>
      </w:r>
      <w:r w:rsidR="00CC1970">
        <w:rPr>
          <w:rFonts w:ascii="Times New Roman" w:hAnsi="Times New Roman"/>
          <w:bCs/>
          <w:sz w:val="24"/>
          <w:szCs w:val="24"/>
          <w:lang w:val="es-ES_tradnl"/>
        </w:rPr>
        <w:t xml:space="preserve"> y efectivo en términos estadístico</w:t>
      </w:r>
      <w:r w:rsidR="00CC1970" w:rsidRPr="00B007EA">
        <w:rPr>
          <w:rFonts w:ascii="Times New Roman" w:hAnsi="Times New Roman"/>
          <w:sz w:val="24"/>
          <w:szCs w:val="24"/>
          <w:vertAlign w:val="superscript"/>
        </w:rPr>
        <w:footnoteReference w:id="15"/>
      </w:r>
      <w:r>
        <w:rPr>
          <w:rFonts w:ascii="Times New Roman" w:hAnsi="Times New Roman"/>
          <w:bCs/>
          <w:sz w:val="24"/>
          <w:szCs w:val="24"/>
          <w:lang w:val="es-ES_tradnl"/>
        </w:rPr>
        <w:t xml:space="preserve">. </w:t>
      </w:r>
      <w:r w:rsidR="00CC4140">
        <w:rPr>
          <w:rFonts w:ascii="Times New Roman" w:hAnsi="Times New Roman"/>
          <w:bCs/>
          <w:sz w:val="24"/>
          <w:szCs w:val="24"/>
          <w:lang w:val="es-ES_tradnl"/>
        </w:rPr>
        <w:t>E</w:t>
      </w:r>
      <w:r>
        <w:rPr>
          <w:rFonts w:ascii="Times New Roman" w:hAnsi="Times New Roman"/>
          <w:bCs/>
          <w:sz w:val="24"/>
          <w:szCs w:val="24"/>
          <w:lang w:val="es-ES_tradnl"/>
        </w:rPr>
        <w:t xml:space="preserve">n </w:t>
      </w:r>
      <w:r w:rsidR="00CC4140">
        <w:rPr>
          <w:rFonts w:ascii="Times New Roman" w:hAnsi="Times New Roman"/>
          <w:bCs/>
          <w:sz w:val="24"/>
          <w:szCs w:val="24"/>
          <w:lang w:val="es-ES_tradnl"/>
        </w:rPr>
        <w:t>l</w:t>
      </w:r>
      <w:r w:rsidR="002A0175">
        <w:rPr>
          <w:rFonts w:ascii="Times New Roman" w:hAnsi="Times New Roman"/>
          <w:bCs/>
          <w:sz w:val="24"/>
          <w:szCs w:val="24"/>
          <w:lang w:val="es-ES_tradnl"/>
        </w:rPr>
        <w:t>a</w:t>
      </w:r>
      <w:r w:rsidR="00CC4140">
        <w:rPr>
          <w:rFonts w:ascii="Times New Roman" w:hAnsi="Times New Roman"/>
          <w:bCs/>
          <w:sz w:val="24"/>
          <w:szCs w:val="24"/>
          <w:lang w:val="es-ES_tradnl"/>
        </w:rPr>
        <w:t xml:space="preserve"> </w:t>
      </w:r>
      <w:r w:rsidR="002A0175">
        <w:rPr>
          <w:rFonts w:ascii="Times New Roman" w:hAnsi="Times New Roman"/>
          <w:bCs/>
          <w:sz w:val="24"/>
          <w:szCs w:val="24"/>
          <w:lang w:val="es-ES_tradnl"/>
        </w:rPr>
        <w:t xml:space="preserve">tabla </w:t>
      </w:r>
      <w:r w:rsidR="00CC4140">
        <w:rPr>
          <w:rFonts w:ascii="Times New Roman" w:hAnsi="Times New Roman"/>
          <w:bCs/>
          <w:sz w:val="24"/>
          <w:szCs w:val="24"/>
          <w:lang w:val="es-ES_tradnl"/>
        </w:rPr>
        <w:t xml:space="preserve">siguiente </w:t>
      </w:r>
      <w:r>
        <w:rPr>
          <w:rFonts w:ascii="Times New Roman" w:hAnsi="Times New Roman"/>
          <w:bCs/>
          <w:sz w:val="24"/>
          <w:szCs w:val="24"/>
          <w:lang w:val="es-ES_tradnl"/>
        </w:rPr>
        <w:t>s</w:t>
      </w:r>
      <w:r w:rsidRPr="00B007EA">
        <w:rPr>
          <w:rFonts w:ascii="Times New Roman" w:hAnsi="Times New Roman"/>
          <w:bCs/>
          <w:sz w:val="24"/>
          <w:szCs w:val="24"/>
          <w:lang w:val="es-ES_tradnl"/>
        </w:rPr>
        <w:t xml:space="preserve">e </w:t>
      </w:r>
      <w:r w:rsidR="002A0175">
        <w:rPr>
          <w:rFonts w:ascii="Times New Roman" w:hAnsi="Times New Roman"/>
          <w:bCs/>
          <w:sz w:val="24"/>
          <w:szCs w:val="24"/>
          <w:lang w:val="es-ES_tradnl"/>
        </w:rPr>
        <w:t xml:space="preserve">presenta </w:t>
      </w:r>
      <w:r w:rsidRPr="00B007EA">
        <w:rPr>
          <w:rFonts w:ascii="Times New Roman" w:hAnsi="Times New Roman"/>
          <w:bCs/>
          <w:sz w:val="24"/>
          <w:szCs w:val="24"/>
          <w:lang w:val="es-ES_tradnl"/>
        </w:rPr>
        <w:t>cada una de las variables que resultaron estadísticamente significativas incluyendo las relevantes para evaluar l</w:t>
      </w:r>
      <w:r w:rsidR="002A0175">
        <w:rPr>
          <w:rFonts w:ascii="Times New Roman" w:hAnsi="Times New Roman"/>
          <w:bCs/>
          <w:sz w:val="24"/>
          <w:szCs w:val="24"/>
          <w:lang w:val="es-ES_tradnl"/>
        </w:rPr>
        <w:t xml:space="preserve">as </w:t>
      </w:r>
      <w:r w:rsidRPr="00B007EA">
        <w:rPr>
          <w:rFonts w:ascii="Times New Roman" w:hAnsi="Times New Roman"/>
          <w:bCs/>
          <w:sz w:val="24"/>
          <w:szCs w:val="24"/>
          <w:lang w:val="es-ES_tradnl"/>
        </w:rPr>
        <w:t>distint</w:t>
      </w:r>
      <w:r w:rsidR="002A0175">
        <w:rPr>
          <w:rFonts w:ascii="Times New Roman" w:hAnsi="Times New Roman"/>
          <w:bCs/>
          <w:sz w:val="24"/>
          <w:szCs w:val="24"/>
          <w:lang w:val="es-ES_tradnl"/>
        </w:rPr>
        <w:t>as acciones del programa</w:t>
      </w:r>
      <w:r w:rsidRPr="00B007EA">
        <w:rPr>
          <w:rFonts w:ascii="Times New Roman" w:hAnsi="Times New Roman"/>
          <w:bCs/>
          <w:sz w:val="24"/>
          <w:szCs w:val="24"/>
          <w:lang w:val="es-ES_tradnl"/>
        </w:rPr>
        <w:t xml:space="preserve">. Junto a cada variable se indica el coeficiente de la respectiva ecuación hedónica, cuya variable dependiente es el logaritmo natural del precio de la propiedad, así como la desviación estándar de este coeficiente y el valor promedio observado para cada </w:t>
      </w:r>
      <w:r w:rsidRPr="00B007EA">
        <w:rPr>
          <w:rFonts w:ascii="Times New Roman" w:hAnsi="Times New Roman"/>
          <w:bCs/>
          <w:sz w:val="24"/>
          <w:szCs w:val="24"/>
          <w:lang w:val="es-ES_tradnl"/>
        </w:rPr>
        <w:lastRenderedPageBreak/>
        <w:t xml:space="preserve">variable. </w:t>
      </w:r>
      <w:r>
        <w:rPr>
          <w:rFonts w:ascii="Times New Roman" w:hAnsi="Times New Roman"/>
          <w:bCs/>
          <w:sz w:val="24"/>
          <w:szCs w:val="24"/>
          <w:lang w:val="es-ES_tradnl"/>
        </w:rPr>
        <w:t>La última columna muestra l</w:t>
      </w:r>
      <w:r w:rsidR="004661C2">
        <w:rPr>
          <w:rFonts w:ascii="Times New Roman" w:hAnsi="Times New Roman"/>
          <w:bCs/>
          <w:sz w:val="24"/>
          <w:szCs w:val="24"/>
          <w:lang w:val="es-ES_tradnl"/>
        </w:rPr>
        <w:t>os efectos marginales de cada una de las</w:t>
      </w:r>
      <w:r>
        <w:rPr>
          <w:rFonts w:ascii="Times New Roman" w:hAnsi="Times New Roman"/>
          <w:bCs/>
          <w:sz w:val="24"/>
          <w:szCs w:val="24"/>
          <w:lang w:val="es-ES_tradnl"/>
        </w:rPr>
        <w:t xml:space="preserve"> variables relevantes</w:t>
      </w:r>
      <w:r w:rsidR="004661C2">
        <w:rPr>
          <w:rFonts w:ascii="Times New Roman" w:hAnsi="Times New Roman"/>
          <w:bCs/>
          <w:sz w:val="24"/>
          <w:szCs w:val="24"/>
          <w:lang w:val="es-ES_tradnl"/>
        </w:rPr>
        <w:t xml:space="preserve"> para el programa</w:t>
      </w:r>
      <w:r>
        <w:rPr>
          <w:rFonts w:ascii="Times New Roman" w:hAnsi="Times New Roman"/>
          <w:bCs/>
          <w:sz w:val="24"/>
          <w:szCs w:val="24"/>
          <w:lang w:val="es-ES_tradnl"/>
        </w:rPr>
        <w:t>.</w:t>
      </w:r>
    </w:p>
    <w:p w:rsidR="00B007EA" w:rsidRPr="00857903" w:rsidRDefault="00B007EA" w:rsidP="00857903">
      <w:pPr>
        <w:rPr>
          <w:rFonts w:ascii="Times New Roman" w:hAnsi="Times New Roman"/>
          <w:bCs/>
          <w:sz w:val="24"/>
          <w:szCs w:val="24"/>
          <w:lang w:val="es-ES_tradnl"/>
        </w:rPr>
      </w:pPr>
    </w:p>
    <w:p w:rsidR="001D1469" w:rsidRPr="00D70CC7" w:rsidRDefault="00857903" w:rsidP="00D70CC7">
      <w:pPr>
        <w:pStyle w:val="ListParagraph"/>
        <w:jc w:val="center"/>
        <w:rPr>
          <w:rFonts w:ascii="Times New Roman" w:hAnsi="Times New Roman"/>
          <w:b/>
          <w:lang w:val="es-ES_tradnl"/>
        </w:rPr>
      </w:pPr>
      <w:r w:rsidRPr="00D70CC7">
        <w:rPr>
          <w:rFonts w:ascii="Times New Roman" w:hAnsi="Times New Roman"/>
          <w:b/>
          <w:lang w:val="es-ES_tradnl"/>
        </w:rPr>
        <w:t xml:space="preserve">Tabla I. Resultados Finales del Modelo de Precios Hedónicos </w:t>
      </w:r>
    </w:p>
    <w:tbl>
      <w:tblPr>
        <w:tblStyle w:val="TableGrid"/>
        <w:tblW w:w="889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077"/>
        <w:gridCol w:w="1418"/>
        <w:gridCol w:w="992"/>
        <w:gridCol w:w="1276"/>
        <w:gridCol w:w="1134"/>
      </w:tblGrid>
      <w:tr w:rsidR="00B9638D" w:rsidRPr="00B9638D" w:rsidTr="007F3787">
        <w:tc>
          <w:tcPr>
            <w:tcW w:w="4077" w:type="dxa"/>
          </w:tcPr>
          <w:p w:rsidR="00B9638D" w:rsidRPr="00857903" w:rsidRDefault="00B9638D" w:rsidP="00857903">
            <w:pPr>
              <w:autoSpaceDE w:val="0"/>
              <w:autoSpaceDN w:val="0"/>
              <w:adjustRightInd w:val="0"/>
              <w:jc w:val="center"/>
              <w:rPr>
                <w:rFonts w:ascii="Times New Roman" w:hAnsi="Times New Roman"/>
                <w:bCs/>
                <w:lang w:val="es-AR"/>
              </w:rPr>
            </w:pPr>
            <w:r w:rsidRPr="00857903">
              <w:rPr>
                <w:rFonts w:ascii="Times New Roman" w:hAnsi="Times New Roman"/>
                <w:bCs/>
                <w:lang w:val="es-AR"/>
              </w:rPr>
              <w:t>Variable</w:t>
            </w:r>
          </w:p>
        </w:tc>
        <w:tc>
          <w:tcPr>
            <w:tcW w:w="1418" w:type="dxa"/>
          </w:tcPr>
          <w:p w:rsidR="00B9638D" w:rsidRPr="00857903" w:rsidRDefault="00B9638D" w:rsidP="00857903">
            <w:pPr>
              <w:autoSpaceDE w:val="0"/>
              <w:autoSpaceDN w:val="0"/>
              <w:adjustRightInd w:val="0"/>
              <w:jc w:val="center"/>
              <w:rPr>
                <w:rFonts w:ascii="Times New Roman" w:hAnsi="Times New Roman"/>
                <w:lang w:val="es-AR"/>
              </w:rPr>
            </w:pPr>
            <w:r w:rsidRPr="00857903">
              <w:rPr>
                <w:rFonts w:ascii="Times New Roman" w:hAnsi="Times New Roman"/>
                <w:lang w:val="es-AR"/>
              </w:rPr>
              <w:t>Coeficiente</w:t>
            </w:r>
          </w:p>
        </w:tc>
        <w:tc>
          <w:tcPr>
            <w:tcW w:w="992" w:type="dxa"/>
          </w:tcPr>
          <w:p w:rsidR="00B9638D" w:rsidRPr="00857903" w:rsidRDefault="00857903" w:rsidP="00857903">
            <w:pPr>
              <w:autoSpaceDE w:val="0"/>
              <w:autoSpaceDN w:val="0"/>
              <w:adjustRightInd w:val="0"/>
              <w:jc w:val="center"/>
              <w:rPr>
                <w:rFonts w:ascii="Times New Roman" w:hAnsi="Times New Roman"/>
                <w:lang w:val="es-AR"/>
              </w:rPr>
            </w:pPr>
            <w:r w:rsidRPr="00857903">
              <w:rPr>
                <w:rFonts w:ascii="Times New Roman" w:hAnsi="Times New Roman"/>
                <w:lang w:val="es-AR"/>
              </w:rPr>
              <w:t>Desvío</w:t>
            </w:r>
            <w:r w:rsidR="00B9638D" w:rsidRPr="00857903">
              <w:rPr>
                <w:rFonts w:ascii="Times New Roman" w:hAnsi="Times New Roman"/>
                <w:lang w:val="es-AR"/>
              </w:rPr>
              <w:t xml:space="preserve"> </w:t>
            </w:r>
            <w:r w:rsidRPr="00857903">
              <w:rPr>
                <w:rFonts w:ascii="Times New Roman" w:hAnsi="Times New Roman"/>
                <w:lang w:val="es-AR"/>
              </w:rPr>
              <w:t>Estándar</w:t>
            </w:r>
          </w:p>
        </w:tc>
        <w:tc>
          <w:tcPr>
            <w:tcW w:w="1276" w:type="dxa"/>
          </w:tcPr>
          <w:p w:rsidR="00B9638D" w:rsidRPr="00857903" w:rsidRDefault="00B9638D" w:rsidP="00857903">
            <w:pPr>
              <w:autoSpaceDE w:val="0"/>
              <w:autoSpaceDN w:val="0"/>
              <w:adjustRightInd w:val="0"/>
              <w:jc w:val="center"/>
              <w:rPr>
                <w:rFonts w:ascii="Times New Roman" w:hAnsi="Times New Roman"/>
                <w:lang w:val="es-AR"/>
              </w:rPr>
            </w:pPr>
            <w:r w:rsidRPr="00857903">
              <w:rPr>
                <w:rFonts w:ascii="Times New Roman" w:hAnsi="Times New Roman"/>
                <w:lang w:val="es-AR"/>
              </w:rPr>
              <w:t>Valor Medio de la Variable</w:t>
            </w:r>
          </w:p>
        </w:tc>
        <w:tc>
          <w:tcPr>
            <w:tcW w:w="1134" w:type="dxa"/>
            <w:tcBorders>
              <w:bottom w:val="single" w:sz="4" w:space="0" w:color="auto"/>
            </w:tcBorders>
            <w:shd w:val="clear" w:color="auto" w:fill="F2F2F2" w:themeFill="background1" w:themeFillShade="F2"/>
            <w:vAlign w:val="bottom"/>
          </w:tcPr>
          <w:p w:rsidR="00B9638D" w:rsidRPr="00857903" w:rsidRDefault="00857903" w:rsidP="00857903">
            <w:pPr>
              <w:jc w:val="center"/>
              <w:rPr>
                <w:rFonts w:ascii="Times New Roman" w:hAnsi="Times New Roman"/>
                <w:lang w:val="es-AR"/>
              </w:rPr>
            </w:pPr>
            <w:r w:rsidRPr="00857903">
              <w:rPr>
                <w:rFonts w:ascii="Times New Roman" w:hAnsi="Times New Roman"/>
                <w:lang w:val="es-AR"/>
              </w:rPr>
              <w:t>Incidencia sobre el Valor</w:t>
            </w:r>
          </w:p>
        </w:tc>
      </w:tr>
      <w:tr w:rsidR="00B9638D" w:rsidRPr="00B9638D" w:rsidTr="007F3787">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Constante de la Ecuación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8,027049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0,13693 </w:t>
            </w:r>
          </w:p>
        </w:tc>
        <w:tc>
          <w:tcPr>
            <w:tcW w:w="1276"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1</w:t>
            </w:r>
          </w:p>
        </w:tc>
        <w:tc>
          <w:tcPr>
            <w:tcW w:w="1134" w:type="dxa"/>
            <w:shd w:val="clear" w:color="auto" w:fill="FFFFFF" w:themeFill="background1"/>
            <w:vAlign w:val="center"/>
          </w:tcPr>
          <w:p w:rsidR="00B9638D" w:rsidRPr="00857903" w:rsidRDefault="00B9638D" w:rsidP="00857903">
            <w:pPr>
              <w:jc w:val="right"/>
              <w:rPr>
                <w:rFonts w:ascii="Times New Roman" w:hAnsi="Times New Roman"/>
              </w:rPr>
            </w:pPr>
          </w:p>
        </w:tc>
      </w:tr>
      <w:tr w:rsidR="00B9638D" w:rsidRPr="00B9638D" w:rsidTr="00857903">
        <w:tc>
          <w:tcPr>
            <w:tcW w:w="4077" w:type="dxa"/>
          </w:tcPr>
          <w:p w:rsidR="00B9638D" w:rsidRPr="00857903" w:rsidRDefault="00B9638D" w:rsidP="007F3787">
            <w:pPr>
              <w:autoSpaceDE w:val="0"/>
              <w:autoSpaceDN w:val="0"/>
              <w:adjustRightInd w:val="0"/>
              <w:rPr>
                <w:rFonts w:ascii="Times New Roman" w:hAnsi="Times New Roman"/>
                <w:bCs/>
                <w:lang w:val="es-AR"/>
              </w:rPr>
            </w:pPr>
            <w:r w:rsidRPr="00857903">
              <w:rPr>
                <w:rFonts w:ascii="Times New Roman" w:hAnsi="Times New Roman"/>
                <w:bCs/>
                <w:lang w:val="es-AR"/>
              </w:rPr>
              <w:t xml:space="preserve">Acceso con Calle entre 6 a 8 mts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0,339572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0,26312 </w:t>
            </w:r>
          </w:p>
        </w:tc>
        <w:tc>
          <w:tcPr>
            <w:tcW w:w="1276" w:type="dxa"/>
            <w:vAlign w:val="center"/>
          </w:tcPr>
          <w:p w:rsidR="00B9638D" w:rsidRPr="00857903" w:rsidRDefault="00B9638D" w:rsidP="007F3787">
            <w:pPr>
              <w:autoSpaceDE w:val="0"/>
              <w:autoSpaceDN w:val="0"/>
              <w:adjustRightInd w:val="0"/>
              <w:jc w:val="right"/>
              <w:rPr>
                <w:rFonts w:ascii="Times New Roman" w:hAnsi="Times New Roman"/>
                <w:lang w:val="es-AR"/>
              </w:rPr>
            </w:pPr>
            <w:r w:rsidRPr="00857903">
              <w:rPr>
                <w:rFonts w:ascii="Times New Roman" w:hAnsi="Times New Roman"/>
                <w:lang w:val="es-AR"/>
              </w:rPr>
              <w:t>0,9</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35,66%</w:t>
            </w:r>
          </w:p>
        </w:tc>
      </w:tr>
      <w:tr w:rsidR="00B9638D" w:rsidRPr="00B9638D" w:rsidTr="00857903">
        <w:tc>
          <w:tcPr>
            <w:tcW w:w="4077" w:type="dxa"/>
          </w:tcPr>
          <w:p w:rsidR="00B9638D" w:rsidRPr="00857903" w:rsidRDefault="00B9638D" w:rsidP="007F3787">
            <w:pPr>
              <w:autoSpaceDE w:val="0"/>
              <w:autoSpaceDN w:val="0"/>
              <w:adjustRightInd w:val="0"/>
              <w:rPr>
                <w:rFonts w:ascii="Times New Roman" w:hAnsi="Times New Roman"/>
                <w:bCs/>
                <w:lang w:val="es-AR"/>
              </w:rPr>
            </w:pPr>
            <w:r w:rsidRPr="00857903">
              <w:rPr>
                <w:rFonts w:ascii="Times New Roman" w:hAnsi="Times New Roman"/>
                <w:bCs/>
                <w:lang w:val="es-AR"/>
              </w:rPr>
              <w:t xml:space="preserve">Inundación del Barrio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-0,241779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0,06507 </w:t>
            </w:r>
          </w:p>
        </w:tc>
        <w:tc>
          <w:tcPr>
            <w:tcW w:w="1276"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19,9</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27,08%</w:t>
            </w:r>
          </w:p>
        </w:tc>
      </w:tr>
      <w:tr w:rsidR="00B9638D" w:rsidRPr="00B9638D" w:rsidTr="00857903">
        <w:tc>
          <w:tcPr>
            <w:tcW w:w="4077" w:type="dxa"/>
          </w:tcPr>
          <w:p w:rsidR="00B9638D" w:rsidRPr="00857903" w:rsidRDefault="00B9638D" w:rsidP="007F3787">
            <w:pPr>
              <w:autoSpaceDE w:val="0"/>
              <w:autoSpaceDN w:val="0"/>
              <w:adjustRightInd w:val="0"/>
              <w:rPr>
                <w:rFonts w:ascii="Times New Roman" w:hAnsi="Times New Roman"/>
                <w:bCs/>
                <w:lang w:val="es-AR"/>
              </w:rPr>
            </w:pPr>
            <w:r w:rsidRPr="00857903">
              <w:rPr>
                <w:rFonts w:ascii="Times New Roman" w:hAnsi="Times New Roman"/>
                <w:bCs/>
                <w:lang w:val="es-AR"/>
              </w:rPr>
              <w:t xml:space="preserve">Inunda </w:t>
            </w:r>
            <w:r w:rsidR="00857903" w:rsidRPr="00857903">
              <w:rPr>
                <w:rFonts w:ascii="Times New Roman" w:hAnsi="Times New Roman"/>
                <w:bCs/>
                <w:lang w:val="es-AR"/>
              </w:rPr>
              <w:t>Vivienda</w:t>
            </w:r>
            <w:r w:rsidRPr="00857903">
              <w:rPr>
                <w:rFonts w:ascii="Times New Roman" w:hAnsi="Times New Roman"/>
                <w:bCs/>
                <w:lang w:val="es-AR"/>
              </w:rPr>
              <w:t xml:space="preserve"> totalmente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-0,346131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0,12987</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4,5</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40,17%</w:t>
            </w:r>
          </w:p>
        </w:tc>
      </w:tr>
      <w:tr w:rsidR="00B9638D" w:rsidRPr="00B9638D" w:rsidTr="00857903">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No dispone de Red de Agua Potable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-0,531014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0,18941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2,0</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67,04%</w:t>
            </w:r>
          </w:p>
        </w:tc>
      </w:tr>
      <w:tr w:rsidR="00B9638D" w:rsidRPr="00B9638D" w:rsidTr="00857903">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Dispone de Baño con cisterna que funciona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0,283751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0,06610</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70,7</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32,52%</w:t>
            </w:r>
          </w:p>
        </w:tc>
      </w:tr>
      <w:tr w:rsidR="00B9638D" w:rsidRPr="00B9638D" w:rsidTr="00857903">
        <w:tc>
          <w:tcPr>
            <w:tcW w:w="4077" w:type="dxa"/>
          </w:tcPr>
          <w:p w:rsidR="00B9638D" w:rsidRPr="00857903" w:rsidRDefault="00857903" w:rsidP="00DC5E6A">
            <w:pPr>
              <w:autoSpaceDE w:val="0"/>
              <w:autoSpaceDN w:val="0"/>
              <w:adjustRightInd w:val="0"/>
              <w:rPr>
                <w:rFonts w:ascii="Times New Roman" w:hAnsi="Times New Roman"/>
                <w:bCs/>
                <w:lang w:val="es-AR"/>
              </w:rPr>
            </w:pPr>
            <w:r w:rsidRPr="00857903">
              <w:rPr>
                <w:rFonts w:ascii="Times New Roman" w:hAnsi="Times New Roman"/>
                <w:bCs/>
                <w:lang w:val="es-AR"/>
              </w:rPr>
              <w:t>Evacuación</w:t>
            </w:r>
            <w:r w:rsidR="00B9638D" w:rsidRPr="00857903">
              <w:rPr>
                <w:rFonts w:ascii="Times New Roman" w:hAnsi="Times New Roman"/>
                <w:bCs/>
                <w:lang w:val="es-AR"/>
              </w:rPr>
              <w:t xml:space="preserve"> de Baño: Red o Pozo Negro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0,371977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0,07521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81,9</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44,65%</w:t>
            </w:r>
          </w:p>
        </w:tc>
      </w:tr>
      <w:tr w:rsidR="00B9638D" w:rsidRPr="00B9638D" w:rsidTr="00857903">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Red </w:t>
            </w:r>
            <w:r w:rsidR="00857903" w:rsidRPr="00857903">
              <w:rPr>
                <w:rFonts w:ascii="Times New Roman" w:hAnsi="Times New Roman"/>
                <w:bCs/>
                <w:lang w:val="es-AR"/>
              </w:rPr>
              <w:t>Eléctrica</w:t>
            </w:r>
            <w:r w:rsidRPr="00857903">
              <w:rPr>
                <w:rFonts w:ascii="Times New Roman" w:hAnsi="Times New Roman"/>
                <w:bCs/>
                <w:lang w:val="es-AR"/>
              </w:rPr>
              <w:t xml:space="preserve">: No existe o Muy Mala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-0,146505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0,08890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10,2</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15,32%</w:t>
            </w:r>
          </w:p>
        </w:tc>
      </w:tr>
      <w:tr w:rsidR="00B9638D" w:rsidRPr="00B9638D" w:rsidTr="00857903">
        <w:tc>
          <w:tcPr>
            <w:tcW w:w="4077" w:type="dxa"/>
          </w:tcPr>
          <w:p w:rsidR="00B9638D" w:rsidRPr="00857903" w:rsidRDefault="00B9638D" w:rsidP="007F3787">
            <w:pPr>
              <w:autoSpaceDE w:val="0"/>
              <w:autoSpaceDN w:val="0"/>
              <w:adjustRightInd w:val="0"/>
              <w:rPr>
                <w:rFonts w:ascii="Times New Roman" w:hAnsi="Times New Roman"/>
                <w:bCs/>
                <w:lang w:val="es-AR"/>
              </w:rPr>
            </w:pPr>
            <w:r w:rsidRPr="00857903">
              <w:rPr>
                <w:rFonts w:ascii="Times New Roman" w:hAnsi="Times New Roman"/>
                <w:bCs/>
                <w:lang w:val="es-AR"/>
              </w:rPr>
              <w:t xml:space="preserve">Alumbrado Público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-0,155441</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 0,06810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16,5</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16,55%</w:t>
            </w:r>
          </w:p>
        </w:tc>
      </w:tr>
      <w:tr w:rsidR="00B9638D" w:rsidRPr="00B9638D" w:rsidTr="007F3787">
        <w:tc>
          <w:tcPr>
            <w:tcW w:w="4077" w:type="dxa"/>
          </w:tcPr>
          <w:p w:rsidR="00B9638D" w:rsidRPr="00857903" w:rsidRDefault="00B9638D" w:rsidP="007F3787">
            <w:pPr>
              <w:autoSpaceDE w:val="0"/>
              <w:autoSpaceDN w:val="0"/>
              <w:adjustRightInd w:val="0"/>
              <w:rPr>
                <w:rFonts w:ascii="Times New Roman" w:hAnsi="Times New Roman"/>
                <w:bCs/>
                <w:lang w:val="es-AR"/>
              </w:rPr>
            </w:pPr>
            <w:r w:rsidRPr="00857903">
              <w:rPr>
                <w:rFonts w:ascii="Times New Roman" w:hAnsi="Times New Roman"/>
                <w:bCs/>
                <w:lang w:val="es-AR"/>
              </w:rPr>
              <w:t xml:space="preserve">Cantidad de Equipamiento social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0,031703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0,01693 </w:t>
            </w:r>
          </w:p>
        </w:tc>
        <w:tc>
          <w:tcPr>
            <w:tcW w:w="1276"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2,09</w:t>
            </w:r>
          </w:p>
        </w:tc>
        <w:tc>
          <w:tcPr>
            <w:tcW w:w="1134" w:type="dxa"/>
            <w:tcBorders>
              <w:bottom w:val="single" w:sz="4" w:space="0" w:color="auto"/>
            </w:tcBorders>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3,17%</w:t>
            </w:r>
          </w:p>
        </w:tc>
      </w:tr>
      <w:tr w:rsidR="00B9638D" w:rsidRPr="00B9638D" w:rsidTr="007F3787">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Servicio de </w:t>
            </w:r>
            <w:r w:rsidR="00857903" w:rsidRPr="00857903">
              <w:rPr>
                <w:rFonts w:ascii="Times New Roman" w:hAnsi="Times New Roman"/>
                <w:bCs/>
                <w:lang w:val="es-AR"/>
              </w:rPr>
              <w:t>Recolección</w:t>
            </w:r>
            <w:r w:rsidRPr="00857903">
              <w:rPr>
                <w:rFonts w:ascii="Times New Roman" w:hAnsi="Times New Roman"/>
                <w:bCs/>
                <w:lang w:val="es-AR"/>
              </w:rPr>
              <w:t xml:space="preserve"> Residuos Solidos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0,190758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0,07143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83,0</w:t>
            </w:r>
          </w:p>
        </w:tc>
        <w:tc>
          <w:tcPr>
            <w:tcW w:w="1134" w:type="dxa"/>
            <w:shd w:val="clear" w:color="auto" w:fill="FFFFFF" w:themeFill="background1"/>
            <w:vAlign w:val="center"/>
          </w:tcPr>
          <w:p w:rsidR="00B9638D" w:rsidRPr="00857903" w:rsidRDefault="00B9638D" w:rsidP="00857903">
            <w:pPr>
              <w:jc w:val="right"/>
              <w:rPr>
                <w:rFonts w:ascii="Times New Roman" w:hAnsi="Times New Roman"/>
              </w:rPr>
            </w:pPr>
          </w:p>
        </w:tc>
      </w:tr>
      <w:tr w:rsidR="00B9638D" w:rsidRPr="00B9638D" w:rsidTr="007F3787">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Material del Piso : solo contrapiso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-0,264795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0,06602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19,4</w:t>
            </w:r>
          </w:p>
        </w:tc>
        <w:tc>
          <w:tcPr>
            <w:tcW w:w="1134" w:type="dxa"/>
            <w:shd w:val="clear" w:color="auto" w:fill="FFFFFF" w:themeFill="background1"/>
            <w:vAlign w:val="center"/>
          </w:tcPr>
          <w:p w:rsidR="00B9638D" w:rsidRPr="00857903" w:rsidRDefault="00B9638D" w:rsidP="00857903">
            <w:pPr>
              <w:jc w:val="right"/>
              <w:rPr>
                <w:rFonts w:ascii="Times New Roman" w:hAnsi="Times New Roman"/>
              </w:rPr>
            </w:pPr>
          </w:p>
        </w:tc>
      </w:tr>
      <w:tr w:rsidR="00B9638D" w:rsidRPr="00B9638D" w:rsidTr="007F3787">
        <w:tc>
          <w:tcPr>
            <w:tcW w:w="4077" w:type="dxa"/>
          </w:tcPr>
          <w:p w:rsidR="00B9638D" w:rsidRPr="003B3E23" w:rsidRDefault="00B9638D" w:rsidP="00747085">
            <w:pPr>
              <w:autoSpaceDE w:val="0"/>
              <w:autoSpaceDN w:val="0"/>
              <w:adjustRightInd w:val="0"/>
              <w:rPr>
                <w:rFonts w:ascii="Times New Roman" w:hAnsi="Times New Roman"/>
                <w:bCs/>
                <w:lang w:val="pt-BR"/>
              </w:rPr>
            </w:pPr>
            <w:r w:rsidRPr="003B3E23">
              <w:rPr>
                <w:rFonts w:ascii="Times New Roman" w:hAnsi="Times New Roman"/>
                <w:bCs/>
                <w:lang w:val="pt-BR"/>
              </w:rPr>
              <w:t>Paredes Exteriores : s</w:t>
            </w:r>
            <w:r w:rsidR="00747085" w:rsidRPr="003B3E23">
              <w:rPr>
                <w:rFonts w:ascii="Times New Roman" w:hAnsi="Times New Roman"/>
                <w:bCs/>
                <w:lang w:val="pt-BR"/>
              </w:rPr>
              <w:t>/</w:t>
            </w:r>
            <w:r w:rsidRPr="003B3E23">
              <w:rPr>
                <w:rFonts w:ascii="Times New Roman" w:hAnsi="Times New Roman"/>
                <w:bCs/>
                <w:lang w:val="pt-BR"/>
              </w:rPr>
              <w:t xml:space="preserve">revest o material liviano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-0,094686</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0,05625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56,0</w:t>
            </w:r>
          </w:p>
        </w:tc>
        <w:tc>
          <w:tcPr>
            <w:tcW w:w="1134" w:type="dxa"/>
            <w:shd w:val="clear" w:color="auto" w:fill="FFFFFF" w:themeFill="background1"/>
            <w:vAlign w:val="center"/>
          </w:tcPr>
          <w:p w:rsidR="00B9638D" w:rsidRPr="00857903" w:rsidRDefault="00B9638D" w:rsidP="00857903">
            <w:pPr>
              <w:jc w:val="right"/>
              <w:rPr>
                <w:rFonts w:ascii="Times New Roman" w:hAnsi="Times New Roman"/>
              </w:rPr>
            </w:pPr>
          </w:p>
        </w:tc>
      </w:tr>
      <w:tr w:rsidR="00B9638D" w:rsidRPr="00B9638D" w:rsidTr="007F3787">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Material del Techo: Material liviano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-0,360770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0,05765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61,7</w:t>
            </w:r>
          </w:p>
        </w:tc>
        <w:tc>
          <w:tcPr>
            <w:tcW w:w="1134" w:type="dxa"/>
            <w:shd w:val="clear" w:color="auto" w:fill="FFFFFF" w:themeFill="background1"/>
            <w:vAlign w:val="center"/>
          </w:tcPr>
          <w:p w:rsidR="00B9638D" w:rsidRPr="00857903" w:rsidRDefault="00B9638D" w:rsidP="00857903">
            <w:pPr>
              <w:jc w:val="right"/>
              <w:rPr>
                <w:rFonts w:ascii="Times New Roman" w:hAnsi="Times New Roman"/>
              </w:rPr>
            </w:pPr>
          </w:p>
        </w:tc>
      </w:tr>
      <w:tr w:rsidR="00B9638D" w:rsidRPr="00B9638D" w:rsidTr="007F3787">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Total de Dormitorios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0,230973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0,03778 </w:t>
            </w:r>
          </w:p>
        </w:tc>
        <w:tc>
          <w:tcPr>
            <w:tcW w:w="1276"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1,87</w:t>
            </w:r>
          </w:p>
        </w:tc>
        <w:tc>
          <w:tcPr>
            <w:tcW w:w="1134" w:type="dxa"/>
            <w:shd w:val="clear" w:color="auto" w:fill="FFFFFF" w:themeFill="background1"/>
            <w:vAlign w:val="center"/>
          </w:tcPr>
          <w:p w:rsidR="00B9638D" w:rsidRPr="00857903" w:rsidRDefault="00B9638D" w:rsidP="00857903">
            <w:pPr>
              <w:jc w:val="right"/>
              <w:rPr>
                <w:rFonts w:ascii="Times New Roman" w:hAnsi="Times New Roman"/>
              </w:rPr>
            </w:pPr>
          </w:p>
        </w:tc>
      </w:tr>
      <w:tr w:rsidR="00B9638D" w:rsidRPr="00B9638D" w:rsidTr="00857903">
        <w:tc>
          <w:tcPr>
            <w:tcW w:w="4077" w:type="dxa"/>
          </w:tcPr>
          <w:p w:rsidR="00B9638D" w:rsidRPr="00857903" w:rsidRDefault="00B9638D" w:rsidP="00DC5E6A">
            <w:pPr>
              <w:autoSpaceDE w:val="0"/>
              <w:autoSpaceDN w:val="0"/>
              <w:adjustRightInd w:val="0"/>
              <w:rPr>
                <w:rFonts w:ascii="Times New Roman" w:hAnsi="Times New Roman"/>
                <w:bCs/>
                <w:lang w:val="es-AR"/>
              </w:rPr>
            </w:pPr>
            <w:r w:rsidRPr="00857903">
              <w:rPr>
                <w:rFonts w:ascii="Times New Roman" w:hAnsi="Times New Roman"/>
                <w:bCs/>
                <w:lang w:val="es-AR"/>
              </w:rPr>
              <w:t xml:space="preserve">Propietario del Terreno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0,133573 </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0,05767 </w:t>
            </w:r>
          </w:p>
        </w:tc>
        <w:tc>
          <w:tcPr>
            <w:tcW w:w="1276" w:type="dxa"/>
            <w:vAlign w:val="center"/>
          </w:tcPr>
          <w:p w:rsidR="00B9638D" w:rsidRPr="00857903" w:rsidRDefault="007F3787" w:rsidP="00857903">
            <w:pPr>
              <w:autoSpaceDE w:val="0"/>
              <w:autoSpaceDN w:val="0"/>
              <w:adjustRightInd w:val="0"/>
              <w:jc w:val="right"/>
              <w:rPr>
                <w:rFonts w:ascii="Times New Roman" w:hAnsi="Times New Roman"/>
                <w:lang w:val="es-AR"/>
              </w:rPr>
            </w:pPr>
            <w:r>
              <w:rPr>
                <w:rFonts w:ascii="Times New Roman" w:hAnsi="Times New Roman"/>
                <w:lang w:val="es-AR"/>
              </w:rPr>
              <w:t>28,6</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r w:rsidRPr="00857903">
              <w:rPr>
                <w:rFonts w:ascii="Times New Roman" w:hAnsi="Times New Roman"/>
              </w:rPr>
              <w:t>14,10%</w:t>
            </w:r>
          </w:p>
        </w:tc>
      </w:tr>
      <w:tr w:rsidR="00B9638D" w:rsidRPr="00B9638D" w:rsidTr="00857903">
        <w:tc>
          <w:tcPr>
            <w:tcW w:w="4077" w:type="dxa"/>
          </w:tcPr>
          <w:p w:rsidR="00B9638D" w:rsidRPr="00857903" w:rsidRDefault="00B9638D" w:rsidP="007F3787">
            <w:pPr>
              <w:autoSpaceDE w:val="0"/>
              <w:autoSpaceDN w:val="0"/>
              <w:adjustRightInd w:val="0"/>
              <w:jc w:val="both"/>
              <w:rPr>
                <w:rFonts w:ascii="Times New Roman" w:hAnsi="Times New Roman"/>
                <w:bCs/>
                <w:lang w:val="es-AR"/>
              </w:rPr>
            </w:pPr>
            <w:r w:rsidRPr="00857903">
              <w:rPr>
                <w:rFonts w:ascii="Times New Roman" w:hAnsi="Times New Roman"/>
                <w:bCs/>
                <w:lang w:val="es-AR"/>
              </w:rPr>
              <w:t xml:space="preserve">Unidad Monetaria </w:t>
            </w:r>
          </w:p>
        </w:tc>
        <w:tc>
          <w:tcPr>
            <w:tcW w:w="1418"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-1,173193</w:t>
            </w:r>
          </w:p>
        </w:tc>
        <w:tc>
          <w:tcPr>
            <w:tcW w:w="992" w:type="dxa"/>
            <w:vAlign w:val="center"/>
          </w:tcPr>
          <w:p w:rsidR="00B9638D" w:rsidRPr="00857903" w:rsidRDefault="00B9638D" w:rsidP="00857903">
            <w:pPr>
              <w:autoSpaceDE w:val="0"/>
              <w:autoSpaceDN w:val="0"/>
              <w:adjustRightInd w:val="0"/>
              <w:jc w:val="right"/>
              <w:rPr>
                <w:rFonts w:ascii="Times New Roman" w:hAnsi="Times New Roman"/>
                <w:lang w:val="es-AR"/>
              </w:rPr>
            </w:pPr>
            <w:r w:rsidRPr="00857903">
              <w:rPr>
                <w:rFonts w:ascii="Times New Roman" w:hAnsi="Times New Roman"/>
                <w:lang w:val="es-AR"/>
              </w:rPr>
              <w:t xml:space="preserve"> 0,05642 </w:t>
            </w:r>
          </w:p>
        </w:tc>
        <w:tc>
          <w:tcPr>
            <w:tcW w:w="1276" w:type="dxa"/>
            <w:vAlign w:val="center"/>
          </w:tcPr>
          <w:p w:rsidR="00B9638D" w:rsidRPr="00857903" w:rsidRDefault="00B9638D" w:rsidP="00857903">
            <w:pPr>
              <w:autoSpaceDE w:val="0"/>
              <w:autoSpaceDN w:val="0"/>
              <w:adjustRightInd w:val="0"/>
              <w:jc w:val="right"/>
              <w:rPr>
                <w:rFonts w:ascii="Times New Roman" w:hAnsi="Times New Roman"/>
                <w:bCs/>
                <w:lang w:val="es-ES_tradnl"/>
              </w:rPr>
            </w:pPr>
            <w:r w:rsidRPr="00857903">
              <w:rPr>
                <w:rFonts w:ascii="Times New Roman" w:hAnsi="Times New Roman"/>
                <w:lang w:val="es-AR"/>
              </w:rPr>
              <w:t>55,4%</w:t>
            </w:r>
          </w:p>
        </w:tc>
        <w:tc>
          <w:tcPr>
            <w:tcW w:w="1134" w:type="dxa"/>
            <w:shd w:val="clear" w:color="auto" w:fill="F2F2F2" w:themeFill="background1" w:themeFillShade="F2"/>
            <w:vAlign w:val="center"/>
          </w:tcPr>
          <w:p w:rsidR="00B9638D" w:rsidRPr="00857903" w:rsidRDefault="00B9638D" w:rsidP="00857903">
            <w:pPr>
              <w:jc w:val="right"/>
              <w:rPr>
                <w:rFonts w:ascii="Times New Roman" w:hAnsi="Times New Roman"/>
              </w:rPr>
            </w:pPr>
          </w:p>
        </w:tc>
      </w:tr>
    </w:tbl>
    <w:p w:rsidR="001D1469" w:rsidRPr="00857903" w:rsidRDefault="00857903" w:rsidP="001D1469">
      <w:pPr>
        <w:autoSpaceDE w:val="0"/>
        <w:autoSpaceDN w:val="0"/>
        <w:adjustRightInd w:val="0"/>
        <w:jc w:val="both"/>
        <w:rPr>
          <w:rFonts w:ascii="Times New Roman" w:hAnsi="Times New Roman"/>
          <w:bCs/>
          <w:lang w:val="es-ES_tradnl"/>
        </w:rPr>
      </w:pPr>
      <w:r>
        <w:rPr>
          <w:rFonts w:ascii="Times New Roman" w:hAnsi="Times New Roman"/>
          <w:bCs/>
          <w:lang w:val="es-ES_tradnl"/>
        </w:rPr>
        <w:t>Fuente:</w:t>
      </w:r>
      <w:r w:rsidR="008E37A9">
        <w:rPr>
          <w:rFonts w:ascii="Times New Roman" w:hAnsi="Times New Roman"/>
          <w:bCs/>
          <w:lang w:val="es-ES_tradnl"/>
        </w:rPr>
        <w:t xml:space="preserve"> Hugo</w:t>
      </w:r>
      <w:r>
        <w:rPr>
          <w:rFonts w:ascii="Times New Roman" w:hAnsi="Times New Roman"/>
          <w:bCs/>
          <w:lang w:val="es-ES_tradnl"/>
        </w:rPr>
        <w:t xml:space="preserve"> Roche 2008.</w:t>
      </w:r>
    </w:p>
    <w:p w:rsidR="001D1469" w:rsidRDefault="001D1469" w:rsidP="001D1469">
      <w:pPr>
        <w:autoSpaceDE w:val="0"/>
        <w:autoSpaceDN w:val="0"/>
        <w:adjustRightInd w:val="0"/>
        <w:jc w:val="both"/>
        <w:rPr>
          <w:rFonts w:ascii="Times New Roman" w:hAnsi="Times New Roman"/>
          <w:bCs/>
          <w:sz w:val="24"/>
          <w:szCs w:val="24"/>
          <w:lang w:val="es-ES_tradnl"/>
        </w:rPr>
      </w:pPr>
    </w:p>
    <w:p w:rsidR="006814A2" w:rsidRDefault="00857903" w:rsidP="008A1B46">
      <w:pPr>
        <w:numPr>
          <w:ilvl w:val="1"/>
          <w:numId w:val="10"/>
        </w:numPr>
        <w:autoSpaceDE w:val="0"/>
        <w:autoSpaceDN w:val="0"/>
        <w:adjustRightInd w:val="0"/>
        <w:ind w:left="426"/>
        <w:jc w:val="both"/>
        <w:rPr>
          <w:rFonts w:ascii="Times New Roman" w:hAnsi="Times New Roman"/>
          <w:bCs/>
          <w:sz w:val="24"/>
          <w:szCs w:val="24"/>
          <w:lang w:val="es-ES_tradnl"/>
        </w:rPr>
      </w:pPr>
      <w:r w:rsidRPr="00747085">
        <w:rPr>
          <w:rFonts w:ascii="Times New Roman" w:hAnsi="Times New Roman"/>
          <w:bCs/>
          <w:sz w:val="24"/>
          <w:szCs w:val="24"/>
          <w:lang w:val="es-ES_tradnl"/>
        </w:rPr>
        <w:t xml:space="preserve">Los efectos marginales determinados por la ecuación de precios hedónicos serán utilizados para evaluar </w:t>
      </w:r>
      <w:r w:rsidR="00656576">
        <w:rPr>
          <w:rFonts w:ascii="Times New Roman" w:hAnsi="Times New Roman"/>
          <w:bCs/>
          <w:sz w:val="24"/>
          <w:szCs w:val="24"/>
          <w:lang w:val="es-ES_tradnl"/>
        </w:rPr>
        <w:t xml:space="preserve">los </w:t>
      </w:r>
      <w:r w:rsidRPr="00747085">
        <w:rPr>
          <w:rFonts w:ascii="Times New Roman" w:hAnsi="Times New Roman"/>
          <w:bCs/>
          <w:sz w:val="24"/>
          <w:szCs w:val="24"/>
          <w:lang w:val="es-ES_tradnl"/>
        </w:rPr>
        <w:t xml:space="preserve">proyectos </w:t>
      </w:r>
      <w:r w:rsidR="00656576">
        <w:rPr>
          <w:rFonts w:ascii="Times New Roman" w:hAnsi="Times New Roman"/>
          <w:bCs/>
          <w:sz w:val="24"/>
          <w:szCs w:val="24"/>
          <w:lang w:val="es-ES_tradnl"/>
        </w:rPr>
        <w:t>de la muestra</w:t>
      </w:r>
      <w:r w:rsidR="00BF2405" w:rsidRPr="00747085">
        <w:rPr>
          <w:rFonts w:ascii="Times New Roman" w:hAnsi="Times New Roman"/>
          <w:bCs/>
          <w:sz w:val="24"/>
          <w:szCs w:val="24"/>
          <w:lang w:val="es-ES_tradnl"/>
        </w:rPr>
        <w:t xml:space="preserve">, </w:t>
      </w:r>
      <w:r w:rsidR="00656576">
        <w:rPr>
          <w:rFonts w:ascii="Times New Roman" w:hAnsi="Times New Roman"/>
          <w:bCs/>
          <w:sz w:val="24"/>
          <w:szCs w:val="24"/>
          <w:lang w:val="es-ES_tradnl"/>
        </w:rPr>
        <w:t>cuyo c</w:t>
      </w:r>
      <w:r w:rsidR="00BF2405" w:rsidRPr="00747085">
        <w:rPr>
          <w:rFonts w:ascii="Times New Roman" w:hAnsi="Times New Roman"/>
          <w:bCs/>
          <w:sz w:val="24"/>
          <w:szCs w:val="24"/>
          <w:lang w:val="es-ES_tradnl"/>
        </w:rPr>
        <w:t xml:space="preserve">osto estimado </w:t>
      </w:r>
      <w:r w:rsidR="00656576">
        <w:rPr>
          <w:rFonts w:ascii="Times New Roman" w:hAnsi="Times New Roman"/>
          <w:bCs/>
          <w:sz w:val="24"/>
          <w:szCs w:val="24"/>
          <w:lang w:val="es-ES_tradnl"/>
        </w:rPr>
        <w:t>representa el</w:t>
      </w:r>
      <w:r w:rsidR="00BF2405" w:rsidRPr="00747085">
        <w:rPr>
          <w:rFonts w:ascii="Times New Roman" w:hAnsi="Times New Roman"/>
          <w:bCs/>
          <w:sz w:val="24"/>
          <w:szCs w:val="24"/>
          <w:lang w:val="es-ES_tradnl"/>
        </w:rPr>
        <w:t xml:space="preserve"> 22% del monto total de la operación</w:t>
      </w:r>
      <w:r w:rsidR="00656576">
        <w:rPr>
          <w:rFonts w:ascii="Times New Roman" w:hAnsi="Times New Roman"/>
          <w:bCs/>
          <w:sz w:val="24"/>
          <w:szCs w:val="24"/>
          <w:lang w:val="es-ES_tradnl"/>
        </w:rPr>
        <w:t>. Los proyectos seleccionados</w:t>
      </w:r>
      <w:r w:rsidR="00BF2405" w:rsidRPr="00747085">
        <w:rPr>
          <w:rFonts w:ascii="Times New Roman" w:hAnsi="Times New Roman"/>
          <w:bCs/>
          <w:sz w:val="24"/>
          <w:szCs w:val="24"/>
          <w:lang w:val="es-ES_tradnl"/>
        </w:rPr>
        <w:t xml:space="preserve"> abarcan una amplia proporción de las singularidades técnicas y ambientales del universo potencial de intervenciones que compondrán el Programa. En todos los casos, se ha concluido la etapa de diagnóstico y se encuentran en proceso de elaboración la propuesta integral. La misma es desarrollada por firmas consultoras, contratadas para tal fin con recursos del programa actualmente en ejecución, con la participación de los habitantes de los asentamientos beneficiarios.</w:t>
      </w:r>
      <w:r w:rsidR="00747085" w:rsidRPr="00747085">
        <w:rPr>
          <w:rFonts w:ascii="Times New Roman" w:hAnsi="Times New Roman"/>
          <w:bCs/>
          <w:sz w:val="24"/>
          <w:szCs w:val="24"/>
          <w:lang w:val="es-ES_tradnl"/>
        </w:rPr>
        <w:t xml:space="preserve"> </w:t>
      </w:r>
      <w:r w:rsidR="002209DE" w:rsidRPr="00747085">
        <w:rPr>
          <w:rFonts w:ascii="Times New Roman" w:hAnsi="Times New Roman"/>
          <w:bCs/>
          <w:sz w:val="24"/>
          <w:szCs w:val="24"/>
          <w:lang w:val="es-ES_tradnl"/>
        </w:rPr>
        <w:t>En el cuadro siguiente se presenta un resumen de la información relativa a cada proyecto.</w:t>
      </w:r>
    </w:p>
    <w:p w:rsidR="00747085" w:rsidRPr="00747085" w:rsidRDefault="00747085" w:rsidP="00747085">
      <w:pPr>
        <w:autoSpaceDE w:val="0"/>
        <w:autoSpaceDN w:val="0"/>
        <w:adjustRightInd w:val="0"/>
        <w:ind w:left="426"/>
        <w:jc w:val="both"/>
        <w:rPr>
          <w:rFonts w:ascii="Times New Roman" w:hAnsi="Times New Roman"/>
          <w:bCs/>
          <w:sz w:val="24"/>
          <w:szCs w:val="24"/>
          <w:lang w:val="es-ES_tradnl"/>
        </w:rPr>
      </w:pPr>
    </w:p>
    <w:p w:rsidR="00C17A0A" w:rsidRPr="00D70CC7" w:rsidRDefault="00A3758B" w:rsidP="00D70CC7">
      <w:pPr>
        <w:pStyle w:val="ListParagraph"/>
        <w:jc w:val="center"/>
        <w:rPr>
          <w:rFonts w:ascii="Times New Roman" w:hAnsi="Times New Roman"/>
          <w:b/>
          <w:lang w:val="es-ES_tradnl"/>
        </w:rPr>
      </w:pPr>
      <w:r w:rsidRPr="00D70CC7">
        <w:rPr>
          <w:rFonts w:ascii="Times New Roman" w:hAnsi="Times New Roman"/>
          <w:b/>
          <w:lang w:val="es-ES_tradnl"/>
        </w:rPr>
        <w:t>Tabla I</w:t>
      </w:r>
      <w:r w:rsidR="0034753A" w:rsidRPr="00D70CC7">
        <w:rPr>
          <w:rFonts w:ascii="Times New Roman" w:hAnsi="Times New Roman"/>
          <w:b/>
          <w:lang w:val="es-ES_tradnl"/>
        </w:rPr>
        <w:t>I</w:t>
      </w:r>
      <w:r w:rsidRPr="00D70CC7">
        <w:rPr>
          <w:rFonts w:ascii="Times New Roman" w:hAnsi="Times New Roman"/>
          <w:b/>
          <w:lang w:val="es-ES_tradnl"/>
        </w:rPr>
        <w:t xml:space="preserve">. </w:t>
      </w:r>
      <w:r w:rsidR="00D04C51" w:rsidRPr="00D70CC7">
        <w:rPr>
          <w:rFonts w:ascii="Times New Roman" w:hAnsi="Times New Roman"/>
          <w:b/>
          <w:lang w:val="es-ES_tradnl"/>
        </w:rPr>
        <w:t>Proyecto</w:t>
      </w:r>
      <w:r w:rsidRPr="00D70CC7">
        <w:rPr>
          <w:rFonts w:ascii="Times New Roman" w:hAnsi="Times New Roman"/>
          <w:b/>
          <w:lang w:val="es-ES_tradnl"/>
        </w:rPr>
        <w:t>s de la Muestra</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307"/>
        <w:gridCol w:w="1290"/>
        <w:gridCol w:w="1140"/>
        <w:gridCol w:w="780"/>
        <w:gridCol w:w="770"/>
        <w:gridCol w:w="809"/>
        <w:gridCol w:w="708"/>
        <w:gridCol w:w="993"/>
      </w:tblGrid>
      <w:tr w:rsidR="00DC5E6A" w:rsidRPr="00747085" w:rsidTr="00EF1F61">
        <w:trPr>
          <w:trHeight w:val="255"/>
        </w:trPr>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Depart</w:t>
            </w:r>
            <w:r w:rsidR="00D924F4" w:rsidRPr="00747085">
              <w:rPr>
                <w:rFonts w:ascii="Times New Roman" w:hAnsi="Times New Roman"/>
                <w:sz w:val="18"/>
                <w:szCs w:val="18"/>
                <w:lang w:val="es-AR" w:eastAsia="es-AR"/>
              </w:rPr>
              <w:t>/ Localidad</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Asentamiento</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Precios de mercado (jun-13)</w:t>
            </w:r>
          </w:p>
        </w:tc>
        <w:tc>
          <w:tcPr>
            <w:tcW w:w="3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Viviendas Beneficiadas</w:t>
            </w:r>
          </w:p>
        </w:tc>
        <w:tc>
          <w:tcPr>
            <w:tcW w:w="99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C5E6A" w:rsidRPr="00747085" w:rsidRDefault="00747085" w:rsidP="00747085">
            <w:pPr>
              <w:rPr>
                <w:rFonts w:ascii="Times New Roman" w:hAnsi="Times New Roman"/>
                <w:sz w:val="18"/>
                <w:szCs w:val="18"/>
                <w:lang w:val="es-AR" w:eastAsia="es-AR"/>
              </w:rPr>
            </w:pPr>
            <w:r>
              <w:rPr>
                <w:rFonts w:ascii="Times New Roman" w:hAnsi="Times New Roman"/>
                <w:sz w:val="18"/>
                <w:szCs w:val="18"/>
                <w:lang w:val="es-AR" w:eastAsia="es-AR"/>
              </w:rPr>
              <w:t>U$S</w:t>
            </w:r>
            <w:r w:rsidR="00DC5E6A" w:rsidRPr="00747085">
              <w:rPr>
                <w:rFonts w:ascii="Times New Roman" w:hAnsi="Times New Roman"/>
                <w:sz w:val="18"/>
                <w:szCs w:val="18"/>
                <w:lang w:val="es-AR" w:eastAsia="es-AR"/>
              </w:rPr>
              <w:t xml:space="preserve"> por vivienda</w:t>
            </w:r>
          </w:p>
        </w:tc>
      </w:tr>
      <w:tr w:rsidR="00DC5E6A" w:rsidRPr="00747085" w:rsidTr="00EF1F61">
        <w:trPr>
          <w:trHeight w:val="255"/>
        </w:trPr>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U$</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U$S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Asentam</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Frentista</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Realojos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r w:rsidRPr="00747085">
              <w:rPr>
                <w:rFonts w:ascii="Times New Roman" w:hAnsi="Times New Roman"/>
                <w:sz w:val="18"/>
                <w:szCs w:val="18"/>
                <w:lang w:val="es-AR" w:eastAsia="es-AR"/>
              </w:rPr>
              <w:t>Total</w:t>
            </w:r>
          </w:p>
        </w:tc>
        <w:tc>
          <w:tcPr>
            <w:tcW w:w="993" w:type="dxa"/>
            <w:vMerge/>
            <w:tcBorders>
              <w:top w:val="single" w:sz="4" w:space="0" w:color="auto"/>
              <w:left w:val="single" w:sz="4" w:space="0" w:color="auto"/>
              <w:bottom w:val="single" w:sz="4" w:space="0" w:color="auto"/>
              <w:right w:val="nil"/>
            </w:tcBorders>
            <w:shd w:val="clear" w:color="auto" w:fill="auto"/>
            <w:noWrap/>
            <w:vAlign w:val="center"/>
            <w:hideMark/>
          </w:tcPr>
          <w:p w:rsidR="00DC5E6A" w:rsidRPr="00747085" w:rsidRDefault="00DC5E6A" w:rsidP="00747085">
            <w:pPr>
              <w:jc w:val="center"/>
              <w:rPr>
                <w:rFonts w:ascii="Times New Roman" w:hAnsi="Times New Roman"/>
                <w:sz w:val="18"/>
                <w:szCs w:val="18"/>
                <w:lang w:val="es-AR" w:eastAsia="es-AR"/>
              </w:rPr>
            </w:pPr>
          </w:p>
        </w:tc>
      </w:tr>
      <w:tr w:rsidR="00D70CC7" w:rsidRPr="00747085" w:rsidTr="00D70CC7">
        <w:trPr>
          <w:trHeight w:val="255"/>
        </w:trPr>
        <w:tc>
          <w:tcPr>
            <w:tcW w:w="1134" w:type="dxa"/>
            <w:vMerge w:val="restart"/>
            <w:tcBorders>
              <w:top w:val="single" w:sz="4" w:space="0" w:color="auto"/>
              <w:left w:val="nil"/>
              <w:right w:val="nil"/>
            </w:tcBorders>
            <w:shd w:val="clear" w:color="auto" w:fill="auto"/>
            <w:noWrap/>
            <w:vAlign w:val="center"/>
            <w:hideMark/>
          </w:tcPr>
          <w:p w:rsidR="00D70CC7" w:rsidRPr="00747085" w:rsidRDefault="00D70CC7" w:rsidP="00747085">
            <w:pPr>
              <w:rPr>
                <w:rFonts w:ascii="Times New Roman" w:hAnsi="Times New Roman"/>
                <w:sz w:val="18"/>
                <w:szCs w:val="18"/>
                <w:lang w:val="es-AR" w:eastAsia="es-AR"/>
              </w:rPr>
            </w:pPr>
            <w:r w:rsidRPr="00747085">
              <w:rPr>
                <w:rFonts w:ascii="Times New Roman" w:hAnsi="Times New Roman"/>
                <w:sz w:val="18"/>
                <w:szCs w:val="18"/>
                <w:lang w:val="es-AR" w:eastAsia="es-AR"/>
              </w:rPr>
              <w:t>Montevideo</w:t>
            </w:r>
          </w:p>
        </w:tc>
        <w:tc>
          <w:tcPr>
            <w:tcW w:w="1307"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rPr>
                <w:rFonts w:ascii="Times New Roman" w:hAnsi="Times New Roman"/>
                <w:sz w:val="18"/>
                <w:szCs w:val="18"/>
                <w:lang w:val="es-AR" w:eastAsia="es-AR"/>
              </w:rPr>
            </w:pPr>
            <w:r w:rsidRPr="00747085">
              <w:rPr>
                <w:rFonts w:ascii="Times New Roman" w:hAnsi="Times New Roman"/>
                <w:sz w:val="18"/>
                <w:szCs w:val="18"/>
                <w:lang w:val="es-AR" w:eastAsia="es-AR"/>
              </w:rPr>
              <w:t>Vecinal 28-La Estrella</w:t>
            </w:r>
          </w:p>
        </w:tc>
        <w:tc>
          <w:tcPr>
            <w:tcW w:w="129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34.319.176</w:t>
            </w:r>
          </w:p>
        </w:tc>
        <w:tc>
          <w:tcPr>
            <w:tcW w:w="114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1.659.898</w:t>
            </w:r>
          </w:p>
        </w:tc>
        <w:tc>
          <w:tcPr>
            <w:tcW w:w="78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81</w:t>
            </w:r>
          </w:p>
        </w:tc>
        <w:tc>
          <w:tcPr>
            <w:tcW w:w="77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33</w:t>
            </w:r>
          </w:p>
        </w:tc>
        <w:tc>
          <w:tcPr>
            <w:tcW w:w="809"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7</w:t>
            </w:r>
          </w:p>
        </w:tc>
        <w:tc>
          <w:tcPr>
            <w:tcW w:w="708"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121</w:t>
            </w:r>
          </w:p>
        </w:tc>
        <w:tc>
          <w:tcPr>
            <w:tcW w:w="993"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13.718</w:t>
            </w:r>
          </w:p>
        </w:tc>
      </w:tr>
      <w:tr w:rsidR="00D70CC7" w:rsidRPr="00747085" w:rsidTr="00583D92">
        <w:trPr>
          <w:trHeight w:val="255"/>
        </w:trPr>
        <w:tc>
          <w:tcPr>
            <w:tcW w:w="1134" w:type="dxa"/>
            <w:vMerge/>
            <w:tcBorders>
              <w:left w:val="nil"/>
              <w:right w:val="nil"/>
            </w:tcBorders>
            <w:shd w:val="clear" w:color="auto" w:fill="auto"/>
            <w:noWrap/>
            <w:vAlign w:val="bottom"/>
            <w:hideMark/>
          </w:tcPr>
          <w:p w:rsidR="00D70CC7" w:rsidRPr="00747085" w:rsidRDefault="00D70CC7" w:rsidP="00747085">
            <w:pPr>
              <w:rPr>
                <w:rFonts w:ascii="Times New Roman" w:hAnsi="Times New Roman"/>
                <w:sz w:val="18"/>
                <w:szCs w:val="18"/>
                <w:lang w:val="es-AR" w:eastAsia="es-AR"/>
              </w:rPr>
            </w:pPr>
          </w:p>
        </w:tc>
        <w:tc>
          <w:tcPr>
            <w:tcW w:w="1307"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rPr>
                <w:rFonts w:ascii="Times New Roman" w:hAnsi="Times New Roman"/>
                <w:sz w:val="18"/>
                <w:szCs w:val="18"/>
                <w:lang w:val="es-AR" w:eastAsia="es-AR"/>
              </w:rPr>
            </w:pPr>
            <w:r w:rsidRPr="00747085">
              <w:rPr>
                <w:rFonts w:ascii="Times New Roman" w:hAnsi="Times New Roman"/>
                <w:sz w:val="18"/>
                <w:szCs w:val="18"/>
                <w:lang w:val="es-AR" w:eastAsia="es-AR"/>
              </w:rPr>
              <w:t>Anagualpo y Timote</w:t>
            </w:r>
          </w:p>
        </w:tc>
        <w:tc>
          <w:tcPr>
            <w:tcW w:w="129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27.538.355</w:t>
            </w:r>
          </w:p>
        </w:tc>
        <w:tc>
          <w:tcPr>
            <w:tcW w:w="114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1.331.933</w:t>
            </w:r>
          </w:p>
        </w:tc>
        <w:tc>
          <w:tcPr>
            <w:tcW w:w="78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44</w:t>
            </w:r>
          </w:p>
        </w:tc>
        <w:tc>
          <w:tcPr>
            <w:tcW w:w="77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23</w:t>
            </w:r>
          </w:p>
        </w:tc>
        <w:tc>
          <w:tcPr>
            <w:tcW w:w="809"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8</w:t>
            </w:r>
          </w:p>
        </w:tc>
        <w:tc>
          <w:tcPr>
            <w:tcW w:w="708"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75</w:t>
            </w:r>
          </w:p>
        </w:tc>
        <w:tc>
          <w:tcPr>
            <w:tcW w:w="993"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17.759</w:t>
            </w:r>
          </w:p>
        </w:tc>
      </w:tr>
      <w:tr w:rsidR="005455FC" w:rsidRPr="00747085" w:rsidTr="00583D92">
        <w:trPr>
          <w:trHeight w:val="255"/>
        </w:trPr>
        <w:tc>
          <w:tcPr>
            <w:tcW w:w="1134" w:type="dxa"/>
            <w:vMerge/>
            <w:tcBorders>
              <w:left w:val="nil"/>
              <w:right w:val="nil"/>
            </w:tcBorders>
            <w:shd w:val="clear" w:color="auto" w:fill="auto"/>
            <w:noWrap/>
            <w:vAlign w:val="bottom"/>
            <w:hideMark/>
          </w:tcPr>
          <w:p w:rsidR="005455FC" w:rsidRPr="00747085" w:rsidRDefault="005455FC" w:rsidP="00747085">
            <w:pPr>
              <w:rPr>
                <w:rFonts w:ascii="Times New Roman" w:hAnsi="Times New Roman"/>
                <w:sz w:val="18"/>
                <w:szCs w:val="18"/>
                <w:lang w:val="es-AR" w:eastAsia="es-AR"/>
              </w:rPr>
            </w:pPr>
          </w:p>
        </w:tc>
        <w:tc>
          <w:tcPr>
            <w:tcW w:w="1307" w:type="dxa"/>
            <w:tcBorders>
              <w:top w:val="single" w:sz="4" w:space="0" w:color="auto"/>
              <w:left w:val="nil"/>
              <w:bottom w:val="single" w:sz="4" w:space="0" w:color="auto"/>
              <w:right w:val="nil"/>
            </w:tcBorders>
            <w:shd w:val="clear" w:color="auto" w:fill="auto"/>
            <w:noWrap/>
            <w:vAlign w:val="bottom"/>
            <w:hideMark/>
          </w:tcPr>
          <w:p w:rsidR="005455FC" w:rsidRPr="00747085" w:rsidRDefault="005455FC" w:rsidP="00747085">
            <w:pPr>
              <w:rPr>
                <w:rFonts w:ascii="Times New Roman" w:hAnsi="Times New Roman"/>
                <w:sz w:val="18"/>
                <w:szCs w:val="18"/>
                <w:lang w:val="es-AR" w:eastAsia="es-AR"/>
              </w:rPr>
            </w:pPr>
            <w:r w:rsidRPr="00747085">
              <w:rPr>
                <w:rFonts w:ascii="Times New Roman" w:hAnsi="Times New Roman"/>
                <w:sz w:val="18"/>
                <w:szCs w:val="18"/>
                <w:lang w:val="es-AR" w:eastAsia="es-AR"/>
              </w:rPr>
              <w:t>Campichuelo-Itape</w:t>
            </w:r>
          </w:p>
        </w:tc>
        <w:tc>
          <w:tcPr>
            <w:tcW w:w="1290" w:type="dxa"/>
            <w:tcBorders>
              <w:top w:val="single" w:sz="4" w:space="0" w:color="auto"/>
              <w:left w:val="nil"/>
              <w:bottom w:val="single" w:sz="4" w:space="0" w:color="auto"/>
              <w:right w:val="nil"/>
            </w:tcBorders>
            <w:shd w:val="clear" w:color="auto" w:fill="auto"/>
            <w:noWrap/>
            <w:vAlign w:val="bottom"/>
            <w:hideMark/>
          </w:tcPr>
          <w:p w:rsidR="005455FC" w:rsidRPr="005455FC" w:rsidRDefault="005455FC" w:rsidP="005455FC">
            <w:pPr>
              <w:jc w:val="right"/>
              <w:rPr>
                <w:rFonts w:ascii="Times New Roman" w:hAnsi="Times New Roman"/>
                <w:sz w:val="18"/>
                <w:szCs w:val="18"/>
                <w:lang w:val="es-AR" w:eastAsia="es-AR"/>
              </w:rPr>
            </w:pPr>
            <w:r w:rsidRPr="005455FC">
              <w:rPr>
                <w:rFonts w:ascii="Times New Roman" w:hAnsi="Times New Roman"/>
                <w:sz w:val="18"/>
                <w:szCs w:val="18"/>
                <w:lang w:val="es-AR" w:eastAsia="es-AR"/>
              </w:rPr>
              <w:t>39.695.365</w:t>
            </w:r>
          </w:p>
        </w:tc>
        <w:tc>
          <w:tcPr>
            <w:tcW w:w="1140" w:type="dxa"/>
            <w:tcBorders>
              <w:top w:val="single" w:sz="4" w:space="0" w:color="auto"/>
              <w:left w:val="nil"/>
              <w:bottom w:val="single" w:sz="4" w:space="0" w:color="auto"/>
              <w:right w:val="nil"/>
            </w:tcBorders>
            <w:shd w:val="clear" w:color="auto" w:fill="auto"/>
            <w:noWrap/>
            <w:vAlign w:val="bottom"/>
            <w:hideMark/>
          </w:tcPr>
          <w:p w:rsidR="005455FC" w:rsidRPr="005455FC" w:rsidRDefault="005455FC" w:rsidP="005455FC">
            <w:pPr>
              <w:jc w:val="right"/>
              <w:rPr>
                <w:rFonts w:ascii="Times New Roman" w:hAnsi="Times New Roman"/>
                <w:sz w:val="18"/>
                <w:szCs w:val="18"/>
                <w:lang w:val="es-AR" w:eastAsia="es-AR"/>
              </w:rPr>
            </w:pPr>
            <w:r w:rsidRPr="005455FC">
              <w:rPr>
                <w:rFonts w:ascii="Times New Roman" w:hAnsi="Times New Roman"/>
                <w:sz w:val="18"/>
                <w:szCs w:val="18"/>
                <w:lang w:val="es-AR" w:eastAsia="es-AR"/>
              </w:rPr>
              <w:t>1.919.925</w:t>
            </w:r>
          </w:p>
        </w:tc>
        <w:tc>
          <w:tcPr>
            <w:tcW w:w="780" w:type="dxa"/>
            <w:tcBorders>
              <w:top w:val="single" w:sz="4" w:space="0" w:color="auto"/>
              <w:left w:val="nil"/>
              <w:bottom w:val="single" w:sz="4" w:space="0" w:color="auto"/>
              <w:right w:val="nil"/>
            </w:tcBorders>
            <w:shd w:val="clear" w:color="auto" w:fill="auto"/>
            <w:noWrap/>
            <w:vAlign w:val="bottom"/>
            <w:hideMark/>
          </w:tcPr>
          <w:p w:rsidR="005455FC" w:rsidRPr="005455FC" w:rsidRDefault="005455FC" w:rsidP="005455FC">
            <w:pPr>
              <w:jc w:val="right"/>
              <w:rPr>
                <w:rFonts w:ascii="Times New Roman" w:hAnsi="Times New Roman"/>
                <w:sz w:val="18"/>
                <w:szCs w:val="18"/>
                <w:lang w:val="es-AR" w:eastAsia="es-AR"/>
              </w:rPr>
            </w:pPr>
            <w:r w:rsidRPr="005455FC">
              <w:rPr>
                <w:rFonts w:ascii="Times New Roman" w:hAnsi="Times New Roman"/>
                <w:sz w:val="18"/>
                <w:szCs w:val="18"/>
                <w:lang w:val="es-AR" w:eastAsia="es-AR"/>
              </w:rPr>
              <w:t>39</w:t>
            </w:r>
          </w:p>
        </w:tc>
        <w:tc>
          <w:tcPr>
            <w:tcW w:w="770" w:type="dxa"/>
            <w:tcBorders>
              <w:top w:val="single" w:sz="4" w:space="0" w:color="auto"/>
              <w:left w:val="nil"/>
              <w:bottom w:val="single" w:sz="4" w:space="0" w:color="auto"/>
              <w:right w:val="nil"/>
            </w:tcBorders>
            <w:shd w:val="clear" w:color="auto" w:fill="auto"/>
            <w:noWrap/>
            <w:vAlign w:val="bottom"/>
            <w:hideMark/>
          </w:tcPr>
          <w:p w:rsidR="005455FC" w:rsidRPr="005455FC" w:rsidRDefault="005455FC" w:rsidP="005455FC">
            <w:pPr>
              <w:jc w:val="right"/>
              <w:rPr>
                <w:rFonts w:ascii="Times New Roman" w:hAnsi="Times New Roman"/>
                <w:sz w:val="18"/>
                <w:szCs w:val="18"/>
                <w:lang w:val="es-AR" w:eastAsia="es-AR"/>
              </w:rPr>
            </w:pPr>
            <w:r w:rsidRPr="005455FC">
              <w:rPr>
                <w:rFonts w:ascii="Times New Roman" w:hAnsi="Times New Roman"/>
                <w:sz w:val="18"/>
                <w:szCs w:val="18"/>
                <w:lang w:val="es-AR" w:eastAsia="es-AR"/>
              </w:rPr>
              <w:t>58</w:t>
            </w:r>
          </w:p>
        </w:tc>
        <w:tc>
          <w:tcPr>
            <w:tcW w:w="809" w:type="dxa"/>
            <w:tcBorders>
              <w:top w:val="single" w:sz="4" w:space="0" w:color="auto"/>
              <w:left w:val="nil"/>
              <w:bottom w:val="single" w:sz="4" w:space="0" w:color="auto"/>
              <w:right w:val="nil"/>
            </w:tcBorders>
            <w:shd w:val="clear" w:color="auto" w:fill="auto"/>
            <w:noWrap/>
            <w:vAlign w:val="bottom"/>
            <w:hideMark/>
          </w:tcPr>
          <w:p w:rsidR="005455FC" w:rsidRPr="005455FC" w:rsidRDefault="005455FC" w:rsidP="005455FC">
            <w:pPr>
              <w:jc w:val="right"/>
              <w:rPr>
                <w:rFonts w:ascii="Times New Roman" w:hAnsi="Times New Roman"/>
                <w:sz w:val="18"/>
                <w:szCs w:val="18"/>
                <w:lang w:val="es-AR" w:eastAsia="es-AR"/>
              </w:rPr>
            </w:pPr>
            <w:r w:rsidRPr="005455FC">
              <w:rPr>
                <w:rFonts w:ascii="Times New Roman" w:hAnsi="Times New Roman"/>
                <w:sz w:val="18"/>
                <w:szCs w:val="18"/>
                <w:lang w:val="es-AR" w:eastAsia="es-AR"/>
              </w:rPr>
              <w:t>13</w:t>
            </w:r>
          </w:p>
        </w:tc>
        <w:tc>
          <w:tcPr>
            <w:tcW w:w="708" w:type="dxa"/>
            <w:tcBorders>
              <w:top w:val="single" w:sz="4" w:space="0" w:color="auto"/>
              <w:left w:val="nil"/>
              <w:bottom w:val="single" w:sz="4" w:space="0" w:color="auto"/>
              <w:right w:val="nil"/>
            </w:tcBorders>
            <w:shd w:val="clear" w:color="auto" w:fill="auto"/>
            <w:noWrap/>
            <w:vAlign w:val="bottom"/>
            <w:hideMark/>
          </w:tcPr>
          <w:p w:rsidR="005455FC" w:rsidRPr="005455FC" w:rsidRDefault="005455FC" w:rsidP="005455FC">
            <w:pPr>
              <w:jc w:val="right"/>
              <w:rPr>
                <w:rFonts w:ascii="Times New Roman" w:hAnsi="Times New Roman"/>
                <w:sz w:val="18"/>
                <w:szCs w:val="18"/>
                <w:lang w:val="es-AR" w:eastAsia="es-AR"/>
              </w:rPr>
            </w:pPr>
            <w:r w:rsidRPr="005455FC">
              <w:rPr>
                <w:rFonts w:ascii="Times New Roman" w:hAnsi="Times New Roman"/>
                <w:sz w:val="18"/>
                <w:szCs w:val="18"/>
                <w:lang w:val="es-AR" w:eastAsia="es-AR"/>
              </w:rPr>
              <w:t>110</w:t>
            </w:r>
          </w:p>
        </w:tc>
        <w:tc>
          <w:tcPr>
            <w:tcW w:w="993" w:type="dxa"/>
            <w:tcBorders>
              <w:top w:val="single" w:sz="4" w:space="0" w:color="auto"/>
              <w:left w:val="nil"/>
              <w:bottom w:val="single" w:sz="4" w:space="0" w:color="auto"/>
              <w:right w:val="nil"/>
            </w:tcBorders>
            <w:shd w:val="clear" w:color="auto" w:fill="auto"/>
            <w:noWrap/>
            <w:vAlign w:val="bottom"/>
            <w:hideMark/>
          </w:tcPr>
          <w:p w:rsidR="005455FC" w:rsidRPr="005455FC" w:rsidRDefault="005455FC" w:rsidP="005455FC">
            <w:pPr>
              <w:jc w:val="right"/>
              <w:rPr>
                <w:rFonts w:ascii="Times New Roman" w:hAnsi="Times New Roman"/>
                <w:sz w:val="18"/>
                <w:szCs w:val="18"/>
                <w:lang w:val="es-AR" w:eastAsia="es-AR"/>
              </w:rPr>
            </w:pPr>
            <w:r w:rsidRPr="005455FC">
              <w:rPr>
                <w:rFonts w:ascii="Times New Roman" w:hAnsi="Times New Roman"/>
                <w:sz w:val="18"/>
                <w:szCs w:val="18"/>
                <w:lang w:val="es-AR" w:eastAsia="es-AR"/>
              </w:rPr>
              <w:t>17.45</w:t>
            </w:r>
            <w:r>
              <w:rPr>
                <w:rFonts w:ascii="Times New Roman" w:hAnsi="Times New Roman"/>
                <w:sz w:val="18"/>
                <w:szCs w:val="18"/>
                <w:lang w:val="es-AR" w:eastAsia="es-AR"/>
              </w:rPr>
              <w:t>4</w:t>
            </w:r>
          </w:p>
        </w:tc>
      </w:tr>
      <w:tr w:rsidR="00D70CC7" w:rsidRPr="00747085" w:rsidTr="00583D92">
        <w:trPr>
          <w:trHeight w:val="255"/>
        </w:trPr>
        <w:tc>
          <w:tcPr>
            <w:tcW w:w="1134" w:type="dxa"/>
            <w:vMerge/>
            <w:tcBorders>
              <w:left w:val="nil"/>
              <w:right w:val="nil"/>
            </w:tcBorders>
            <w:shd w:val="clear" w:color="auto" w:fill="auto"/>
            <w:noWrap/>
            <w:vAlign w:val="bottom"/>
            <w:hideMark/>
          </w:tcPr>
          <w:p w:rsidR="00D70CC7" w:rsidRPr="00747085" w:rsidRDefault="00D70CC7" w:rsidP="00747085">
            <w:pPr>
              <w:rPr>
                <w:rFonts w:ascii="Times New Roman" w:hAnsi="Times New Roman"/>
                <w:sz w:val="18"/>
                <w:szCs w:val="18"/>
                <w:lang w:val="es-AR" w:eastAsia="es-AR"/>
              </w:rPr>
            </w:pPr>
          </w:p>
        </w:tc>
        <w:tc>
          <w:tcPr>
            <w:tcW w:w="1307"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rPr>
                <w:rFonts w:ascii="Times New Roman" w:hAnsi="Times New Roman"/>
                <w:sz w:val="18"/>
                <w:szCs w:val="18"/>
                <w:lang w:val="es-AR" w:eastAsia="es-AR"/>
              </w:rPr>
            </w:pPr>
            <w:r w:rsidRPr="00747085">
              <w:rPr>
                <w:rFonts w:ascii="Times New Roman" w:hAnsi="Times New Roman"/>
                <w:sz w:val="18"/>
                <w:szCs w:val="18"/>
                <w:lang w:val="es-AR" w:eastAsia="es-AR"/>
              </w:rPr>
              <w:t>El tanque-Villa Prosperidad</w:t>
            </w:r>
          </w:p>
        </w:tc>
        <w:tc>
          <w:tcPr>
            <w:tcW w:w="129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74.540.606</w:t>
            </w:r>
          </w:p>
        </w:tc>
        <w:tc>
          <w:tcPr>
            <w:tcW w:w="114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3.605.267</w:t>
            </w:r>
          </w:p>
        </w:tc>
        <w:tc>
          <w:tcPr>
            <w:tcW w:w="78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99</w:t>
            </w:r>
          </w:p>
        </w:tc>
        <w:tc>
          <w:tcPr>
            <w:tcW w:w="77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110</w:t>
            </w:r>
          </w:p>
        </w:tc>
        <w:tc>
          <w:tcPr>
            <w:tcW w:w="809"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7</w:t>
            </w:r>
          </w:p>
        </w:tc>
        <w:tc>
          <w:tcPr>
            <w:tcW w:w="708"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216</w:t>
            </w:r>
          </w:p>
        </w:tc>
        <w:tc>
          <w:tcPr>
            <w:tcW w:w="993"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16.691</w:t>
            </w:r>
          </w:p>
        </w:tc>
      </w:tr>
      <w:tr w:rsidR="00D70CC7" w:rsidRPr="00747085" w:rsidTr="00583D92">
        <w:trPr>
          <w:trHeight w:val="255"/>
        </w:trPr>
        <w:tc>
          <w:tcPr>
            <w:tcW w:w="1134" w:type="dxa"/>
            <w:vMerge/>
            <w:tcBorders>
              <w:left w:val="nil"/>
              <w:bottom w:val="single" w:sz="4" w:space="0" w:color="auto"/>
              <w:right w:val="nil"/>
            </w:tcBorders>
            <w:shd w:val="clear" w:color="auto" w:fill="auto"/>
            <w:noWrap/>
            <w:vAlign w:val="bottom"/>
            <w:hideMark/>
          </w:tcPr>
          <w:p w:rsidR="00D70CC7" w:rsidRPr="00747085" w:rsidRDefault="00D70CC7" w:rsidP="00747085">
            <w:pPr>
              <w:rPr>
                <w:rFonts w:ascii="Times New Roman" w:hAnsi="Times New Roman"/>
                <w:sz w:val="18"/>
                <w:szCs w:val="18"/>
                <w:lang w:val="es-AR" w:eastAsia="es-AR"/>
              </w:rPr>
            </w:pPr>
          </w:p>
        </w:tc>
        <w:tc>
          <w:tcPr>
            <w:tcW w:w="1307"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rPr>
                <w:rFonts w:ascii="Times New Roman" w:hAnsi="Times New Roman"/>
                <w:sz w:val="18"/>
                <w:szCs w:val="18"/>
                <w:lang w:val="es-AR" w:eastAsia="es-AR"/>
              </w:rPr>
            </w:pPr>
            <w:r w:rsidRPr="00747085">
              <w:rPr>
                <w:rFonts w:ascii="Times New Roman" w:hAnsi="Times New Roman"/>
                <w:sz w:val="18"/>
                <w:szCs w:val="18"/>
                <w:lang w:val="es-AR" w:eastAsia="es-AR"/>
              </w:rPr>
              <w:t xml:space="preserve">6 de diciembre </w:t>
            </w:r>
          </w:p>
        </w:tc>
        <w:tc>
          <w:tcPr>
            <w:tcW w:w="129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110.971.908</w:t>
            </w:r>
          </w:p>
        </w:tc>
        <w:tc>
          <w:tcPr>
            <w:tcW w:w="114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5.367.321</w:t>
            </w:r>
          </w:p>
        </w:tc>
        <w:tc>
          <w:tcPr>
            <w:tcW w:w="78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125</w:t>
            </w:r>
          </w:p>
        </w:tc>
        <w:tc>
          <w:tcPr>
            <w:tcW w:w="770"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42</w:t>
            </w:r>
          </w:p>
        </w:tc>
        <w:tc>
          <w:tcPr>
            <w:tcW w:w="809"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30</w:t>
            </w:r>
          </w:p>
        </w:tc>
        <w:tc>
          <w:tcPr>
            <w:tcW w:w="708"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197</w:t>
            </w:r>
          </w:p>
        </w:tc>
        <w:tc>
          <w:tcPr>
            <w:tcW w:w="993" w:type="dxa"/>
            <w:tcBorders>
              <w:top w:val="single" w:sz="4" w:space="0" w:color="auto"/>
              <w:left w:val="nil"/>
              <w:bottom w:val="single" w:sz="4" w:space="0" w:color="auto"/>
              <w:right w:val="nil"/>
            </w:tcBorders>
            <w:shd w:val="clear" w:color="auto" w:fill="auto"/>
            <w:noWrap/>
            <w:vAlign w:val="bottom"/>
            <w:hideMark/>
          </w:tcPr>
          <w:p w:rsidR="00D70CC7" w:rsidRPr="00747085" w:rsidRDefault="00D70CC7"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27.245</w:t>
            </w:r>
          </w:p>
        </w:tc>
      </w:tr>
      <w:tr w:rsidR="00DC5E6A" w:rsidRPr="00747085" w:rsidTr="00EF1F61">
        <w:trPr>
          <w:trHeight w:val="255"/>
        </w:trPr>
        <w:tc>
          <w:tcPr>
            <w:tcW w:w="1134"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rPr>
                <w:rFonts w:ascii="Times New Roman" w:hAnsi="Times New Roman"/>
                <w:sz w:val="18"/>
                <w:szCs w:val="18"/>
                <w:lang w:val="es-AR" w:eastAsia="es-AR"/>
              </w:rPr>
            </w:pPr>
            <w:r w:rsidRPr="00747085">
              <w:rPr>
                <w:rFonts w:ascii="Times New Roman" w:hAnsi="Times New Roman"/>
                <w:sz w:val="18"/>
                <w:szCs w:val="18"/>
                <w:lang w:val="es-AR" w:eastAsia="es-AR"/>
              </w:rPr>
              <w:t>Salto</w:t>
            </w:r>
          </w:p>
        </w:tc>
        <w:tc>
          <w:tcPr>
            <w:tcW w:w="1307"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rPr>
                <w:rFonts w:ascii="Times New Roman" w:hAnsi="Times New Roman"/>
                <w:sz w:val="18"/>
                <w:szCs w:val="18"/>
                <w:lang w:val="es-AR" w:eastAsia="es-AR"/>
              </w:rPr>
            </w:pPr>
            <w:r w:rsidRPr="00747085">
              <w:rPr>
                <w:rFonts w:ascii="Times New Roman" w:hAnsi="Times New Roman"/>
                <w:sz w:val="18"/>
                <w:szCs w:val="18"/>
                <w:lang w:val="es-AR" w:eastAsia="es-AR"/>
              </w:rPr>
              <w:t>Barrio Artigas</w:t>
            </w:r>
          </w:p>
        </w:tc>
        <w:tc>
          <w:tcPr>
            <w:tcW w:w="129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162.030.218</w:t>
            </w:r>
          </w:p>
        </w:tc>
        <w:tc>
          <w:tcPr>
            <w:tcW w:w="114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7.836.832</w:t>
            </w:r>
          </w:p>
        </w:tc>
        <w:tc>
          <w:tcPr>
            <w:tcW w:w="78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180</w:t>
            </w:r>
          </w:p>
        </w:tc>
        <w:tc>
          <w:tcPr>
            <w:tcW w:w="77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80</w:t>
            </w:r>
          </w:p>
        </w:tc>
        <w:tc>
          <w:tcPr>
            <w:tcW w:w="809"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20</w:t>
            </w:r>
          </w:p>
        </w:tc>
        <w:tc>
          <w:tcPr>
            <w:tcW w:w="708"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280</w:t>
            </w:r>
          </w:p>
        </w:tc>
        <w:tc>
          <w:tcPr>
            <w:tcW w:w="993"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sz w:val="18"/>
                <w:szCs w:val="18"/>
                <w:lang w:val="es-AR" w:eastAsia="es-AR"/>
              </w:rPr>
            </w:pPr>
            <w:r w:rsidRPr="00747085">
              <w:rPr>
                <w:rFonts w:ascii="Times New Roman" w:hAnsi="Times New Roman"/>
                <w:sz w:val="18"/>
                <w:szCs w:val="18"/>
                <w:lang w:val="es-AR" w:eastAsia="es-AR"/>
              </w:rPr>
              <w:t>27.989</w:t>
            </w:r>
          </w:p>
        </w:tc>
      </w:tr>
      <w:tr w:rsidR="005455FC" w:rsidRPr="00747085" w:rsidTr="00A07778">
        <w:trPr>
          <w:trHeight w:val="255"/>
        </w:trPr>
        <w:tc>
          <w:tcPr>
            <w:tcW w:w="2441" w:type="dxa"/>
            <w:gridSpan w:val="2"/>
            <w:tcBorders>
              <w:top w:val="single" w:sz="4" w:space="0" w:color="auto"/>
              <w:left w:val="nil"/>
              <w:bottom w:val="single" w:sz="4" w:space="0" w:color="auto"/>
              <w:right w:val="nil"/>
            </w:tcBorders>
            <w:shd w:val="clear" w:color="auto" w:fill="auto"/>
            <w:noWrap/>
            <w:vAlign w:val="bottom"/>
            <w:hideMark/>
          </w:tcPr>
          <w:p w:rsidR="005455FC" w:rsidRPr="00747085" w:rsidRDefault="005455FC" w:rsidP="00747085">
            <w:pPr>
              <w:rPr>
                <w:rFonts w:ascii="Times New Roman" w:hAnsi="Times New Roman"/>
                <w:b/>
                <w:sz w:val="18"/>
                <w:szCs w:val="18"/>
                <w:lang w:val="es-AR" w:eastAsia="es-AR"/>
              </w:rPr>
            </w:pPr>
            <w:r w:rsidRPr="00747085">
              <w:rPr>
                <w:rFonts w:ascii="Times New Roman" w:hAnsi="Times New Roman"/>
                <w:b/>
                <w:sz w:val="18"/>
                <w:szCs w:val="18"/>
                <w:lang w:val="es-AR" w:eastAsia="es-AR"/>
              </w:rPr>
              <w:t>Total Muestra</w:t>
            </w:r>
          </w:p>
        </w:tc>
        <w:tc>
          <w:tcPr>
            <w:tcW w:w="1290" w:type="dxa"/>
            <w:tcBorders>
              <w:top w:val="single" w:sz="4" w:space="0" w:color="auto"/>
              <w:left w:val="nil"/>
              <w:bottom w:val="single" w:sz="4" w:space="0" w:color="auto"/>
              <w:right w:val="nil"/>
            </w:tcBorders>
            <w:shd w:val="clear" w:color="auto" w:fill="auto"/>
            <w:noWrap/>
            <w:hideMark/>
          </w:tcPr>
          <w:p w:rsidR="005455FC" w:rsidRPr="005455FC" w:rsidRDefault="005455FC" w:rsidP="005455FC">
            <w:pPr>
              <w:jc w:val="right"/>
              <w:rPr>
                <w:rFonts w:ascii="Times New Roman" w:hAnsi="Times New Roman"/>
                <w:b/>
                <w:i/>
                <w:sz w:val="18"/>
                <w:szCs w:val="18"/>
                <w:lang w:val="es-AR" w:eastAsia="es-AR"/>
              </w:rPr>
            </w:pPr>
            <w:r w:rsidRPr="005455FC">
              <w:rPr>
                <w:rFonts w:ascii="Times New Roman" w:hAnsi="Times New Roman"/>
                <w:b/>
                <w:i/>
                <w:sz w:val="18"/>
                <w:szCs w:val="18"/>
                <w:lang w:val="es-AR" w:eastAsia="es-AR"/>
              </w:rPr>
              <w:t>449.095.628</w:t>
            </w:r>
          </w:p>
        </w:tc>
        <w:tc>
          <w:tcPr>
            <w:tcW w:w="1140" w:type="dxa"/>
            <w:tcBorders>
              <w:top w:val="single" w:sz="4" w:space="0" w:color="auto"/>
              <w:left w:val="nil"/>
              <w:bottom w:val="single" w:sz="4" w:space="0" w:color="auto"/>
              <w:right w:val="nil"/>
            </w:tcBorders>
            <w:shd w:val="clear" w:color="auto" w:fill="auto"/>
            <w:noWrap/>
            <w:hideMark/>
          </w:tcPr>
          <w:p w:rsidR="005455FC" w:rsidRPr="005455FC" w:rsidRDefault="005455FC" w:rsidP="005455FC">
            <w:pPr>
              <w:jc w:val="right"/>
              <w:rPr>
                <w:rFonts w:ascii="Times New Roman" w:hAnsi="Times New Roman"/>
                <w:b/>
                <w:i/>
                <w:sz w:val="18"/>
                <w:szCs w:val="18"/>
                <w:lang w:val="es-AR" w:eastAsia="es-AR"/>
              </w:rPr>
            </w:pPr>
            <w:r w:rsidRPr="005455FC">
              <w:rPr>
                <w:rFonts w:ascii="Times New Roman" w:hAnsi="Times New Roman"/>
                <w:b/>
                <w:i/>
                <w:sz w:val="18"/>
                <w:szCs w:val="18"/>
                <w:lang w:val="es-AR" w:eastAsia="es-AR"/>
              </w:rPr>
              <w:t>21.721.177</w:t>
            </w:r>
          </w:p>
        </w:tc>
        <w:tc>
          <w:tcPr>
            <w:tcW w:w="780" w:type="dxa"/>
            <w:tcBorders>
              <w:top w:val="single" w:sz="4" w:space="0" w:color="auto"/>
              <w:left w:val="nil"/>
              <w:bottom w:val="single" w:sz="4" w:space="0" w:color="auto"/>
              <w:right w:val="nil"/>
            </w:tcBorders>
            <w:shd w:val="clear" w:color="auto" w:fill="auto"/>
            <w:noWrap/>
            <w:hideMark/>
          </w:tcPr>
          <w:p w:rsidR="005455FC" w:rsidRPr="005455FC" w:rsidRDefault="005455FC" w:rsidP="005455FC">
            <w:pPr>
              <w:jc w:val="right"/>
              <w:rPr>
                <w:rFonts w:ascii="Times New Roman" w:hAnsi="Times New Roman"/>
                <w:b/>
                <w:i/>
                <w:sz w:val="18"/>
                <w:szCs w:val="18"/>
                <w:lang w:val="es-AR" w:eastAsia="es-AR"/>
              </w:rPr>
            </w:pPr>
            <w:r w:rsidRPr="005455FC">
              <w:rPr>
                <w:rFonts w:ascii="Times New Roman" w:hAnsi="Times New Roman"/>
                <w:b/>
                <w:i/>
                <w:sz w:val="18"/>
                <w:szCs w:val="18"/>
                <w:lang w:val="es-AR" w:eastAsia="es-AR"/>
              </w:rPr>
              <w:t>568</w:t>
            </w:r>
          </w:p>
        </w:tc>
        <w:tc>
          <w:tcPr>
            <w:tcW w:w="770" w:type="dxa"/>
            <w:tcBorders>
              <w:top w:val="single" w:sz="4" w:space="0" w:color="auto"/>
              <w:left w:val="nil"/>
              <w:bottom w:val="single" w:sz="4" w:space="0" w:color="auto"/>
              <w:right w:val="nil"/>
            </w:tcBorders>
            <w:shd w:val="clear" w:color="auto" w:fill="auto"/>
            <w:noWrap/>
            <w:hideMark/>
          </w:tcPr>
          <w:p w:rsidR="005455FC" w:rsidRPr="005455FC" w:rsidRDefault="005455FC" w:rsidP="005455FC">
            <w:pPr>
              <w:jc w:val="right"/>
              <w:rPr>
                <w:rFonts w:ascii="Times New Roman" w:hAnsi="Times New Roman"/>
                <w:b/>
                <w:i/>
                <w:sz w:val="18"/>
                <w:szCs w:val="18"/>
                <w:lang w:val="es-AR" w:eastAsia="es-AR"/>
              </w:rPr>
            </w:pPr>
            <w:r w:rsidRPr="005455FC">
              <w:rPr>
                <w:rFonts w:ascii="Times New Roman" w:hAnsi="Times New Roman"/>
                <w:b/>
                <w:i/>
                <w:sz w:val="18"/>
                <w:szCs w:val="18"/>
                <w:lang w:val="es-AR" w:eastAsia="es-AR"/>
              </w:rPr>
              <w:t>346</w:t>
            </w:r>
          </w:p>
        </w:tc>
        <w:tc>
          <w:tcPr>
            <w:tcW w:w="809" w:type="dxa"/>
            <w:tcBorders>
              <w:top w:val="single" w:sz="4" w:space="0" w:color="auto"/>
              <w:left w:val="nil"/>
              <w:bottom w:val="single" w:sz="4" w:space="0" w:color="auto"/>
              <w:right w:val="nil"/>
            </w:tcBorders>
            <w:shd w:val="clear" w:color="auto" w:fill="auto"/>
            <w:noWrap/>
            <w:hideMark/>
          </w:tcPr>
          <w:p w:rsidR="005455FC" w:rsidRPr="005455FC" w:rsidRDefault="005455FC" w:rsidP="005455FC">
            <w:pPr>
              <w:jc w:val="right"/>
              <w:rPr>
                <w:rFonts w:ascii="Times New Roman" w:hAnsi="Times New Roman"/>
                <w:b/>
                <w:i/>
                <w:sz w:val="18"/>
                <w:szCs w:val="18"/>
                <w:lang w:val="es-AR" w:eastAsia="es-AR"/>
              </w:rPr>
            </w:pPr>
            <w:r w:rsidRPr="005455FC">
              <w:rPr>
                <w:rFonts w:ascii="Times New Roman" w:hAnsi="Times New Roman"/>
                <w:b/>
                <w:i/>
                <w:sz w:val="18"/>
                <w:szCs w:val="18"/>
                <w:lang w:val="es-AR" w:eastAsia="es-AR"/>
              </w:rPr>
              <w:t>85</w:t>
            </w:r>
          </w:p>
        </w:tc>
        <w:tc>
          <w:tcPr>
            <w:tcW w:w="708" w:type="dxa"/>
            <w:tcBorders>
              <w:top w:val="single" w:sz="4" w:space="0" w:color="auto"/>
              <w:left w:val="nil"/>
              <w:bottom w:val="single" w:sz="4" w:space="0" w:color="auto"/>
              <w:right w:val="nil"/>
            </w:tcBorders>
            <w:shd w:val="clear" w:color="auto" w:fill="auto"/>
            <w:noWrap/>
            <w:hideMark/>
          </w:tcPr>
          <w:p w:rsidR="005455FC" w:rsidRPr="005455FC" w:rsidRDefault="005455FC" w:rsidP="005455FC">
            <w:pPr>
              <w:jc w:val="right"/>
              <w:rPr>
                <w:rFonts w:ascii="Times New Roman" w:hAnsi="Times New Roman"/>
                <w:b/>
                <w:i/>
                <w:sz w:val="18"/>
                <w:szCs w:val="18"/>
                <w:lang w:val="es-AR" w:eastAsia="es-AR"/>
              </w:rPr>
            </w:pPr>
            <w:r w:rsidRPr="005455FC">
              <w:rPr>
                <w:rFonts w:ascii="Times New Roman" w:hAnsi="Times New Roman"/>
                <w:b/>
                <w:i/>
                <w:sz w:val="18"/>
                <w:szCs w:val="18"/>
                <w:lang w:val="es-AR" w:eastAsia="es-AR"/>
              </w:rPr>
              <w:t>999</w:t>
            </w:r>
          </w:p>
        </w:tc>
        <w:tc>
          <w:tcPr>
            <w:tcW w:w="993" w:type="dxa"/>
            <w:tcBorders>
              <w:top w:val="single" w:sz="4" w:space="0" w:color="auto"/>
              <w:left w:val="nil"/>
              <w:bottom w:val="single" w:sz="4" w:space="0" w:color="auto"/>
              <w:right w:val="nil"/>
            </w:tcBorders>
            <w:shd w:val="clear" w:color="auto" w:fill="auto"/>
            <w:noWrap/>
            <w:hideMark/>
          </w:tcPr>
          <w:p w:rsidR="005455FC" w:rsidRPr="005455FC" w:rsidRDefault="005455FC" w:rsidP="005455FC">
            <w:pPr>
              <w:jc w:val="right"/>
              <w:rPr>
                <w:rFonts w:ascii="Times New Roman" w:hAnsi="Times New Roman"/>
                <w:b/>
                <w:i/>
                <w:sz w:val="18"/>
                <w:szCs w:val="18"/>
                <w:lang w:val="es-AR" w:eastAsia="es-AR"/>
              </w:rPr>
            </w:pPr>
            <w:r w:rsidRPr="005455FC">
              <w:rPr>
                <w:rFonts w:ascii="Times New Roman" w:hAnsi="Times New Roman"/>
                <w:b/>
                <w:i/>
                <w:sz w:val="18"/>
                <w:szCs w:val="18"/>
                <w:lang w:val="es-AR" w:eastAsia="es-AR"/>
              </w:rPr>
              <w:t>21.742,92</w:t>
            </w:r>
          </w:p>
        </w:tc>
      </w:tr>
      <w:tr w:rsidR="00DC5E6A" w:rsidRPr="00747085" w:rsidTr="00EF1F61">
        <w:trPr>
          <w:trHeight w:val="315"/>
        </w:trPr>
        <w:tc>
          <w:tcPr>
            <w:tcW w:w="2441" w:type="dxa"/>
            <w:gridSpan w:val="2"/>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rPr>
                <w:rFonts w:ascii="Times New Roman" w:hAnsi="Times New Roman"/>
                <w:bCs/>
                <w:color w:val="000000"/>
                <w:sz w:val="18"/>
                <w:szCs w:val="18"/>
                <w:lang w:val="es-AR" w:eastAsia="es-AR"/>
              </w:rPr>
            </w:pPr>
            <w:r w:rsidRPr="00747085">
              <w:rPr>
                <w:rFonts w:ascii="Times New Roman" w:hAnsi="Times New Roman"/>
                <w:bCs/>
                <w:color w:val="000000"/>
                <w:sz w:val="18"/>
                <w:szCs w:val="18"/>
                <w:lang w:val="es-AR" w:eastAsia="es-AR"/>
              </w:rPr>
              <w:lastRenderedPageBreak/>
              <w:t>Total Programa</w:t>
            </w:r>
          </w:p>
        </w:tc>
        <w:tc>
          <w:tcPr>
            <w:tcW w:w="129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bCs/>
                <w:color w:val="000000"/>
                <w:sz w:val="18"/>
                <w:szCs w:val="18"/>
                <w:lang w:val="es-AR" w:eastAsia="es-AR"/>
              </w:rPr>
            </w:pPr>
            <w:r w:rsidRPr="00747085">
              <w:rPr>
                <w:rFonts w:ascii="Times New Roman" w:hAnsi="Times New Roman"/>
                <w:bCs/>
                <w:color w:val="000000"/>
                <w:sz w:val="18"/>
                <w:szCs w:val="18"/>
                <w:lang w:val="es-AR" w:eastAsia="es-AR"/>
              </w:rPr>
              <w:t>2.067.547.368</w:t>
            </w:r>
          </w:p>
        </w:tc>
        <w:tc>
          <w:tcPr>
            <w:tcW w:w="114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bCs/>
                <w:color w:val="000000"/>
                <w:sz w:val="18"/>
                <w:szCs w:val="18"/>
                <w:lang w:val="es-AR" w:eastAsia="es-AR"/>
              </w:rPr>
            </w:pPr>
            <w:r w:rsidRPr="00747085">
              <w:rPr>
                <w:rFonts w:ascii="Times New Roman" w:hAnsi="Times New Roman"/>
                <w:bCs/>
                <w:color w:val="000000"/>
                <w:sz w:val="18"/>
                <w:szCs w:val="18"/>
                <w:lang w:val="es-AR" w:eastAsia="es-AR"/>
              </w:rPr>
              <w:t>100.000.000</w:t>
            </w:r>
          </w:p>
        </w:tc>
        <w:tc>
          <w:tcPr>
            <w:tcW w:w="780" w:type="dxa"/>
            <w:tcBorders>
              <w:top w:val="single" w:sz="4" w:space="0" w:color="auto"/>
              <w:left w:val="nil"/>
              <w:bottom w:val="nil"/>
              <w:right w:val="nil"/>
            </w:tcBorders>
            <w:shd w:val="clear" w:color="auto" w:fill="auto"/>
            <w:noWrap/>
            <w:vAlign w:val="bottom"/>
            <w:hideMark/>
          </w:tcPr>
          <w:p w:rsidR="00DC5E6A" w:rsidRPr="00747085" w:rsidRDefault="00DC5E6A" w:rsidP="00747085">
            <w:pPr>
              <w:rPr>
                <w:rFonts w:ascii="Times New Roman" w:hAnsi="Times New Roman"/>
                <w:sz w:val="18"/>
                <w:szCs w:val="18"/>
                <w:lang w:val="es-AR" w:eastAsia="es-AR"/>
              </w:rPr>
            </w:pPr>
          </w:p>
        </w:tc>
        <w:tc>
          <w:tcPr>
            <w:tcW w:w="770" w:type="dxa"/>
            <w:tcBorders>
              <w:top w:val="single" w:sz="4" w:space="0" w:color="auto"/>
              <w:left w:val="nil"/>
              <w:bottom w:val="nil"/>
              <w:right w:val="nil"/>
            </w:tcBorders>
            <w:shd w:val="clear" w:color="auto" w:fill="auto"/>
            <w:noWrap/>
            <w:vAlign w:val="bottom"/>
            <w:hideMark/>
          </w:tcPr>
          <w:p w:rsidR="00DC5E6A" w:rsidRPr="00747085" w:rsidRDefault="00DC5E6A" w:rsidP="00747085">
            <w:pPr>
              <w:rPr>
                <w:rFonts w:ascii="Times New Roman" w:hAnsi="Times New Roman"/>
                <w:sz w:val="18"/>
                <w:szCs w:val="18"/>
                <w:lang w:val="es-AR" w:eastAsia="es-AR"/>
              </w:rPr>
            </w:pPr>
          </w:p>
        </w:tc>
        <w:tc>
          <w:tcPr>
            <w:tcW w:w="809" w:type="dxa"/>
            <w:tcBorders>
              <w:top w:val="single" w:sz="4" w:space="0" w:color="auto"/>
              <w:left w:val="nil"/>
              <w:bottom w:val="nil"/>
              <w:right w:val="nil"/>
            </w:tcBorders>
            <w:shd w:val="clear" w:color="auto" w:fill="auto"/>
            <w:noWrap/>
            <w:vAlign w:val="bottom"/>
            <w:hideMark/>
          </w:tcPr>
          <w:p w:rsidR="00DC5E6A" w:rsidRPr="00747085" w:rsidRDefault="00DC5E6A" w:rsidP="00747085">
            <w:pPr>
              <w:rPr>
                <w:rFonts w:ascii="Times New Roman" w:hAnsi="Times New Roman"/>
                <w:sz w:val="18"/>
                <w:szCs w:val="18"/>
                <w:lang w:val="es-AR" w:eastAsia="es-AR"/>
              </w:rPr>
            </w:pPr>
          </w:p>
        </w:tc>
        <w:tc>
          <w:tcPr>
            <w:tcW w:w="708" w:type="dxa"/>
            <w:tcBorders>
              <w:top w:val="single" w:sz="4" w:space="0" w:color="auto"/>
              <w:left w:val="nil"/>
              <w:bottom w:val="nil"/>
              <w:right w:val="nil"/>
            </w:tcBorders>
            <w:shd w:val="clear" w:color="auto" w:fill="auto"/>
            <w:noWrap/>
            <w:vAlign w:val="bottom"/>
            <w:hideMark/>
          </w:tcPr>
          <w:p w:rsidR="00DC5E6A" w:rsidRPr="00747085" w:rsidRDefault="00DC5E6A" w:rsidP="00747085">
            <w:pPr>
              <w:rPr>
                <w:rFonts w:ascii="Times New Roman" w:hAnsi="Times New Roman"/>
                <w:sz w:val="18"/>
                <w:szCs w:val="18"/>
                <w:lang w:val="es-AR" w:eastAsia="es-AR"/>
              </w:rPr>
            </w:pPr>
          </w:p>
        </w:tc>
        <w:tc>
          <w:tcPr>
            <w:tcW w:w="993" w:type="dxa"/>
            <w:tcBorders>
              <w:top w:val="single" w:sz="4" w:space="0" w:color="auto"/>
              <w:left w:val="nil"/>
              <w:bottom w:val="nil"/>
              <w:right w:val="nil"/>
            </w:tcBorders>
            <w:shd w:val="clear" w:color="auto" w:fill="auto"/>
            <w:noWrap/>
            <w:vAlign w:val="bottom"/>
            <w:hideMark/>
          </w:tcPr>
          <w:p w:rsidR="00DC5E6A" w:rsidRPr="00747085" w:rsidRDefault="00DC5E6A" w:rsidP="00747085">
            <w:pPr>
              <w:rPr>
                <w:rFonts w:ascii="Times New Roman" w:hAnsi="Times New Roman"/>
                <w:sz w:val="18"/>
                <w:szCs w:val="18"/>
                <w:lang w:val="es-AR" w:eastAsia="es-AR"/>
              </w:rPr>
            </w:pPr>
          </w:p>
        </w:tc>
      </w:tr>
      <w:tr w:rsidR="00DC5E6A" w:rsidRPr="00747085" w:rsidTr="00EF1F61">
        <w:trPr>
          <w:trHeight w:val="315"/>
        </w:trPr>
        <w:tc>
          <w:tcPr>
            <w:tcW w:w="2441" w:type="dxa"/>
            <w:gridSpan w:val="2"/>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rPr>
                <w:rFonts w:ascii="Times New Roman" w:hAnsi="Times New Roman"/>
                <w:b/>
                <w:color w:val="000000"/>
                <w:sz w:val="18"/>
                <w:szCs w:val="18"/>
                <w:lang w:val="es-AR" w:eastAsia="es-AR"/>
              </w:rPr>
            </w:pPr>
            <w:r w:rsidRPr="00747085">
              <w:rPr>
                <w:rFonts w:ascii="Times New Roman" w:hAnsi="Times New Roman"/>
                <w:b/>
                <w:color w:val="000000"/>
                <w:sz w:val="18"/>
                <w:szCs w:val="18"/>
                <w:lang w:val="es-AR" w:eastAsia="es-AR"/>
              </w:rPr>
              <w:t>Muestra / Programa</w:t>
            </w:r>
          </w:p>
        </w:tc>
        <w:tc>
          <w:tcPr>
            <w:tcW w:w="129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b/>
                <w:color w:val="000000"/>
                <w:sz w:val="18"/>
                <w:szCs w:val="18"/>
                <w:lang w:val="es-AR" w:eastAsia="es-AR"/>
              </w:rPr>
            </w:pPr>
            <w:r w:rsidRPr="00747085">
              <w:rPr>
                <w:rFonts w:ascii="Times New Roman" w:hAnsi="Times New Roman"/>
                <w:b/>
                <w:color w:val="000000"/>
                <w:sz w:val="18"/>
                <w:szCs w:val="18"/>
                <w:lang w:val="es-AR" w:eastAsia="es-AR"/>
              </w:rPr>
              <w:t>22%</w:t>
            </w:r>
          </w:p>
        </w:tc>
        <w:tc>
          <w:tcPr>
            <w:tcW w:w="1140" w:type="dxa"/>
            <w:tcBorders>
              <w:top w:val="single" w:sz="4" w:space="0" w:color="auto"/>
              <w:left w:val="nil"/>
              <w:bottom w:val="single" w:sz="4" w:space="0" w:color="auto"/>
              <w:right w:val="nil"/>
            </w:tcBorders>
            <w:shd w:val="clear" w:color="auto" w:fill="auto"/>
            <w:noWrap/>
            <w:vAlign w:val="bottom"/>
            <w:hideMark/>
          </w:tcPr>
          <w:p w:rsidR="00DC5E6A" w:rsidRPr="00747085" w:rsidRDefault="00DC5E6A" w:rsidP="00747085">
            <w:pPr>
              <w:jc w:val="right"/>
              <w:rPr>
                <w:rFonts w:ascii="Times New Roman" w:hAnsi="Times New Roman"/>
                <w:b/>
                <w:color w:val="000000"/>
                <w:sz w:val="18"/>
                <w:szCs w:val="18"/>
                <w:lang w:val="es-AR" w:eastAsia="es-AR"/>
              </w:rPr>
            </w:pPr>
            <w:r w:rsidRPr="00747085">
              <w:rPr>
                <w:rFonts w:ascii="Times New Roman" w:hAnsi="Times New Roman"/>
                <w:b/>
                <w:color w:val="000000"/>
                <w:sz w:val="18"/>
                <w:szCs w:val="18"/>
                <w:lang w:val="es-AR" w:eastAsia="es-AR"/>
              </w:rPr>
              <w:t>22%</w:t>
            </w:r>
          </w:p>
        </w:tc>
        <w:tc>
          <w:tcPr>
            <w:tcW w:w="780" w:type="dxa"/>
            <w:tcBorders>
              <w:top w:val="nil"/>
              <w:left w:val="nil"/>
              <w:bottom w:val="nil"/>
              <w:right w:val="nil"/>
            </w:tcBorders>
            <w:shd w:val="clear" w:color="auto" w:fill="auto"/>
            <w:noWrap/>
            <w:vAlign w:val="bottom"/>
            <w:hideMark/>
          </w:tcPr>
          <w:p w:rsidR="00DC5E6A" w:rsidRPr="00747085" w:rsidRDefault="00DC5E6A" w:rsidP="00747085">
            <w:pPr>
              <w:rPr>
                <w:rFonts w:ascii="Times New Roman" w:hAnsi="Times New Roman"/>
                <w:b/>
                <w:sz w:val="18"/>
                <w:szCs w:val="18"/>
                <w:lang w:val="es-AR" w:eastAsia="es-AR"/>
              </w:rPr>
            </w:pPr>
          </w:p>
        </w:tc>
        <w:tc>
          <w:tcPr>
            <w:tcW w:w="770" w:type="dxa"/>
            <w:tcBorders>
              <w:top w:val="nil"/>
              <w:left w:val="nil"/>
              <w:bottom w:val="nil"/>
              <w:right w:val="nil"/>
            </w:tcBorders>
            <w:shd w:val="clear" w:color="auto" w:fill="auto"/>
            <w:noWrap/>
            <w:vAlign w:val="bottom"/>
            <w:hideMark/>
          </w:tcPr>
          <w:p w:rsidR="00DC5E6A" w:rsidRPr="00747085" w:rsidRDefault="00DC5E6A" w:rsidP="00747085">
            <w:pPr>
              <w:rPr>
                <w:rFonts w:ascii="Times New Roman" w:hAnsi="Times New Roman"/>
                <w:b/>
                <w:sz w:val="18"/>
                <w:szCs w:val="18"/>
                <w:lang w:val="es-AR" w:eastAsia="es-AR"/>
              </w:rPr>
            </w:pPr>
          </w:p>
        </w:tc>
        <w:tc>
          <w:tcPr>
            <w:tcW w:w="809" w:type="dxa"/>
            <w:tcBorders>
              <w:top w:val="nil"/>
              <w:left w:val="nil"/>
              <w:bottom w:val="nil"/>
              <w:right w:val="nil"/>
            </w:tcBorders>
            <w:shd w:val="clear" w:color="auto" w:fill="auto"/>
            <w:noWrap/>
            <w:vAlign w:val="bottom"/>
            <w:hideMark/>
          </w:tcPr>
          <w:p w:rsidR="00DC5E6A" w:rsidRPr="00747085" w:rsidRDefault="00DC5E6A" w:rsidP="00747085">
            <w:pPr>
              <w:rPr>
                <w:rFonts w:ascii="Times New Roman" w:hAnsi="Times New Roman"/>
                <w:b/>
                <w:sz w:val="18"/>
                <w:szCs w:val="18"/>
                <w:lang w:val="es-AR" w:eastAsia="es-AR"/>
              </w:rPr>
            </w:pPr>
          </w:p>
        </w:tc>
        <w:tc>
          <w:tcPr>
            <w:tcW w:w="708" w:type="dxa"/>
            <w:tcBorders>
              <w:top w:val="nil"/>
              <w:left w:val="nil"/>
              <w:bottom w:val="nil"/>
              <w:right w:val="nil"/>
            </w:tcBorders>
            <w:shd w:val="clear" w:color="auto" w:fill="auto"/>
            <w:noWrap/>
            <w:vAlign w:val="bottom"/>
            <w:hideMark/>
          </w:tcPr>
          <w:p w:rsidR="00DC5E6A" w:rsidRPr="00747085" w:rsidRDefault="00DC5E6A" w:rsidP="00747085">
            <w:pPr>
              <w:rPr>
                <w:rFonts w:ascii="Times New Roman" w:hAnsi="Times New Roman"/>
                <w:b/>
                <w:sz w:val="18"/>
                <w:szCs w:val="18"/>
                <w:lang w:val="es-AR" w:eastAsia="es-AR"/>
              </w:rPr>
            </w:pPr>
          </w:p>
        </w:tc>
        <w:tc>
          <w:tcPr>
            <w:tcW w:w="993" w:type="dxa"/>
            <w:tcBorders>
              <w:top w:val="nil"/>
              <w:left w:val="nil"/>
              <w:bottom w:val="nil"/>
              <w:right w:val="nil"/>
            </w:tcBorders>
            <w:shd w:val="clear" w:color="auto" w:fill="auto"/>
            <w:noWrap/>
            <w:vAlign w:val="bottom"/>
            <w:hideMark/>
          </w:tcPr>
          <w:p w:rsidR="00DC5E6A" w:rsidRPr="00747085" w:rsidRDefault="00DC5E6A" w:rsidP="00747085">
            <w:pPr>
              <w:rPr>
                <w:rFonts w:ascii="Times New Roman" w:hAnsi="Times New Roman"/>
                <w:b/>
                <w:sz w:val="18"/>
                <w:szCs w:val="18"/>
                <w:lang w:val="es-AR" w:eastAsia="es-AR"/>
              </w:rPr>
            </w:pPr>
          </w:p>
        </w:tc>
      </w:tr>
    </w:tbl>
    <w:p w:rsidR="00A3758B" w:rsidRPr="00DC73F9" w:rsidRDefault="00A3758B">
      <w:pPr>
        <w:rPr>
          <w:rFonts w:ascii="Times New Roman" w:hAnsi="Times New Roman"/>
          <w:bCs/>
          <w:lang w:val="es-ES_tradnl"/>
        </w:rPr>
      </w:pPr>
    </w:p>
    <w:p w:rsidR="008C2CE2" w:rsidRPr="00DC73F9" w:rsidRDefault="008C2CE2" w:rsidP="008C2CE2">
      <w:pPr>
        <w:rPr>
          <w:rFonts w:ascii="Times New Roman" w:hAnsi="Times New Roman"/>
          <w:bCs/>
          <w:lang w:val="es-ES_tradnl"/>
        </w:rPr>
      </w:pPr>
    </w:p>
    <w:p w:rsidR="00D04C51" w:rsidRPr="00EF1F61" w:rsidRDefault="00D04C51" w:rsidP="00EF1F61">
      <w:pPr>
        <w:numPr>
          <w:ilvl w:val="1"/>
          <w:numId w:val="10"/>
        </w:numPr>
        <w:autoSpaceDE w:val="0"/>
        <w:autoSpaceDN w:val="0"/>
        <w:adjustRightInd w:val="0"/>
        <w:ind w:left="426"/>
        <w:jc w:val="both"/>
        <w:rPr>
          <w:rFonts w:ascii="Times New Roman" w:hAnsi="Times New Roman"/>
          <w:bCs/>
          <w:sz w:val="24"/>
          <w:szCs w:val="24"/>
          <w:lang w:val="es-ES_tradnl"/>
        </w:rPr>
      </w:pPr>
      <w:bookmarkStart w:id="8" w:name="_Toc339982342"/>
      <w:r w:rsidRPr="00EF1F61">
        <w:rPr>
          <w:rFonts w:ascii="Times New Roman" w:hAnsi="Times New Roman"/>
          <w:bCs/>
          <w:sz w:val="24"/>
          <w:szCs w:val="24"/>
          <w:lang w:val="es-ES_tradnl"/>
        </w:rPr>
        <w:t>Supuestos</w:t>
      </w:r>
      <w:r w:rsidR="008A1B46" w:rsidRPr="00EF1F61">
        <w:rPr>
          <w:rFonts w:ascii="Times New Roman" w:hAnsi="Times New Roman"/>
          <w:bCs/>
          <w:sz w:val="24"/>
          <w:szCs w:val="24"/>
          <w:lang w:val="es-ES_tradnl"/>
        </w:rPr>
        <w:t xml:space="preserve"> básicos</w:t>
      </w:r>
      <w:r w:rsidR="009F00B1" w:rsidRPr="00EF1F61">
        <w:rPr>
          <w:rFonts w:ascii="Times New Roman" w:hAnsi="Times New Roman"/>
          <w:bCs/>
          <w:sz w:val="24"/>
          <w:szCs w:val="24"/>
          <w:lang w:val="es-ES_tradnl"/>
        </w:rPr>
        <w:t>.</w:t>
      </w:r>
      <w:bookmarkEnd w:id="8"/>
      <w:r w:rsidR="00EF1F61" w:rsidRPr="00EF1F61">
        <w:rPr>
          <w:rFonts w:ascii="Times New Roman" w:hAnsi="Times New Roman"/>
          <w:bCs/>
          <w:sz w:val="24"/>
          <w:szCs w:val="24"/>
          <w:lang w:val="es-ES_tradnl"/>
        </w:rPr>
        <w:t xml:space="preserve"> </w:t>
      </w:r>
      <w:r w:rsidRPr="00EF1F61">
        <w:rPr>
          <w:rFonts w:ascii="Times New Roman" w:hAnsi="Times New Roman"/>
          <w:bCs/>
          <w:sz w:val="24"/>
          <w:szCs w:val="24"/>
          <w:lang w:val="es-ES_tradnl"/>
        </w:rPr>
        <w:t>Para determinar la viabilidad económica del proyecto se consideró:</w:t>
      </w:r>
    </w:p>
    <w:p w:rsidR="00D04C51" w:rsidRPr="00EF1F61" w:rsidRDefault="00D04C51" w:rsidP="00EF1F61">
      <w:pPr>
        <w:numPr>
          <w:ilvl w:val="2"/>
          <w:numId w:val="37"/>
        </w:numPr>
        <w:autoSpaceDE w:val="0"/>
        <w:autoSpaceDN w:val="0"/>
        <w:adjustRightInd w:val="0"/>
        <w:jc w:val="both"/>
        <w:rPr>
          <w:rFonts w:ascii="Times New Roman" w:hAnsi="Times New Roman"/>
          <w:bCs/>
          <w:sz w:val="24"/>
          <w:szCs w:val="24"/>
          <w:lang w:val="es-ES_tradnl"/>
        </w:rPr>
      </w:pPr>
      <w:r w:rsidRPr="00EF1F61">
        <w:rPr>
          <w:rFonts w:ascii="Times New Roman" w:hAnsi="Times New Roman"/>
          <w:bCs/>
          <w:sz w:val="24"/>
          <w:szCs w:val="24"/>
          <w:lang w:val="es-ES_tradnl"/>
        </w:rPr>
        <w:t>Período de análisis de 20 años para la cuantificación de los flujos de beneficios y costos. Este período es compatible con la vida útil de las obras consideradas. Si bien en algunos casos existe un valor remanente de la inversión, el mismo no se adicionó en el año 20.</w:t>
      </w:r>
    </w:p>
    <w:p w:rsidR="00D04C51" w:rsidRPr="00EF1F61" w:rsidRDefault="00D04C51" w:rsidP="00EF1F61">
      <w:pPr>
        <w:numPr>
          <w:ilvl w:val="2"/>
          <w:numId w:val="37"/>
        </w:numPr>
        <w:autoSpaceDE w:val="0"/>
        <w:autoSpaceDN w:val="0"/>
        <w:adjustRightInd w:val="0"/>
        <w:jc w:val="both"/>
        <w:rPr>
          <w:rFonts w:ascii="Times New Roman" w:hAnsi="Times New Roman"/>
          <w:bCs/>
          <w:sz w:val="24"/>
          <w:szCs w:val="24"/>
          <w:lang w:val="es-ES_tradnl"/>
        </w:rPr>
      </w:pPr>
      <w:r w:rsidRPr="00EF1F61">
        <w:rPr>
          <w:rFonts w:ascii="Times New Roman" w:hAnsi="Times New Roman"/>
          <w:bCs/>
          <w:sz w:val="24"/>
          <w:szCs w:val="24"/>
          <w:lang w:val="es-ES_tradnl"/>
        </w:rPr>
        <w:t>Tasa de descuento del 12% para expresar los flujos en valor presente.</w:t>
      </w:r>
      <w:r w:rsidR="00C43121" w:rsidRPr="00EF1F61">
        <w:rPr>
          <w:rFonts w:ascii="Times New Roman" w:hAnsi="Times New Roman"/>
          <w:bCs/>
          <w:sz w:val="24"/>
          <w:szCs w:val="24"/>
          <w:lang w:val="es-ES_tradnl"/>
        </w:rPr>
        <w:t xml:space="preserve"> Esta tasa arroja valores conservadores ya que las tasas de mercado actualmente se encuentran muy por debajo de dicho valor. De hecho, para la presente operación se supone que el Banco invierte USD 70 millones en este proyecto y que la condiciones financieras del endeudamiento con el Banco consisten en: (a) período de gracia de 5 años; (b) período de repago de 25 años y (iii) tasa de interés de alrededor del 4%.</w:t>
      </w:r>
    </w:p>
    <w:p w:rsidR="00D04C51" w:rsidRPr="00EF1F61" w:rsidRDefault="00D04C51" w:rsidP="00EF1F61">
      <w:pPr>
        <w:numPr>
          <w:ilvl w:val="2"/>
          <w:numId w:val="37"/>
        </w:numPr>
        <w:autoSpaceDE w:val="0"/>
        <w:autoSpaceDN w:val="0"/>
        <w:adjustRightInd w:val="0"/>
        <w:jc w:val="both"/>
        <w:rPr>
          <w:rFonts w:ascii="Times New Roman" w:hAnsi="Times New Roman"/>
          <w:bCs/>
          <w:sz w:val="24"/>
          <w:szCs w:val="24"/>
          <w:lang w:val="es-ES_tradnl"/>
        </w:rPr>
      </w:pPr>
      <w:r w:rsidRPr="00EF1F61">
        <w:rPr>
          <w:rFonts w:ascii="Times New Roman" w:hAnsi="Times New Roman"/>
          <w:bCs/>
          <w:sz w:val="24"/>
          <w:szCs w:val="24"/>
          <w:lang w:val="es-ES_tradnl"/>
        </w:rPr>
        <w:t xml:space="preserve">Se dedujo de los costos de inversión el IVA, ya que el pago de impuestos constituye una transferencia de suma cero de los privados al gobierno (no se asumen diferencias en el grado de eficiencia en el uso de estos recursos de acuerdo al sector). </w:t>
      </w:r>
    </w:p>
    <w:p w:rsidR="00AA0A94" w:rsidRPr="00EF1F61" w:rsidRDefault="00AA0A94" w:rsidP="00EF1F61">
      <w:pPr>
        <w:numPr>
          <w:ilvl w:val="2"/>
          <w:numId w:val="37"/>
        </w:numPr>
        <w:autoSpaceDE w:val="0"/>
        <w:autoSpaceDN w:val="0"/>
        <w:adjustRightInd w:val="0"/>
        <w:jc w:val="both"/>
        <w:rPr>
          <w:rFonts w:ascii="Times New Roman" w:hAnsi="Times New Roman"/>
          <w:bCs/>
          <w:sz w:val="24"/>
          <w:szCs w:val="24"/>
          <w:lang w:val="es-ES_tradnl"/>
        </w:rPr>
      </w:pPr>
      <w:r w:rsidRPr="00EF1F61">
        <w:rPr>
          <w:rFonts w:ascii="Times New Roman" w:hAnsi="Times New Roman"/>
          <w:bCs/>
          <w:sz w:val="24"/>
          <w:szCs w:val="24"/>
          <w:lang w:val="es-ES_tradnl"/>
        </w:rPr>
        <w:t xml:space="preserve">Los valores expresado en U$S consideran una tasa de cambio (promedio de dicho mes) de </w:t>
      </w:r>
      <w:r w:rsidRPr="004A020F">
        <w:rPr>
          <w:rFonts w:ascii="Times New Roman" w:hAnsi="Times New Roman"/>
          <w:bCs/>
          <w:sz w:val="24"/>
          <w:szCs w:val="24"/>
          <w:lang w:val="es-ES_tradnl"/>
        </w:rPr>
        <w:t>20,675</w:t>
      </w:r>
      <w:r w:rsidR="0003089C">
        <w:rPr>
          <w:rFonts w:ascii="Times New Roman" w:hAnsi="Times New Roman"/>
          <w:bCs/>
          <w:sz w:val="24"/>
          <w:szCs w:val="24"/>
          <w:lang w:val="es-ES_tradnl"/>
        </w:rPr>
        <w:t>.</w:t>
      </w:r>
    </w:p>
    <w:p w:rsidR="00D04C51" w:rsidRPr="00EF1F61" w:rsidRDefault="00D04C51" w:rsidP="00EF1F61">
      <w:pPr>
        <w:numPr>
          <w:ilvl w:val="2"/>
          <w:numId w:val="37"/>
        </w:numPr>
        <w:autoSpaceDE w:val="0"/>
        <w:autoSpaceDN w:val="0"/>
        <w:adjustRightInd w:val="0"/>
        <w:jc w:val="both"/>
        <w:rPr>
          <w:rFonts w:ascii="Times New Roman" w:hAnsi="Times New Roman"/>
          <w:bCs/>
          <w:sz w:val="24"/>
          <w:szCs w:val="24"/>
          <w:lang w:val="es-ES_tradnl"/>
        </w:rPr>
      </w:pPr>
      <w:r w:rsidRPr="00EF1F61">
        <w:rPr>
          <w:rFonts w:ascii="Times New Roman" w:hAnsi="Times New Roman"/>
          <w:bCs/>
          <w:sz w:val="24"/>
          <w:szCs w:val="24"/>
          <w:lang w:val="es-ES_tradnl"/>
        </w:rPr>
        <w:t xml:space="preserve">Se consideraron tres escenarios de variación en los resultados encontrados (análisis de sensibilidad), ante cambios en </w:t>
      </w:r>
      <w:r w:rsidR="00656576">
        <w:rPr>
          <w:rFonts w:ascii="Times New Roman" w:hAnsi="Times New Roman"/>
          <w:bCs/>
          <w:sz w:val="24"/>
          <w:szCs w:val="24"/>
          <w:lang w:val="es-ES_tradnl"/>
        </w:rPr>
        <w:t xml:space="preserve">los </w:t>
      </w:r>
      <w:r w:rsidRPr="00EF1F61">
        <w:rPr>
          <w:rFonts w:ascii="Times New Roman" w:hAnsi="Times New Roman"/>
          <w:bCs/>
          <w:sz w:val="24"/>
          <w:szCs w:val="24"/>
          <w:lang w:val="es-ES_tradnl"/>
        </w:rPr>
        <w:t xml:space="preserve">costos de </w:t>
      </w:r>
      <w:r w:rsidR="00656576">
        <w:rPr>
          <w:rFonts w:ascii="Times New Roman" w:hAnsi="Times New Roman"/>
          <w:bCs/>
          <w:sz w:val="24"/>
          <w:szCs w:val="24"/>
          <w:lang w:val="es-ES_tradnl"/>
        </w:rPr>
        <w:t xml:space="preserve">inversión </w:t>
      </w:r>
      <w:r w:rsidRPr="00EF1F61">
        <w:rPr>
          <w:rFonts w:ascii="Times New Roman" w:hAnsi="Times New Roman"/>
          <w:bCs/>
          <w:sz w:val="24"/>
          <w:szCs w:val="24"/>
          <w:lang w:val="es-ES_tradnl"/>
        </w:rPr>
        <w:t xml:space="preserve">y valorización esperada </w:t>
      </w:r>
      <w:r w:rsidR="00656576">
        <w:rPr>
          <w:rFonts w:ascii="Times New Roman" w:hAnsi="Times New Roman"/>
          <w:bCs/>
          <w:sz w:val="24"/>
          <w:szCs w:val="24"/>
          <w:lang w:val="es-ES_tradnl"/>
        </w:rPr>
        <w:t>d</w:t>
      </w:r>
      <w:r w:rsidRPr="00EF1F61">
        <w:rPr>
          <w:rFonts w:ascii="Times New Roman" w:hAnsi="Times New Roman"/>
          <w:bCs/>
          <w:sz w:val="24"/>
          <w:szCs w:val="24"/>
          <w:lang w:val="es-ES_tradnl"/>
        </w:rPr>
        <w:t>e</w:t>
      </w:r>
      <w:r w:rsidR="00656576">
        <w:rPr>
          <w:rFonts w:ascii="Times New Roman" w:hAnsi="Times New Roman"/>
          <w:bCs/>
          <w:sz w:val="24"/>
          <w:szCs w:val="24"/>
          <w:lang w:val="es-ES_tradnl"/>
        </w:rPr>
        <w:t xml:space="preserve"> los inmuebles</w:t>
      </w:r>
      <w:r w:rsidRPr="00EF1F61">
        <w:rPr>
          <w:rFonts w:ascii="Times New Roman" w:hAnsi="Times New Roman"/>
          <w:bCs/>
          <w:sz w:val="24"/>
          <w:szCs w:val="24"/>
          <w:lang w:val="es-ES_tradnl"/>
        </w:rPr>
        <w:t xml:space="preserve">. </w:t>
      </w:r>
    </w:p>
    <w:p w:rsidR="00D04C51" w:rsidRDefault="00D04C51" w:rsidP="008A1B46">
      <w:pPr>
        <w:autoSpaceDE w:val="0"/>
        <w:autoSpaceDN w:val="0"/>
        <w:adjustRightInd w:val="0"/>
        <w:ind w:left="792"/>
        <w:jc w:val="both"/>
        <w:rPr>
          <w:rFonts w:ascii="Times New Roman" w:hAnsi="Times New Roman"/>
          <w:bCs/>
          <w:lang w:val="es-ES_tradnl"/>
        </w:rPr>
      </w:pPr>
    </w:p>
    <w:p w:rsidR="00656576" w:rsidRDefault="00656576">
      <w:pPr>
        <w:rPr>
          <w:rFonts w:ascii="Times New Roman" w:hAnsi="Times New Roman"/>
          <w:bCs/>
          <w:lang w:val="es-ES_tradnl"/>
        </w:rPr>
      </w:pPr>
      <w:r>
        <w:rPr>
          <w:rFonts w:ascii="Times New Roman" w:hAnsi="Times New Roman"/>
          <w:bCs/>
          <w:lang w:val="es-ES_tradnl"/>
        </w:rPr>
        <w:br w:type="page"/>
      </w:r>
    </w:p>
    <w:p w:rsidR="009F00B1" w:rsidRDefault="009F00B1" w:rsidP="008A1B46">
      <w:pPr>
        <w:autoSpaceDE w:val="0"/>
        <w:autoSpaceDN w:val="0"/>
        <w:adjustRightInd w:val="0"/>
        <w:jc w:val="both"/>
        <w:rPr>
          <w:rFonts w:ascii="Times New Roman" w:hAnsi="Times New Roman"/>
          <w:bCs/>
          <w:lang w:val="es-ES_tradnl"/>
        </w:rPr>
      </w:pPr>
    </w:p>
    <w:p w:rsidR="008A1B46" w:rsidRPr="008A1B46" w:rsidRDefault="008A1B46" w:rsidP="008A1B46">
      <w:pPr>
        <w:pStyle w:val="Heading1"/>
        <w:numPr>
          <w:ilvl w:val="0"/>
          <w:numId w:val="10"/>
        </w:numPr>
        <w:jc w:val="left"/>
        <w:rPr>
          <w:i w:val="0"/>
          <w:sz w:val="24"/>
          <w:szCs w:val="24"/>
        </w:rPr>
      </w:pPr>
      <w:bookmarkStart w:id="9" w:name="_Toc366836877"/>
      <w:r>
        <w:rPr>
          <w:i w:val="0"/>
          <w:sz w:val="24"/>
          <w:szCs w:val="24"/>
        </w:rPr>
        <w:t>B</w:t>
      </w:r>
      <w:r w:rsidR="007E2BEB">
        <w:rPr>
          <w:i w:val="0"/>
          <w:sz w:val="24"/>
          <w:szCs w:val="24"/>
        </w:rPr>
        <w:t>eneficios</w:t>
      </w:r>
      <w:bookmarkEnd w:id="9"/>
      <w:r w:rsidRPr="008A1B46">
        <w:rPr>
          <w:i w:val="0"/>
          <w:sz w:val="24"/>
          <w:szCs w:val="24"/>
        </w:rPr>
        <w:t xml:space="preserve"> </w:t>
      </w:r>
    </w:p>
    <w:p w:rsidR="008A1B46" w:rsidRDefault="008A1B46" w:rsidP="008A1B46">
      <w:pPr>
        <w:autoSpaceDE w:val="0"/>
        <w:autoSpaceDN w:val="0"/>
        <w:adjustRightInd w:val="0"/>
        <w:jc w:val="both"/>
        <w:rPr>
          <w:rFonts w:ascii="Times New Roman" w:hAnsi="Times New Roman"/>
          <w:bCs/>
          <w:lang w:val="es-ES_tradnl"/>
        </w:rPr>
      </w:pPr>
    </w:p>
    <w:p w:rsidR="00C7322A" w:rsidRPr="00217CF5" w:rsidRDefault="008A1B46" w:rsidP="00280831">
      <w:pPr>
        <w:numPr>
          <w:ilvl w:val="1"/>
          <w:numId w:val="10"/>
        </w:numPr>
        <w:autoSpaceDE w:val="0"/>
        <w:autoSpaceDN w:val="0"/>
        <w:adjustRightInd w:val="0"/>
        <w:ind w:left="426"/>
        <w:jc w:val="both"/>
        <w:rPr>
          <w:rFonts w:ascii="Times New Roman" w:hAnsi="Times New Roman"/>
          <w:bCs/>
          <w:sz w:val="24"/>
          <w:szCs w:val="24"/>
          <w:lang w:val="es-ES_tradnl"/>
        </w:rPr>
      </w:pPr>
      <w:r w:rsidRPr="00217CF5">
        <w:rPr>
          <w:rFonts w:ascii="Times New Roman" w:hAnsi="Times New Roman"/>
          <w:bCs/>
          <w:sz w:val="24"/>
          <w:szCs w:val="24"/>
          <w:lang w:val="es-ES_tradnl"/>
        </w:rPr>
        <w:t>Para el cálculo del valor inmobiliario, sobre los cuales se computar</w:t>
      </w:r>
      <w:r w:rsidR="00BD5E3D" w:rsidRPr="00217CF5">
        <w:rPr>
          <w:rFonts w:ascii="Times New Roman" w:hAnsi="Times New Roman"/>
          <w:bCs/>
          <w:sz w:val="24"/>
          <w:szCs w:val="24"/>
          <w:lang w:val="es-ES_tradnl"/>
        </w:rPr>
        <w:t>á</w:t>
      </w:r>
      <w:r w:rsidRPr="00217CF5">
        <w:rPr>
          <w:rFonts w:ascii="Times New Roman" w:hAnsi="Times New Roman"/>
          <w:bCs/>
          <w:sz w:val="24"/>
          <w:szCs w:val="24"/>
          <w:lang w:val="es-ES_tradnl"/>
        </w:rPr>
        <w:t xml:space="preserve"> el beneficio, se </w:t>
      </w:r>
      <w:r w:rsidR="00BD5E3D" w:rsidRPr="00217CF5">
        <w:rPr>
          <w:rFonts w:ascii="Times New Roman" w:hAnsi="Times New Roman"/>
          <w:bCs/>
          <w:sz w:val="24"/>
          <w:szCs w:val="24"/>
          <w:lang w:val="es-ES_tradnl"/>
        </w:rPr>
        <w:t xml:space="preserve">extrajeron </w:t>
      </w:r>
      <w:r w:rsidR="00C7322A" w:rsidRPr="00217CF5">
        <w:rPr>
          <w:rFonts w:ascii="Times New Roman" w:hAnsi="Times New Roman"/>
          <w:bCs/>
          <w:sz w:val="24"/>
          <w:szCs w:val="24"/>
          <w:lang w:val="es-ES_tradnl"/>
        </w:rPr>
        <w:t>de la encuesta continua de hogares</w:t>
      </w:r>
      <w:r w:rsidR="00BD5E3D" w:rsidRPr="00217CF5">
        <w:rPr>
          <w:rFonts w:ascii="Times New Roman" w:hAnsi="Times New Roman"/>
          <w:bCs/>
          <w:sz w:val="24"/>
          <w:szCs w:val="24"/>
          <w:lang w:val="es-ES_tradnl"/>
        </w:rPr>
        <w:t xml:space="preserve"> (ECH)</w:t>
      </w:r>
      <w:r w:rsidR="00C7322A" w:rsidRPr="00217CF5">
        <w:rPr>
          <w:rFonts w:ascii="Times New Roman" w:hAnsi="Times New Roman"/>
          <w:bCs/>
          <w:sz w:val="24"/>
          <w:szCs w:val="24"/>
          <w:lang w:val="es-ES_tradnl"/>
        </w:rPr>
        <w:t xml:space="preserve"> del INE para el 2011</w:t>
      </w:r>
      <w:r w:rsidR="00BD5E3D" w:rsidRPr="00217CF5">
        <w:rPr>
          <w:rFonts w:ascii="Times New Roman" w:hAnsi="Times New Roman"/>
          <w:bCs/>
          <w:sz w:val="24"/>
          <w:szCs w:val="24"/>
          <w:lang w:val="es-ES_tradnl"/>
        </w:rPr>
        <w:t xml:space="preserve">, los datos de valor locativo </w:t>
      </w:r>
      <w:r w:rsidR="00DB435B" w:rsidRPr="00217CF5">
        <w:rPr>
          <w:rFonts w:ascii="Times New Roman" w:hAnsi="Times New Roman"/>
          <w:bCs/>
          <w:sz w:val="24"/>
          <w:szCs w:val="24"/>
          <w:lang w:val="es-ES_tradnl"/>
        </w:rPr>
        <w:t xml:space="preserve">o de alquiler </w:t>
      </w:r>
      <w:r w:rsidR="00BD5E3D" w:rsidRPr="00217CF5">
        <w:rPr>
          <w:rFonts w:ascii="Times New Roman" w:hAnsi="Times New Roman"/>
          <w:bCs/>
          <w:sz w:val="24"/>
          <w:szCs w:val="24"/>
          <w:lang w:val="es-ES_tradnl"/>
        </w:rPr>
        <w:t xml:space="preserve">correspondientes a </w:t>
      </w:r>
      <w:r w:rsidR="00C7322A" w:rsidRPr="00217CF5">
        <w:rPr>
          <w:rFonts w:ascii="Times New Roman" w:hAnsi="Times New Roman"/>
          <w:bCs/>
          <w:sz w:val="24"/>
          <w:szCs w:val="24"/>
          <w:lang w:val="es-ES_tradnl"/>
        </w:rPr>
        <w:t>hogares localizados en barrios elegibles por el programa</w:t>
      </w:r>
      <w:r w:rsidR="00DB435B" w:rsidRPr="00217CF5">
        <w:rPr>
          <w:rStyle w:val="FootnoteReference"/>
          <w:rFonts w:ascii="Times New Roman" w:hAnsi="Times New Roman"/>
          <w:bCs/>
          <w:sz w:val="24"/>
          <w:szCs w:val="24"/>
          <w:lang w:val="es-ES_tradnl"/>
        </w:rPr>
        <w:footnoteReference w:id="16"/>
      </w:r>
      <w:r w:rsidR="00BD5E3D" w:rsidRPr="00217CF5">
        <w:rPr>
          <w:rFonts w:ascii="Times New Roman" w:hAnsi="Times New Roman"/>
          <w:bCs/>
          <w:sz w:val="24"/>
          <w:szCs w:val="24"/>
          <w:lang w:val="es-ES_tradnl"/>
        </w:rPr>
        <w:t xml:space="preserve">. </w:t>
      </w:r>
      <w:r w:rsidR="00DB435B" w:rsidRPr="00217CF5">
        <w:rPr>
          <w:rFonts w:ascii="Times New Roman" w:hAnsi="Times New Roman"/>
          <w:bCs/>
          <w:sz w:val="24"/>
          <w:szCs w:val="24"/>
          <w:lang w:val="es-ES_tradnl"/>
        </w:rPr>
        <w:t>El valor locativo promedio obtenido</w:t>
      </w:r>
      <w:r w:rsidR="00C7322A" w:rsidRPr="00217CF5">
        <w:rPr>
          <w:rFonts w:ascii="Times New Roman" w:hAnsi="Times New Roman"/>
          <w:bCs/>
          <w:sz w:val="24"/>
          <w:szCs w:val="24"/>
          <w:lang w:val="es-ES_tradnl"/>
        </w:rPr>
        <w:t xml:space="preserve">, actualizado </w:t>
      </w:r>
      <w:r w:rsidR="00DB435B" w:rsidRPr="00217CF5">
        <w:rPr>
          <w:rFonts w:ascii="Times New Roman" w:hAnsi="Times New Roman"/>
          <w:bCs/>
          <w:sz w:val="24"/>
          <w:szCs w:val="24"/>
          <w:lang w:val="es-ES_tradnl"/>
        </w:rPr>
        <w:t xml:space="preserve">a junio de 2013 </w:t>
      </w:r>
      <w:r w:rsidR="00C7322A" w:rsidRPr="00217CF5">
        <w:rPr>
          <w:rFonts w:ascii="Times New Roman" w:hAnsi="Times New Roman"/>
          <w:bCs/>
          <w:sz w:val="24"/>
          <w:szCs w:val="24"/>
          <w:lang w:val="es-ES_tradnl"/>
        </w:rPr>
        <w:t xml:space="preserve">por el </w:t>
      </w:r>
      <w:r w:rsidR="00DB435B" w:rsidRPr="00217CF5">
        <w:rPr>
          <w:rFonts w:ascii="Times New Roman" w:hAnsi="Times New Roman"/>
          <w:bCs/>
          <w:sz w:val="24"/>
          <w:szCs w:val="24"/>
          <w:lang w:val="es-ES_tradnl"/>
        </w:rPr>
        <w:t>I</w:t>
      </w:r>
      <w:r w:rsidR="00C7322A" w:rsidRPr="00217CF5">
        <w:rPr>
          <w:rFonts w:ascii="Times New Roman" w:hAnsi="Times New Roman"/>
          <w:bCs/>
          <w:sz w:val="24"/>
          <w:szCs w:val="24"/>
          <w:lang w:val="es-ES_tradnl"/>
        </w:rPr>
        <w:t>ndice del Costo de la Construcción (ICC)</w:t>
      </w:r>
      <w:r w:rsidR="00C7322A" w:rsidRPr="00217CF5">
        <w:rPr>
          <w:rStyle w:val="FootnoteReference"/>
          <w:rFonts w:ascii="Times New Roman" w:hAnsi="Times New Roman"/>
          <w:bCs/>
          <w:sz w:val="24"/>
          <w:szCs w:val="24"/>
          <w:lang w:val="es-ES_tradnl"/>
        </w:rPr>
        <w:footnoteReference w:id="17"/>
      </w:r>
      <w:r w:rsidR="00656576">
        <w:rPr>
          <w:rFonts w:ascii="Times New Roman" w:hAnsi="Times New Roman"/>
          <w:bCs/>
          <w:sz w:val="24"/>
          <w:szCs w:val="24"/>
          <w:lang w:val="es-ES_tradnl"/>
        </w:rPr>
        <w:t>,</w:t>
      </w:r>
      <w:r w:rsidR="00DB435B" w:rsidRPr="00217CF5">
        <w:rPr>
          <w:rFonts w:ascii="Times New Roman" w:hAnsi="Times New Roman"/>
          <w:bCs/>
          <w:sz w:val="24"/>
          <w:szCs w:val="24"/>
          <w:lang w:val="es-ES_tradnl"/>
        </w:rPr>
        <w:t xml:space="preserve"> se asumió como el valor de la renta de </w:t>
      </w:r>
      <w:r w:rsidR="00656576">
        <w:rPr>
          <w:rFonts w:ascii="Times New Roman" w:hAnsi="Times New Roman"/>
          <w:bCs/>
          <w:sz w:val="24"/>
          <w:szCs w:val="24"/>
          <w:lang w:val="es-ES_tradnl"/>
        </w:rPr>
        <w:t>que produce el inmueble</w:t>
      </w:r>
      <w:r w:rsidR="00DB435B" w:rsidRPr="00217CF5">
        <w:rPr>
          <w:rFonts w:ascii="Times New Roman" w:hAnsi="Times New Roman"/>
          <w:bCs/>
          <w:sz w:val="24"/>
          <w:szCs w:val="24"/>
          <w:lang w:val="es-ES_tradnl"/>
        </w:rPr>
        <w:t xml:space="preserve">. </w:t>
      </w:r>
      <w:r w:rsidR="00280831" w:rsidRPr="00217CF5">
        <w:rPr>
          <w:rFonts w:ascii="Times New Roman" w:hAnsi="Times New Roman"/>
          <w:bCs/>
          <w:sz w:val="24"/>
          <w:szCs w:val="24"/>
          <w:lang w:val="es-ES_tradnl"/>
        </w:rPr>
        <w:t>En función de lo anterior</w:t>
      </w:r>
      <w:r w:rsidR="00656576">
        <w:rPr>
          <w:rFonts w:ascii="Times New Roman" w:hAnsi="Times New Roman"/>
          <w:bCs/>
          <w:sz w:val="24"/>
          <w:szCs w:val="24"/>
          <w:lang w:val="es-ES_tradnl"/>
        </w:rPr>
        <w:t>,</w:t>
      </w:r>
      <w:r w:rsidR="00280831" w:rsidRPr="00217CF5">
        <w:rPr>
          <w:rFonts w:ascii="Times New Roman" w:hAnsi="Times New Roman"/>
          <w:bCs/>
          <w:sz w:val="24"/>
          <w:szCs w:val="24"/>
          <w:lang w:val="es-ES_tradnl"/>
        </w:rPr>
        <w:t xml:space="preserve"> se puede estimar el valor del inmueble (capital) como equivalente a la renta obtenida (alquiler) divida su tasa de rentabilidad. De acuerdo a la metodolo</w:t>
      </w:r>
      <w:r w:rsidR="007D6F22">
        <w:rPr>
          <w:rFonts w:ascii="Times New Roman" w:hAnsi="Times New Roman"/>
          <w:bCs/>
          <w:sz w:val="24"/>
          <w:szCs w:val="24"/>
          <w:lang w:val="es-ES_tradnl"/>
        </w:rPr>
        <w:t xml:space="preserve">gía testeada y utilizada por la Intendencia Municipal de </w:t>
      </w:r>
      <w:r w:rsidR="00280831" w:rsidRPr="00217CF5">
        <w:rPr>
          <w:rFonts w:ascii="Times New Roman" w:hAnsi="Times New Roman"/>
          <w:bCs/>
          <w:sz w:val="24"/>
          <w:szCs w:val="24"/>
          <w:lang w:val="es-ES_tradnl"/>
        </w:rPr>
        <w:t>Montevideo</w:t>
      </w:r>
      <w:r w:rsidR="00280831" w:rsidRPr="00217CF5">
        <w:rPr>
          <w:rStyle w:val="FootnoteReference"/>
          <w:rFonts w:ascii="Times New Roman" w:hAnsi="Times New Roman"/>
          <w:bCs/>
          <w:sz w:val="24"/>
          <w:szCs w:val="24"/>
          <w:lang w:val="es-ES_tradnl"/>
        </w:rPr>
        <w:footnoteReference w:id="18"/>
      </w:r>
      <w:r w:rsidR="00280831" w:rsidRPr="00217CF5">
        <w:rPr>
          <w:rFonts w:ascii="Times New Roman" w:hAnsi="Times New Roman"/>
          <w:bCs/>
          <w:sz w:val="24"/>
          <w:szCs w:val="24"/>
          <w:lang w:val="es-ES_tradnl"/>
        </w:rPr>
        <w:t xml:space="preserve"> la tasa de rentabilidad de la</w:t>
      </w:r>
      <w:r w:rsidR="004A020F">
        <w:rPr>
          <w:rFonts w:ascii="Times New Roman" w:hAnsi="Times New Roman"/>
          <w:bCs/>
          <w:sz w:val="24"/>
          <w:szCs w:val="24"/>
          <w:lang w:val="es-ES_tradnl"/>
        </w:rPr>
        <w:t>s</w:t>
      </w:r>
      <w:r w:rsidR="00280831" w:rsidRPr="00217CF5">
        <w:rPr>
          <w:rFonts w:ascii="Times New Roman" w:hAnsi="Times New Roman"/>
          <w:bCs/>
          <w:sz w:val="24"/>
          <w:szCs w:val="24"/>
          <w:lang w:val="es-ES_tradnl"/>
        </w:rPr>
        <w:t xml:space="preserve"> categoría</w:t>
      </w:r>
      <w:r w:rsidR="004A020F">
        <w:rPr>
          <w:rFonts w:ascii="Times New Roman" w:hAnsi="Times New Roman"/>
          <w:bCs/>
          <w:sz w:val="24"/>
          <w:szCs w:val="24"/>
          <w:lang w:val="es-ES_tradnl"/>
        </w:rPr>
        <w:t>s</w:t>
      </w:r>
      <w:r w:rsidR="00280831" w:rsidRPr="00217CF5">
        <w:rPr>
          <w:rFonts w:ascii="Times New Roman" w:hAnsi="Times New Roman"/>
          <w:bCs/>
          <w:sz w:val="24"/>
          <w:szCs w:val="24"/>
          <w:lang w:val="es-ES_tradnl"/>
        </w:rPr>
        <w:t xml:space="preserve"> más baja</w:t>
      </w:r>
      <w:r w:rsidR="004A020F">
        <w:rPr>
          <w:rFonts w:ascii="Times New Roman" w:hAnsi="Times New Roman"/>
          <w:bCs/>
          <w:sz w:val="24"/>
          <w:szCs w:val="24"/>
          <w:lang w:val="es-ES_tradnl"/>
        </w:rPr>
        <w:t>s</w:t>
      </w:r>
      <w:r w:rsidR="00280831" w:rsidRPr="00217CF5">
        <w:rPr>
          <w:rFonts w:ascii="Times New Roman" w:hAnsi="Times New Roman"/>
          <w:bCs/>
          <w:sz w:val="24"/>
          <w:szCs w:val="24"/>
          <w:lang w:val="es-ES_tradnl"/>
        </w:rPr>
        <w:t xml:space="preserve"> de inmuebles residenciales </w:t>
      </w:r>
      <w:r w:rsidR="004A020F">
        <w:rPr>
          <w:rFonts w:ascii="Times New Roman" w:hAnsi="Times New Roman"/>
          <w:bCs/>
          <w:sz w:val="24"/>
          <w:szCs w:val="24"/>
          <w:lang w:val="es-ES_tradnl"/>
        </w:rPr>
        <w:t xml:space="preserve">ronda entre el 12% y </w:t>
      </w:r>
      <w:r w:rsidR="00280831" w:rsidRPr="00217CF5">
        <w:rPr>
          <w:rFonts w:ascii="Times New Roman" w:hAnsi="Times New Roman"/>
          <w:bCs/>
          <w:sz w:val="24"/>
          <w:szCs w:val="24"/>
          <w:lang w:val="es-ES_tradnl"/>
        </w:rPr>
        <w:t>el 16% anual</w:t>
      </w:r>
      <w:r w:rsidR="004A020F">
        <w:rPr>
          <w:rFonts w:ascii="Times New Roman" w:hAnsi="Times New Roman"/>
          <w:bCs/>
          <w:sz w:val="24"/>
          <w:szCs w:val="24"/>
          <w:lang w:val="es-ES_tradnl"/>
        </w:rPr>
        <w:t>, según la siguiente tabla.</w:t>
      </w:r>
    </w:p>
    <w:p w:rsidR="00217CF5" w:rsidRPr="00217CF5" w:rsidRDefault="00217CF5" w:rsidP="00217CF5">
      <w:pPr>
        <w:autoSpaceDE w:val="0"/>
        <w:autoSpaceDN w:val="0"/>
        <w:adjustRightInd w:val="0"/>
        <w:ind w:left="426"/>
        <w:jc w:val="both"/>
        <w:rPr>
          <w:rFonts w:ascii="Times New Roman" w:hAnsi="Times New Roman"/>
          <w:bCs/>
          <w:sz w:val="24"/>
          <w:szCs w:val="24"/>
          <w:lang w:val="es-ES_tradnl"/>
        </w:rPr>
      </w:pPr>
    </w:p>
    <w:p w:rsidR="00217CF5" w:rsidRPr="00D70CC7" w:rsidRDefault="00217CF5" w:rsidP="00D70CC7">
      <w:pPr>
        <w:pStyle w:val="ListParagraph"/>
        <w:jc w:val="center"/>
        <w:rPr>
          <w:rFonts w:ascii="Times New Roman" w:hAnsi="Times New Roman"/>
          <w:b/>
          <w:lang w:val="es-ES_tradnl"/>
        </w:rPr>
      </w:pPr>
      <w:r w:rsidRPr="00D70CC7">
        <w:rPr>
          <w:rFonts w:ascii="Times New Roman" w:hAnsi="Times New Roman"/>
          <w:b/>
          <w:lang w:val="es-ES_tradnl"/>
        </w:rPr>
        <w:t>Tabla III. Rentabilidad inmobiliaria para uso residencial bajo</w:t>
      </w:r>
    </w:p>
    <w:tbl>
      <w:tblPr>
        <w:tblStyle w:val="TableGrid"/>
        <w:tblW w:w="8650"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1397"/>
        <w:gridCol w:w="1396"/>
        <w:gridCol w:w="1396"/>
        <w:gridCol w:w="1397"/>
        <w:gridCol w:w="1397"/>
      </w:tblGrid>
      <w:tr w:rsidR="00217CF5" w:rsidRPr="007A4916" w:rsidTr="00217CF5">
        <w:tc>
          <w:tcPr>
            <w:tcW w:w="1667" w:type="dxa"/>
            <w:tcBorders>
              <w:top w:val="single" w:sz="4" w:space="0" w:color="auto"/>
              <w:bottom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Tasa</w:t>
            </w:r>
          </w:p>
        </w:tc>
        <w:tc>
          <w:tcPr>
            <w:tcW w:w="1397" w:type="dxa"/>
            <w:tcBorders>
              <w:top w:val="single" w:sz="4" w:space="0" w:color="auto"/>
              <w:bottom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12%</w:t>
            </w:r>
          </w:p>
        </w:tc>
        <w:tc>
          <w:tcPr>
            <w:tcW w:w="1396" w:type="dxa"/>
            <w:tcBorders>
              <w:top w:val="single" w:sz="4" w:space="0" w:color="auto"/>
              <w:bottom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13%</w:t>
            </w:r>
          </w:p>
        </w:tc>
        <w:tc>
          <w:tcPr>
            <w:tcW w:w="1396" w:type="dxa"/>
            <w:tcBorders>
              <w:top w:val="single" w:sz="4" w:space="0" w:color="auto"/>
              <w:bottom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14%</w:t>
            </w:r>
          </w:p>
        </w:tc>
        <w:tc>
          <w:tcPr>
            <w:tcW w:w="1397" w:type="dxa"/>
            <w:tcBorders>
              <w:top w:val="single" w:sz="4" w:space="0" w:color="auto"/>
              <w:bottom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15%</w:t>
            </w:r>
          </w:p>
        </w:tc>
        <w:tc>
          <w:tcPr>
            <w:tcW w:w="1397" w:type="dxa"/>
            <w:tcBorders>
              <w:top w:val="single" w:sz="4" w:space="0" w:color="auto"/>
              <w:bottom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16%</w:t>
            </w:r>
          </w:p>
        </w:tc>
      </w:tr>
      <w:tr w:rsidR="00217CF5" w:rsidRPr="007A4916" w:rsidTr="00217CF5">
        <w:tc>
          <w:tcPr>
            <w:tcW w:w="1667" w:type="dxa"/>
            <w:tcBorders>
              <w:top w:val="single" w:sz="4" w:space="0" w:color="auto"/>
            </w:tcBorders>
          </w:tcPr>
          <w:p w:rsidR="00217CF5" w:rsidRPr="007A4916" w:rsidRDefault="00217CF5" w:rsidP="00217CF5">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Entorno</w:t>
            </w:r>
          </w:p>
        </w:tc>
        <w:tc>
          <w:tcPr>
            <w:tcW w:w="1397" w:type="dxa"/>
            <w:tcBorders>
              <w:top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Muy Bueno</w:t>
            </w:r>
          </w:p>
        </w:tc>
        <w:tc>
          <w:tcPr>
            <w:tcW w:w="1396" w:type="dxa"/>
            <w:tcBorders>
              <w:top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Bueno</w:t>
            </w:r>
          </w:p>
        </w:tc>
        <w:tc>
          <w:tcPr>
            <w:tcW w:w="1396" w:type="dxa"/>
            <w:tcBorders>
              <w:top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Regular</w:t>
            </w:r>
          </w:p>
        </w:tc>
        <w:tc>
          <w:tcPr>
            <w:tcW w:w="1397" w:type="dxa"/>
            <w:tcBorders>
              <w:top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Malo</w:t>
            </w:r>
          </w:p>
        </w:tc>
        <w:tc>
          <w:tcPr>
            <w:tcW w:w="1397" w:type="dxa"/>
            <w:tcBorders>
              <w:top w:val="single" w:sz="4" w:space="0" w:color="auto"/>
            </w:tcBorders>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Deficiente</w:t>
            </w:r>
          </w:p>
        </w:tc>
      </w:tr>
      <w:tr w:rsidR="00217CF5" w:rsidRPr="007A4916" w:rsidTr="00217CF5">
        <w:tc>
          <w:tcPr>
            <w:tcW w:w="1667" w:type="dxa"/>
          </w:tcPr>
          <w:p w:rsidR="00217CF5" w:rsidRPr="007A4916" w:rsidRDefault="00217CF5" w:rsidP="00217CF5">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Uso</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Bueno</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Adecuado</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regular</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malo</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Deficiente</w:t>
            </w:r>
          </w:p>
        </w:tc>
      </w:tr>
      <w:tr w:rsidR="00217CF5" w:rsidRPr="007A4916" w:rsidTr="00217CF5">
        <w:tc>
          <w:tcPr>
            <w:tcW w:w="1667" w:type="dxa"/>
          </w:tcPr>
          <w:p w:rsidR="00217CF5" w:rsidRPr="007A4916" w:rsidRDefault="00217CF5" w:rsidP="00217CF5">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Categoría</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MB</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B</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Económica</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Muy Ec</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 muy Ec</w:t>
            </w:r>
          </w:p>
        </w:tc>
      </w:tr>
      <w:tr w:rsidR="00217CF5" w:rsidRPr="007A4916" w:rsidTr="00217CF5">
        <w:tc>
          <w:tcPr>
            <w:tcW w:w="1667" w:type="dxa"/>
          </w:tcPr>
          <w:p w:rsidR="00217CF5" w:rsidRPr="007A4916" w:rsidRDefault="00217CF5" w:rsidP="00217CF5">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Estado</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MB</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B</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R</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Ruinoso</w:t>
            </w:r>
          </w:p>
        </w:tc>
      </w:tr>
      <w:tr w:rsidR="00217CF5" w:rsidRPr="007A4916" w:rsidTr="00217CF5">
        <w:tc>
          <w:tcPr>
            <w:tcW w:w="1667" w:type="dxa"/>
          </w:tcPr>
          <w:p w:rsidR="00217CF5" w:rsidRPr="007A4916" w:rsidRDefault="00217CF5" w:rsidP="00217CF5">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Proyecto</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MB</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B</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R</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M</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Def</w:t>
            </w:r>
          </w:p>
        </w:tc>
      </w:tr>
      <w:tr w:rsidR="00217CF5" w:rsidRPr="007A4916" w:rsidTr="00217CF5">
        <w:tc>
          <w:tcPr>
            <w:tcW w:w="1667" w:type="dxa"/>
          </w:tcPr>
          <w:p w:rsidR="00217CF5" w:rsidRPr="007A4916" w:rsidRDefault="00217CF5" w:rsidP="00217CF5">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Vida Probable</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+35</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35-30</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29-25</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24-20</w:t>
            </w:r>
          </w:p>
        </w:tc>
        <w:tc>
          <w:tcPr>
            <w:tcW w:w="1397" w:type="dxa"/>
          </w:tcPr>
          <w:p w:rsidR="00217CF5" w:rsidRPr="007A4916" w:rsidRDefault="00217CF5" w:rsidP="00217CF5">
            <w:pPr>
              <w:pStyle w:val="ListParagraph"/>
              <w:autoSpaceDE w:val="0"/>
              <w:autoSpaceDN w:val="0"/>
              <w:adjustRightInd w:val="0"/>
              <w:ind w:left="54"/>
              <w:jc w:val="center"/>
              <w:rPr>
                <w:rFonts w:ascii="Times New Roman" w:hAnsi="Times New Roman"/>
                <w:bCs/>
                <w:lang w:val="es-ES_tradnl"/>
              </w:rPr>
            </w:pPr>
            <w:r w:rsidRPr="007A4916">
              <w:rPr>
                <w:rFonts w:ascii="Times New Roman" w:hAnsi="Times New Roman"/>
                <w:bCs/>
                <w:lang w:val="es-ES_tradnl"/>
              </w:rPr>
              <w:t>- 20</w:t>
            </w:r>
          </w:p>
        </w:tc>
      </w:tr>
      <w:tr w:rsidR="00217CF5" w:rsidRPr="007A4916" w:rsidTr="00217CF5">
        <w:tc>
          <w:tcPr>
            <w:tcW w:w="1667" w:type="dxa"/>
          </w:tcPr>
          <w:p w:rsidR="00217CF5" w:rsidRPr="007A4916" w:rsidRDefault="00217CF5" w:rsidP="00EF1F61">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Edad</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0-11</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11-20</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21-30</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31-40</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 de 40</w:t>
            </w:r>
          </w:p>
        </w:tc>
      </w:tr>
      <w:tr w:rsidR="00217CF5" w:rsidRPr="007A4916" w:rsidTr="00217CF5">
        <w:tc>
          <w:tcPr>
            <w:tcW w:w="1667" w:type="dxa"/>
          </w:tcPr>
          <w:p w:rsidR="00217CF5" w:rsidRPr="007A4916" w:rsidRDefault="00217CF5" w:rsidP="00217CF5">
            <w:pPr>
              <w:autoSpaceDE w:val="0"/>
              <w:autoSpaceDN w:val="0"/>
              <w:adjustRightInd w:val="0"/>
              <w:jc w:val="both"/>
              <w:rPr>
                <w:rFonts w:ascii="Times New Roman" w:hAnsi="Times New Roman"/>
                <w:bCs/>
                <w:lang w:val="es-ES_tradnl"/>
              </w:rPr>
            </w:pPr>
            <w:r w:rsidRPr="007A4916">
              <w:rPr>
                <w:rFonts w:ascii="Times New Roman" w:hAnsi="Times New Roman"/>
                <w:bCs/>
                <w:lang w:val="es-ES_tradnl"/>
              </w:rPr>
              <w:t>Demanda</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nula</w:t>
            </w:r>
          </w:p>
        </w:tc>
        <w:tc>
          <w:tcPr>
            <w:tcW w:w="1396" w:type="dxa"/>
          </w:tcPr>
          <w:p w:rsidR="00217CF5" w:rsidRPr="007A4916" w:rsidRDefault="00396232"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B</w:t>
            </w:r>
            <w:r w:rsidR="00217CF5" w:rsidRPr="007A4916">
              <w:rPr>
                <w:rFonts w:ascii="Times New Roman" w:hAnsi="Times New Roman"/>
                <w:bCs/>
                <w:lang w:val="es-ES_tradnl"/>
              </w:rPr>
              <w:t>aja</w:t>
            </w:r>
          </w:p>
        </w:tc>
        <w:tc>
          <w:tcPr>
            <w:tcW w:w="1396"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normal</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alta</w:t>
            </w:r>
          </w:p>
        </w:tc>
        <w:tc>
          <w:tcPr>
            <w:tcW w:w="1397" w:type="dxa"/>
          </w:tcPr>
          <w:p w:rsidR="00217CF5" w:rsidRPr="007A4916" w:rsidRDefault="00217CF5" w:rsidP="00217CF5">
            <w:pPr>
              <w:autoSpaceDE w:val="0"/>
              <w:autoSpaceDN w:val="0"/>
              <w:adjustRightInd w:val="0"/>
              <w:jc w:val="center"/>
              <w:rPr>
                <w:rFonts w:ascii="Times New Roman" w:hAnsi="Times New Roman"/>
                <w:bCs/>
                <w:lang w:val="es-ES_tradnl"/>
              </w:rPr>
            </w:pPr>
            <w:r w:rsidRPr="007A4916">
              <w:rPr>
                <w:rFonts w:ascii="Times New Roman" w:hAnsi="Times New Roman"/>
                <w:bCs/>
                <w:lang w:val="es-ES_tradnl"/>
              </w:rPr>
              <w:t>Excep</w:t>
            </w:r>
          </w:p>
        </w:tc>
      </w:tr>
    </w:tbl>
    <w:p w:rsidR="00217CF5" w:rsidRPr="007A4916" w:rsidRDefault="00217CF5" w:rsidP="00217CF5">
      <w:pPr>
        <w:autoSpaceDE w:val="0"/>
        <w:autoSpaceDN w:val="0"/>
        <w:adjustRightInd w:val="0"/>
        <w:ind w:left="426"/>
        <w:jc w:val="both"/>
        <w:rPr>
          <w:rFonts w:ascii="Times New Roman" w:hAnsi="Times New Roman"/>
          <w:bCs/>
          <w:lang w:val="es-ES_tradnl"/>
        </w:rPr>
      </w:pPr>
      <w:r w:rsidRPr="007A4916">
        <w:rPr>
          <w:rFonts w:ascii="Times New Roman" w:hAnsi="Times New Roman"/>
          <w:bCs/>
          <w:lang w:val="es-ES_tradnl"/>
        </w:rPr>
        <w:t>Fuente: Dirección de Catastro, IMM</w:t>
      </w:r>
    </w:p>
    <w:p w:rsidR="00217CF5" w:rsidRPr="00217CF5" w:rsidRDefault="00217CF5" w:rsidP="00217CF5">
      <w:pPr>
        <w:autoSpaceDE w:val="0"/>
        <w:autoSpaceDN w:val="0"/>
        <w:adjustRightInd w:val="0"/>
        <w:ind w:left="426"/>
        <w:jc w:val="both"/>
        <w:rPr>
          <w:rFonts w:ascii="Times New Roman" w:hAnsi="Times New Roman"/>
          <w:bCs/>
          <w:sz w:val="24"/>
          <w:szCs w:val="24"/>
          <w:lang w:val="es-ES_tradnl"/>
        </w:rPr>
      </w:pPr>
    </w:p>
    <w:p w:rsidR="00280831" w:rsidRDefault="004A020F" w:rsidP="00396232">
      <w:pPr>
        <w:numPr>
          <w:ilvl w:val="1"/>
          <w:numId w:val="10"/>
        </w:numPr>
        <w:autoSpaceDE w:val="0"/>
        <w:autoSpaceDN w:val="0"/>
        <w:adjustRightInd w:val="0"/>
        <w:ind w:left="426"/>
        <w:jc w:val="both"/>
        <w:rPr>
          <w:rFonts w:ascii="Times New Roman" w:hAnsi="Times New Roman"/>
          <w:bCs/>
          <w:sz w:val="24"/>
          <w:szCs w:val="24"/>
          <w:lang w:val="es-ES_tradnl"/>
        </w:rPr>
      </w:pPr>
      <w:r w:rsidRPr="00576F54">
        <w:rPr>
          <w:rFonts w:ascii="Times New Roman" w:hAnsi="Times New Roman"/>
          <w:bCs/>
          <w:sz w:val="24"/>
          <w:szCs w:val="24"/>
          <w:lang w:val="es-ES_tradnl"/>
        </w:rPr>
        <w:t>A partir de los supuestos mencionados se obt</w:t>
      </w:r>
      <w:r w:rsidR="00097D9C">
        <w:rPr>
          <w:rFonts w:ascii="Times New Roman" w:hAnsi="Times New Roman"/>
          <w:bCs/>
          <w:sz w:val="24"/>
          <w:szCs w:val="24"/>
          <w:lang w:val="es-ES_tradnl"/>
        </w:rPr>
        <w:t xml:space="preserve">uvo el </w:t>
      </w:r>
      <w:r w:rsidRPr="00576F54">
        <w:rPr>
          <w:rFonts w:ascii="Times New Roman" w:hAnsi="Times New Roman"/>
          <w:bCs/>
          <w:sz w:val="24"/>
          <w:szCs w:val="24"/>
          <w:lang w:val="es-ES_tradnl"/>
        </w:rPr>
        <w:t xml:space="preserve">valor promedio de los inmuebles </w:t>
      </w:r>
      <w:r w:rsidR="00097D9C">
        <w:rPr>
          <w:rFonts w:ascii="Times New Roman" w:hAnsi="Times New Roman"/>
          <w:bCs/>
          <w:sz w:val="24"/>
          <w:szCs w:val="24"/>
          <w:lang w:val="es-ES_tradnl"/>
        </w:rPr>
        <w:t>de los barrios elegibles por el programa</w:t>
      </w:r>
      <w:r w:rsidR="007D6F22">
        <w:rPr>
          <w:rFonts w:ascii="Times New Roman" w:hAnsi="Times New Roman"/>
          <w:bCs/>
          <w:sz w:val="24"/>
          <w:szCs w:val="24"/>
          <w:lang w:val="es-ES_tradnl"/>
        </w:rPr>
        <w:t xml:space="preserve">, </w:t>
      </w:r>
      <w:r w:rsidR="00097D9C">
        <w:rPr>
          <w:rFonts w:ascii="Times New Roman" w:hAnsi="Times New Roman"/>
          <w:bCs/>
          <w:sz w:val="24"/>
          <w:szCs w:val="24"/>
          <w:lang w:val="es-ES_tradnl"/>
        </w:rPr>
        <w:t>así como el valor promedio de los inmuebles que cumplen con las características de los beneficiarios de</w:t>
      </w:r>
      <w:r w:rsidR="007D6F22">
        <w:rPr>
          <w:rFonts w:ascii="Times New Roman" w:hAnsi="Times New Roman"/>
          <w:bCs/>
          <w:sz w:val="24"/>
          <w:szCs w:val="24"/>
          <w:lang w:val="es-ES_tradnl"/>
        </w:rPr>
        <w:t xml:space="preserve"> los asentamientos</w:t>
      </w:r>
      <w:r w:rsidR="00097D9C">
        <w:rPr>
          <w:rFonts w:ascii="Times New Roman" w:hAnsi="Times New Roman"/>
          <w:bCs/>
          <w:sz w:val="24"/>
          <w:szCs w:val="24"/>
          <w:lang w:val="es-ES_tradnl"/>
        </w:rPr>
        <w:t xml:space="preserve">. Adicionalmente, se seleccionaron de la ECH inmuebles con características (constructivas) similares a las viviendas de realojos. </w:t>
      </w:r>
      <w:r w:rsidR="007D6F22">
        <w:rPr>
          <w:rFonts w:ascii="Times New Roman" w:hAnsi="Times New Roman"/>
          <w:bCs/>
          <w:sz w:val="24"/>
          <w:szCs w:val="24"/>
          <w:lang w:val="es-ES_tradnl"/>
        </w:rPr>
        <w:t>Con el fin de testear estos valores, en l</w:t>
      </w:r>
      <w:r w:rsidR="00396232">
        <w:rPr>
          <w:rFonts w:ascii="Times New Roman" w:hAnsi="Times New Roman"/>
          <w:bCs/>
          <w:sz w:val="24"/>
          <w:szCs w:val="24"/>
          <w:lang w:val="es-ES_tradnl"/>
        </w:rPr>
        <w:t>a</w:t>
      </w:r>
      <w:r w:rsidR="00EF1F61">
        <w:rPr>
          <w:rFonts w:ascii="Times New Roman" w:hAnsi="Times New Roman"/>
          <w:bCs/>
          <w:sz w:val="24"/>
          <w:szCs w:val="24"/>
          <w:lang w:val="es-ES_tradnl"/>
        </w:rPr>
        <w:t xml:space="preserve"> última </w:t>
      </w:r>
      <w:r w:rsidR="00396232">
        <w:rPr>
          <w:rFonts w:ascii="Times New Roman" w:hAnsi="Times New Roman"/>
          <w:bCs/>
          <w:sz w:val="24"/>
          <w:szCs w:val="24"/>
          <w:lang w:val="es-ES_tradnl"/>
        </w:rPr>
        <w:t>fila de la tabla</w:t>
      </w:r>
      <w:r w:rsidR="007D6F22">
        <w:rPr>
          <w:rFonts w:ascii="Times New Roman" w:hAnsi="Times New Roman"/>
          <w:bCs/>
          <w:sz w:val="24"/>
          <w:szCs w:val="24"/>
          <w:lang w:val="es-ES_tradnl"/>
        </w:rPr>
        <w:t xml:space="preserve"> IV se incluyeron l</w:t>
      </w:r>
      <w:r w:rsidR="00396232">
        <w:rPr>
          <w:rFonts w:ascii="Times New Roman" w:hAnsi="Times New Roman"/>
          <w:bCs/>
          <w:sz w:val="24"/>
          <w:szCs w:val="24"/>
          <w:lang w:val="es-ES_tradnl"/>
        </w:rPr>
        <w:t xml:space="preserve">os </w:t>
      </w:r>
      <w:r w:rsidR="007D6F22">
        <w:rPr>
          <w:rFonts w:ascii="Times New Roman" w:hAnsi="Times New Roman"/>
          <w:bCs/>
          <w:sz w:val="24"/>
          <w:szCs w:val="24"/>
          <w:lang w:val="es-ES_tradnl"/>
        </w:rPr>
        <w:t xml:space="preserve">precios </w:t>
      </w:r>
      <w:r w:rsidR="00396232">
        <w:rPr>
          <w:rFonts w:ascii="Times New Roman" w:hAnsi="Times New Roman"/>
          <w:bCs/>
          <w:sz w:val="24"/>
          <w:szCs w:val="24"/>
          <w:lang w:val="es-ES_tradnl"/>
        </w:rPr>
        <w:t>obtenidos en la encues</w:t>
      </w:r>
      <w:r w:rsidR="007D6F22">
        <w:rPr>
          <w:rFonts w:ascii="Times New Roman" w:hAnsi="Times New Roman"/>
          <w:bCs/>
          <w:sz w:val="24"/>
          <w:szCs w:val="24"/>
          <w:lang w:val="es-ES_tradnl"/>
        </w:rPr>
        <w:t xml:space="preserve">ta </w:t>
      </w:r>
      <w:r w:rsidR="00396232">
        <w:rPr>
          <w:rFonts w:ascii="Times New Roman" w:hAnsi="Times New Roman"/>
          <w:bCs/>
          <w:sz w:val="24"/>
          <w:szCs w:val="24"/>
          <w:lang w:val="es-ES_tradnl"/>
        </w:rPr>
        <w:t>realizada</w:t>
      </w:r>
      <w:r w:rsidR="007D6F22">
        <w:rPr>
          <w:rFonts w:ascii="Times New Roman" w:hAnsi="Times New Roman"/>
          <w:bCs/>
          <w:sz w:val="24"/>
          <w:szCs w:val="24"/>
          <w:lang w:val="es-ES_tradnl"/>
        </w:rPr>
        <w:t xml:space="preserve"> </w:t>
      </w:r>
      <w:r w:rsidR="00EF1F61">
        <w:rPr>
          <w:rFonts w:ascii="Times New Roman" w:hAnsi="Times New Roman"/>
          <w:bCs/>
          <w:sz w:val="24"/>
          <w:szCs w:val="24"/>
          <w:lang w:val="es-ES_tradnl"/>
        </w:rPr>
        <w:t xml:space="preserve">en </w:t>
      </w:r>
      <w:r w:rsidR="00396232" w:rsidRPr="00396232">
        <w:rPr>
          <w:rFonts w:ascii="Times New Roman" w:hAnsi="Times New Roman"/>
          <w:bCs/>
          <w:sz w:val="24"/>
          <w:szCs w:val="24"/>
          <w:lang w:val="es-ES_tradnl"/>
        </w:rPr>
        <w:t>oct</w:t>
      </w:r>
      <w:r w:rsidR="007D6F22">
        <w:rPr>
          <w:rFonts w:ascii="Times New Roman" w:hAnsi="Times New Roman"/>
          <w:bCs/>
          <w:sz w:val="24"/>
          <w:szCs w:val="24"/>
          <w:lang w:val="es-ES_tradnl"/>
        </w:rPr>
        <w:t xml:space="preserve">ubre de 2007 </w:t>
      </w:r>
      <w:r w:rsidR="00396232" w:rsidRPr="00396232">
        <w:rPr>
          <w:rFonts w:ascii="Times New Roman" w:hAnsi="Times New Roman"/>
          <w:bCs/>
          <w:sz w:val="24"/>
          <w:szCs w:val="24"/>
          <w:lang w:val="es-ES_tradnl"/>
        </w:rPr>
        <w:t xml:space="preserve">para la estimación </w:t>
      </w:r>
      <w:r w:rsidR="00396232">
        <w:rPr>
          <w:rFonts w:ascii="Times New Roman" w:hAnsi="Times New Roman"/>
          <w:bCs/>
          <w:sz w:val="24"/>
          <w:szCs w:val="24"/>
          <w:lang w:val="es-ES_tradnl"/>
        </w:rPr>
        <w:t>del modelo de precios hedónicos, actualizados a junio 2013</w:t>
      </w:r>
      <w:r w:rsidR="00EF1F61">
        <w:rPr>
          <w:rFonts w:ascii="Times New Roman" w:hAnsi="Times New Roman"/>
          <w:bCs/>
          <w:sz w:val="24"/>
          <w:szCs w:val="24"/>
          <w:lang w:val="es-ES_tradnl"/>
        </w:rPr>
        <w:t xml:space="preserve"> por el ICC</w:t>
      </w:r>
      <w:r w:rsidR="00D571F1">
        <w:rPr>
          <w:rFonts w:ascii="Times New Roman" w:hAnsi="Times New Roman"/>
          <w:bCs/>
          <w:sz w:val="24"/>
          <w:szCs w:val="24"/>
          <w:lang w:val="es-ES_tradnl"/>
        </w:rPr>
        <w:t>.</w:t>
      </w:r>
    </w:p>
    <w:p w:rsidR="00D571F1" w:rsidRDefault="00D571F1">
      <w:pPr>
        <w:rPr>
          <w:rFonts w:ascii="Times New Roman" w:hAnsi="Times New Roman"/>
          <w:bCs/>
          <w:sz w:val="24"/>
          <w:szCs w:val="24"/>
          <w:highlight w:val="yellow"/>
          <w:lang w:val="es-ES_tradnl"/>
        </w:rPr>
      </w:pPr>
      <w:r>
        <w:rPr>
          <w:rFonts w:ascii="Times New Roman" w:hAnsi="Times New Roman"/>
          <w:bCs/>
          <w:sz w:val="24"/>
          <w:szCs w:val="24"/>
          <w:highlight w:val="yellow"/>
          <w:lang w:val="es-ES_tradnl"/>
        </w:rPr>
        <w:br w:type="page"/>
      </w:r>
    </w:p>
    <w:p w:rsidR="004A020F" w:rsidRDefault="004A020F" w:rsidP="004A020F">
      <w:pPr>
        <w:autoSpaceDE w:val="0"/>
        <w:autoSpaceDN w:val="0"/>
        <w:adjustRightInd w:val="0"/>
        <w:ind w:left="360"/>
        <w:jc w:val="both"/>
        <w:rPr>
          <w:rFonts w:ascii="Times New Roman" w:hAnsi="Times New Roman"/>
          <w:bCs/>
          <w:sz w:val="24"/>
          <w:szCs w:val="24"/>
          <w:highlight w:val="yellow"/>
          <w:lang w:val="es-ES_tradnl"/>
        </w:rPr>
      </w:pPr>
    </w:p>
    <w:p w:rsidR="00D571F1" w:rsidRDefault="00D571F1" w:rsidP="004A020F">
      <w:pPr>
        <w:autoSpaceDE w:val="0"/>
        <w:autoSpaceDN w:val="0"/>
        <w:adjustRightInd w:val="0"/>
        <w:ind w:left="360"/>
        <w:jc w:val="both"/>
        <w:rPr>
          <w:rFonts w:ascii="Times New Roman" w:hAnsi="Times New Roman"/>
          <w:bCs/>
          <w:sz w:val="24"/>
          <w:szCs w:val="24"/>
          <w:highlight w:val="yellow"/>
          <w:lang w:val="es-ES_tradnl"/>
        </w:rPr>
      </w:pPr>
    </w:p>
    <w:p w:rsidR="004A020F" w:rsidRPr="00D70CC7" w:rsidRDefault="004A020F" w:rsidP="00D70CC7">
      <w:pPr>
        <w:pStyle w:val="ListParagraph"/>
        <w:jc w:val="center"/>
        <w:rPr>
          <w:rFonts w:ascii="Times New Roman" w:hAnsi="Times New Roman"/>
          <w:b/>
          <w:lang w:val="es-ES_tradnl"/>
        </w:rPr>
      </w:pPr>
      <w:r w:rsidRPr="00D70CC7">
        <w:rPr>
          <w:rFonts w:ascii="Times New Roman" w:hAnsi="Times New Roman"/>
          <w:b/>
          <w:lang w:val="es-ES_tradnl"/>
        </w:rPr>
        <w:t xml:space="preserve">Tabla IV. Valor promedio de los inmuebles beneficiarios </w:t>
      </w:r>
    </w:p>
    <w:tbl>
      <w:tblPr>
        <w:tblW w:w="8715" w:type="dxa"/>
        <w:tblInd w:w="65" w:type="dxa"/>
        <w:tblCellMar>
          <w:left w:w="70" w:type="dxa"/>
          <w:right w:w="70" w:type="dxa"/>
        </w:tblCellMar>
        <w:tblLook w:val="04A0" w:firstRow="1" w:lastRow="0" w:firstColumn="1" w:lastColumn="0" w:noHBand="0" w:noVBand="1"/>
      </w:tblPr>
      <w:tblGrid>
        <w:gridCol w:w="1679"/>
        <w:gridCol w:w="877"/>
        <w:gridCol w:w="851"/>
        <w:gridCol w:w="976"/>
        <w:gridCol w:w="699"/>
        <w:gridCol w:w="838"/>
        <w:gridCol w:w="905"/>
        <w:gridCol w:w="912"/>
        <w:gridCol w:w="978"/>
      </w:tblGrid>
      <w:tr w:rsidR="00576F54" w:rsidRPr="00576F54" w:rsidTr="00576F54">
        <w:trPr>
          <w:trHeight w:val="433"/>
        </w:trPr>
        <w:tc>
          <w:tcPr>
            <w:tcW w:w="1679" w:type="dxa"/>
            <w:vMerge w:val="restart"/>
            <w:tcBorders>
              <w:top w:val="single" w:sz="4" w:space="0" w:color="auto"/>
              <w:bottom w:val="single" w:sz="4" w:space="0" w:color="auto"/>
              <w:right w:val="single" w:sz="4" w:space="0" w:color="auto"/>
            </w:tcBorders>
            <w:shd w:val="clear" w:color="auto" w:fill="auto"/>
            <w:noWrap/>
            <w:vAlign w:val="center"/>
            <w:hideMark/>
          </w:tcPr>
          <w:p w:rsidR="00576F54" w:rsidRPr="004A020F" w:rsidRDefault="00576F54" w:rsidP="004A020F">
            <w:pPr>
              <w:rPr>
                <w:rFonts w:ascii="Times New Roman" w:hAnsi="Times New Roman"/>
                <w:color w:val="000000"/>
                <w:lang w:val="es-AR" w:eastAsia="es-AR"/>
              </w:rPr>
            </w:pPr>
            <w:r w:rsidRPr="004A020F">
              <w:rPr>
                <w:rFonts w:ascii="Times New Roman" w:hAnsi="Times New Roman"/>
                <w:color w:val="000000"/>
                <w:lang w:val="es-AR" w:eastAsia="es-AR"/>
              </w:rPr>
              <w:t>Valor de la vivienda</w:t>
            </w:r>
          </w:p>
        </w:tc>
        <w:tc>
          <w:tcPr>
            <w:tcW w:w="1728" w:type="dxa"/>
            <w:gridSpan w:val="2"/>
            <w:tcBorders>
              <w:top w:val="single" w:sz="4" w:space="0" w:color="auto"/>
              <w:left w:val="single" w:sz="4" w:space="0" w:color="auto"/>
              <w:bottom w:val="nil"/>
              <w:right w:val="single" w:sz="4" w:space="0" w:color="auto"/>
            </w:tcBorders>
            <w:shd w:val="clear" w:color="auto" w:fill="auto"/>
            <w:vAlign w:val="center"/>
            <w:hideMark/>
          </w:tcPr>
          <w:p w:rsidR="00576F54" w:rsidRPr="004A020F" w:rsidRDefault="00576F54" w:rsidP="00576F54">
            <w:pPr>
              <w:jc w:val="center"/>
              <w:rPr>
                <w:rFonts w:ascii="Times New Roman" w:hAnsi="Times New Roman"/>
                <w:color w:val="000000"/>
                <w:lang w:val="es-AR" w:eastAsia="es-AR"/>
              </w:rPr>
            </w:pPr>
            <w:r w:rsidRPr="00576F54">
              <w:rPr>
                <w:rFonts w:ascii="Times New Roman" w:hAnsi="Times New Roman"/>
                <w:color w:val="000000"/>
                <w:lang w:val="es-AR" w:eastAsia="es-AR"/>
              </w:rPr>
              <w:t>Valor Medio Barrios elegibles</w:t>
            </w:r>
          </w:p>
        </w:tc>
        <w:tc>
          <w:tcPr>
            <w:tcW w:w="1675" w:type="dxa"/>
            <w:gridSpan w:val="2"/>
            <w:tcBorders>
              <w:top w:val="single" w:sz="4" w:space="0" w:color="auto"/>
              <w:left w:val="nil"/>
              <w:bottom w:val="nil"/>
              <w:right w:val="single" w:sz="4" w:space="0" w:color="auto"/>
            </w:tcBorders>
            <w:shd w:val="clear" w:color="auto" w:fill="auto"/>
            <w:vAlign w:val="center"/>
            <w:hideMark/>
          </w:tcPr>
          <w:p w:rsidR="00576F54" w:rsidRPr="004A020F" w:rsidRDefault="00576F54" w:rsidP="00576F54">
            <w:pPr>
              <w:jc w:val="center"/>
              <w:rPr>
                <w:rFonts w:ascii="Times New Roman" w:hAnsi="Times New Roman"/>
                <w:color w:val="000000"/>
                <w:lang w:val="es-AR" w:eastAsia="es-AR"/>
              </w:rPr>
            </w:pPr>
            <w:r w:rsidRPr="00576F54">
              <w:rPr>
                <w:rFonts w:ascii="Times New Roman" w:hAnsi="Times New Roman"/>
                <w:color w:val="000000"/>
                <w:lang w:val="es-AR" w:eastAsia="es-AR"/>
              </w:rPr>
              <w:t>Viviendas objetivo (1)</w:t>
            </w:r>
          </w:p>
        </w:tc>
        <w:tc>
          <w:tcPr>
            <w:tcW w:w="1743" w:type="dxa"/>
            <w:gridSpan w:val="2"/>
            <w:tcBorders>
              <w:top w:val="single" w:sz="4" w:space="0" w:color="auto"/>
              <w:left w:val="nil"/>
              <w:bottom w:val="nil"/>
              <w:right w:val="single" w:sz="4" w:space="0" w:color="auto"/>
            </w:tcBorders>
            <w:shd w:val="clear" w:color="auto" w:fill="auto"/>
            <w:vAlign w:val="center"/>
            <w:hideMark/>
          </w:tcPr>
          <w:p w:rsidR="00576F54" w:rsidRDefault="00576F54" w:rsidP="00576F54">
            <w:pPr>
              <w:jc w:val="center"/>
              <w:rPr>
                <w:rFonts w:ascii="Times New Roman" w:hAnsi="Times New Roman"/>
                <w:color w:val="000000"/>
                <w:lang w:val="es-AR" w:eastAsia="es-AR"/>
              </w:rPr>
            </w:pPr>
            <w:r w:rsidRPr="00576F54">
              <w:rPr>
                <w:rFonts w:ascii="Times New Roman" w:hAnsi="Times New Roman"/>
                <w:color w:val="000000"/>
                <w:lang w:val="es-AR" w:eastAsia="es-AR"/>
              </w:rPr>
              <w:t>Frentistas</w:t>
            </w:r>
          </w:p>
          <w:p w:rsidR="00576F54" w:rsidRPr="004A020F" w:rsidRDefault="00576F54" w:rsidP="00576F54">
            <w:pPr>
              <w:jc w:val="center"/>
              <w:rPr>
                <w:rFonts w:ascii="Times New Roman" w:hAnsi="Times New Roman"/>
                <w:color w:val="000000"/>
                <w:lang w:val="es-AR" w:eastAsia="es-AR"/>
              </w:rPr>
            </w:pPr>
            <w:r w:rsidRPr="00576F54">
              <w:rPr>
                <w:rFonts w:ascii="Times New Roman" w:hAnsi="Times New Roman"/>
                <w:color w:val="000000"/>
                <w:lang w:val="es-AR" w:eastAsia="es-AR"/>
              </w:rPr>
              <w:t>(2)</w:t>
            </w:r>
          </w:p>
        </w:tc>
        <w:tc>
          <w:tcPr>
            <w:tcW w:w="1890" w:type="dxa"/>
            <w:gridSpan w:val="2"/>
            <w:tcBorders>
              <w:top w:val="single" w:sz="4" w:space="0" w:color="auto"/>
              <w:left w:val="nil"/>
              <w:bottom w:val="nil"/>
            </w:tcBorders>
            <w:shd w:val="clear" w:color="auto" w:fill="auto"/>
            <w:vAlign w:val="center"/>
            <w:hideMark/>
          </w:tcPr>
          <w:p w:rsidR="00576F54" w:rsidRPr="004A020F" w:rsidRDefault="00576F54" w:rsidP="00576F54">
            <w:pPr>
              <w:jc w:val="center"/>
              <w:rPr>
                <w:rFonts w:ascii="Times New Roman" w:hAnsi="Times New Roman"/>
                <w:color w:val="000000"/>
                <w:lang w:val="es-AR" w:eastAsia="es-AR"/>
              </w:rPr>
            </w:pPr>
            <w:r w:rsidRPr="00576F54">
              <w:rPr>
                <w:rFonts w:ascii="Times New Roman" w:hAnsi="Times New Roman"/>
                <w:color w:val="000000"/>
                <w:lang w:val="es-AR" w:eastAsia="es-AR"/>
              </w:rPr>
              <w:t>Viviendas de realojo (3)</w:t>
            </w:r>
          </w:p>
        </w:tc>
      </w:tr>
      <w:tr w:rsidR="00576F54" w:rsidRPr="00576F54" w:rsidTr="00576F54">
        <w:trPr>
          <w:trHeight w:val="228"/>
        </w:trPr>
        <w:tc>
          <w:tcPr>
            <w:tcW w:w="1679" w:type="dxa"/>
            <w:vMerge/>
            <w:tcBorders>
              <w:top w:val="single" w:sz="4" w:space="0" w:color="auto"/>
              <w:bottom w:val="single" w:sz="4" w:space="0" w:color="auto"/>
              <w:right w:val="single" w:sz="4" w:space="0" w:color="auto"/>
            </w:tcBorders>
            <w:shd w:val="clear" w:color="auto" w:fill="auto"/>
            <w:noWrap/>
            <w:vAlign w:val="bottom"/>
            <w:hideMark/>
          </w:tcPr>
          <w:p w:rsidR="00576F54" w:rsidRPr="004A020F" w:rsidRDefault="00576F54" w:rsidP="004A020F">
            <w:pPr>
              <w:rPr>
                <w:rFonts w:ascii="Times New Roman" w:hAnsi="Times New Roman"/>
                <w:color w:val="000000"/>
                <w:lang w:val="es-AR" w:eastAsia="es-AR"/>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U$S</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w:t>
            </w:r>
          </w:p>
        </w:tc>
        <w:tc>
          <w:tcPr>
            <w:tcW w:w="978" w:type="dxa"/>
            <w:tcBorders>
              <w:top w:val="single" w:sz="4" w:space="0" w:color="auto"/>
              <w:left w:val="nil"/>
              <w:bottom w:val="single" w:sz="4" w:space="0" w:color="auto"/>
            </w:tcBorders>
            <w:shd w:val="clear" w:color="auto" w:fill="auto"/>
            <w:noWrap/>
            <w:vAlign w:val="bottom"/>
            <w:hideMark/>
          </w:tcPr>
          <w:p w:rsidR="00576F54" w:rsidRPr="004A020F" w:rsidRDefault="00576F54" w:rsidP="004A020F">
            <w:pPr>
              <w:jc w:val="center"/>
              <w:rPr>
                <w:rFonts w:ascii="Times New Roman" w:hAnsi="Times New Roman"/>
                <w:color w:val="000000"/>
                <w:lang w:val="es-AR" w:eastAsia="es-AR"/>
              </w:rPr>
            </w:pPr>
            <w:r w:rsidRPr="004A020F">
              <w:rPr>
                <w:rFonts w:ascii="Times New Roman" w:hAnsi="Times New Roman"/>
                <w:color w:val="000000"/>
                <w:lang w:val="es-AR" w:eastAsia="es-AR"/>
              </w:rPr>
              <w:t>U$S</w:t>
            </w:r>
          </w:p>
        </w:tc>
      </w:tr>
      <w:tr w:rsidR="00576F54" w:rsidRPr="00576F54" w:rsidTr="00576F54">
        <w:trPr>
          <w:trHeight w:val="274"/>
        </w:trPr>
        <w:tc>
          <w:tcPr>
            <w:tcW w:w="1679" w:type="dxa"/>
            <w:tcBorders>
              <w:top w:val="single" w:sz="4" w:space="0" w:color="auto"/>
              <w:bottom w:val="single" w:sz="4" w:space="0" w:color="auto"/>
            </w:tcBorders>
            <w:shd w:val="clear" w:color="auto" w:fill="FFFFFF" w:themeFill="background1"/>
            <w:vAlign w:val="bottom"/>
            <w:hideMark/>
          </w:tcPr>
          <w:p w:rsidR="004A020F" w:rsidRPr="004A020F" w:rsidRDefault="00576F54" w:rsidP="004A020F">
            <w:pPr>
              <w:rPr>
                <w:rFonts w:ascii="Times New Roman" w:hAnsi="Times New Roman"/>
                <w:color w:val="000000"/>
                <w:lang w:val="es-AR" w:eastAsia="es-AR"/>
              </w:rPr>
            </w:pPr>
            <w:r>
              <w:rPr>
                <w:rFonts w:ascii="Times New Roman" w:hAnsi="Times New Roman"/>
                <w:color w:val="000000"/>
                <w:lang w:val="es-AR" w:eastAsia="es-AR"/>
              </w:rPr>
              <w:t>En base a ECH</w:t>
            </w:r>
          </w:p>
        </w:tc>
        <w:tc>
          <w:tcPr>
            <w:tcW w:w="877"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lang w:val="es-AR" w:eastAsia="es-AR"/>
              </w:rPr>
            </w:pPr>
            <w:r w:rsidRPr="004A020F">
              <w:rPr>
                <w:rFonts w:ascii="Times New Roman" w:hAnsi="Times New Roman"/>
                <w:lang w:val="es-AR" w:eastAsia="es-AR"/>
              </w:rPr>
              <w:t>323.981</w:t>
            </w:r>
          </w:p>
        </w:tc>
        <w:tc>
          <w:tcPr>
            <w:tcW w:w="851"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color w:val="000000"/>
                <w:lang w:val="es-AR" w:eastAsia="es-AR"/>
              </w:rPr>
            </w:pPr>
            <w:r w:rsidRPr="004A020F">
              <w:rPr>
                <w:rFonts w:ascii="Times New Roman" w:hAnsi="Times New Roman"/>
                <w:color w:val="000000"/>
                <w:lang w:val="es-AR" w:eastAsia="es-AR"/>
              </w:rPr>
              <w:t>15.670</w:t>
            </w:r>
          </w:p>
        </w:tc>
        <w:tc>
          <w:tcPr>
            <w:tcW w:w="976"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lang w:val="es-AR" w:eastAsia="es-AR"/>
              </w:rPr>
            </w:pPr>
            <w:r w:rsidRPr="004A020F">
              <w:rPr>
                <w:rFonts w:ascii="Times New Roman" w:hAnsi="Times New Roman"/>
                <w:lang w:val="es-AR" w:eastAsia="es-AR"/>
              </w:rPr>
              <w:t>204.707</w:t>
            </w:r>
          </w:p>
        </w:tc>
        <w:tc>
          <w:tcPr>
            <w:tcW w:w="699"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color w:val="000000"/>
                <w:lang w:val="es-AR" w:eastAsia="es-AR"/>
              </w:rPr>
            </w:pPr>
            <w:r w:rsidRPr="004A020F">
              <w:rPr>
                <w:rFonts w:ascii="Times New Roman" w:hAnsi="Times New Roman"/>
                <w:color w:val="000000"/>
                <w:lang w:val="es-AR" w:eastAsia="es-AR"/>
              </w:rPr>
              <w:t>9.901</w:t>
            </w:r>
          </w:p>
        </w:tc>
        <w:tc>
          <w:tcPr>
            <w:tcW w:w="838"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lang w:val="es-AR" w:eastAsia="es-AR"/>
              </w:rPr>
            </w:pPr>
            <w:r w:rsidRPr="004A020F">
              <w:rPr>
                <w:rFonts w:ascii="Times New Roman" w:hAnsi="Times New Roman"/>
                <w:lang w:val="es-AR" w:eastAsia="es-AR"/>
              </w:rPr>
              <w:t>440.789</w:t>
            </w:r>
          </w:p>
        </w:tc>
        <w:tc>
          <w:tcPr>
            <w:tcW w:w="905"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color w:val="000000"/>
                <w:lang w:val="es-AR" w:eastAsia="es-AR"/>
              </w:rPr>
            </w:pPr>
            <w:r w:rsidRPr="004A020F">
              <w:rPr>
                <w:rFonts w:ascii="Times New Roman" w:hAnsi="Times New Roman"/>
                <w:color w:val="000000"/>
                <w:lang w:val="es-AR" w:eastAsia="es-AR"/>
              </w:rPr>
              <w:t>21.319</w:t>
            </w:r>
          </w:p>
        </w:tc>
        <w:tc>
          <w:tcPr>
            <w:tcW w:w="912"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lang w:val="es-AR" w:eastAsia="es-AR"/>
              </w:rPr>
            </w:pPr>
            <w:r w:rsidRPr="004A020F">
              <w:rPr>
                <w:rFonts w:ascii="Times New Roman" w:hAnsi="Times New Roman"/>
                <w:lang w:val="es-AR" w:eastAsia="es-AR"/>
              </w:rPr>
              <w:t>566.292</w:t>
            </w:r>
          </w:p>
        </w:tc>
        <w:tc>
          <w:tcPr>
            <w:tcW w:w="978" w:type="dxa"/>
            <w:tcBorders>
              <w:top w:val="single" w:sz="4" w:space="0" w:color="auto"/>
              <w:bottom w:val="single" w:sz="4" w:space="0" w:color="auto"/>
            </w:tcBorders>
            <w:shd w:val="clear" w:color="auto" w:fill="FFFFFF" w:themeFill="background1"/>
            <w:noWrap/>
            <w:vAlign w:val="bottom"/>
            <w:hideMark/>
          </w:tcPr>
          <w:p w:rsidR="004A020F" w:rsidRPr="004A020F" w:rsidRDefault="004A020F" w:rsidP="007F3787">
            <w:pPr>
              <w:jc w:val="right"/>
              <w:rPr>
                <w:rFonts w:ascii="Times New Roman" w:hAnsi="Times New Roman"/>
                <w:color w:val="000000"/>
                <w:lang w:val="es-AR" w:eastAsia="es-AR"/>
              </w:rPr>
            </w:pPr>
            <w:r w:rsidRPr="004A020F">
              <w:rPr>
                <w:rFonts w:ascii="Times New Roman" w:hAnsi="Times New Roman"/>
                <w:color w:val="000000"/>
                <w:lang w:val="es-AR" w:eastAsia="es-AR"/>
              </w:rPr>
              <w:t>27.390</w:t>
            </w:r>
          </w:p>
        </w:tc>
      </w:tr>
      <w:tr w:rsidR="00EF1F61" w:rsidRPr="00576F54" w:rsidTr="00EF1F61">
        <w:trPr>
          <w:trHeight w:val="285"/>
        </w:trPr>
        <w:tc>
          <w:tcPr>
            <w:tcW w:w="2556" w:type="dxa"/>
            <w:gridSpan w:val="2"/>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r>
              <w:rPr>
                <w:rFonts w:ascii="Times New Roman" w:hAnsi="Times New Roman"/>
                <w:color w:val="000000"/>
                <w:lang w:val="es-AR" w:eastAsia="es-AR"/>
              </w:rPr>
              <w:t>R</w:t>
            </w:r>
            <w:r w:rsidRPr="00576F54">
              <w:rPr>
                <w:rFonts w:ascii="Times New Roman" w:hAnsi="Times New Roman"/>
                <w:color w:val="000000"/>
                <w:lang w:val="es-AR" w:eastAsia="es-AR"/>
              </w:rPr>
              <w:t>entabilidad mensual</w:t>
            </w:r>
          </w:p>
        </w:tc>
        <w:tc>
          <w:tcPr>
            <w:tcW w:w="851" w:type="dxa"/>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r w:rsidRPr="00576F54">
              <w:rPr>
                <w:rFonts w:ascii="Times New Roman" w:hAnsi="Times New Roman"/>
                <w:color w:val="000000"/>
                <w:lang w:val="es-AR" w:eastAsia="es-AR"/>
              </w:rPr>
              <w:t>1,25%</w:t>
            </w:r>
          </w:p>
        </w:tc>
        <w:tc>
          <w:tcPr>
            <w:tcW w:w="976" w:type="dxa"/>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p>
        </w:tc>
        <w:tc>
          <w:tcPr>
            <w:tcW w:w="699" w:type="dxa"/>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r w:rsidRPr="00576F54">
              <w:rPr>
                <w:rFonts w:ascii="Times New Roman" w:hAnsi="Times New Roman"/>
                <w:color w:val="000000"/>
                <w:lang w:val="es-AR" w:eastAsia="es-AR"/>
              </w:rPr>
              <w:t>1,33%</w:t>
            </w:r>
          </w:p>
        </w:tc>
        <w:tc>
          <w:tcPr>
            <w:tcW w:w="838" w:type="dxa"/>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p>
        </w:tc>
        <w:tc>
          <w:tcPr>
            <w:tcW w:w="905" w:type="dxa"/>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r w:rsidRPr="00576F54">
              <w:rPr>
                <w:rFonts w:ascii="Times New Roman" w:hAnsi="Times New Roman"/>
                <w:color w:val="000000"/>
                <w:lang w:val="es-AR" w:eastAsia="es-AR"/>
              </w:rPr>
              <w:t>1,25%</w:t>
            </w:r>
          </w:p>
        </w:tc>
        <w:tc>
          <w:tcPr>
            <w:tcW w:w="912" w:type="dxa"/>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p>
        </w:tc>
        <w:tc>
          <w:tcPr>
            <w:tcW w:w="978" w:type="dxa"/>
            <w:tcBorders>
              <w:top w:val="single" w:sz="4" w:space="0" w:color="auto"/>
              <w:left w:val="nil"/>
              <w:bottom w:val="single" w:sz="4" w:space="0" w:color="auto"/>
              <w:right w:val="nil"/>
            </w:tcBorders>
            <w:shd w:val="clear" w:color="auto" w:fill="auto"/>
            <w:noWrap/>
            <w:vAlign w:val="bottom"/>
            <w:hideMark/>
          </w:tcPr>
          <w:p w:rsidR="00EF1F61" w:rsidRPr="004A020F" w:rsidRDefault="00EF1F61" w:rsidP="00EF1F61">
            <w:pPr>
              <w:rPr>
                <w:rFonts w:ascii="Times New Roman" w:hAnsi="Times New Roman"/>
                <w:color w:val="000000"/>
                <w:lang w:val="es-AR" w:eastAsia="es-AR"/>
              </w:rPr>
            </w:pPr>
            <w:r w:rsidRPr="00576F54">
              <w:rPr>
                <w:rFonts w:ascii="Times New Roman" w:hAnsi="Times New Roman"/>
                <w:color w:val="000000"/>
                <w:lang w:val="es-AR" w:eastAsia="es-AR"/>
              </w:rPr>
              <w:t>1,17%</w:t>
            </w:r>
          </w:p>
        </w:tc>
      </w:tr>
      <w:tr w:rsidR="00EF1F61" w:rsidRPr="00576F54" w:rsidTr="00097D9C">
        <w:trPr>
          <w:trHeight w:val="278"/>
        </w:trPr>
        <w:tc>
          <w:tcPr>
            <w:tcW w:w="1679" w:type="dxa"/>
            <w:tcBorders>
              <w:top w:val="single" w:sz="4" w:space="0" w:color="auto"/>
              <w:bottom w:val="single" w:sz="4" w:space="0" w:color="auto"/>
            </w:tcBorders>
            <w:shd w:val="clear" w:color="auto" w:fill="auto"/>
            <w:vAlign w:val="bottom"/>
          </w:tcPr>
          <w:p w:rsidR="00EF1F61" w:rsidRPr="00576F54" w:rsidRDefault="00EF1F61" w:rsidP="00576F54">
            <w:pPr>
              <w:rPr>
                <w:rFonts w:ascii="Times New Roman" w:hAnsi="Times New Roman"/>
                <w:color w:val="000000"/>
                <w:lang w:val="es-AR" w:eastAsia="es-AR"/>
              </w:rPr>
            </w:pPr>
          </w:p>
        </w:tc>
        <w:tc>
          <w:tcPr>
            <w:tcW w:w="877"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c>
          <w:tcPr>
            <w:tcW w:w="851"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c>
          <w:tcPr>
            <w:tcW w:w="976"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c>
          <w:tcPr>
            <w:tcW w:w="699"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c>
          <w:tcPr>
            <w:tcW w:w="838"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c>
          <w:tcPr>
            <w:tcW w:w="905"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c>
          <w:tcPr>
            <w:tcW w:w="912"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c>
          <w:tcPr>
            <w:tcW w:w="978" w:type="dxa"/>
            <w:tcBorders>
              <w:top w:val="single" w:sz="4" w:space="0" w:color="auto"/>
              <w:bottom w:val="single" w:sz="4" w:space="0" w:color="auto"/>
            </w:tcBorders>
            <w:shd w:val="clear" w:color="auto" w:fill="auto"/>
            <w:noWrap/>
            <w:vAlign w:val="bottom"/>
          </w:tcPr>
          <w:p w:rsidR="00EF1F61" w:rsidRPr="004A020F" w:rsidRDefault="00EF1F61" w:rsidP="00EF1F61">
            <w:pPr>
              <w:jc w:val="center"/>
              <w:rPr>
                <w:rFonts w:ascii="Times New Roman" w:hAnsi="Times New Roman"/>
                <w:color w:val="000000"/>
                <w:lang w:val="es-AR" w:eastAsia="es-AR"/>
              </w:rPr>
            </w:pPr>
          </w:p>
        </w:tc>
      </w:tr>
      <w:tr w:rsidR="00576F54" w:rsidRPr="00576F54" w:rsidTr="00097D9C">
        <w:trPr>
          <w:trHeight w:val="278"/>
        </w:trPr>
        <w:tc>
          <w:tcPr>
            <w:tcW w:w="1679" w:type="dxa"/>
            <w:tcBorders>
              <w:top w:val="single" w:sz="4" w:space="0" w:color="auto"/>
              <w:bottom w:val="single" w:sz="4" w:space="0" w:color="auto"/>
            </w:tcBorders>
            <w:shd w:val="clear" w:color="auto" w:fill="auto"/>
            <w:vAlign w:val="bottom"/>
            <w:hideMark/>
          </w:tcPr>
          <w:p w:rsidR="00576F54" w:rsidRPr="004A020F" w:rsidRDefault="00576F54" w:rsidP="00576F54">
            <w:pPr>
              <w:rPr>
                <w:rFonts w:ascii="Times New Roman" w:hAnsi="Times New Roman"/>
                <w:color w:val="000000"/>
                <w:lang w:val="es-AR" w:eastAsia="es-AR"/>
              </w:rPr>
            </w:pPr>
            <w:r w:rsidRPr="00576F54">
              <w:rPr>
                <w:rFonts w:ascii="Times New Roman" w:hAnsi="Times New Roman"/>
                <w:color w:val="000000"/>
                <w:lang w:val="es-AR" w:eastAsia="es-AR"/>
              </w:rPr>
              <w:t>E</w:t>
            </w:r>
            <w:r w:rsidRPr="004A020F">
              <w:rPr>
                <w:rFonts w:ascii="Times New Roman" w:hAnsi="Times New Roman"/>
                <w:color w:val="000000"/>
                <w:lang w:val="es-AR" w:eastAsia="es-AR"/>
              </w:rPr>
              <w:t xml:space="preserve">ncuesta </w:t>
            </w:r>
            <w:r>
              <w:rPr>
                <w:rFonts w:ascii="Times New Roman" w:hAnsi="Times New Roman"/>
                <w:color w:val="000000"/>
                <w:lang w:val="es-AR" w:eastAsia="es-AR"/>
              </w:rPr>
              <w:t>PMB</w:t>
            </w:r>
            <w:r w:rsidRPr="00576F54">
              <w:rPr>
                <w:rFonts w:ascii="Times New Roman" w:hAnsi="Times New Roman"/>
                <w:color w:val="000000"/>
                <w:lang w:val="es-AR" w:eastAsia="es-AR"/>
              </w:rPr>
              <w:t xml:space="preserve"> (4) </w:t>
            </w:r>
          </w:p>
        </w:tc>
        <w:tc>
          <w:tcPr>
            <w:tcW w:w="877" w:type="dxa"/>
            <w:tcBorders>
              <w:top w:val="single" w:sz="4" w:space="0" w:color="auto"/>
              <w:bottom w:val="single" w:sz="4" w:space="0" w:color="auto"/>
            </w:tcBorders>
            <w:shd w:val="clear" w:color="auto" w:fill="auto"/>
            <w:noWrap/>
            <w:vAlign w:val="bottom"/>
            <w:hideMark/>
          </w:tcPr>
          <w:p w:rsidR="00576F54" w:rsidRPr="004A020F" w:rsidRDefault="00576F54" w:rsidP="00EF1F61">
            <w:pPr>
              <w:jc w:val="center"/>
              <w:rPr>
                <w:rFonts w:ascii="Times New Roman" w:hAnsi="Times New Roman"/>
                <w:color w:val="000000"/>
                <w:lang w:val="es-AR" w:eastAsia="es-AR"/>
              </w:rPr>
            </w:pPr>
            <w:r w:rsidRPr="004A020F">
              <w:rPr>
                <w:rFonts w:ascii="Times New Roman" w:hAnsi="Times New Roman"/>
                <w:color w:val="000000"/>
                <w:lang w:val="es-AR" w:eastAsia="es-AR"/>
              </w:rPr>
              <w:t>270.034</w:t>
            </w:r>
          </w:p>
        </w:tc>
        <w:tc>
          <w:tcPr>
            <w:tcW w:w="851" w:type="dxa"/>
            <w:tcBorders>
              <w:top w:val="single" w:sz="4" w:space="0" w:color="auto"/>
              <w:bottom w:val="single" w:sz="4" w:space="0" w:color="auto"/>
            </w:tcBorders>
            <w:shd w:val="clear" w:color="auto" w:fill="auto"/>
            <w:noWrap/>
            <w:vAlign w:val="bottom"/>
            <w:hideMark/>
          </w:tcPr>
          <w:p w:rsidR="00576F54" w:rsidRPr="004A020F" w:rsidRDefault="00576F54" w:rsidP="00EF1F61">
            <w:pPr>
              <w:jc w:val="center"/>
              <w:rPr>
                <w:rFonts w:ascii="Times New Roman" w:hAnsi="Times New Roman"/>
                <w:color w:val="000000"/>
                <w:lang w:val="es-AR" w:eastAsia="es-AR"/>
              </w:rPr>
            </w:pPr>
            <w:r w:rsidRPr="004A020F">
              <w:rPr>
                <w:rFonts w:ascii="Times New Roman" w:hAnsi="Times New Roman"/>
                <w:color w:val="000000"/>
                <w:lang w:val="es-AR" w:eastAsia="es-AR"/>
              </w:rPr>
              <w:t>13.061</w:t>
            </w:r>
          </w:p>
        </w:tc>
        <w:tc>
          <w:tcPr>
            <w:tcW w:w="976" w:type="dxa"/>
            <w:tcBorders>
              <w:top w:val="single" w:sz="4" w:space="0" w:color="auto"/>
              <w:bottom w:val="single" w:sz="4" w:space="0" w:color="auto"/>
            </w:tcBorders>
            <w:shd w:val="clear" w:color="auto" w:fill="auto"/>
            <w:noWrap/>
            <w:vAlign w:val="bottom"/>
            <w:hideMark/>
          </w:tcPr>
          <w:p w:rsidR="00576F54" w:rsidRPr="004A020F" w:rsidRDefault="00576F54" w:rsidP="00EF1F61">
            <w:pPr>
              <w:jc w:val="center"/>
              <w:rPr>
                <w:rFonts w:ascii="Times New Roman" w:hAnsi="Times New Roman"/>
                <w:color w:val="000000"/>
                <w:lang w:val="es-AR" w:eastAsia="es-AR"/>
              </w:rPr>
            </w:pPr>
            <w:r w:rsidRPr="004A020F">
              <w:rPr>
                <w:rFonts w:ascii="Times New Roman" w:hAnsi="Times New Roman"/>
                <w:color w:val="000000"/>
                <w:lang w:val="es-AR" w:eastAsia="es-AR"/>
              </w:rPr>
              <w:t>186.741</w:t>
            </w:r>
          </w:p>
        </w:tc>
        <w:tc>
          <w:tcPr>
            <w:tcW w:w="699" w:type="dxa"/>
            <w:tcBorders>
              <w:top w:val="single" w:sz="4" w:space="0" w:color="auto"/>
              <w:bottom w:val="single" w:sz="4" w:space="0" w:color="auto"/>
            </w:tcBorders>
            <w:shd w:val="clear" w:color="auto" w:fill="auto"/>
            <w:noWrap/>
            <w:vAlign w:val="bottom"/>
            <w:hideMark/>
          </w:tcPr>
          <w:p w:rsidR="00576F54" w:rsidRPr="004A020F" w:rsidRDefault="00576F54" w:rsidP="00EF1F61">
            <w:pPr>
              <w:jc w:val="center"/>
              <w:rPr>
                <w:rFonts w:ascii="Times New Roman" w:hAnsi="Times New Roman"/>
                <w:color w:val="000000"/>
                <w:lang w:val="es-AR" w:eastAsia="es-AR"/>
              </w:rPr>
            </w:pPr>
            <w:r w:rsidRPr="004A020F">
              <w:rPr>
                <w:rFonts w:ascii="Times New Roman" w:hAnsi="Times New Roman"/>
                <w:color w:val="000000"/>
                <w:lang w:val="es-AR" w:eastAsia="es-AR"/>
              </w:rPr>
              <w:t>9.032</w:t>
            </w:r>
          </w:p>
        </w:tc>
        <w:tc>
          <w:tcPr>
            <w:tcW w:w="838" w:type="dxa"/>
            <w:tcBorders>
              <w:top w:val="single" w:sz="4" w:space="0" w:color="auto"/>
              <w:bottom w:val="single" w:sz="4" w:space="0" w:color="auto"/>
            </w:tcBorders>
            <w:shd w:val="clear" w:color="auto" w:fill="auto"/>
            <w:noWrap/>
            <w:vAlign w:val="bottom"/>
            <w:hideMark/>
          </w:tcPr>
          <w:p w:rsidR="00576F54" w:rsidRPr="004A020F" w:rsidRDefault="00576F54" w:rsidP="00EF1F61">
            <w:pPr>
              <w:jc w:val="center"/>
              <w:rPr>
                <w:rFonts w:ascii="Times New Roman" w:hAnsi="Times New Roman"/>
                <w:color w:val="000000"/>
                <w:lang w:val="es-AR" w:eastAsia="es-AR"/>
              </w:rPr>
            </w:pPr>
            <w:r w:rsidRPr="004A020F">
              <w:rPr>
                <w:rFonts w:ascii="Times New Roman" w:hAnsi="Times New Roman"/>
                <w:color w:val="000000"/>
                <w:lang w:val="es-AR" w:eastAsia="es-AR"/>
              </w:rPr>
              <w:t>443.138</w:t>
            </w:r>
          </w:p>
        </w:tc>
        <w:tc>
          <w:tcPr>
            <w:tcW w:w="905" w:type="dxa"/>
            <w:tcBorders>
              <w:top w:val="single" w:sz="4" w:space="0" w:color="auto"/>
              <w:bottom w:val="single" w:sz="4" w:space="0" w:color="auto"/>
            </w:tcBorders>
            <w:shd w:val="clear" w:color="auto" w:fill="auto"/>
            <w:noWrap/>
            <w:vAlign w:val="bottom"/>
            <w:hideMark/>
          </w:tcPr>
          <w:p w:rsidR="00576F54" w:rsidRPr="004A020F" w:rsidRDefault="00576F54" w:rsidP="00EF1F61">
            <w:pPr>
              <w:jc w:val="center"/>
              <w:rPr>
                <w:rFonts w:ascii="Times New Roman" w:hAnsi="Times New Roman"/>
                <w:color w:val="000000"/>
                <w:lang w:val="es-AR" w:eastAsia="es-AR"/>
              </w:rPr>
            </w:pPr>
            <w:r w:rsidRPr="004A020F">
              <w:rPr>
                <w:rFonts w:ascii="Times New Roman" w:hAnsi="Times New Roman"/>
                <w:color w:val="000000"/>
                <w:lang w:val="es-AR" w:eastAsia="es-AR"/>
              </w:rPr>
              <w:t>21.433</w:t>
            </w:r>
          </w:p>
        </w:tc>
        <w:tc>
          <w:tcPr>
            <w:tcW w:w="912" w:type="dxa"/>
            <w:tcBorders>
              <w:top w:val="single" w:sz="4" w:space="0" w:color="auto"/>
              <w:bottom w:val="single" w:sz="4" w:space="0" w:color="auto"/>
            </w:tcBorders>
            <w:shd w:val="clear" w:color="auto" w:fill="auto"/>
            <w:noWrap/>
            <w:vAlign w:val="bottom"/>
          </w:tcPr>
          <w:p w:rsidR="00576F54" w:rsidRPr="004A020F" w:rsidRDefault="00576F54" w:rsidP="00EF1F61">
            <w:pPr>
              <w:jc w:val="center"/>
              <w:rPr>
                <w:rFonts w:ascii="Times New Roman" w:hAnsi="Times New Roman"/>
                <w:color w:val="000000"/>
                <w:lang w:val="es-AR" w:eastAsia="es-AR"/>
              </w:rPr>
            </w:pPr>
          </w:p>
        </w:tc>
        <w:tc>
          <w:tcPr>
            <w:tcW w:w="978" w:type="dxa"/>
            <w:tcBorders>
              <w:top w:val="single" w:sz="4" w:space="0" w:color="auto"/>
              <w:bottom w:val="single" w:sz="4" w:space="0" w:color="auto"/>
            </w:tcBorders>
            <w:shd w:val="clear" w:color="auto" w:fill="auto"/>
            <w:noWrap/>
            <w:vAlign w:val="bottom"/>
          </w:tcPr>
          <w:p w:rsidR="00576F54" w:rsidRPr="004A020F" w:rsidRDefault="00576F54" w:rsidP="00EF1F61">
            <w:pPr>
              <w:jc w:val="center"/>
              <w:rPr>
                <w:rFonts w:ascii="Times New Roman" w:hAnsi="Times New Roman"/>
                <w:color w:val="000000"/>
                <w:lang w:val="es-AR" w:eastAsia="es-AR"/>
              </w:rPr>
            </w:pPr>
          </w:p>
        </w:tc>
      </w:tr>
    </w:tbl>
    <w:p w:rsidR="00AA0A94" w:rsidRPr="00D70CC7" w:rsidRDefault="00EF1F61" w:rsidP="00AA0A94">
      <w:pPr>
        <w:autoSpaceDE w:val="0"/>
        <w:autoSpaceDN w:val="0"/>
        <w:adjustRightInd w:val="0"/>
        <w:jc w:val="both"/>
        <w:rPr>
          <w:rFonts w:ascii="Times New Roman" w:hAnsi="Times New Roman"/>
          <w:bCs/>
          <w:sz w:val="16"/>
          <w:szCs w:val="16"/>
          <w:lang w:val="es-ES_tradnl"/>
        </w:rPr>
      </w:pPr>
      <w:r w:rsidRPr="00D70CC7">
        <w:rPr>
          <w:rFonts w:ascii="Times New Roman" w:hAnsi="Times New Roman"/>
          <w:bCs/>
          <w:sz w:val="16"/>
          <w:szCs w:val="16"/>
          <w:lang w:val="es-ES_tradnl"/>
        </w:rPr>
        <w:t xml:space="preserve">(1) </w:t>
      </w:r>
      <w:r w:rsidR="00AA0A94" w:rsidRPr="00D70CC7">
        <w:rPr>
          <w:rFonts w:ascii="Times New Roman" w:hAnsi="Times New Roman"/>
          <w:bCs/>
          <w:sz w:val="16"/>
          <w:szCs w:val="16"/>
          <w:lang w:val="es-ES_tradnl"/>
        </w:rPr>
        <w:t>Considera las viviendas sin red de saneamiento, con problemas de inundación,</w:t>
      </w:r>
      <w:r w:rsidR="00097D9C" w:rsidRPr="00D70CC7">
        <w:rPr>
          <w:rFonts w:ascii="Times New Roman" w:hAnsi="Times New Roman"/>
          <w:bCs/>
          <w:sz w:val="16"/>
          <w:szCs w:val="16"/>
          <w:lang w:val="es-ES_tradnl"/>
        </w:rPr>
        <w:t xml:space="preserve"> </w:t>
      </w:r>
      <w:r w:rsidR="00AA0A94" w:rsidRPr="00D70CC7">
        <w:rPr>
          <w:rFonts w:ascii="Times New Roman" w:hAnsi="Times New Roman"/>
          <w:bCs/>
          <w:sz w:val="16"/>
          <w:szCs w:val="16"/>
          <w:lang w:val="es-ES_tradnl"/>
        </w:rPr>
        <w:t>con un baño como máximo, sin propiedad del terreno. (2)  viviendas con tenencia del terreno (3) viviendas con características similares a las construidas para realojos. (4) actualizado</w:t>
      </w:r>
      <w:r w:rsidR="00576F54" w:rsidRPr="00D70CC7">
        <w:rPr>
          <w:rFonts w:ascii="Times New Roman" w:hAnsi="Times New Roman"/>
          <w:bCs/>
          <w:sz w:val="16"/>
          <w:szCs w:val="16"/>
          <w:lang w:val="es-ES_tradnl"/>
        </w:rPr>
        <w:t>s</w:t>
      </w:r>
      <w:r w:rsidR="00AA0A94" w:rsidRPr="00D70CC7">
        <w:rPr>
          <w:rFonts w:ascii="Times New Roman" w:hAnsi="Times New Roman"/>
          <w:bCs/>
          <w:sz w:val="16"/>
          <w:szCs w:val="16"/>
          <w:lang w:val="es-ES_tradnl"/>
        </w:rPr>
        <w:t xml:space="preserve"> por la inflación del período en base a ICC. </w:t>
      </w:r>
    </w:p>
    <w:p w:rsidR="00C7322A" w:rsidRPr="00D70CC7" w:rsidRDefault="00AA0A94" w:rsidP="00AA0A94">
      <w:pPr>
        <w:autoSpaceDE w:val="0"/>
        <w:autoSpaceDN w:val="0"/>
        <w:adjustRightInd w:val="0"/>
        <w:jc w:val="both"/>
        <w:rPr>
          <w:rFonts w:ascii="Times New Roman" w:hAnsi="Times New Roman"/>
          <w:bCs/>
          <w:sz w:val="16"/>
          <w:szCs w:val="16"/>
          <w:highlight w:val="yellow"/>
          <w:lang w:val="es-ES_tradnl"/>
        </w:rPr>
      </w:pPr>
      <w:r w:rsidRPr="00D70CC7">
        <w:rPr>
          <w:rFonts w:ascii="Times New Roman" w:hAnsi="Times New Roman"/>
          <w:bCs/>
          <w:sz w:val="16"/>
          <w:szCs w:val="16"/>
          <w:lang w:val="es-ES_tradnl"/>
        </w:rPr>
        <w:t>Tasa de cambio US por U$: 19,314 promedio 2011, Variación ICC junio 2013/promedio 2011: 1,275</w:t>
      </w:r>
      <w:r w:rsidR="00576F54" w:rsidRPr="00D70CC7">
        <w:rPr>
          <w:rFonts w:ascii="Times New Roman" w:hAnsi="Times New Roman"/>
          <w:bCs/>
          <w:sz w:val="16"/>
          <w:szCs w:val="16"/>
          <w:lang w:val="es-ES_tradnl"/>
        </w:rPr>
        <w:t>; junio 2013/promedio octubre 2007: 1,9</w:t>
      </w:r>
    </w:p>
    <w:p w:rsidR="00AA0A94" w:rsidRDefault="00AA0A94" w:rsidP="00AA0A94">
      <w:pPr>
        <w:autoSpaceDE w:val="0"/>
        <w:autoSpaceDN w:val="0"/>
        <w:adjustRightInd w:val="0"/>
        <w:jc w:val="both"/>
        <w:rPr>
          <w:rFonts w:ascii="Times New Roman" w:hAnsi="Times New Roman"/>
          <w:bCs/>
          <w:sz w:val="24"/>
          <w:szCs w:val="24"/>
          <w:highlight w:val="yellow"/>
          <w:lang w:val="es-ES_tradnl"/>
        </w:rPr>
      </w:pPr>
    </w:p>
    <w:p w:rsidR="00C67A16" w:rsidRPr="00D571F1" w:rsidRDefault="00576F54" w:rsidP="00D937E0">
      <w:pPr>
        <w:numPr>
          <w:ilvl w:val="1"/>
          <w:numId w:val="10"/>
        </w:numPr>
        <w:autoSpaceDE w:val="0"/>
        <w:autoSpaceDN w:val="0"/>
        <w:adjustRightInd w:val="0"/>
        <w:ind w:left="426"/>
        <w:jc w:val="both"/>
        <w:rPr>
          <w:rFonts w:ascii="Times New Roman" w:hAnsi="Times New Roman"/>
          <w:bCs/>
          <w:sz w:val="24"/>
          <w:szCs w:val="24"/>
          <w:lang w:val="es-ES_tradnl"/>
        </w:rPr>
      </w:pPr>
      <w:r w:rsidRPr="00D571F1">
        <w:rPr>
          <w:rFonts w:ascii="Times New Roman" w:hAnsi="Times New Roman"/>
          <w:bCs/>
          <w:sz w:val="24"/>
          <w:szCs w:val="24"/>
          <w:lang w:val="es-ES_tradnl"/>
        </w:rPr>
        <w:t>Aplicando los impactos determinados por la ecuación de precios hedónicos so</w:t>
      </w:r>
      <w:r w:rsidR="00097D9C" w:rsidRPr="00D571F1">
        <w:rPr>
          <w:rFonts w:ascii="Times New Roman" w:hAnsi="Times New Roman"/>
          <w:bCs/>
          <w:sz w:val="24"/>
          <w:szCs w:val="24"/>
          <w:lang w:val="es-ES_tradnl"/>
        </w:rPr>
        <w:t xml:space="preserve">bre </w:t>
      </w:r>
      <w:r w:rsidR="00D937E0" w:rsidRPr="00D571F1">
        <w:rPr>
          <w:rFonts w:ascii="Times New Roman" w:hAnsi="Times New Roman"/>
          <w:bCs/>
          <w:sz w:val="24"/>
          <w:szCs w:val="24"/>
          <w:lang w:val="es-ES_tradnl"/>
        </w:rPr>
        <w:t xml:space="preserve">el valor de </w:t>
      </w:r>
      <w:r w:rsidR="00097D9C" w:rsidRPr="00D571F1">
        <w:rPr>
          <w:rFonts w:ascii="Times New Roman" w:hAnsi="Times New Roman"/>
          <w:bCs/>
          <w:sz w:val="24"/>
          <w:szCs w:val="24"/>
          <w:lang w:val="es-ES_tradnl"/>
        </w:rPr>
        <w:t xml:space="preserve">los inmuebles </w:t>
      </w:r>
      <w:r w:rsidR="00D937E0" w:rsidRPr="00D571F1">
        <w:rPr>
          <w:rFonts w:ascii="Times New Roman" w:hAnsi="Times New Roman"/>
          <w:bCs/>
          <w:sz w:val="24"/>
          <w:szCs w:val="24"/>
          <w:lang w:val="es-ES_tradnl"/>
        </w:rPr>
        <w:t xml:space="preserve">(del asentamiento, frentistas o resultantes de los realojos) </w:t>
      </w:r>
      <w:r w:rsidR="00097D9C" w:rsidRPr="00D571F1">
        <w:rPr>
          <w:rFonts w:ascii="Times New Roman" w:hAnsi="Times New Roman"/>
          <w:bCs/>
          <w:sz w:val="24"/>
          <w:szCs w:val="24"/>
          <w:lang w:val="es-ES_tradnl"/>
        </w:rPr>
        <w:t xml:space="preserve">a ser beneficiados </w:t>
      </w:r>
      <w:r w:rsidR="00EF1F61" w:rsidRPr="00D571F1">
        <w:rPr>
          <w:rFonts w:ascii="Times New Roman" w:hAnsi="Times New Roman"/>
          <w:bCs/>
          <w:sz w:val="24"/>
          <w:szCs w:val="24"/>
          <w:lang w:val="es-ES_tradnl"/>
        </w:rPr>
        <w:t xml:space="preserve">por cada tipo de obra, </w:t>
      </w:r>
      <w:r w:rsidR="00097D9C" w:rsidRPr="00D571F1">
        <w:rPr>
          <w:rFonts w:ascii="Times New Roman" w:hAnsi="Times New Roman"/>
          <w:bCs/>
          <w:sz w:val="24"/>
          <w:szCs w:val="24"/>
          <w:lang w:val="es-ES_tradnl"/>
        </w:rPr>
        <w:t xml:space="preserve">se obtuvieron los beneficios </w:t>
      </w:r>
      <w:r w:rsidR="00D571F1" w:rsidRPr="00D571F1">
        <w:rPr>
          <w:rFonts w:ascii="Times New Roman" w:hAnsi="Times New Roman"/>
          <w:bCs/>
          <w:sz w:val="24"/>
          <w:szCs w:val="24"/>
          <w:lang w:val="es-ES_tradnl"/>
        </w:rPr>
        <w:t xml:space="preserve">para </w:t>
      </w:r>
      <w:r w:rsidR="00097D9C" w:rsidRPr="00D571F1">
        <w:rPr>
          <w:rFonts w:ascii="Times New Roman" w:hAnsi="Times New Roman"/>
          <w:bCs/>
          <w:sz w:val="24"/>
          <w:szCs w:val="24"/>
          <w:lang w:val="es-ES_tradnl"/>
        </w:rPr>
        <w:t>cada proyecto de la muestra.</w:t>
      </w:r>
      <w:r w:rsidR="00D937E0" w:rsidRPr="00D571F1">
        <w:rPr>
          <w:rFonts w:ascii="Times New Roman" w:hAnsi="Times New Roman"/>
          <w:bCs/>
          <w:sz w:val="24"/>
          <w:szCs w:val="24"/>
          <w:lang w:val="es-ES_tradnl"/>
        </w:rPr>
        <w:t xml:space="preserve"> En este punto es importante destacar que la cantidad de realojos</w:t>
      </w:r>
      <w:r w:rsidR="00F57AD2" w:rsidRPr="00D571F1">
        <w:rPr>
          <w:rFonts w:ascii="Times New Roman" w:hAnsi="Times New Roman"/>
          <w:bCs/>
          <w:sz w:val="24"/>
          <w:szCs w:val="24"/>
          <w:lang w:val="es-ES_tradnl"/>
        </w:rPr>
        <w:t>,</w:t>
      </w:r>
      <w:r w:rsidR="00D937E0" w:rsidRPr="00D571F1">
        <w:rPr>
          <w:rFonts w:ascii="Times New Roman" w:hAnsi="Times New Roman"/>
          <w:bCs/>
          <w:sz w:val="24"/>
          <w:szCs w:val="24"/>
          <w:lang w:val="es-ES_tradnl"/>
        </w:rPr>
        <w:t xml:space="preserve"> </w:t>
      </w:r>
      <w:r w:rsidR="00C67A16" w:rsidRPr="00D571F1">
        <w:rPr>
          <w:rFonts w:ascii="Times New Roman" w:hAnsi="Times New Roman"/>
          <w:bCs/>
          <w:sz w:val="24"/>
          <w:szCs w:val="24"/>
          <w:lang w:val="es-ES_tradnl"/>
        </w:rPr>
        <w:t>producto de las obras de infraestructura o de condiciones socio-ambientales</w:t>
      </w:r>
      <w:r w:rsidR="00F57AD2" w:rsidRPr="00D571F1">
        <w:rPr>
          <w:rFonts w:ascii="Times New Roman" w:hAnsi="Times New Roman"/>
          <w:bCs/>
          <w:sz w:val="24"/>
          <w:szCs w:val="24"/>
          <w:lang w:val="es-ES_tradnl"/>
        </w:rPr>
        <w:t>,</w:t>
      </w:r>
      <w:r w:rsidR="00C67A16" w:rsidRPr="00D571F1">
        <w:rPr>
          <w:rFonts w:ascii="Times New Roman" w:hAnsi="Times New Roman"/>
          <w:bCs/>
          <w:sz w:val="24"/>
          <w:szCs w:val="24"/>
          <w:lang w:val="es-ES_tradnl"/>
        </w:rPr>
        <w:t xml:space="preserve"> </w:t>
      </w:r>
      <w:r w:rsidR="00D937E0" w:rsidRPr="00D571F1">
        <w:rPr>
          <w:rFonts w:ascii="Times New Roman" w:hAnsi="Times New Roman"/>
          <w:bCs/>
          <w:sz w:val="24"/>
          <w:szCs w:val="24"/>
          <w:lang w:val="es-ES_tradnl"/>
        </w:rPr>
        <w:t xml:space="preserve">fue limitada </w:t>
      </w:r>
      <w:r w:rsidR="00F57AD2" w:rsidRPr="00D571F1">
        <w:rPr>
          <w:rFonts w:ascii="Times New Roman" w:hAnsi="Times New Roman"/>
          <w:bCs/>
          <w:sz w:val="24"/>
          <w:szCs w:val="24"/>
          <w:lang w:val="es-ES_tradnl"/>
        </w:rPr>
        <w:t xml:space="preserve">para cada proyecto </w:t>
      </w:r>
      <w:r w:rsidR="00D937E0" w:rsidRPr="00D571F1">
        <w:rPr>
          <w:rFonts w:ascii="Times New Roman" w:hAnsi="Times New Roman"/>
          <w:bCs/>
          <w:sz w:val="24"/>
          <w:szCs w:val="24"/>
          <w:lang w:val="es-ES_tradnl"/>
        </w:rPr>
        <w:t>al 20% del total de las viviendas existentes</w:t>
      </w:r>
      <w:r w:rsidR="00D571F1" w:rsidRPr="00D571F1">
        <w:rPr>
          <w:rFonts w:ascii="Times New Roman" w:hAnsi="Times New Roman"/>
          <w:bCs/>
          <w:sz w:val="24"/>
          <w:szCs w:val="24"/>
          <w:lang w:val="es-ES_tradnl"/>
        </w:rPr>
        <w:t>. R</w:t>
      </w:r>
      <w:r w:rsidR="00C67A16" w:rsidRPr="00D571F1">
        <w:rPr>
          <w:rFonts w:ascii="Times New Roman" w:hAnsi="Times New Roman"/>
          <w:bCs/>
          <w:sz w:val="24"/>
          <w:szCs w:val="24"/>
          <w:lang w:val="es-ES_tradnl"/>
        </w:rPr>
        <w:t xml:space="preserve">estricción </w:t>
      </w:r>
      <w:r w:rsidR="00F57AD2" w:rsidRPr="00D571F1">
        <w:rPr>
          <w:rFonts w:ascii="Times New Roman" w:hAnsi="Times New Roman"/>
          <w:bCs/>
          <w:sz w:val="24"/>
          <w:szCs w:val="24"/>
          <w:lang w:val="es-ES_tradnl"/>
        </w:rPr>
        <w:t>que para la muestra considerada,</w:t>
      </w:r>
      <w:r w:rsidR="00C67A16" w:rsidRPr="00D571F1">
        <w:rPr>
          <w:rFonts w:ascii="Times New Roman" w:hAnsi="Times New Roman"/>
          <w:bCs/>
          <w:sz w:val="24"/>
          <w:szCs w:val="24"/>
          <w:lang w:val="es-ES_tradnl"/>
        </w:rPr>
        <w:t xml:space="preserve"> se vuelve operativa en el caso del Barrio 6 de diciembre</w:t>
      </w:r>
      <w:r w:rsidR="00D571F1" w:rsidRPr="00D571F1">
        <w:rPr>
          <w:rFonts w:ascii="Times New Roman" w:hAnsi="Times New Roman"/>
          <w:bCs/>
          <w:sz w:val="24"/>
          <w:szCs w:val="24"/>
          <w:lang w:val="es-ES_tradnl"/>
        </w:rPr>
        <w:t xml:space="preserve"> y de Campichuelo-Itape</w:t>
      </w:r>
      <w:r w:rsidR="00D937E0" w:rsidRPr="00D571F1">
        <w:rPr>
          <w:rFonts w:ascii="Times New Roman" w:hAnsi="Times New Roman"/>
          <w:bCs/>
          <w:sz w:val="24"/>
          <w:szCs w:val="24"/>
          <w:lang w:val="es-ES_tradnl"/>
        </w:rPr>
        <w:t>.</w:t>
      </w:r>
      <w:r w:rsidR="00F57AD2" w:rsidRPr="00D571F1">
        <w:rPr>
          <w:rFonts w:ascii="Times New Roman" w:hAnsi="Times New Roman"/>
          <w:bCs/>
          <w:sz w:val="24"/>
          <w:szCs w:val="24"/>
          <w:lang w:val="es-ES_tradnl"/>
        </w:rPr>
        <w:t xml:space="preserve"> El beneficio </w:t>
      </w:r>
      <w:r w:rsidR="00D571F1" w:rsidRPr="00D571F1">
        <w:rPr>
          <w:rFonts w:ascii="Times New Roman" w:hAnsi="Times New Roman"/>
          <w:bCs/>
          <w:sz w:val="24"/>
          <w:szCs w:val="24"/>
          <w:lang w:val="es-ES_tradnl"/>
        </w:rPr>
        <w:t xml:space="preserve">(valor inmobiliario de las nuevas viviendas) </w:t>
      </w:r>
      <w:r w:rsidR="00F57AD2" w:rsidRPr="00D571F1">
        <w:rPr>
          <w:rFonts w:ascii="Times New Roman" w:hAnsi="Times New Roman"/>
          <w:bCs/>
          <w:sz w:val="24"/>
          <w:szCs w:val="24"/>
          <w:lang w:val="es-ES_tradnl"/>
        </w:rPr>
        <w:t xml:space="preserve">incorporado en el caso de los realojos es neto de la pérdida del valor del inmueble que resulta reemplazado. </w:t>
      </w:r>
      <w:r w:rsidR="00C67A16" w:rsidRPr="00D571F1">
        <w:rPr>
          <w:rFonts w:ascii="Times New Roman" w:hAnsi="Times New Roman"/>
          <w:bCs/>
          <w:sz w:val="24"/>
          <w:szCs w:val="24"/>
          <w:lang w:val="es-ES_tradnl"/>
        </w:rPr>
        <w:t xml:space="preserve">La tabla V muestra los beneficios </w:t>
      </w:r>
      <w:r w:rsidR="00D70CC7" w:rsidRPr="00D571F1">
        <w:rPr>
          <w:rFonts w:ascii="Times New Roman" w:hAnsi="Times New Roman"/>
          <w:bCs/>
          <w:sz w:val="24"/>
          <w:szCs w:val="24"/>
          <w:lang w:val="es-ES_tradnl"/>
        </w:rPr>
        <w:t xml:space="preserve">esperados de </w:t>
      </w:r>
      <w:r w:rsidR="00C67A16" w:rsidRPr="00D571F1">
        <w:rPr>
          <w:rFonts w:ascii="Times New Roman" w:hAnsi="Times New Roman"/>
          <w:bCs/>
          <w:sz w:val="24"/>
          <w:szCs w:val="24"/>
          <w:lang w:val="es-ES_tradnl"/>
        </w:rPr>
        <w:t>cada intervención</w:t>
      </w:r>
      <w:r w:rsidR="00D70CC7" w:rsidRPr="00D571F1">
        <w:rPr>
          <w:rFonts w:ascii="Times New Roman" w:hAnsi="Times New Roman"/>
          <w:bCs/>
          <w:sz w:val="24"/>
          <w:szCs w:val="24"/>
          <w:lang w:val="es-ES_tradnl"/>
        </w:rPr>
        <w:t>.</w:t>
      </w:r>
    </w:p>
    <w:p w:rsidR="001145D5" w:rsidRDefault="001145D5" w:rsidP="001145D5">
      <w:pPr>
        <w:autoSpaceDE w:val="0"/>
        <w:autoSpaceDN w:val="0"/>
        <w:adjustRightInd w:val="0"/>
        <w:jc w:val="both"/>
        <w:rPr>
          <w:rFonts w:ascii="Times New Roman" w:hAnsi="Times New Roman"/>
          <w:bCs/>
          <w:sz w:val="24"/>
          <w:szCs w:val="24"/>
          <w:lang w:val="es-ES_tradnl"/>
        </w:rPr>
      </w:pPr>
    </w:p>
    <w:p w:rsidR="001145D5" w:rsidRPr="007F3787" w:rsidRDefault="001145D5" w:rsidP="001145D5">
      <w:pPr>
        <w:numPr>
          <w:ilvl w:val="1"/>
          <w:numId w:val="10"/>
        </w:numPr>
        <w:autoSpaceDE w:val="0"/>
        <w:autoSpaceDN w:val="0"/>
        <w:adjustRightInd w:val="0"/>
        <w:ind w:left="426"/>
        <w:jc w:val="both"/>
        <w:rPr>
          <w:rFonts w:ascii="Times New Roman" w:hAnsi="Times New Roman"/>
          <w:bCs/>
          <w:sz w:val="24"/>
          <w:szCs w:val="24"/>
          <w:lang w:val="es-ES_tradnl"/>
        </w:rPr>
      </w:pPr>
      <w:r w:rsidRPr="007F3787">
        <w:rPr>
          <w:rFonts w:ascii="Times New Roman" w:hAnsi="Times New Roman"/>
          <w:bCs/>
          <w:sz w:val="24"/>
          <w:szCs w:val="24"/>
          <w:lang w:val="es-ES_tradnl"/>
        </w:rPr>
        <w:t>Aunque en ciertos casos se ha observado que los valores inmobiliarios aumentan desde el momento que se da a conocer la inversión, dado que el mercado descuenta el incremento futuro, aquí se supone que los beneficios se producen al momento de finalizar las obras</w:t>
      </w:r>
      <w:r>
        <w:rPr>
          <w:rFonts w:ascii="Times New Roman" w:hAnsi="Times New Roman"/>
          <w:bCs/>
          <w:sz w:val="24"/>
          <w:szCs w:val="24"/>
          <w:lang w:val="es-ES_tradnl"/>
        </w:rPr>
        <w:t xml:space="preserve"> que como máximo duran 2 años.</w:t>
      </w:r>
      <w:r w:rsidRPr="007F3787">
        <w:rPr>
          <w:rFonts w:ascii="Times New Roman" w:hAnsi="Times New Roman"/>
          <w:bCs/>
          <w:sz w:val="24"/>
          <w:szCs w:val="24"/>
          <w:lang w:val="es-ES_tradnl"/>
        </w:rPr>
        <w:t xml:space="preserve"> Si estos se produjeran en forma anticipada la rentabilidad de los proyectos de la muestra aumentaría de manera sustancial.</w:t>
      </w:r>
    </w:p>
    <w:p w:rsidR="001145D5" w:rsidRPr="001145D5" w:rsidRDefault="001145D5" w:rsidP="001145D5">
      <w:pPr>
        <w:rPr>
          <w:rFonts w:ascii="Times New Roman" w:hAnsi="Times New Roman"/>
          <w:bCs/>
          <w:sz w:val="24"/>
          <w:szCs w:val="24"/>
          <w:lang w:val="es-ES_tradnl"/>
        </w:rPr>
      </w:pPr>
    </w:p>
    <w:p w:rsidR="001145D5" w:rsidRPr="007A4916" w:rsidRDefault="001145D5" w:rsidP="001145D5">
      <w:pPr>
        <w:numPr>
          <w:ilvl w:val="1"/>
          <w:numId w:val="10"/>
        </w:numPr>
        <w:autoSpaceDE w:val="0"/>
        <w:autoSpaceDN w:val="0"/>
        <w:adjustRightInd w:val="0"/>
        <w:ind w:left="426"/>
        <w:jc w:val="both"/>
        <w:rPr>
          <w:rFonts w:ascii="Times New Roman" w:hAnsi="Times New Roman"/>
          <w:bCs/>
          <w:sz w:val="24"/>
          <w:szCs w:val="24"/>
          <w:lang w:val="es-ES_tradnl"/>
        </w:rPr>
      </w:pPr>
      <w:r w:rsidRPr="007A4916">
        <w:rPr>
          <w:rFonts w:ascii="Times New Roman" w:hAnsi="Times New Roman"/>
          <w:bCs/>
          <w:sz w:val="24"/>
          <w:szCs w:val="24"/>
          <w:lang w:val="es-ES_tradnl"/>
        </w:rPr>
        <w:t>Finalmente, se debe destacar que el impacto de la titularidad de la propiedad del terreno incide efectivamente cuando el propietario de la vivienda se convierte también en propietario del terreno, lo que se produce de acuerdo con la experiencia del Programa, varios años después de finalizadas las obras, por lo que se computó como beneficio el valor actual</w:t>
      </w:r>
      <w:r>
        <w:rPr>
          <w:rStyle w:val="FootnoteReference"/>
          <w:rFonts w:ascii="Times New Roman" w:hAnsi="Times New Roman"/>
          <w:bCs/>
          <w:sz w:val="24"/>
          <w:szCs w:val="24"/>
          <w:lang w:val="es-ES_tradnl"/>
        </w:rPr>
        <w:footnoteReference w:id="19"/>
      </w:r>
      <w:r w:rsidRPr="007A4916">
        <w:rPr>
          <w:rFonts w:ascii="Times New Roman" w:hAnsi="Times New Roman"/>
          <w:bCs/>
          <w:sz w:val="24"/>
          <w:szCs w:val="24"/>
          <w:lang w:val="es-ES_tradnl"/>
        </w:rPr>
        <w:t xml:space="preserve"> </w:t>
      </w:r>
      <w:r>
        <w:rPr>
          <w:rFonts w:ascii="Times New Roman" w:hAnsi="Times New Roman"/>
          <w:bCs/>
          <w:sz w:val="24"/>
          <w:szCs w:val="24"/>
          <w:lang w:val="es-ES_tradnl"/>
        </w:rPr>
        <w:t xml:space="preserve">de </w:t>
      </w:r>
      <w:r w:rsidRPr="007A4916">
        <w:rPr>
          <w:rFonts w:ascii="Times New Roman" w:hAnsi="Times New Roman"/>
          <w:bCs/>
          <w:sz w:val="24"/>
          <w:szCs w:val="24"/>
          <w:lang w:val="es-ES_tradnl"/>
        </w:rPr>
        <w:t>la valorización estimada producto de la regularización</w:t>
      </w:r>
      <w:r>
        <w:rPr>
          <w:rFonts w:ascii="Times New Roman" w:hAnsi="Times New Roman"/>
          <w:bCs/>
          <w:sz w:val="24"/>
          <w:szCs w:val="24"/>
          <w:lang w:val="es-ES_tradnl"/>
        </w:rPr>
        <w:t>.</w:t>
      </w:r>
    </w:p>
    <w:p w:rsidR="001145D5" w:rsidRDefault="001145D5" w:rsidP="001145D5">
      <w:pPr>
        <w:autoSpaceDE w:val="0"/>
        <w:autoSpaceDN w:val="0"/>
        <w:adjustRightInd w:val="0"/>
        <w:ind w:left="-6"/>
        <w:jc w:val="both"/>
        <w:rPr>
          <w:rFonts w:ascii="Times New Roman" w:hAnsi="Times New Roman"/>
          <w:bCs/>
          <w:sz w:val="24"/>
          <w:szCs w:val="24"/>
          <w:lang w:val="es-ES_tradnl"/>
        </w:rPr>
      </w:pPr>
    </w:p>
    <w:p w:rsidR="00727C2A" w:rsidRDefault="00727C2A">
      <w:pPr>
        <w:rPr>
          <w:rFonts w:ascii="Times New Roman" w:hAnsi="Times New Roman"/>
          <w:b/>
          <w:lang w:val="es-ES_tradnl"/>
        </w:rPr>
      </w:pPr>
      <w:r>
        <w:rPr>
          <w:rFonts w:ascii="Times New Roman" w:hAnsi="Times New Roman"/>
          <w:b/>
          <w:lang w:val="es-ES_tradnl"/>
        </w:rPr>
        <w:br w:type="page"/>
      </w:r>
    </w:p>
    <w:p w:rsidR="00D571F1" w:rsidRPr="00DC73F9" w:rsidRDefault="00D571F1" w:rsidP="00D571F1">
      <w:pPr>
        <w:pStyle w:val="ListParagraph"/>
        <w:jc w:val="center"/>
        <w:rPr>
          <w:rFonts w:ascii="Times New Roman" w:hAnsi="Times New Roman"/>
          <w:b/>
          <w:lang w:val="es-ES_tradnl"/>
        </w:rPr>
      </w:pPr>
      <w:r>
        <w:rPr>
          <w:rFonts w:ascii="Times New Roman" w:hAnsi="Times New Roman"/>
          <w:b/>
          <w:lang w:val="es-ES_tradnl"/>
        </w:rPr>
        <w:lastRenderedPageBreak/>
        <w:t xml:space="preserve">Tabla </w:t>
      </w:r>
      <w:r w:rsidRPr="00DC73F9">
        <w:rPr>
          <w:rFonts w:ascii="Times New Roman" w:hAnsi="Times New Roman"/>
          <w:b/>
          <w:lang w:val="es-ES_tradnl"/>
        </w:rPr>
        <w:t>V</w:t>
      </w:r>
    </w:p>
    <w:p w:rsidR="00D571F1" w:rsidRDefault="00D571F1" w:rsidP="00D571F1">
      <w:pPr>
        <w:pStyle w:val="ListParagraph"/>
        <w:jc w:val="center"/>
        <w:rPr>
          <w:rFonts w:ascii="Times New Roman" w:hAnsi="Times New Roman"/>
          <w:b/>
          <w:lang w:val="es-ES_tradnl"/>
        </w:rPr>
      </w:pPr>
      <w:r>
        <w:rPr>
          <w:rFonts w:ascii="Times New Roman" w:hAnsi="Times New Roman"/>
          <w:b/>
          <w:lang w:val="es-ES_tradnl"/>
        </w:rPr>
        <w:t>Beneficios por Proyecto y tipo de intervención, valores económicos en U$S de junio de 2013</w:t>
      </w:r>
    </w:p>
    <w:p w:rsidR="00D571F1" w:rsidRDefault="00D571F1" w:rsidP="00D571F1">
      <w:pPr>
        <w:rPr>
          <w:rFonts w:ascii="Times New Roman" w:hAnsi="Times New Roman"/>
          <w:b/>
          <w:lang w:val="es-ES_tradnl"/>
        </w:rPr>
      </w:pPr>
    </w:p>
    <w:tbl>
      <w:tblPr>
        <w:tblW w:w="8652" w:type="dxa"/>
        <w:tblInd w:w="6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06"/>
        <w:gridCol w:w="860"/>
        <w:gridCol w:w="983"/>
        <w:gridCol w:w="992"/>
        <w:gridCol w:w="1134"/>
        <w:gridCol w:w="993"/>
        <w:gridCol w:w="992"/>
        <w:gridCol w:w="992"/>
      </w:tblGrid>
      <w:tr w:rsidR="00D571F1" w:rsidRPr="00F27BDF" w:rsidTr="00AA0729">
        <w:trPr>
          <w:trHeight w:val="630"/>
          <w:tblHeader/>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 </w:t>
            </w:r>
          </w:p>
        </w:tc>
        <w:tc>
          <w:tcPr>
            <w:tcW w:w="860" w:type="dxa"/>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Vecinal 28</w:t>
            </w:r>
            <w:r>
              <w:rPr>
                <w:rFonts w:ascii="Times New Roman" w:hAnsi="Times New Roman"/>
                <w:b/>
                <w:sz w:val="18"/>
                <w:szCs w:val="18"/>
                <w:lang w:val="es-AR" w:eastAsia="es-AR"/>
              </w:rPr>
              <w:t xml:space="preserve"> </w:t>
            </w:r>
            <w:r w:rsidRPr="00F27BDF">
              <w:rPr>
                <w:rFonts w:ascii="Times New Roman" w:hAnsi="Times New Roman"/>
                <w:b/>
                <w:sz w:val="18"/>
                <w:szCs w:val="18"/>
                <w:lang w:val="es-AR" w:eastAsia="es-AR"/>
              </w:rPr>
              <w:t>-</w:t>
            </w:r>
            <w:r>
              <w:rPr>
                <w:rFonts w:ascii="Times New Roman" w:hAnsi="Times New Roman"/>
                <w:b/>
                <w:sz w:val="18"/>
                <w:szCs w:val="18"/>
                <w:lang w:val="es-AR" w:eastAsia="es-AR"/>
              </w:rPr>
              <w:t xml:space="preserve"> </w:t>
            </w:r>
            <w:r w:rsidRPr="00F27BDF">
              <w:rPr>
                <w:rFonts w:ascii="Times New Roman" w:hAnsi="Times New Roman"/>
                <w:b/>
                <w:sz w:val="18"/>
                <w:szCs w:val="18"/>
                <w:lang w:val="es-AR" w:eastAsia="es-AR"/>
              </w:rPr>
              <w:t>La Estrella</w:t>
            </w:r>
          </w:p>
        </w:tc>
        <w:tc>
          <w:tcPr>
            <w:tcW w:w="983" w:type="dxa"/>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Anagualpo y Timote</w:t>
            </w:r>
          </w:p>
        </w:tc>
        <w:tc>
          <w:tcPr>
            <w:tcW w:w="992" w:type="dxa"/>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Campichuelo</w:t>
            </w:r>
            <w:r>
              <w:rPr>
                <w:rFonts w:ascii="Times New Roman" w:hAnsi="Times New Roman"/>
                <w:b/>
                <w:sz w:val="18"/>
                <w:szCs w:val="18"/>
                <w:lang w:val="es-AR" w:eastAsia="es-AR"/>
              </w:rPr>
              <w:t xml:space="preserve"> </w:t>
            </w:r>
            <w:r w:rsidRPr="00F27BDF">
              <w:rPr>
                <w:rFonts w:ascii="Times New Roman" w:hAnsi="Times New Roman"/>
                <w:b/>
                <w:sz w:val="18"/>
                <w:szCs w:val="18"/>
                <w:lang w:val="es-AR" w:eastAsia="es-AR"/>
              </w:rPr>
              <w:t>-Itape</w:t>
            </w:r>
          </w:p>
        </w:tc>
        <w:tc>
          <w:tcPr>
            <w:tcW w:w="1134" w:type="dxa"/>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El tanque-Villa Prosperidad</w:t>
            </w:r>
          </w:p>
        </w:tc>
        <w:tc>
          <w:tcPr>
            <w:tcW w:w="993" w:type="dxa"/>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6 de diciembre</w:t>
            </w:r>
          </w:p>
        </w:tc>
        <w:tc>
          <w:tcPr>
            <w:tcW w:w="992" w:type="dxa"/>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Barrio Artigas</w:t>
            </w:r>
          </w:p>
        </w:tc>
        <w:tc>
          <w:tcPr>
            <w:tcW w:w="992" w:type="dxa"/>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Total</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Vialidad</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536.868</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301.962</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589.234</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1.185.813</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760.640</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1.243.723</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4.618.240</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Drenaje</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407.694</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229.308</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447.461</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90.318</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577.626</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944.476</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2.696.883</w:t>
            </w:r>
          </w:p>
        </w:tc>
      </w:tr>
      <w:tr w:rsidR="00D571F1" w:rsidRPr="00F27BDF" w:rsidTr="00AA0729">
        <w:trPr>
          <w:trHeight w:val="510"/>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Inundaciones en la vivienda</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15.909</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15.909</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Agua Potable</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66.376</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132.752</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464.632</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403.343</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431.444</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1.498.546</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Baño</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122.352</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115.912</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122.352</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630.748</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326.914</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458.173</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1.776.451</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57AD2">
              <w:rPr>
                <w:rFonts w:ascii="Times New Roman" w:hAnsi="Times New Roman"/>
                <w:sz w:val="18"/>
                <w:szCs w:val="18"/>
                <w:lang w:val="es-AR" w:eastAsia="es-AR"/>
              </w:rPr>
              <w:t>Saneamiento</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154.727</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88.415</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137.044</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437.657</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742.979</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863.662</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2.424.485</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 xml:space="preserve">Red </w:t>
            </w:r>
            <w:r w:rsidRPr="00F57AD2">
              <w:rPr>
                <w:rFonts w:ascii="Times New Roman" w:hAnsi="Times New Roman"/>
                <w:sz w:val="18"/>
                <w:szCs w:val="18"/>
                <w:lang w:val="es-AR" w:eastAsia="es-AR"/>
              </w:rPr>
              <w:t>eléctrica</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122.863</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54.606</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63.707</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150.166</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326.781</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534.319</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1.252.441</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Alumbrado Público</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249.163</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140.142</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273.467</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550.342</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353.017</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577.219</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2.143.350</w:t>
            </w:r>
          </w:p>
        </w:tc>
      </w:tr>
      <w:tr w:rsidR="00D571F1" w:rsidRPr="00F27BDF" w:rsidTr="00AA0729">
        <w:trPr>
          <w:trHeight w:val="340"/>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Equipamiento social</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158.993</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134.227</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323.089</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264.917</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421.859</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1.127.363</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2.430.449</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57AD2">
              <w:rPr>
                <w:rFonts w:ascii="Times New Roman" w:hAnsi="Times New Roman"/>
                <w:sz w:val="18"/>
                <w:szCs w:val="18"/>
                <w:lang w:val="es-AR" w:eastAsia="es-AR"/>
              </w:rPr>
              <w:t>Titularización</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64.164</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28.517</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33.270</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78.423</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99.018</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142.586</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445.979</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Realojo</w:t>
            </w:r>
          </w:p>
        </w:tc>
        <w:tc>
          <w:tcPr>
            <w:tcW w:w="860"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286.597</w:t>
            </w:r>
          </w:p>
        </w:tc>
        <w:tc>
          <w:tcPr>
            <w:tcW w:w="983" w:type="dxa"/>
            <w:shd w:val="clear" w:color="auto" w:fill="auto"/>
            <w:vAlign w:val="center"/>
            <w:hideMark/>
          </w:tcPr>
          <w:p w:rsidR="00D571F1" w:rsidRPr="00F27BDF" w:rsidRDefault="00D571F1" w:rsidP="00AA0729">
            <w:pPr>
              <w:jc w:val="right"/>
              <w:rPr>
                <w:rFonts w:ascii="Times New Roman" w:hAnsi="Times New Roman"/>
                <w:color w:val="000000"/>
                <w:sz w:val="18"/>
                <w:szCs w:val="18"/>
                <w:lang w:val="es-AR" w:eastAsia="es-AR"/>
              </w:rPr>
            </w:pPr>
            <w:r w:rsidRPr="00F27BDF">
              <w:rPr>
                <w:rFonts w:ascii="Times New Roman" w:hAnsi="Times New Roman"/>
                <w:color w:val="000000"/>
                <w:sz w:val="18"/>
                <w:szCs w:val="18"/>
                <w:lang w:val="es-AR" w:eastAsia="es-AR"/>
              </w:rPr>
              <w:t>348.379</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426.791</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286.597</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1.254.323</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1.068.967</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3.671.654</w:t>
            </w:r>
          </w:p>
        </w:tc>
      </w:tr>
      <w:tr w:rsidR="00D571F1" w:rsidRPr="00F57AD2"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b/>
                <w:sz w:val="18"/>
                <w:szCs w:val="18"/>
                <w:lang w:val="es-AR" w:eastAsia="es-AR"/>
              </w:rPr>
            </w:pPr>
            <w:r w:rsidRPr="00F27BDF">
              <w:rPr>
                <w:rFonts w:ascii="Times New Roman" w:hAnsi="Times New Roman"/>
                <w:b/>
                <w:sz w:val="18"/>
                <w:szCs w:val="18"/>
                <w:lang w:val="es-AR" w:eastAsia="es-AR"/>
              </w:rPr>
              <w:t>Total</w:t>
            </w:r>
          </w:p>
        </w:tc>
        <w:tc>
          <w:tcPr>
            <w:tcW w:w="860" w:type="dxa"/>
            <w:shd w:val="clear" w:color="auto" w:fill="auto"/>
            <w:vAlign w:val="center"/>
            <w:hideMark/>
          </w:tcPr>
          <w:p w:rsidR="00D571F1" w:rsidRPr="00F27BDF" w:rsidRDefault="00D571F1" w:rsidP="00AA0729">
            <w:pPr>
              <w:jc w:val="right"/>
              <w:rPr>
                <w:rFonts w:ascii="Times New Roman" w:hAnsi="Times New Roman"/>
                <w:b/>
                <w:sz w:val="18"/>
                <w:szCs w:val="18"/>
                <w:lang w:val="es-AR" w:eastAsia="es-AR"/>
              </w:rPr>
            </w:pPr>
            <w:r w:rsidRPr="00F27BDF">
              <w:rPr>
                <w:rFonts w:ascii="Times New Roman" w:hAnsi="Times New Roman"/>
                <w:b/>
                <w:sz w:val="18"/>
                <w:szCs w:val="18"/>
                <w:lang w:val="es-AR" w:eastAsia="es-AR"/>
              </w:rPr>
              <w:t>2.169.797</w:t>
            </w:r>
          </w:p>
        </w:tc>
        <w:tc>
          <w:tcPr>
            <w:tcW w:w="983" w:type="dxa"/>
            <w:shd w:val="clear" w:color="auto" w:fill="auto"/>
            <w:vAlign w:val="center"/>
            <w:hideMark/>
          </w:tcPr>
          <w:p w:rsidR="00D571F1" w:rsidRPr="00F27BDF" w:rsidRDefault="00D571F1" w:rsidP="00AA0729">
            <w:pPr>
              <w:jc w:val="right"/>
              <w:rPr>
                <w:rFonts w:ascii="Times New Roman" w:hAnsi="Times New Roman"/>
                <w:b/>
                <w:sz w:val="18"/>
                <w:szCs w:val="18"/>
                <w:lang w:val="es-AR" w:eastAsia="es-AR"/>
              </w:rPr>
            </w:pPr>
            <w:r w:rsidRPr="00F27BDF">
              <w:rPr>
                <w:rFonts w:ascii="Times New Roman" w:hAnsi="Times New Roman"/>
                <w:b/>
                <w:sz w:val="18"/>
                <w:szCs w:val="18"/>
                <w:lang w:val="es-AR" w:eastAsia="es-AR"/>
              </w:rPr>
              <w:t>1.590.131</w:t>
            </w:r>
          </w:p>
        </w:tc>
        <w:tc>
          <w:tcPr>
            <w:tcW w:w="992" w:type="dxa"/>
            <w:shd w:val="clear" w:color="auto" w:fill="auto"/>
            <w:vAlign w:val="center"/>
            <w:hideMark/>
          </w:tcPr>
          <w:p w:rsidR="00D571F1" w:rsidRPr="00F97AFD" w:rsidRDefault="00D571F1" w:rsidP="00AA0729">
            <w:pPr>
              <w:jc w:val="right"/>
              <w:rPr>
                <w:rFonts w:ascii="Times New Roman" w:hAnsi="Times New Roman"/>
                <w:color w:val="000000"/>
                <w:sz w:val="18"/>
                <w:szCs w:val="18"/>
                <w:lang w:val="es-AR" w:eastAsia="es-AR"/>
              </w:rPr>
            </w:pPr>
            <w:r w:rsidRPr="00F97AFD">
              <w:rPr>
                <w:rFonts w:ascii="Times New Roman" w:hAnsi="Times New Roman"/>
                <w:color w:val="000000"/>
                <w:sz w:val="18"/>
                <w:szCs w:val="18"/>
                <w:lang w:val="es-AR" w:eastAsia="es-AR"/>
              </w:rPr>
              <w:t>2.416.415</w:t>
            </w:r>
          </w:p>
        </w:tc>
        <w:tc>
          <w:tcPr>
            <w:tcW w:w="1134" w:type="dxa"/>
            <w:shd w:val="clear" w:color="auto" w:fill="auto"/>
            <w:vAlign w:val="center"/>
            <w:hideMark/>
          </w:tcPr>
          <w:p w:rsidR="00D571F1" w:rsidRPr="00F27BDF" w:rsidRDefault="00D571F1" w:rsidP="00AA0729">
            <w:pPr>
              <w:jc w:val="right"/>
              <w:rPr>
                <w:rFonts w:ascii="Times New Roman" w:hAnsi="Times New Roman"/>
                <w:b/>
                <w:sz w:val="18"/>
                <w:szCs w:val="18"/>
                <w:lang w:val="es-AR" w:eastAsia="es-AR"/>
              </w:rPr>
            </w:pPr>
            <w:r w:rsidRPr="00F27BDF">
              <w:rPr>
                <w:rFonts w:ascii="Times New Roman" w:hAnsi="Times New Roman"/>
                <w:b/>
                <w:sz w:val="18"/>
                <w:szCs w:val="18"/>
                <w:lang w:val="es-AR" w:eastAsia="es-AR"/>
              </w:rPr>
              <w:t>4.139.612</w:t>
            </w:r>
          </w:p>
        </w:tc>
        <w:tc>
          <w:tcPr>
            <w:tcW w:w="993" w:type="dxa"/>
            <w:shd w:val="clear" w:color="auto" w:fill="auto"/>
            <w:vAlign w:val="center"/>
            <w:hideMark/>
          </w:tcPr>
          <w:p w:rsidR="00D571F1" w:rsidRPr="00F27BDF" w:rsidRDefault="00D571F1" w:rsidP="00AA0729">
            <w:pPr>
              <w:jc w:val="right"/>
              <w:rPr>
                <w:rFonts w:ascii="Times New Roman" w:hAnsi="Times New Roman"/>
                <w:b/>
                <w:sz w:val="18"/>
                <w:szCs w:val="18"/>
                <w:lang w:val="es-AR" w:eastAsia="es-AR"/>
              </w:rPr>
            </w:pPr>
            <w:r w:rsidRPr="00F27BDF">
              <w:rPr>
                <w:rFonts w:ascii="Times New Roman" w:hAnsi="Times New Roman"/>
                <w:b/>
                <w:sz w:val="18"/>
                <w:szCs w:val="18"/>
                <w:lang w:val="es-AR" w:eastAsia="es-AR"/>
              </w:rPr>
              <w:t>5.266.500</w:t>
            </w:r>
          </w:p>
        </w:tc>
        <w:tc>
          <w:tcPr>
            <w:tcW w:w="992" w:type="dxa"/>
            <w:shd w:val="clear" w:color="auto" w:fill="auto"/>
            <w:vAlign w:val="center"/>
            <w:hideMark/>
          </w:tcPr>
          <w:p w:rsidR="00D571F1" w:rsidRPr="00F27BDF" w:rsidRDefault="00D571F1" w:rsidP="00AA0729">
            <w:pPr>
              <w:jc w:val="right"/>
              <w:rPr>
                <w:rFonts w:ascii="Times New Roman" w:hAnsi="Times New Roman"/>
                <w:b/>
                <w:sz w:val="18"/>
                <w:szCs w:val="18"/>
                <w:lang w:val="es-AR" w:eastAsia="es-AR"/>
              </w:rPr>
            </w:pPr>
            <w:r w:rsidRPr="00F27BDF">
              <w:rPr>
                <w:rFonts w:ascii="Times New Roman" w:hAnsi="Times New Roman"/>
                <w:b/>
                <w:sz w:val="18"/>
                <w:szCs w:val="18"/>
                <w:lang w:val="es-AR" w:eastAsia="es-AR"/>
              </w:rPr>
              <w:t>7.391.933</w:t>
            </w:r>
          </w:p>
        </w:tc>
        <w:tc>
          <w:tcPr>
            <w:tcW w:w="992" w:type="dxa"/>
            <w:shd w:val="clear" w:color="auto" w:fill="auto"/>
            <w:vAlign w:val="center"/>
            <w:hideMark/>
          </w:tcPr>
          <w:p w:rsidR="00D571F1" w:rsidRPr="00F97AFD" w:rsidRDefault="00D571F1" w:rsidP="00AA0729">
            <w:pPr>
              <w:jc w:val="right"/>
              <w:rPr>
                <w:rFonts w:ascii="Times New Roman" w:hAnsi="Times New Roman"/>
                <w:sz w:val="18"/>
                <w:szCs w:val="18"/>
                <w:lang w:val="es-AR" w:eastAsia="es-AR"/>
              </w:rPr>
            </w:pPr>
            <w:r w:rsidRPr="00F97AFD">
              <w:rPr>
                <w:rFonts w:ascii="Times New Roman" w:hAnsi="Times New Roman"/>
                <w:sz w:val="18"/>
                <w:szCs w:val="18"/>
                <w:lang w:val="es-AR" w:eastAsia="es-AR"/>
              </w:rPr>
              <w:t>22.974.386</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p>
        </w:tc>
        <w:tc>
          <w:tcPr>
            <w:tcW w:w="860"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p>
        </w:tc>
        <w:tc>
          <w:tcPr>
            <w:tcW w:w="98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p>
        </w:tc>
      </w:tr>
      <w:tr w:rsidR="00D571F1" w:rsidRPr="00F57AD2" w:rsidTr="00AA0729">
        <w:trPr>
          <w:trHeight w:val="255"/>
        </w:trPr>
        <w:tc>
          <w:tcPr>
            <w:tcW w:w="8652" w:type="dxa"/>
            <w:gridSpan w:val="8"/>
            <w:shd w:val="clear" w:color="auto" w:fill="auto"/>
            <w:vAlign w:val="center"/>
            <w:hideMark/>
          </w:tcPr>
          <w:p w:rsidR="00D571F1" w:rsidRPr="00F27BDF" w:rsidRDefault="00D571F1" w:rsidP="00AA0729">
            <w:pPr>
              <w:jc w:val="center"/>
              <w:rPr>
                <w:rFonts w:ascii="Times New Roman" w:hAnsi="Times New Roman"/>
                <w:b/>
                <w:sz w:val="18"/>
                <w:szCs w:val="18"/>
                <w:lang w:val="es-AR" w:eastAsia="es-AR"/>
              </w:rPr>
            </w:pPr>
            <w:r w:rsidRPr="00F27BDF">
              <w:rPr>
                <w:rFonts w:ascii="Times New Roman" w:hAnsi="Times New Roman"/>
                <w:b/>
                <w:sz w:val="18"/>
                <w:szCs w:val="18"/>
                <w:lang w:val="es-AR" w:eastAsia="es-AR"/>
              </w:rPr>
              <w:t>Viviendas Beneficiadas</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57AD2">
              <w:rPr>
                <w:rFonts w:ascii="Times New Roman" w:hAnsi="Times New Roman"/>
                <w:sz w:val="18"/>
                <w:szCs w:val="18"/>
                <w:lang w:val="es-AR" w:eastAsia="es-AR"/>
              </w:rPr>
              <w:t>Asentamiento</w:t>
            </w:r>
          </w:p>
        </w:tc>
        <w:tc>
          <w:tcPr>
            <w:tcW w:w="860"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81</w:t>
            </w:r>
          </w:p>
        </w:tc>
        <w:tc>
          <w:tcPr>
            <w:tcW w:w="98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44</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Pr>
                <w:rFonts w:ascii="Times New Roman" w:hAnsi="Times New Roman"/>
                <w:sz w:val="18"/>
                <w:szCs w:val="18"/>
                <w:lang w:val="es-AR" w:eastAsia="es-AR"/>
              </w:rPr>
              <w:t>42</w:t>
            </w:r>
            <w:r w:rsidRPr="00F27BDF">
              <w:rPr>
                <w:rFonts w:ascii="Times New Roman" w:hAnsi="Times New Roman"/>
                <w:sz w:val="18"/>
                <w:szCs w:val="18"/>
                <w:lang w:val="es-AR" w:eastAsia="es-AR"/>
              </w:rPr>
              <w:t>,0</w:t>
            </w:r>
          </w:p>
        </w:tc>
        <w:tc>
          <w:tcPr>
            <w:tcW w:w="1134"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99</w:t>
            </w:r>
          </w:p>
        </w:tc>
        <w:tc>
          <w:tcPr>
            <w:tcW w:w="993"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125</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180</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568</w:t>
            </w:r>
          </w:p>
        </w:tc>
      </w:tr>
      <w:tr w:rsidR="00D571F1" w:rsidRPr="00F27BDF" w:rsidTr="00AA0729">
        <w:trPr>
          <w:trHeight w:val="255"/>
        </w:trPr>
        <w:tc>
          <w:tcPr>
            <w:tcW w:w="1706" w:type="dxa"/>
            <w:shd w:val="clear" w:color="auto" w:fill="auto"/>
            <w:noWrap/>
            <w:vAlign w:val="bottom"/>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 xml:space="preserve">Realojos </w:t>
            </w:r>
          </w:p>
        </w:tc>
        <w:tc>
          <w:tcPr>
            <w:tcW w:w="860"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7</w:t>
            </w:r>
          </w:p>
        </w:tc>
        <w:tc>
          <w:tcPr>
            <w:tcW w:w="983"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8</w:t>
            </w: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w:t>
            </w:r>
            <w:r>
              <w:rPr>
                <w:rFonts w:ascii="Times New Roman" w:hAnsi="Times New Roman"/>
                <w:sz w:val="18"/>
                <w:szCs w:val="18"/>
                <w:lang w:val="es-AR" w:eastAsia="es-AR"/>
              </w:rPr>
              <w:t>0</w:t>
            </w:r>
          </w:p>
        </w:tc>
        <w:tc>
          <w:tcPr>
            <w:tcW w:w="1134"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7</w:t>
            </w:r>
          </w:p>
        </w:tc>
        <w:tc>
          <w:tcPr>
            <w:tcW w:w="993"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30</w:t>
            </w: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20</w:t>
            </w: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85</w:t>
            </w:r>
          </w:p>
        </w:tc>
      </w:tr>
      <w:tr w:rsidR="00D571F1" w:rsidRPr="00F27BDF" w:rsidTr="00AA0729">
        <w:trPr>
          <w:trHeight w:val="255"/>
        </w:trPr>
        <w:tc>
          <w:tcPr>
            <w:tcW w:w="1706" w:type="dxa"/>
            <w:shd w:val="clear" w:color="auto" w:fill="auto"/>
            <w:vAlign w:val="center"/>
            <w:hideMark/>
          </w:tcPr>
          <w:p w:rsidR="00D571F1" w:rsidRPr="00F27BDF" w:rsidRDefault="00D571F1" w:rsidP="00AA0729">
            <w:pPr>
              <w:rPr>
                <w:rFonts w:ascii="Times New Roman" w:hAnsi="Times New Roman"/>
                <w:sz w:val="18"/>
                <w:szCs w:val="18"/>
                <w:lang w:val="es-AR" w:eastAsia="es-AR"/>
              </w:rPr>
            </w:pPr>
            <w:r w:rsidRPr="00F27BDF">
              <w:rPr>
                <w:rFonts w:ascii="Times New Roman" w:hAnsi="Times New Roman"/>
                <w:sz w:val="18"/>
                <w:szCs w:val="18"/>
                <w:lang w:val="es-AR" w:eastAsia="es-AR"/>
              </w:rPr>
              <w:t>Frentistas</w:t>
            </w:r>
          </w:p>
        </w:tc>
        <w:tc>
          <w:tcPr>
            <w:tcW w:w="860"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33</w:t>
            </w:r>
          </w:p>
        </w:tc>
        <w:tc>
          <w:tcPr>
            <w:tcW w:w="983"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23</w:t>
            </w: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58</w:t>
            </w:r>
          </w:p>
        </w:tc>
        <w:tc>
          <w:tcPr>
            <w:tcW w:w="1134"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110</w:t>
            </w:r>
          </w:p>
        </w:tc>
        <w:tc>
          <w:tcPr>
            <w:tcW w:w="993"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42</w:t>
            </w: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80</w:t>
            </w:r>
          </w:p>
        </w:tc>
        <w:tc>
          <w:tcPr>
            <w:tcW w:w="992" w:type="dxa"/>
            <w:shd w:val="clear" w:color="auto" w:fill="auto"/>
            <w:vAlign w:val="center"/>
            <w:hideMark/>
          </w:tcPr>
          <w:p w:rsidR="00D571F1" w:rsidRPr="00F27BDF" w:rsidRDefault="00D571F1" w:rsidP="00AA0729">
            <w:pPr>
              <w:jc w:val="right"/>
              <w:rPr>
                <w:rFonts w:ascii="Times New Roman" w:hAnsi="Times New Roman"/>
                <w:sz w:val="18"/>
                <w:szCs w:val="18"/>
                <w:lang w:val="es-AR" w:eastAsia="es-AR"/>
              </w:rPr>
            </w:pPr>
            <w:r w:rsidRPr="00F27BDF">
              <w:rPr>
                <w:rFonts w:ascii="Times New Roman" w:hAnsi="Times New Roman"/>
                <w:sz w:val="18"/>
                <w:szCs w:val="18"/>
                <w:lang w:val="es-AR" w:eastAsia="es-AR"/>
              </w:rPr>
              <w:t>346</w:t>
            </w:r>
          </w:p>
        </w:tc>
      </w:tr>
      <w:tr w:rsidR="00D571F1" w:rsidRPr="00F27BDF" w:rsidTr="00AA0729">
        <w:trPr>
          <w:trHeight w:val="255"/>
        </w:trPr>
        <w:tc>
          <w:tcPr>
            <w:tcW w:w="1706" w:type="dxa"/>
            <w:shd w:val="clear" w:color="auto" w:fill="auto"/>
            <w:noWrap/>
            <w:vAlign w:val="bottom"/>
            <w:hideMark/>
          </w:tcPr>
          <w:p w:rsidR="00D571F1" w:rsidRPr="00F27BDF" w:rsidRDefault="00D571F1" w:rsidP="00AA0729">
            <w:pPr>
              <w:rPr>
                <w:rFonts w:ascii="Times New Roman" w:hAnsi="Times New Roman"/>
                <w:b/>
                <w:bCs/>
                <w:sz w:val="18"/>
                <w:szCs w:val="18"/>
                <w:lang w:val="es-AR" w:eastAsia="es-AR"/>
              </w:rPr>
            </w:pPr>
            <w:r w:rsidRPr="00F27BDF">
              <w:rPr>
                <w:rFonts w:ascii="Times New Roman" w:hAnsi="Times New Roman"/>
                <w:b/>
                <w:bCs/>
                <w:sz w:val="18"/>
                <w:szCs w:val="18"/>
                <w:lang w:val="es-AR" w:eastAsia="es-AR"/>
              </w:rPr>
              <w:t xml:space="preserve">Total </w:t>
            </w:r>
          </w:p>
        </w:tc>
        <w:tc>
          <w:tcPr>
            <w:tcW w:w="860"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121</w:t>
            </w:r>
          </w:p>
        </w:tc>
        <w:tc>
          <w:tcPr>
            <w:tcW w:w="983"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75</w:t>
            </w:r>
          </w:p>
        </w:tc>
        <w:tc>
          <w:tcPr>
            <w:tcW w:w="992"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110,0</w:t>
            </w:r>
          </w:p>
        </w:tc>
        <w:tc>
          <w:tcPr>
            <w:tcW w:w="1134"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216</w:t>
            </w:r>
          </w:p>
        </w:tc>
        <w:tc>
          <w:tcPr>
            <w:tcW w:w="993"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197</w:t>
            </w:r>
          </w:p>
        </w:tc>
        <w:tc>
          <w:tcPr>
            <w:tcW w:w="992"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280</w:t>
            </w:r>
          </w:p>
        </w:tc>
        <w:tc>
          <w:tcPr>
            <w:tcW w:w="992"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999</w:t>
            </w:r>
          </w:p>
        </w:tc>
      </w:tr>
      <w:tr w:rsidR="00D571F1" w:rsidRPr="00F27BDF" w:rsidTr="00AA0729">
        <w:trPr>
          <w:trHeight w:val="255"/>
        </w:trPr>
        <w:tc>
          <w:tcPr>
            <w:tcW w:w="1706" w:type="dxa"/>
            <w:shd w:val="clear" w:color="auto" w:fill="auto"/>
            <w:noWrap/>
            <w:vAlign w:val="bottom"/>
            <w:hideMark/>
          </w:tcPr>
          <w:p w:rsidR="00D571F1" w:rsidRPr="00F27BDF" w:rsidRDefault="00D571F1" w:rsidP="00AA0729">
            <w:pPr>
              <w:rPr>
                <w:rFonts w:ascii="Times New Roman" w:hAnsi="Times New Roman"/>
                <w:sz w:val="18"/>
                <w:szCs w:val="18"/>
                <w:lang w:val="es-AR" w:eastAsia="es-AR"/>
              </w:rPr>
            </w:pPr>
          </w:p>
        </w:tc>
        <w:tc>
          <w:tcPr>
            <w:tcW w:w="860"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p>
        </w:tc>
        <w:tc>
          <w:tcPr>
            <w:tcW w:w="983"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p>
        </w:tc>
        <w:tc>
          <w:tcPr>
            <w:tcW w:w="1134"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p>
        </w:tc>
        <w:tc>
          <w:tcPr>
            <w:tcW w:w="993"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p>
        </w:tc>
        <w:tc>
          <w:tcPr>
            <w:tcW w:w="992" w:type="dxa"/>
            <w:shd w:val="clear" w:color="auto" w:fill="auto"/>
            <w:noWrap/>
            <w:vAlign w:val="bottom"/>
            <w:hideMark/>
          </w:tcPr>
          <w:p w:rsidR="00D571F1" w:rsidRPr="00F27BDF" w:rsidRDefault="00D571F1" w:rsidP="00AA0729">
            <w:pPr>
              <w:jc w:val="right"/>
              <w:rPr>
                <w:rFonts w:ascii="Times New Roman" w:hAnsi="Times New Roman"/>
                <w:sz w:val="18"/>
                <w:szCs w:val="18"/>
                <w:lang w:val="es-AR" w:eastAsia="es-AR"/>
              </w:rPr>
            </w:pPr>
          </w:p>
        </w:tc>
      </w:tr>
      <w:tr w:rsidR="00D571F1" w:rsidRPr="00F57AD2" w:rsidTr="00AA0729">
        <w:trPr>
          <w:trHeight w:val="255"/>
        </w:trPr>
        <w:tc>
          <w:tcPr>
            <w:tcW w:w="1706" w:type="dxa"/>
            <w:shd w:val="clear" w:color="auto" w:fill="auto"/>
            <w:noWrap/>
            <w:vAlign w:val="bottom"/>
            <w:hideMark/>
          </w:tcPr>
          <w:p w:rsidR="00D571F1" w:rsidRPr="00F27BDF" w:rsidRDefault="00D571F1" w:rsidP="00AA0729">
            <w:pPr>
              <w:rPr>
                <w:rFonts w:ascii="Times New Roman" w:hAnsi="Times New Roman"/>
                <w:bCs/>
                <w:sz w:val="18"/>
                <w:szCs w:val="18"/>
                <w:lang w:val="es-AR" w:eastAsia="es-AR"/>
              </w:rPr>
            </w:pPr>
            <w:r w:rsidRPr="00F57AD2">
              <w:rPr>
                <w:rFonts w:ascii="Times New Roman" w:hAnsi="Times New Roman"/>
                <w:bCs/>
                <w:sz w:val="18"/>
                <w:szCs w:val="18"/>
                <w:lang w:val="es-AR" w:eastAsia="es-AR"/>
              </w:rPr>
              <w:t>Promedio por vivienda</w:t>
            </w:r>
            <w:r w:rsidRPr="00F27BDF">
              <w:rPr>
                <w:rFonts w:ascii="Times New Roman" w:hAnsi="Times New Roman"/>
                <w:bCs/>
                <w:sz w:val="18"/>
                <w:szCs w:val="18"/>
                <w:lang w:val="es-AR" w:eastAsia="es-AR"/>
              </w:rPr>
              <w:t xml:space="preserve"> </w:t>
            </w:r>
          </w:p>
        </w:tc>
        <w:tc>
          <w:tcPr>
            <w:tcW w:w="860" w:type="dxa"/>
            <w:shd w:val="clear" w:color="auto" w:fill="auto"/>
            <w:noWrap/>
            <w:vAlign w:val="bottom"/>
            <w:hideMark/>
          </w:tcPr>
          <w:p w:rsidR="00D571F1" w:rsidRPr="00F27BDF" w:rsidRDefault="00D571F1" w:rsidP="00AA0729">
            <w:pPr>
              <w:jc w:val="right"/>
              <w:rPr>
                <w:rFonts w:ascii="Times New Roman" w:hAnsi="Times New Roman"/>
                <w:bCs/>
                <w:sz w:val="18"/>
                <w:szCs w:val="18"/>
                <w:lang w:val="es-AR" w:eastAsia="es-AR"/>
              </w:rPr>
            </w:pPr>
            <w:r w:rsidRPr="00F27BDF">
              <w:rPr>
                <w:rFonts w:ascii="Times New Roman" w:hAnsi="Times New Roman"/>
                <w:bCs/>
                <w:sz w:val="18"/>
                <w:szCs w:val="18"/>
                <w:lang w:val="es-AR" w:eastAsia="es-AR"/>
              </w:rPr>
              <w:t>17.932</w:t>
            </w:r>
          </w:p>
        </w:tc>
        <w:tc>
          <w:tcPr>
            <w:tcW w:w="983" w:type="dxa"/>
            <w:shd w:val="clear" w:color="auto" w:fill="auto"/>
            <w:noWrap/>
            <w:vAlign w:val="bottom"/>
            <w:hideMark/>
          </w:tcPr>
          <w:p w:rsidR="00D571F1" w:rsidRPr="00F27BDF" w:rsidRDefault="00D571F1" w:rsidP="00AA0729">
            <w:pPr>
              <w:jc w:val="right"/>
              <w:rPr>
                <w:rFonts w:ascii="Times New Roman" w:hAnsi="Times New Roman"/>
                <w:bCs/>
                <w:sz w:val="18"/>
                <w:szCs w:val="18"/>
                <w:lang w:val="es-AR" w:eastAsia="es-AR"/>
              </w:rPr>
            </w:pPr>
            <w:r w:rsidRPr="00F27BDF">
              <w:rPr>
                <w:rFonts w:ascii="Times New Roman" w:hAnsi="Times New Roman"/>
                <w:bCs/>
                <w:sz w:val="18"/>
                <w:szCs w:val="18"/>
                <w:lang w:val="es-AR" w:eastAsia="es-AR"/>
              </w:rPr>
              <w:t>21.202</w:t>
            </w:r>
          </w:p>
        </w:tc>
        <w:tc>
          <w:tcPr>
            <w:tcW w:w="992" w:type="dxa"/>
            <w:shd w:val="clear" w:color="auto" w:fill="auto"/>
            <w:noWrap/>
            <w:vAlign w:val="bottom"/>
            <w:hideMark/>
          </w:tcPr>
          <w:p w:rsidR="00D571F1" w:rsidRPr="00F27BDF" w:rsidRDefault="00D571F1" w:rsidP="00AA0729">
            <w:pPr>
              <w:jc w:val="right"/>
              <w:rPr>
                <w:rFonts w:ascii="Times New Roman" w:hAnsi="Times New Roman"/>
                <w:bCs/>
                <w:sz w:val="18"/>
                <w:szCs w:val="18"/>
                <w:lang w:val="es-AR" w:eastAsia="es-AR"/>
              </w:rPr>
            </w:pPr>
            <w:r w:rsidRPr="00F27BDF">
              <w:rPr>
                <w:rFonts w:ascii="Times New Roman" w:hAnsi="Times New Roman"/>
                <w:bCs/>
                <w:sz w:val="18"/>
                <w:szCs w:val="18"/>
                <w:lang w:val="es-AR" w:eastAsia="es-AR"/>
              </w:rPr>
              <w:t>2</w:t>
            </w:r>
            <w:r>
              <w:rPr>
                <w:rFonts w:ascii="Times New Roman" w:hAnsi="Times New Roman"/>
                <w:bCs/>
                <w:sz w:val="18"/>
                <w:szCs w:val="18"/>
                <w:lang w:val="es-AR" w:eastAsia="es-AR"/>
              </w:rPr>
              <w:t>1.</w:t>
            </w:r>
            <w:r w:rsidRPr="00F27BDF">
              <w:rPr>
                <w:rFonts w:ascii="Times New Roman" w:hAnsi="Times New Roman"/>
                <w:bCs/>
                <w:sz w:val="18"/>
                <w:szCs w:val="18"/>
                <w:lang w:val="es-AR" w:eastAsia="es-AR"/>
              </w:rPr>
              <w:t>9</w:t>
            </w:r>
            <w:r>
              <w:rPr>
                <w:rFonts w:ascii="Times New Roman" w:hAnsi="Times New Roman"/>
                <w:bCs/>
                <w:sz w:val="18"/>
                <w:szCs w:val="18"/>
                <w:lang w:val="es-AR" w:eastAsia="es-AR"/>
              </w:rPr>
              <w:t>67</w:t>
            </w:r>
          </w:p>
        </w:tc>
        <w:tc>
          <w:tcPr>
            <w:tcW w:w="1134" w:type="dxa"/>
            <w:shd w:val="clear" w:color="auto" w:fill="auto"/>
            <w:noWrap/>
            <w:vAlign w:val="bottom"/>
            <w:hideMark/>
          </w:tcPr>
          <w:p w:rsidR="00D571F1" w:rsidRPr="00F27BDF" w:rsidRDefault="00D571F1" w:rsidP="00AA0729">
            <w:pPr>
              <w:jc w:val="right"/>
              <w:rPr>
                <w:rFonts w:ascii="Times New Roman" w:hAnsi="Times New Roman"/>
                <w:bCs/>
                <w:sz w:val="18"/>
                <w:szCs w:val="18"/>
                <w:lang w:val="es-AR" w:eastAsia="es-AR"/>
              </w:rPr>
            </w:pPr>
            <w:r w:rsidRPr="00F27BDF">
              <w:rPr>
                <w:rFonts w:ascii="Times New Roman" w:hAnsi="Times New Roman"/>
                <w:bCs/>
                <w:sz w:val="18"/>
                <w:szCs w:val="18"/>
                <w:lang w:val="es-AR" w:eastAsia="es-AR"/>
              </w:rPr>
              <w:t>19.165</w:t>
            </w:r>
          </w:p>
        </w:tc>
        <w:tc>
          <w:tcPr>
            <w:tcW w:w="993" w:type="dxa"/>
            <w:shd w:val="clear" w:color="auto" w:fill="auto"/>
            <w:noWrap/>
            <w:vAlign w:val="bottom"/>
            <w:hideMark/>
          </w:tcPr>
          <w:p w:rsidR="00D571F1" w:rsidRPr="00F27BDF" w:rsidRDefault="00D571F1" w:rsidP="00AA0729">
            <w:pPr>
              <w:jc w:val="right"/>
              <w:rPr>
                <w:rFonts w:ascii="Times New Roman" w:hAnsi="Times New Roman"/>
                <w:bCs/>
                <w:sz w:val="18"/>
                <w:szCs w:val="18"/>
                <w:lang w:val="es-AR" w:eastAsia="es-AR"/>
              </w:rPr>
            </w:pPr>
            <w:r w:rsidRPr="00F27BDF">
              <w:rPr>
                <w:rFonts w:ascii="Times New Roman" w:hAnsi="Times New Roman"/>
                <w:bCs/>
                <w:sz w:val="18"/>
                <w:szCs w:val="18"/>
                <w:lang w:val="es-AR" w:eastAsia="es-AR"/>
              </w:rPr>
              <w:t>26.734</w:t>
            </w:r>
          </w:p>
        </w:tc>
        <w:tc>
          <w:tcPr>
            <w:tcW w:w="992" w:type="dxa"/>
            <w:shd w:val="clear" w:color="auto" w:fill="auto"/>
            <w:noWrap/>
            <w:vAlign w:val="bottom"/>
            <w:hideMark/>
          </w:tcPr>
          <w:p w:rsidR="00D571F1" w:rsidRPr="00F27BDF" w:rsidRDefault="00D571F1" w:rsidP="00AA0729">
            <w:pPr>
              <w:jc w:val="right"/>
              <w:rPr>
                <w:rFonts w:ascii="Times New Roman" w:hAnsi="Times New Roman"/>
                <w:bCs/>
                <w:sz w:val="18"/>
                <w:szCs w:val="18"/>
                <w:lang w:val="es-AR" w:eastAsia="es-AR"/>
              </w:rPr>
            </w:pPr>
            <w:r w:rsidRPr="00F27BDF">
              <w:rPr>
                <w:rFonts w:ascii="Times New Roman" w:hAnsi="Times New Roman"/>
                <w:bCs/>
                <w:sz w:val="18"/>
                <w:szCs w:val="18"/>
                <w:lang w:val="es-AR" w:eastAsia="es-AR"/>
              </w:rPr>
              <w:t>26.400</w:t>
            </w:r>
          </w:p>
        </w:tc>
        <w:tc>
          <w:tcPr>
            <w:tcW w:w="992" w:type="dxa"/>
            <w:shd w:val="clear" w:color="auto" w:fill="auto"/>
            <w:noWrap/>
            <w:vAlign w:val="bottom"/>
            <w:hideMark/>
          </w:tcPr>
          <w:p w:rsidR="00D571F1" w:rsidRPr="00F27BDF" w:rsidRDefault="00D571F1" w:rsidP="00AA0729">
            <w:pPr>
              <w:jc w:val="right"/>
              <w:rPr>
                <w:rFonts w:ascii="Times New Roman" w:hAnsi="Times New Roman"/>
                <w:bCs/>
                <w:sz w:val="18"/>
                <w:szCs w:val="18"/>
                <w:lang w:val="es-AR" w:eastAsia="es-AR"/>
              </w:rPr>
            </w:pPr>
            <w:r w:rsidRPr="00F27BDF">
              <w:rPr>
                <w:rFonts w:ascii="Times New Roman" w:hAnsi="Times New Roman"/>
                <w:bCs/>
                <w:sz w:val="18"/>
                <w:szCs w:val="18"/>
                <w:lang w:val="es-AR" w:eastAsia="es-AR"/>
              </w:rPr>
              <w:t>2</w:t>
            </w:r>
            <w:r>
              <w:rPr>
                <w:rFonts w:ascii="Times New Roman" w:hAnsi="Times New Roman"/>
                <w:bCs/>
                <w:sz w:val="18"/>
                <w:szCs w:val="18"/>
                <w:lang w:val="es-AR" w:eastAsia="es-AR"/>
              </w:rPr>
              <w:t>2</w:t>
            </w:r>
            <w:r w:rsidRPr="00F27BDF">
              <w:rPr>
                <w:rFonts w:ascii="Times New Roman" w:hAnsi="Times New Roman"/>
                <w:bCs/>
                <w:sz w:val="18"/>
                <w:szCs w:val="18"/>
                <w:lang w:val="es-AR" w:eastAsia="es-AR"/>
              </w:rPr>
              <w:t>.</w:t>
            </w:r>
            <w:r>
              <w:rPr>
                <w:rFonts w:ascii="Times New Roman" w:hAnsi="Times New Roman"/>
                <w:bCs/>
                <w:sz w:val="18"/>
                <w:szCs w:val="18"/>
                <w:lang w:val="es-AR" w:eastAsia="es-AR"/>
              </w:rPr>
              <w:t>997</w:t>
            </w:r>
          </w:p>
        </w:tc>
      </w:tr>
      <w:tr w:rsidR="00D571F1" w:rsidRPr="00F27BDF" w:rsidTr="00AA0729">
        <w:trPr>
          <w:trHeight w:val="255"/>
        </w:trPr>
        <w:tc>
          <w:tcPr>
            <w:tcW w:w="1706" w:type="dxa"/>
            <w:shd w:val="clear" w:color="auto" w:fill="auto"/>
            <w:noWrap/>
            <w:vAlign w:val="bottom"/>
            <w:hideMark/>
          </w:tcPr>
          <w:p w:rsidR="00D571F1" w:rsidRPr="00F27BDF" w:rsidRDefault="00D571F1" w:rsidP="00AA0729">
            <w:pPr>
              <w:rPr>
                <w:rFonts w:ascii="Times New Roman" w:hAnsi="Times New Roman"/>
                <w:b/>
                <w:bCs/>
                <w:sz w:val="18"/>
                <w:szCs w:val="18"/>
                <w:lang w:val="es-AR" w:eastAsia="es-AR"/>
              </w:rPr>
            </w:pPr>
            <w:r w:rsidRPr="00F27BDF">
              <w:rPr>
                <w:rFonts w:ascii="Times New Roman" w:hAnsi="Times New Roman"/>
                <w:b/>
                <w:bCs/>
                <w:sz w:val="18"/>
                <w:szCs w:val="18"/>
                <w:lang w:val="es-AR" w:eastAsia="es-AR"/>
              </w:rPr>
              <w:t xml:space="preserve">% </w:t>
            </w:r>
            <w:r w:rsidRPr="00F57AD2">
              <w:rPr>
                <w:rFonts w:ascii="Times New Roman" w:hAnsi="Times New Roman"/>
                <w:b/>
                <w:bCs/>
                <w:sz w:val="18"/>
                <w:szCs w:val="18"/>
                <w:lang w:val="es-AR" w:eastAsia="es-AR"/>
              </w:rPr>
              <w:t>valorización</w:t>
            </w:r>
            <w:r w:rsidRPr="00F27BDF">
              <w:rPr>
                <w:rFonts w:ascii="Times New Roman" w:hAnsi="Times New Roman"/>
                <w:b/>
                <w:bCs/>
                <w:sz w:val="18"/>
                <w:szCs w:val="18"/>
                <w:lang w:val="es-AR" w:eastAsia="es-AR"/>
              </w:rPr>
              <w:t xml:space="preserve"> </w:t>
            </w:r>
          </w:p>
        </w:tc>
        <w:tc>
          <w:tcPr>
            <w:tcW w:w="860"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1,28</w:t>
            </w:r>
          </w:p>
        </w:tc>
        <w:tc>
          <w:tcPr>
            <w:tcW w:w="983"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1,39</w:t>
            </w:r>
          </w:p>
        </w:tc>
        <w:tc>
          <w:tcPr>
            <w:tcW w:w="992"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1,2</w:t>
            </w:r>
            <w:r>
              <w:rPr>
                <w:rFonts w:ascii="Times New Roman" w:hAnsi="Times New Roman"/>
                <w:b/>
                <w:bCs/>
                <w:sz w:val="18"/>
                <w:szCs w:val="18"/>
                <w:lang w:val="es-AR" w:eastAsia="es-AR"/>
              </w:rPr>
              <w:t>5</w:t>
            </w:r>
          </w:p>
        </w:tc>
        <w:tc>
          <w:tcPr>
            <w:tcW w:w="1134"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1,18</w:t>
            </w:r>
          </w:p>
        </w:tc>
        <w:tc>
          <w:tcPr>
            <w:tcW w:w="993"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1,78</w:t>
            </w:r>
          </w:p>
        </w:tc>
        <w:tc>
          <w:tcPr>
            <w:tcW w:w="992"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1,83</w:t>
            </w:r>
          </w:p>
        </w:tc>
        <w:tc>
          <w:tcPr>
            <w:tcW w:w="992" w:type="dxa"/>
            <w:shd w:val="clear" w:color="auto" w:fill="auto"/>
            <w:noWrap/>
            <w:vAlign w:val="bottom"/>
            <w:hideMark/>
          </w:tcPr>
          <w:p w:rsidR="00D571F1" w:rsidRPr="00F27BDF" w:rsidRDefault="00D571F1" w:rsidP="00AA0729">
            <w:pPr>
              <w:jc w:val="right"/>
              <w:rPr>
                <w:rFonts w:ascii="Times New Roman" w:hAnsi="Times New Roman"/>
                <w:b/>
                <w:bCs/>
                <w:sz w:val="18"/>
                <w:szCs w:val="18"/>
                <w:lang w:val="es-AR" w:eastAsia="es-AR"/>
              </w:rPr>
            </w:pPr>
            <w:r w:rsidRPr="00F27BDF">
              <w:rPr>
                <w:rFonts w:ascii="Times New Roman" w:hAnsi="Times New Roman"/>
                <w:b/>
                <w:bCs/>
                <w:sz w:val="18"/>
                <w:szCs w:val="18"/>
                <w:lang w:val="es-AR" w:eastAsia="es-AR"/>
              </w:rPr>
              <w:t>1,50</w:t>
            </w:r>
          </w:p>
        </w:tc>
      </w:tr>
    </w:tbl>
    <w:p w:rsidR="00D571F1" w:rsidRPr="00F57AD2" w:rsidRDefault="00D571F1" w:rsidP="00D571F1">
      <w:pPr>
        <w:rPr>
          <w:rFonts w:ascii="Times New Roman" w:hAnsi="Times New Roman"/>
          <w:b/>
          <w:lang w:val="es-ES_tradnl"/>
        </w:rPr>
      </w:pPr>
    </w:p>
    <w:p w:rsidR="00F27BDF" w:rsidRPr="00F57AD2" w:rsidRDefault="00F27BDF" w:rsidP="00F57AD2">
      <w:pPr>
        <w:rPr>
          <w:rFonts w:ascii="Times New Roman" w:hAnsi="Times New Roman"/>
          <w:b/>
          <w:lang w:val="es-ES_tradnl"/>
        </w:rPr>
      </w:pPr>
    </w:p>
    <w:p w:rsidR="008A1B46" w:rsidRPr="008A1B46" w:rsidRDefault="008A1B46" w:rsidP="008A1B46">
      <w:pPr>
        <w:pStyle w:val="Heading1"/>
        <w:numPr>
          <w:ilvl w:val="0"/>
          <w:numId w:val="10"/>
        </w:numPr>
        <w:jc w:val="left"/>
        <w:rPr>
          <w:i w:val="0"/>
          <w:sz w:val="24"/>
          <w:szCs w:val="24"/>
        </w:rPr>
      </w:pPr>
      <w:bookmarkStart w:id="10" w:name="_Toc366836878"/>
      <w:r>
        <w:rPr>
          <w:i w:val="0"/>
          <w:sz w:val="24"/>
          <w:szCs w:val="24"/>
        </w:rPr>
        <w:t>C</w:t>
      </w:r>
      <w:r w:rsidR="007E2BEB">
        <w:rPr>
          <w:i w:val="0"/>
          <w:sz w:val="24"/>
          <w:szCs w:val="24"/>
        </w:rPr>
        <w:t>ostos</w:t>
      </w:r>
      <w:bookmarkEnd w:id="10"/>
      <w:r w:rsidRPr="008A1B46">
        <w:rPr>
          <w:i w:val="0"/>
          <w:sz w:val="24"/>
          <w:szCs w:val="24"/>
        </w:rPr>
        <w:t xml:space="preserve"> </w:t>
      </w:r>
    </w:p>
    <w:p w:rsidR="008A1B46" w:rsidRDefault="008A1B46" w:rsidP="000F5A9B">
      <w:pPr>
        <w:rPr>
          <w:rFonts w:ascii="Times New Roman" w:hAnsi="Times New Roman"/>
          <w:lang w:val="es-ES_tradnl"/>
        </w:rPr>
      </w:pPr>
    </w:p>
    <w:p w:rsidR="0014140B" w:rsidRDefault="0014140B" w:rsidP="0014140B">
      <w:pPr>
        <w:numPr>
          <w:ilvl w:val="1"/>
          <w:numId w:val="10"/>
        </w:numPr>
        <w:autoSpaceDE w:val="0"/>
        <w:autoSpaceDN w:val="0"/>
        <w:adjustRightInd w:val="0"/>
        <w:ind w:left="426"/>
        <w:jc w:val="both"/>
        <w:rPr>
          <w:rFonts w:ascii="Times New Roman" w:hAnsi="Times New Roman"/>
          <w:bCs/>
          <w:sz w:val="24"/>
          <w:szCs w:val="24"/>
          <w:lang w:val="es-ES_tradnl"/>
        </w:rPr>
      </w:pPr>
      <w:r w:rsidRPr="0014140B">
        <w:rPr>
          <w:rFonts w:ascii="Times New Roman" w:hAnsi="Times New Roman"/>
          <w:bCs/>
          <w:sz w:val="24"/>
          <w:szCs w:val="24"/>
          <w:lang w:val="es-ES_tradnl"/>
        </w:rPr>
        <w:t xml:space="preserve">Los costos </w:t>
      </w:r>
      <w:r w:rsidR="0043392D">
        <w:rPr>
          <w:rFonts w:ascii="Times New Roman" w:hAnsi="Times New Roman"/>
          <w:bCs/>
          <w:sz w:val="24"/>
          <w:szCs w:val="24"/>
          <w:lang w:val="es-ES_tradnl"/>
        </w:rPr>
        <w:t xml:space="preserve">de la muestra </w:t>
      </w:r>
      <w:r w:rsidRPr="0014140B">
        <w:rPr>
          <w:rFonts w:ascii="Times New Roman" w:hAnsi="Times New Roman"/>
          <w:bCs/>
          <w:sz w:val="24"/>
          <w:szCs w:val="24"/>
          <w:lang w:val="es-ES_tradnl"/>
        </w:rPr>
        <w:t xml:space="preserve">incluyen costos de: (i) inversión; (ii) </w:t>
      </w:r>
      <w:r>
        <w:rPr>
          <w:rFonts w:ascii="Times New Roman" w:hAnsi="Times New Roman"/>
          <w:bCs/>
          <w:sz w:val="24"/>
          <w:szCs w:val="24"/>
          <w:lang w:val="es-ES_tradnl"/>
        </w:rPr>
        <w:t xml:space="preserve">administración, operación y </w:t>
      </w:r>
      <w:r w:rsidRPr="0014140B">
        <w:rPr>
          <w:rFonts w:ascii="Times New Roman" w:hAnsi="Times New Roman"/>
          <w:bCs/>
          <w:sz w:val="24"/>
          <w:szCs w:val="24"/>
          <w:lang w:val="es-ES_tradnl"/>
        </w:rPr>
        <w:t xml:space="preserve">mantenimiento, y (iii) </w:t>
      </w:r>
      <w:r w:rsidR="0043392D">
        <w:rPr>
          <w:rFonts w:ascii="Times New Roman" w:hAnsi="Times New Roman"/>
          <w:bCs/>
          <w:sz w:val="24"/>
          <w:szCs w:val="24"/>
          <w:lang w:val="es-ES_tradnl"/>
        </w:rPr>
        <w:t>d</w:t>
      </w:r>
      <w:r>
        <w:rPr>
          <w:rFonts w:ascii="Times New Roman" w:hAnsi="Times New Roman"/>
          <w:bCs/>
          <w:sz w:val="24"/>
          <w:szCs w:val="24"/>
          <w:lang w:val="es-ES_tradnl"/>
        </w:rPr>
        <w:t>e la UCP y de los equipos técnicos contratados para la fo</w:t>
      </w:r>
      <w:r w:rsidR="0043392D">
        <w:rPr>
          <w:rFonts w:ascii="Times New Roman" w:hAnsi="Times New Roman"/>
          <w:bCs/>
          <w:sz w:val="24"/>
          <w:szCs w:val="24"/>
          <w:lang w:val="es-ES_tradnl"/>
        </w:rPr>
        <w:t>r</w:t>
      </w:r>
      <w:r>
        <w:rPr>
          <w:rFonts w:ascii="Times New Roman" w:hAnsi="Times New Roman"/>
          <w:bCs/>
          <w:sz w:val="24"/>
          <w:szCs w:val="24"/>
          <w:lang w:val="es-ES_tradnl"/>
        </w:rPr>
        <w:t>mulaci</w:t>
      </w:r>
      <w:r w:rsidR="0043392D">
        <w:rPr>
          <w:rFonts w:ascii="Times New Roman" w:hAnsi="Times New Roman"/>
          <w:bCs/>
          <w:sz w:val="24"/>
          <w:szCs w:val="24"/>
          <w:lang w:val="es-ES_tradnl"/>
        </w:rPr>
        <w:t>ón</w:t>
      </w:r>
      <w:r w:rsidR="00D571F1">
        <w:rPr>
          <w:rFonts w:ascii="Times New Roman" w:hAnsi="Times New Roman"/>
          <w:bCs/>
          <w:sz w:val="24"/>
          <w:szCs w:val="24"/>
          <w:lang w:val="es-ES_tradnl"/>
        </w:rPr>
        <w:t xml:space="preserve"> y seguimientos</w:t>
      </w:r>
      <w:r w:rsidR="0043392D">
        <w:rPr>
          <w:rFonts w:ascii="Times New Roman" w:hAnsi="Times New Roman"/>
          <w:bCs/>
          <w:sz w:val="24"/>
          <w:szCs w:val="24"/>
          <w:lang w:val="es-ES_tradnl"/>
        </w:rPr>
        <w:t xml:space="preserve"> de las intervenciones</w:t>
      </w:r>
      <w:r w:rsidRPr="0014140B">
        <w:rPr>
          <w:rFonts w:ascii="Times New Roman" w:hAnsi="Times New Roman"/>
          <w:bCs/>
          <w:sz w:val="24"/>
          <w:szCs w:val="24"/>
          <w:lang w:val="es-ES_tradnl"/>
        </w:rPr>
        <w:t>, s</w:t>
      </w:r>
      <w:r w:rsidR="0043392D">
        <w:rPr>
          <w:rFonts w:ascii="Times New Roman" w:hAnsi="Times New Roman"/>
          <w:bCs/>
          <w:sz w:val="24"/>
          <w:szCs w:val="24"/>
          <w:lang w:val="es-ES_tradnl"/>
        </w:rPr>
        <w:t>egún se describe a continuación.</w:t>
      </w:r>
    </w:p>
    <w:p w:rsidR="0043392D" w:rsidRPr="0014140B" w:rsidRDefault="0043392D" w:rsidP="0043392D">
      <w:pPr>
        <w:autoSpaceDE w:val="0"/>
        <w:autoSpaceDN w:val="0"/>
        <w:adjustRightInd w:val="0"/>
        <w:ind w:left="426"/>
        <w:jc w:val="both"/>
        <w:rPr>
          <w:rFonts w:ascii="Times New Roman" w:hAnsi="Times New Roman"/>
          <w:bCs/>
          <w:sz w:val="24"/>
          <w:szCs w:val="24"/>
          <w:lang w:val="es-ES_tradnl"/>
        </w:rPr>
      </w:pPr>
    </w:p>
    <w:p w:rsidR="0014140B" w:rsidRDefault="0014140B" w:rsidP="0014140B">
      <w:pPr>
        <w:numPr>
          <w:ilvl w:val="1"/>
          <w:numId w:val="10"/>
        </w:numPr>
        <w:autoSpaceDE w:val="0"/>
        <w:autoSpaceDN w:val="0"/>
        <w:adjustRightInd w:val="0"/>
        <w:ind w:left="426"/>
        <w:jc w:val="both"/>
        <w:rPr>
          <w:rFonts w:ascii="Times New Roman" w:hAnsi="Times New Roman"/>
          <w:bCs/>
          <w:sz w:val="24"/>
          <w:szCs w:val="24"/>
          <w:lang w:val="es-ES_tradnl"/>
        </w:rPr>
      </w:pPr>
      <w:r w:rsidRPr="0014140B">
        <w:rPr>
          <w:rFonts w:ascii="Times New Roman" w:hAnsi="Times New Roman"/>
          <w:bCs/>
          <w:sz w:val="24"/>
          <w:szCs w:val="24"/>
          <w:lang w:val="es-ES_tradnl"/>
        </w:rPr>
        <w:t xml:space="preserve">Costos de inversión: los costos totales de inversión ascienden a </w:t>
      </w:r>
      <w:r w:rsidR="0043392D">
        <w:rPr>
          <w:rFonts w:ascii="Times New Roman" w:hAnsi="Times New Roman"/>
          <w:bCs/>
          <w:sz w:val="24"/>
          <w:szCs w:val="24"/>
          <w:lang w:val="es-ES_tradnl"/>
        </w:rPr>
        <w:t>4</w:t>
      </w:r>
      <w:r w:rsidR="00D571F1">
        <w:rPr>
          <w:rFonts w:ascii="Times New Roman" w:hAnsi="Times New Roman"/>
          <w:bCs/>
          <w:sz w:val="24"/>
          <w:szCs w:val="24"/>
          <w:lang w:val="es-ES_tradnl"/>
        </w:rPr>
        <w:t>49</w:t>
      </w:r>
      <w:r w:rsidR="0043392D">
        <w:rPr>
          <w:rFonts w:ascii="Times New Roman" w:hAnsi="Times New Roman"/>
          <w:bCs/>
          <w:sz w:val="24"/>
          <w:szCs w:val="24"/>
          <w:lang w:val="es-ES_tradnl"/>
        </w:rPr>
        <w:t>,</w:t>
      </w:r>
      <w:r w:rsidR="00D571F1">
        <w:rPr>
          <w:rFonts w:ascii="Times New Roman" w:hAnsi="Times New Roman"/>
          <w:bCs/>
          <w:sz w:val="24"/>
          <w:szCs w:val="24"/>
          <w:lang w:val="es-ES_tradnl"/>
        </w:rPr>
        <w:t>1</w:t>
      </w:r>
      <w:r w:rsidR="0043392D">
        <w:rPr>
          <w:rFonts w:ascii="Times New Roman" w:hAnsi="Times New Roman"/>
          <w:bCs/>
          <w:sz w:val="24"/>
          <w:szCs w:val="24"/>
          <w:lang w:val="es-ES_tradnl"/>
        </w:rPr>
        <w:t xml:space="preserve"> millones de</w:t>
      </w:r>
      <w:r w:rsidRPr="0014140B">
        <w:rPr>
          <w:rFonts w:ascii="Times New Roman" w:hAnsi="Times New Roman"/>
          <w:bCs/>
          <w:sz w:val="24"/>
          <w:szCs w:val="24"/>
          <w:lang w:val="es-ES_tradnl"/>
        </w:rPr>
        <w:t xml:space="preserve"> pesos </w:t>
      </w:r>
      <w:r w:rsidR="0043392D">
        <w:rPr>
          <w:rFonts w:ascii="Times New Roman" w:hAnsi="Times New Roman"/>
          <w:bCs/>
          <w:sz w:val="24"/>
          <w:szCs w:val="24"/>
          <w:lang w:val="es-ES_tradnl"/>
        </w:rPr>
        <w:t xml:space="preserve">uruguayos </w:t>
      </w:r>
      <w:r w:rsidRPr="0014140B">
        <w:rPr>
          <w:rFonts w:ascii="Times New Roman" w:hAnsi="Times New Roman"/>
          <w:bCs/>
          <w:sz w:val="24"/>
          <w:szCs w:val="24"/>
          <w:lang w:val="es-ES_tradnl"/>
        </w:rPr>
        <w:t xml:space="preserve">y se ejecutan en </w:t>
      </w:r>
      <w:r w:rsidR="0043392D">
        <w:rPr>
          <w:rFonts w:ascii="Times New Roman" w:hAnsi="Times New Roman"/>
          <w:bCs/>
          <w:sz w:val="24"/>
          <w:szCs w:val="24"/>
          <w:lang w:val="es-ES_tradnl"/>
        </w:rPr>
        <w:t>dos</w:t>
      </w:r>
      <w:r w:rsidRPr="0014140B">
        <w:rPr>
          <w:rFonts w:ascii="Times New Roman" w:hAnsi="Times New Roman"/>
          <w:bCs/>
          <w:sz w:val="24"/>
          <w:szCs w:val="24"/>
          <w:lang w:val="es-ES_tradnl"/>
        </w:rPr>
        <w:t xml:space="preserve"> años consecutivos</w:t>
      </w:r>
      <w:r w:rsidR="0043392D">
        <w:rPr>
          <w:rFonts w:ascii="Times New Roman" w:hAnsi="Times New Roman"/>
          <w:bCs/>
          <w:sz w:val="24"/>
          <w:szCs w:val="24"/>
          <w:lang w:val="es-ES_tradnl"/>
        </w:rPr>
        <w:t xml:space="preserve">. Estos costos descontados del IVA fueron convertidos a valores sociales en función de los factores de conversión </w:t>
      </w:r>
      <w:r w:rsidR="00D571F1">
        <w:rPr>
          <w:rFonts w:ascii="Times New Roman" w:hAnsi="Times New Roman"/>
          <w:bCs/>
          <w:sz w:val="24"/>
          <w:szCs w:val="24"/>
          <w:lang w:val="es-ES_tradnl"/>
        </w:rPr>
        <w:t xml:space="preserve">(FC) </w:t>
      </w:r>
      <w:r w:rsidR="0043392D">
        <w:rPr>
          <w:rFonts w:ascii="Times New Roman" w:hAnsi="Times New Roman"/>
          <w:bCs/>
          <w:sz w:val="24"/>
          <w:szCs w:val="24"/>
          <w:lang w:val="es-ES_tradnl"/>
        </w:rPr>
        <w:t>de la tabla V</w:t>
      </w:r>
      <w:r w:rsidR="00727C2A">
        <w:rPr>
          <w:rFonts w:ascii="Times New Roman" w:hAnsi="Times New Roman"/>
          <w:bCs/>
          <w:sz w:val="24"/>
          <w:szCs w:val="24"/>
          <w:lang w:val="es-ES_tradnl"/>
        </w:rPr>
        <w:t>I</w:t>
      </w:r>
      <w:r w:rsidRPr="0014140B">
        <w:rPr>
          <w:rFonts w:ascii="Times New Roman" w:hAnsi="Times New Roman"/>
          <w:bCs/>
          <w:sz w:val="24"/>
          <w:szCs w:val="24"/>
          <w:lang w:val="es-ES_tradnl"/>
        </w:rPr>
        <w:t>.</w:t>
      </w:r>
    </w:p>
    <w:p w:rsidR="0043392D" w:rsidRDefault="0043392D" w:rsidP="0043392D">
      <w:pPr>
        <w:rPr>
          <w:rFonts w:ascii="Times New Roman" w:hAnsi="Times New Roman"/>
          <w:bCs/>
          <w:sz w:val="24"/>
          <w:szCs w:val="24"/>
          <w:lang w:val="es-ES_tradnl"/>
        </w:rPr>
      </w:pPr>
    </w:p>
    <w:p w:rsidR="0043392D" w:rsidRPr="00D70CC7" w:rsidRDefault="0043392D" w:rsidP="00D70CC7">
      <w:pPr>
        <w:pStyle w:val="ListParagraph"/>
        <w:jc w:val="center"/>
        <w:rPr>
          <w:rFonts w:ascii="Times New Roman" w:hAnsi="Times New Roman"/>
          <w:b/>
          <w:lang w:val="es-ES_tradnl"/>
        </w:rPr>
      </w:pPr>
      <w:r w:rsidRPr="00D70CC7">
        <w:rPr>
          <w:rFonts w:ascii="Times New Roman" w:hAnsi="Times New Roman"/>
          <w:b/>
          <w:lang w:val="es-ES_tradnl"/>
        </w:rPr>
        <w:t>Tabla V</w:t>
      </w:r>
      <w:r w:rsidR="00727C2A">
        <w:rPr>
          <w:rFonts w:ascii="Times New Roman" w:hAnsi="Times New Roman"/>
          <w:b/>
          <w:lang w:val="es-ES_tradnl"/>
        </w:rPr>
        <w:t>I</w:t>
      </w:r>
      <w:r w:rsidRPr="00D70CC7">
        <w:rPr>
          <w:rFonts w:ascii="Times New Roman" w:hAnsi="Times New Roman"/>
          <w:b/>
          <w:lang w:val="es-ES_tradnl"/>
        </w:rPr>
        <w:t>. Factores de conversión utilizados</w:t>
      </w:r>
    </w:p>
    <w:tbl>
      <w:tblPr>
        <w:tblW w:w="524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37"/>
        <w:gridCol w:w="2311"/>
      </w:tblGrid>
      <w:tr w:rsidR="0043392D" w:rsidRPr="00E707C9" w:rsidTr="0043392D">
        <w:trPr>
          <w:trHeight w:val="20"/>
          <w:tblHeader/>
          <w:jc w:val="center"/>
        </w:trPr>
        <w:tc>
          <w:tcPr>
            <w:tcW w:w="2937" w:type="dxa"/>
            <w:shd w:val="clear" w:color="auto" w:fill="auto"/>
            <w:noWrap/>
            <w:vAlign w:val="center"/>
            <w:hideMark/>
          </w:tcPr>
          <w:p w:rsidR="0043392D" w:rsidRPr="0043392D" w:rsidRDefault="0043392D" w:rsidP="0043392D">
            <w:pPr>
              <w:rPr>
                <w:rFonts w:ascii="Times New Roman" w:hAnsi="Times New Roman"/>
                <w:b/>
                <w:bCs/>
                <w:lang w:val="es-AR" w:eastAsia="es-AR"/>
              </w:rPr>
            </w:pPr>
            <w:r w:rsidRPr="0043392D">
              <w:rPr>
                <w:rFonts w:ascii="Times New Roman" w:hAnsi="Times New Roman"/>
                <w:b/>
                <w:bCs/>
                <w:lang w:val="es-AR" w:eastAsia="es-AR"/>
              </w:rPr>
              <w:t>Tipo de obra</w:t>
            </w:r>
          </w:p>
        </w:tc>
        <w:tc>
          <w:tcPr>
            <w:tcW w:w="2311" w:type="dxa"/>
            <w:shd w:val="clear" w:color="auto" w:fill="auto"/>
            <w:noWrap/>
            <w:vAlign w:val="center"/>
            <w:hideMark/>
          </w:tcPr>
          <w:p w:rsidR="0043392D" w:rsidRPr="0043392D" w:rsidRDefault="0043392D" w:rsidP="0043392D">
            <w:pPr>
              <w:jc w:val="center"/>
              <w:rPr>
                <w:rFonts w:ascii="Times New Roman" w:hAnsi="Times New Roman"/>
                <w:b/>
                <w:bCs/>
                <w:lang w:val="es-AR" w:eastAsia="es-AR"/>
              </w:rPr>
            </w:pPr>
            <w:r w:rsidRPr="0043392D">
              <w:rPr>
                <w:rFonts w:ascii="Times New Roman" w:hAnsi="Times New Roman"/>
                <w:b/>
                <w:bCs/>
                <w:lang w:val="es-AR" w:eastAsia="es-AR"/>
              </w:rPr>
              <w:t>Factor de conversión a precios sociales</w:t>
            </w:r>
            <w:r w:rsidR="00D571F1">
              <w:rPr>
                <w:rFonts w:ascii="Times New Roman" w:hAnsi="Times New Roman"/>
                <w:b/>
                <w:bCs/>
                <w:lang w:val="es-AR" w:eastAsia="es-AR"/>
              </w:rPr>
              <w:t xml:space="preserve"> (FC)</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Saneamiento</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0,935</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Vialidad</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0,944</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Regularización</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1</w:t>
            </w:r>
            <w:r w:rsidR="005455FC">
              <w:rPr>
                <w:rFonts w:ascii="Times New Roman" w:hAnsi="Times New Roman"/>
                <w:lang w:val="es-AR" w:eastAsia="es-AR"/>
              </w:rPr>
              <w:t>,000</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Control inundaciones</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0,913</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lastRenderedPageBreak/>
              <w:t>Agua potable</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0,925</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Realojamientos</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0,92</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Red eléctrica</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0,93</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Baños y materiales hábitat</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0,93</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Alumbrado público</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0,93</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Equipamiento social</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0,93</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Terrenos densificación</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1</w:t>
            </w:r>
            <w:r w:rsidR="005455FC">
              <w:rPr>
                <w:rFonts w:ascii="Times New Roman" w:hAnsi="Times New Roman"/>
                <w:lang w:val="es-AR" w:eastAsia="es-AR"/>
              </w:rPr>
              <w:t>,00</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Planificación y proyectos</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0,92</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Imprevistos</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0,92</w:t>
            </w:r>
          </w:p>
        </w:tc>
      </w:tr>
      <w:tr w:rsidR="0043392D" w:rsidRPr="0043392D" w:rsidTr="0043392D">
        <w:trPr>
          <w:trHeight w:val="20"/>
          <w:jc w:val="center"/>
        </w:trPr>
        <w:tc>
          <w:tcPr>
            <w:tcW w:w="2937" w:type="dxa"/>
            <w:shd w:val="clear" w:color="auto" w:fill="auto"/>
            <w:noWrap/>
            <w:vAlign w:val="center"/>
            <w:hideMark/>
          </w:tcPr>
          <w:p w:rsidR="0043392D" w:rsidRPr="0043392D" w:rsidRDefault="0043392D" w:rsidP="0043392D">
            <w:pPr>
              <w:rPr>
                <w:rFonts w:ascii="Times New Roman" w:hAnsi="Times New Roman"/>
                <w:lang w:val="es-AR" w:eastAsia="es-AR"/>
              </w:rPr>
            </w:pPr>
            <w:r w:rsidRPr="0043392D">
              <w:rPr>
                <w:rFonts w:ascii="Times New Roman" w:hAnsi="Times New Roman"/>
                <w:lang w:val="es-AR" w:eastAsia="es-AR"/>
              </w:rPr>
              <w:t>Administración</w:t>
            </w:r>
          </w:p>
        </w:tc>
        <w:tc>
          <w:tcPr>
            <w:tcW w:w="2311" w:type="dxa"/>
            <w:shd w:val="clear" w:color="auto" w:fill="auto"/>
            <w:noWrap/>
            <w:vAlign w:val="center"/>
            <w:hideMark/>
          </w:tcPr>
          <w:p w:rsidR="0043392D" w:rsidRPr="0043392D" w:rsidRDefault="0043392D" w:rsidP="0043392D">
            <w:pPr>
              <w:jc w:val="center"/>
              <w:rPr>
                <w:rFonts w:ascii="Times New Roman" w:hAnsi="Times New Roman"/>
                <w:lang w:val="es-AR" w:eastAsia="es-AR"/>
              </w:rPr>
            </w:pPr>
            <w:r w:rsidRPr="0043392D">
              <w:rPr>
                <w:rFonts w:ascii="Times New Roman" w:hAnsi="Times New Roman"/>
                <w:lang w:val="es-AR" w:eastAsia="es-AR"/>
              </w:rPr>
              <w:t>0,92</w:t>
            </w:r>
          </w:p>
        </w:tc>
      </w:tr>
    </w:tbl>
    <w:p w:rsidR="0043392D" w:rsidRPr="0043392D" w:rsidRDefault="0043392D" w:rsidP="0043392D">
      <w:pPr>
        <w:ind w:left="1701"/>
        <w:rPr>
          <w:rFonts w:ascii="Times New Roman" w:hAnsi="Times New Roman"/>
          <w:bCs/>
          <w:lang w:val="es-ES_tradnl"/>
        </w:rPr>
      </w:pPr>
      <w:r w:rsidRPr="0043392D">
        <w:rPr>
          <w:rFonts w:ascii="Times New Roman" w:hAnsi="Times New Roman"/>
          <w:bCs/>
          <w:lang w:val="es-ES_tradnl"/>
        </w:rPr>
        <w:t>Fuente:</w:t>
      </w:r>
      <w:r>
        <w:rPr>
          <w:rFonts w:ascii="Times New Roman" w:hAnsi="Times New Roman"/>
          <w:bCs/>
          <w:lang w:val="es-ES_tradnl"/>
        </w:rPr>
        <w:t xml:space="preserve"> </w:t>
      </w:r>
      <w:r w:rsidR="00003A3A">
        <w:rPr>
          <w:rFonts w:ascii="Times New Roman" w:hAnsi="Times New Roman"/>
          <w:bCs/>
          <w:lang w:val="es-ES_tradnl"/>
        </w:rPr>
        <w:t>Hugo Roche (2008)</w:t>
      </w:r>
    </w:p>
    <w:p w:rsidR="0014140B" w:rsidRDefault="0014140B" w:rsidP="0014140B">
      <w:pPr>
        <w:rPr>
          <w:lang w:val="es-ES_tradnl"/>
        </w:rPr>
      </w:pPr>
    </w:p>
    <w:p w:rsidR="00B31CD4" w:rsidRPr="00B31CD4" w:rsidRDefault="00924FCB" w:rsidP="007E2BEB">
      <w:pPr>
        <w:numPr>
          <w:ilvl w:val="1"/>
          <w:numId w:val="10"/>
        </w:numPr>
        <w:autoSpaceDE w:val="0"/>
        <w:autoSpaceDN w:val="0"/>
        <w:adjustRightInd w:val="0"/>
        <w:ind w:left="426"/>
        <w:jc w:val="both"/>
        <w:rPr>
          <w:rFonts w:ascii="Times New Roman" w:hAnsi="Times New Roman"/>
          <w:bCs/>
          <w:sz w:val="24"/>
          <w:szCs w:val="24"/>
          <w:lang w:val="es-ES_tradnl"/>
        </w:rPr>
      </w:pPr>
      <w:r w:rsidRPr="00924FCB">
        <w:rPr>
          <w:rFonts w:ascii="Times New Roman" w:hAnsi="Times New Roman"/>
          <w:bCs/>
          <w:sz w:val="24"/>
          <w:szCs w:val="24"/>
          <w:lang w:val="es-ES_tradnl"/>
        </w:rPr>
        <w:t xml:space="preserve">Costos de </w:t>
      </w:r>
      <w:r>
        <w:rPr>
          <w:rFonts w:ascii="Times New Roman" w:hAnsi="Times New Roman"/>
          <w:bCs/>
          <w:sz w:val="24"/>
          <w:szCs w:val="24"/>
          <w:lang w:val="es-ES_tradnl"/>
        </w:rPr>
        <w:t xml:space="preserve">administración, operación y </w:t>
      </w:r>
      <w:r w:rsidRPr="00924FCB">
        <w:rPr>
          <w:rFonts w:ascii="Times New Roman" w:hAnsi="Times New Roman"/>
          <w:bCs/>
          <w:sz w:val="24"/>
          <w:szCs w:val="24"/>
          <w:lang w:val="es-ES_tradnl"/>
        </w:rPr>
        <w:t>mantenimiento</w:t>
      </w:r>
      <w:r w:rsidR="00D571F1">
        <w:rPr>
          <w:rFonts w:ascii="Times New Roman" w:hAnsi="Times New Roman"/>
          <w:bCs/>
          <w:sz w:val="24"/>
          <w:szCs w:val="24"/>
          <w:lang w:val="es-ES_tradnl"/>
        </w:rPr>
        <w:t xml:space="preserve"> (AOM)</w:t>
      </w:r>
      <w:r w:rsidR="00B31CD4">
        <w:rPr>
          <w:rFonts w:ascii="Times New Roman" w:hAnsi="Times New Roman"/>
          <w:bCs/>
          <w:sz w:val="24"/>
          <w:szCs w:val="24"/>
          <w:lang w:val="es-ES_tradnl"/>
        </w:rPr>
        <w:t>. L</w:t>
      </w:r>
      <w:r w:rsidR="00B31CD4" w:rsidRPr="00B31CD4">
        <w:rPr>
          <w:rFonts w:ascii="Times New Roman" w:hAnsi="Times New Roman"/>
          <w:bCs/>
          <w:sz w:val="24"/>
          <w:szCs w:val="24"/>
          <w:lang w:val="es-ES_tradnl"/>
        </w:rPr>
        <w:t>os costos de AOM aplicables a cada tipo de obra s</w:t>
      </w:r>
      <w:r w:rsidR="00B31CD4">
        <w:rPr>
          <w:rFonts w:ascii="Times New Roman" w:hAnsi="Times New Roman"/>
          <w:bCs/>
          <w:sz w:val="24"/>
          <w:szCs w:val="24"/>
          <w:lang w:val="es-ES_tradnl"/>
        </w:rPr>
        <w:t>e</w:t>
      </w:r>
      <w:r w:rsidR="00B31CD4" w:rsidRPr="00B31CD4">
        <w:rPr>
          <w:rFonts w:ascii="Times New Roman" w:hAnsi="Times New Roman"/>
          <w:bCs/>
          <w:sz w:val="24"/>
          <w:szCs w:val="24"/>
          <w:lang w:val="es-ES_tradnl"/>
        </w:rPr>
        <w:t xml:space="preserve"> </w:t>
      </w:r>
      <w:r w:rsidR="00B31CD4" w:rsidRPr="00924FCB">
        <w:rPr>
          <w:rFonts w:ascii="Times New Roman" w:hAnsi="Times New Roman"/>
          <w:bCs/>
          <w:sz w:val="24"/>
          <w:szCs w:val="24"/>
          <w:lang w:val="es-ES_tradnl"/>
        </w:rPr>
        <w:t>estimaron como porcentaje de la inversión inicial</w:t>
      </w:r>
      <w:r w:rsidR="00B31CD4" w:rsidRPr="00B31CD4">
        <w:rPr>
          <w:rFonts w:ascii="Times New Roman" w:hAnsi="Times New Roman"/>
          <w:bCs/>
          <w:sz w:val="24"/>
          <w:szCs w:val="24"/>
          <w:lang w:val="es-ES_tradnl"/>
        </w:rPr>
        <w:t xml:space="preserve"> </w:t>
      </w:r>
      <w:r w:rsidR="00B31CD4">
        <w:rPr>
          <w:rFonts w:ascii="Times New Roman" w:hAnsi="Times New Roman"/>
          <w:bCs/>
          <w:sz w:val="24"/>
          <w:szCs w:val="24"/>
          <w:lang w:val="es-ES_tradnl"/>
        </w:rPr>
        <w:t>de acuerdo con la metodología elaborada para el PMB. La tabla V</w:t>
      </w:r>
      <w:r w:rsidR="00727C2A">
        <w:rPr>
          <w:rFonts w:ascii="Times New Roman" w:hAnsi="Times New Roman"/>
          <w:bCs/>
          <w:sz w:val="24"/>
          <w:szCs w:val="24"/>
          <w:lang w:val="es-ES_tradnl"/>
        </w:rPr>
        <w:t>I</w:t>
      </w:r>
      <w:r w:rsidR="00B31CD4">
        <w:rPr>
          <w:rFonts w:ascii="Times New Roman" w:hAnsi="Times New Roman"/>
          <w:bCs/>
          <w:sz w:val="24"/>
          <w:szCs w:val="24"/>
          <w:lang w:val="es-ES_tradnl"/>
        </w:rPr>
        <w:t xml:space="preserve">I, muestra los </w:t>
      </w:r>
      <w:r w:rsidR="00B31CD4" w:rsidRPr="00B31CD4">
        <w:rPr>
          <w:rFonts w:ascii="Times New Roman" w:hAnsi="Times New Roman"/>
          <w:bCs/>
          <w:sz w:val="24"/>
          <w:szCs w:val="24"/>
          <w:lang w:val="es-ES_tradnl"/>
        </w:rPr>
        <w:t xml:space="preserve">porcentajes de los costos de AOM </w:t>
      </w:r>
      <w:r w:rsidR="00B31CD4">
        <w:rPr>
          <w:rFonts w:ascii="Times New Roman" w:hAnsi="Times New Roman"/>
          <w:bCs/>
          <w:sz w:val="24"/>
          <w:szCs w:val="24"/>
          <w:lang w:val="es-ES_tradnl"/>
        </w:rPr>
        <w:t xml:space="preserve">(en valor presente al 12%) </w:t>
      </w:r>
      <w:r w:rsidR="00B31CD4" w:rsidRPr="00B31CD4">
        <w:rPr>
          <w:rFonts w:ascii="Times New Roman" w:hAnsi="Times New Roman"/>
          <w:bCs/>
          <w:sz w:val="24"/>
          <w:szCs w:val="24"/>
          <w:lang w:val="es-ES_tradnl"/>
        </w:rPr>
        <w:t>en relación con la inversión inicial, a precios de eficiencia.</w:t>
      </w:r>
    </w:p>
    <w:p w:rsidR="00B31CD4" w:rsidRDefault="00B31CD4" w:rsidP="00B31CD4">
      <w:pPr>
        <w:autoSpaceDE w:val="0"/>
        <w:autoSpaceDN w:val="0"/>
        <w:adjustRightInd w:val="0"/>
        <w:ind w:left="792"/>
        <w:jc w:val="both"/>
        <w:rPr>
          <w:rFonts w:ascii="Times New Roman" w:hAnsi="Times New Roman"/>
          <w:bCs/>
          <w:sz w:val="24"/>
          <w:szCs w:val="24"/>
          <w:lang w:val="es-ES_tradnl"/>
        </w:rPr>
      </w:pPr>
    </w:p>
    <w:p w:rsidR="0094377F" w:rsidRPr="00D70CC7" w:rsidRDefault="0094377F" w:rsidP="00D70CC7">
      <w:pPr>
        <w:pStyle w:val="ListParagraph"/>
        <w:jc w:val="center"/>
        <w:rPr>
          <w:rFonts w:ascii="Times New Roman" w:hAnsi="Times New Roman"/>
          <w:b/>
          <w:lang w:val="es-ES_tradnl"/>
        </w:rPr>
      </w:pPr>
      <w:r w:rsidRPr="00D70CC7">
        <w:rPr>
          <w:rFonts w:ascii="Times New Roman" w:hAnsi="Times New Roman"/>
          <w:b/>
          <w:lang w:val="es-ES_tradnl"/>
        </w:rPr>
        <w:t>Tabla V</w:t>
      </w:r>
      <w:r w:rsidR="00727C2A">
        <w:rPr>
          <w:rFonts w:ascii="Times New Roman" w:hAnsi="Times New Roman"/>
          <w:b/>
          <w:lang w:val="es-ES_tradnl"/>
        </w:rPr>
        <w:t>I</w:t>
      </w:r>
      <w:r w:rsidRPr="00D70CC7">
        <w:rPr>
          <w:rFonts w:ascii="Times New Roman" w:hAnsi="Times New Roman"/>
          <w:b/>
          <w:lang w:val="es-ES_tradnl"/>
        </w:rPr>
        <w:t>I: Costos de Administración, Operación y Mantenimiento de las inversiones.</w:t>
      </w:r>
    </w:p>
    <w:tbl>
      <w:tblPr>
        <w:tblW w:w="4775"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097"/>
        <w:gridCol w:w="1678"/>
      </w:tblGrid>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
                <w:bCs/>
                <w:iCs/>
              </w:rPr>
            </w:pPr>
            <w:r w:rsidRPr="00B31CD4">
              <w:rPr>
                <w:rFonts w:ascii="Times New Roman" w:hAnsi="Times New Roman"/>
                <w:b/>
                <w:bCs/>
                <w:iCs/>
              </w:rPr>
              <w:t>Tipo de obra</w:t>
            </w:r>
          </w:p>
        </w:tc>
        <w:tc>
          <w:tcPr>
            <w:tcW w:w="1678" w:type="dxa"/>
            <w:shd w:val="clear" w:color="auto" w:fill="auto"/>
            <w:noWrap/>
            <w:vAlign w:val="center"/>
          </w:tcPr>
          <w:p w:rsidR="00B31CD4" w:rsidRPr="00B31CD4" w:rsidRDefault="00B31CD4" w:rsidP="0094377F">
            <w:pPr>
              <w:jc w:val="center"/>
              <w:rPr>
                <w:rFonts w:ascii="Times New Roman" w:hAnsi="Times New Roman"/>
                <w:b/>
                <w:bCs/>
              </w:rPr>
            </w:pPr>
            <w:r w:rsidRPr="00B31CD4">
              <w:rPr>
                <w:rFonts w:ascii="Times New Roman" w:hAnsi="Times New Roman"/>
                <w:b/>
                <w:bCs/>
              </w:rPr>
              <w:t>VP AOM /Inv. (%)</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Saneamiento</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8%</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Vialidad</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10%</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Regularización</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0%</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Control inundaciones</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10%</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Agua potable</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8%</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Realojamientos</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0%</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Red eléctrica</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2%</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Baños y materiales hábitat</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0%</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Alumbrado público</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2%</w:t>
            </w:r>
          </w:p>
        </w:tc>
      </w:tr>
      <w:tr w:rsidR="00B31CD4" w:rsidTr="00B31CD4">
        <w:trPr>
          <w:trHeight w:val="20"/>
          <w:jc w:val="center"/>
        </w:trPr>
        <w:tc>
          <w:tcPr>
            <w:tcW w:w="3097" w:type="dxa"/>
            <w:shd w:val="clear" w:color="auto" w:fill="auto"/>
            <w:noWrap/>
            <w:vAlign w:val="center"/>
          </w:tcPr>
          <w:p w:rsidR="00B31CD4" w:rsidRPr="00B31CD4" w:rsidRDefault="00B31CD4" w:rsidP="0094377F">
            <w:pPr>
              <w:jc w:val="center"/>
              <w:rPr>
                <w:rFonts w:ascii="Times New Roman" w:hAnsi="Times New Roman"/>
                <w:bCs/>
              </w:rPr>
            </w:pPr>
            <w:r w:rsidRPr="00B31CD4">
              <w:rPr>
                <w:rFonts w:ascii="Times New Roman" w:hAnsi="Times New Roman"/>
                <w:bCs/>
              </w:rPr>
              <w:t>Equipamiento social</w:t>
            </w:r>
          </w:p>
        </w:tc>
        <w:tc>
          <w:tcPr>
            <w:tcW w:w="1678" w:type="dxa"/>
            <w:shd w:val="clear" w:color="auto" w:fill="auto"/>
            <w:noWrap/>
            <w:vAlign w:val="center"/>
          </w:tcPr>
          <w:p w:rsidR="00B31CD4" w:rsidRPr="00B31CD4" w:rsidRDefault="00B31CD4" w:rsidP="0094377F">
            <w:pPr>
              <w:jc w:val="center"/>
              <w:rPr>
                <w:rFonts w:ascii="Times New Roman" w:hAnsi="Times New Roman"/>
              </w:rPr>
            </w:pPr>
            <w:r w:rsidRPr="00B31CD4">
              <w:rPr>
                <w:rFonts w:ascii="Times New Roman" w:hAnsi="Times New Roman"/>
              </w:rPr>
              <w:t>2%</w:t>
            </w:r>
          </w:p>
        </w:tc>
      </w:tr>
    </w:tbl>
    <w:p w:rsidR="00B31CD4" w:rsidRPr="00B31CD4" w:rsidRDefault="00B31CD4" w:rsidP="00B31CD4">
      <w:pPr>
        <w:ind w:left="1701"/>
        <w:rPr>
          <w:rFonts w:ascii="Times New Roman" w:hAnsi="Times New Roman"/>
          <w:bCs/>
          <w:lang w:val="es-ES_tradnl"/>
        </w:rPr>
      </w:pPr>
      <w:r w:rsidRPr="00B31CD4">
        <w:rPr>
          <w:rFonts w:ascii="Times New Roman" w:hAnsi="Times New Roman"/>
          <w:bCs/>
          <w:lang w:val="es-ES_tradnl"/>
        </w:rPr>
        <w:t>Fuente: Roche, Propuesta Reglamento Operativo, Junio 2008</w:t>
      </w:r>
    </w:p>
    <w:p w:rsidR="00B31CD4" w:rsidRPr="00B31CD4" w:rsidRDefault="00B31CD4" w:rsidP="00B25274">
      <w:pPr>
        <w:autoSpaceDE w:val="0"/>
        <w:autoSpaceDN w:val="0"/>
        <w:adjustRightInd w:val="0"/>
        <w:jc w:val="both"/>
        <w:rPr>
          <w:rFonts w:ascii="Times New Roman" w:hAnsi="Times New Roman"/>
          <w:bCs/>
          <w:sz w:val="24"/>
          <w:szCs w:val="24"/>
          <w:lang w:val="es-ES_tradnl"/>
        </w:rPr>
      </w:pPr>
    </w:p>
    <w:p w:rsidR="00AF5D7A" w:rsidRDefault="00D571F1" w:rsidP="00924FCB">
      <w:pPr>
        <w:numPr>
          <w:ilvl w:val="1"/>
          <w:numId w:val="10"/>
        </w:numPr>
        <w:autoSpaceDE w:val="0"/>
        <w:autoSpaceDN w:val="0"/>
        <w:adjustRightInd w:val="0"/>
        <w:ind w:left="426"/>
        <w:jc w:val="both"/>
        <w:rPr>
          <w:rFonts w:ascii="Times New Roman" w:hAnsi="Times New Roman"/>
          <w:bCs/>
          <w:sz w:val="24"/>
          <w:szCs w:val="24"/>
          <w:lang w:val="es-ES_tradnl"/>
        </w:rPr>
      </w:pPr>
      <w:r w:rsidRPr="00AF5D7A">
        <w:rPr>
          <w:rFonts w:ascii="Times New Roman" w:hAnsi="Times New Roman"/>
          <w:bCs/>
          <w:sz w:val="24"/>
          <w:szCs w:val="24"/>
          <w:lang w:val="es-ES_tradnl"/>
        </w:rPr>
        <w:t xml:space="preserve">Costos de la Unidad Ejecutora y Equipos técnicos </w:t>
      </w:r>
      <w:r w:rsidR="00B25274" w:rsidRPr="00AF5D7A">
        <w:rPr>
          <w:rFonts w:ascii="Times New Roman" w:hAnsi="Times New Roman"/>
          <w:bCs/>
          <w:sz w:val="24"/>
          <w:szCs w:val="24"/>
          <w:lang w:val="es-ES_tradnl"/>
        </w:rPr>
        <w:t>(</w:t>
      </w:r>
      <w:r w:rsidRPr="00AF5D7A">
        <w:rPr>
          <w:rFonts w:ascii="Times New Roman" w:hAnsi="Times New Roman"/>
          <w:bCs/>
          <w:sz w:val="24"/>
          <w:szCs w:val="24"/>
          <w:lang w:val="es-ES_tradnl"/>
        </w:rPr>
        <w:t>diagnóstico y diseños integral y participativos de los proyectos, administración y e</w:t>
      </w:r>
      <w:r w:rsidR="00B25274" w:rsidRPr="00AF5D7A">
        <w:rPr>
          <w:rFonts w:ascii="Times New Roman" w:hAnsi="Times New Roman"/>
          <w:bCs/>
          <w:sz w:val="24"/>
          <w:szCs w:val="24"/>
          <w:lang w:val="es-ES_tradnl"/>
        </w:rPr>
        <w:t>supervisión de las obra</w:t>
      </w:r>
      <w:r w:rsidRPr="00AF5D7A">
        <w:rPr>
          <w:rFonts w:ascii="Times New Roman" w:hAnsi="Times New Roman"/>
          <w:bCs/>
          <w:sz w:val="24"/>
          <w:szCs w:val="24"/>
          <w:lang w:val="es-ES_tradnl"/>
        </w:rPr>
        <w:t>s, administración del programa)</w:t>
      </w:r>
      <w:r w:rsidR="00B25274" w:rsidRPr="00AF5D7A">
        <w:rPr>
          <w:rFonts w:ascii="Times New Roman" w:hAnsi="Times New Roman"/>
          <w:bCs/>
          <w:sz w:val="24"/>
          <w:szCs w:val="24"/>
          <w:lang w:val="es-ES_tradnl"/>
        </w:rPr>
        <w:t>. En base</w:t>
      </w:r>
      <w:r w:rsidRPr="00AF5D7A">
        <w:rPr>
          <w:rFonts w:ascii="Times New Roman" w:hAnsi="Times New Roman"/>
          <w:bCs/>
          <w:sz w:val="24"/>
          <w:szCs w:val="24"/>
          <w:lang w:val="es-ES_tradnl"/>
        </w:rPr>
        <w:t xml:space="preserve"> a los resultados del informe de </w:t>
      </w:r>
      <w:r w:rsidR="00B25274" w:rsidRPr="00AF5D7A">
        <w:rPr>
          <w:rFonts w:ascii="Times New Roman" w:hAnsi="Times New Roman"/>
          <w:bCs/>
          <w:sz w:val="24"/>
          <w:szCs w:val="24"/>
          <w:lang w:val="es-ES_tradnl"/>
        </w:rPr>
        <w:t xml:space="preserve">evaluación </w:t>
      </w:r>
      <w:r w:rsidRPr="00AF5D7A">
        <w:rPr>
          <w:rFonts w:ascii="Times New Roman" w:hAnsi="Times New Roman"/>
          <w:bCs/>
          <w:sz w:val="24"/>
          <w:szCs w:val="24"/>
          <w:lang w:val="es-ES_tradnl"/>
        </w:rPr>
        <w:t xml:space="preserve">del </w:t>
      </w:r>
      <w:r w:rsidR="00B25274" w:rsidRPr="00AF5D7A">
        <w:rPr>
          <w:rFonts w:ascii="Times New Roman" w:hAnsi="Times New Roman"/>
          <w:bCs/>
          <w:sz w:val="24"/>
          <w:szCs w:val="24"/>
          <w:lang w:val="es-ES_tradnl"/>
        </w:rPr>
        <w:t>Programa Mejoramiento de Barrios (PMB) de Julio de 2013</w:t>
      </w:r>
      <w:r w:rsidR="00B25274">
        <w:rPr>
          <w:rStyle w:val="FootnoteReference"/>
          <w:rFonts w:ascii="Times New Roman" w:hAnsi="Times New Roman"/>
          <w:bCs/>
          <w:sz w:val="24"/>
          <w:szCs w:val="24"/>
          <w:lang w:val="es-ES_tradnl"/>
        </w:rPr>
        <w:footnoteReference w:id="20"/>
      </w:r>
      <w:r w:rsidR="00B25274" w:rsidRPr="00AF5D7A">
        <w:rPr>
          <w:rFonts w:ascii="Times New Roman" w:hAnsi="Times New Roman"/>
          <w:bCs/>
          <w:sz w:val="24"/>
          <w:szCs w:val="24"/>
          <w:lang w:val="es-ES_tradnl"/>
        </w:rPr>
        <w:t>, se ha estimado que estos costos alcanzan al 10% de</w:t>
      </w:r>
      <w:r w:rsidR="002E51DF" w:rsidRPr="00AF5D7A">
        <w:rPr>
          <w:rFonts w:ascii="Times New Roman" w:hAnsi="Times New Roman"/>
          <w:bCs/>
          <w:sz w:val="24"/>
          <w:szCs w:val="24"/>
          <w:lang w:val="es-ES_tradnl"/>
        </w:rPr>
        <w:t xml:space="preserve"> </w:t>
      </w:r>
      <w:r w:rsidR="00B25274" w:rsidRPr="00AF5D7A">
        <w:rPr>
          <w:rFonts w:ascii="Times New Roman" w:hAnsi="Times New Roman"/>
          <w:bCs/>
          <w:sz w:val="24"/>
          <w:szCs w:val="24"/>
          <w:lang w:val="es-ES_tradnl"/>
        </w:rPr>
        <w:t>l</w:t>
      </w:r>
      <w:r w:rsidR="002E51DF" w:rsidRPr="00AF5D7A">
        <w:rPr>
          <w:rFonts w:ascii="Times New Roman" w:hAnsi="Times New Roman"/>
          <w:bCs/>
          <w:sz w:val="24"/>
          <w:szCs w:val="24"/>
          <w:lang w:val="es-ES_tradnl"/>
        </w:rPr>
        <w:t>a inversión inicial.</w:t>
      </w:r>
      <w:r w:rsidR="00AF5D7A" w:rsidRPr="00AF5D7A">
        <w:rPr>
          <w:rFonts w:ascii="Times New Roman" w:hAnsi="Times New Roman"/>
          <w:bCs/>
          <w:sz w:val="24"/>
          <w:szCs w:val="24"/>
          <w:lang w:val="es-ES_tradnl"/>
        </w:rPr>
        <w:t xml:space="preserve"> </w:t>
      </w:r>
    </w:p>
    <w:p w:rsidR="00AF5D7A" w:rsidRDefault="00AF5D7A" w:rsidP="00AF5D7A">
      <w:pPr>
        <w:autoSpaceDE w:val="0"/>
        <w:autoSpaceDN w:val="0"/>
        <w:adjustRightInd w:val="0"/>
        <w:ind w:left="426"/>
        <w:jc w:val="both"/>
        <w:rPr>
          <w:rFonts w:ascii="Times New Roman" w:hAnsi="Times New Roman"/>
          <w:bCs/>
          <w:sz w:val="24"/>
          <w:szCs w:val="24"/>
          <w:lang w:val="es-ES_tradnl"/>
        </w:rPr>
      </w:pPr>
    </w:p>
    <w:p w:rsidR="00924FCB" w:rsidRPr="00AF5D7A" w:rsidRDefault="00924FCB" w:rsidP="00924FCB">
      <w:pPr>
        <w:numPr>
          <w:ilvl w:val="1"/>
          <w:numId w:val="10"/>
        </w:numPr>
        <w:autoSpaceDE w:val="0"/>
        <w:autoSpaceDN w:val="0"/>
        <w:adjustRightInd w:val="0"/>
        <w:ind w:left="426"/>
        <w:jc w:val="both"/>
        <w:rPr>
          <w:rFonts w:ascii="Times New Roman" w:hAnsi="Times New Roman"/>
          <w:bCs/>
          <w:sz w:val="24"/>
          <w:szCs w:val="24"/>
          <w:lang w:val="es-ES_tradnl"/>
        </w:rPr>
      </w:pPr>
      <w:r w:rsidRPr="00AF5D7A">
        <w:rPr>
          <w:rFonts w:ascii="Times New Roman" w:hAnsi="Times New Roman"/>
          <w:bCs/>
          <w:sz w:val="24"/>
          <w:szCs w:val="24"/>
          <w:lang w:val="es-ES_tradnl"/>
        </w:rPr>
        <w:t>En la Tabla V</w:t>
      </w:r>
      <w:r w:rsidR="00727C2A" w:rsidRPr="00AF5D7A">
        <w:rPr>
          <w:rFonts w:ascii="Times New Roman" w:hAnsi="Times New Roman"/>
          <w:bCs/>
          <w:sz w:val="24"/>
          <w:szCs w:val="24"/>
          <w:lang w:val="es-ES_tradnl"/>
        </w:rPr>
        <w:t>III</w:t>
      </w:r>
      <w:r w:rsidRPr="00AF5D7A">
        <w:rPr>
          <w:rFonts w:ascii="Times New Roman" w:hAnsi="Times New Roman"/>
          <w:bCs/>
          <w:sz w:val="24"/>
          <w:szCs w:val="24"/>
          <w:lang w:val="es-ES_tradnl"/>
        </w:rPr>
        <w:t xml:space="preserve"> se resumen todos los costos económicos incrementales asociados a la muestra en evaluaci</w:t>
      </w:r>
      <w:r w:rsidR="002E51DF" w:rsidRPr="00AF5D7A">
        <w:rPr>
          <w:rFonts w:ascii="Times New Roman" w:hAnsi="Times New Roman"/>
          <w:bCs/>
          <w:sz w:val="24"/>
          <w:szCs w:val="24"/>
          <w:lang w:val="es-ES_tradnl"/>
        </w:rPr>
        <w:t>ón</w:t>
      </w:r>
      <w:r w:rsidR="00AF5D7A" w:rsidRPr="00AF5D7A">
        <w:rPr>
          <w:rFonts w:ascii="Times New Roman" w:hAnsi="Times New Roman"/>
          <w:bCs/>
          <w:sz w:val="24"/>
          <w:szCs w:val="24"/>
          <w:lang w:val="es-ES_tradnl"/>
        </w:rPr>
        <w:t>, a precios de eficiencia de junio de 2013</w:t>
      </w:r>
      <w:r w:rsidR="002E51DF" w:rsidRPr="00AF5D7A">
        <w:rPr>
          <w:rFonts w:ascii="Times New Roman" w:hAnsi="Times New Roman"/>
          <w:bCs/>
          <w:sz w:val="24"/>
          <w:szCs w:val="24"/>
          <w:lang w:val="es-ES_tradnl"/>
        </w:rPr>
        <w:t>.</w:t>
      </w:r>
    </w:p>
    <w:p w:rsidR="00AF5D7A" w:rsidRDefault="00AF5D7A">
      <w:pPr>
        <w:rPr>
          <w:rFonts w:ascii="Times New Roman" w:hAnsi="Times New Roman"/>
          <w:bCs/>
          <w:sz w:val="24"/>
          <w:szCs w:val="24"/>
          <w:lang w:val="es-ES_tradnl"/>
        </w:rPr>
      </w:pPr>
      <w:r>
        <w:rPr>
          <w:rFonts w:ascii="Times New Roman" w:hAnsi="Times New Roman"/>
          <w:bCs/>
          <w:sz w:val="24"/>
          <w:szCs w:val="24"/>
          <w:lang w:val="es-ES_tradnl"/>
        </w:rPr>
        <w:br w:type="page"/>
      </w:r>
    </w:p>
    <w:p w:rsidR="00C67A16" w:rsidRPr="001145D5" w:rsidRDefault="00C67A16" w:rsidP="001145D5">
      <w:pPr>
        <w:autoSpaceDE w:val="0"/>
        <w:autoSpaceDN w:val="0"/>
        <w:adjustRightInd w:val="0"/>
        <w:ind w:left="-6"/>
        <w:jc w:val="both"/>
        <w:rPr>
          <w:rFonts w:ascii="Times New Roman" w:hAnsi="Times New Roman"/>
          <w:bCs/>
          <w:sz w:val="24"/>
          <w:szCs w:val="24"/>
          <w:lang w:val="es-ES_tradnl"/>
        </w:rPr>
      </w:pPr>
    </w:p>
    <w:p w:rsidR="002E51DF" w:rsidRPr="00727C2A" w:rsidRDefault="0094377F" w:rsidP="00727C2A">
      <w:pPr>
        <w:jc w:val="center"/>
        <w:rPr>
          <w:rFonts w:ascii="Times New Roman" w:hAnsi="Times New Roman"/>
          <w:b/>
          <w:lang w:val="es-ES_tradnl"/>
        </w:rPr>
      </w:pPr>
      <w:r w:rsidRPr="00727C2A">
        <w:rPr>
          <w:rFonts w:ascii="Times New Roman" w:hAnsi="Times New Roman"/>
          <w:b/>
          <w:lang w:val="es-ES_tradnl"/>
        </w:rPr>
        <w:t>Tabla VI</w:t>
      </w:r>
      <w:r w:rsidR="00727C2A" w:rsidRPr="00727C2A">
        <w:rPr>
          <w:rFonts w:ascii="Times New Roman" w:hAnsi="Times New Roman"/>
          <w:b/>
          <w:lang w:val="es-ES_tradnl"/>
        </w:rPr>
        <w:t>II</w:t>
      </w:r>
      <w:r w:rsidRPr="00727C2A">
        <w:rPr>
          <w:rFonts w:ascii="Times New Roman" w:hAnsi="Times New Roman"/>
          <w:b/>
          <w:lang w:val="es-ES_tradnl"/>
        </w:rPr>
        <w:t>: Costos por proyecto y rubros, a precios de eficiencia. En U$S de junio de 2013</w:t>
      </w:r>
    </w:p>
    <w:tbl>
      <w:tblPr>
        <w:tblW w:w="8506"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52"/>
        <w:gridCol w:w="1276"/>
        <w:gridCol w:w="1134"/>
        <w:gridCol w:w="1134"/>
        <w:gridCol w:w="1129"/>
        <w:gridCol w:w="1281"/>
      </w:tblGrid>
      <w:tr w:rsidR="0094377F" w:rsidRPr="0094377F" w:rsidTr="0094377F">
        <w:trPr>
          <w:trHeight w:val="230"/>
        </w:trPr>
        <w:tc>
          <w:tcPr>
            <w:tcW w:w="2552" w:type="dxa"/>
            <w:vMerge w:val="restart"/>
            <w:shd w:val="clear" w:color="auto" w:fill="auto"/>
            <w:noWrap/>
            <w:vAlign w:val="center"/>
            <w:hideMark/>
          </w:tcPr>
          <w:p w:rsidR="0094377F" w:rsidRPr="0094377F" w:rsidRDefault="0094377F" w:rsidP="0094377F">
            <w:pPr>
              <w:jc w:val="center"/>
              <w:rPr>
                <w:rFonts w:ascii="Times New Roman" w:hAnsi="Times New Roman"/>
                <w:color w:val="000000"/>
                <w:lang w:val="es-AR" w:eastAsia="es-AR"/>
              </w:rPr>
            </w:pPr>
            <w:r w:rsidRPr="0094377F">
              <w:rPr>
                <w:rFonts w:ascii="Times New Roman" w:hAnsi="Times New Roman"/>
                <w:color w:val="000000"/>
                <w:lang w:val="es-AR" w:eastAsia="es-AR"/>
              </w:rPr>
              <w:t>Proyecto</w:t>
            </w:r>
          </w:p>
        </w:tc>
        <w:tc>
          <w:tcPr>
            <w:tcW w:w="1276" w:type="dxa"/>
            <w:vMerge w:val="restart"/>
            <w:shd w:val="clear" w:color="auto" w:fill="auto"/>
            <w:vAlign w:val="center"/>
            <w:hideMark/>
          </w:tcPr>
          <w:p w:rsidR="0094377F" w:rsidRPr="0094377F" w:rsidRDefault="0094377F" w:rsidP="0094377F">
            <w:pPr>
              <w:jc w:val="center"/>
              <w:rPr>
                <w:rFonts w:ascii="Times New Roman" w:hAnsi="Times New Roman"/>
                <w:color w:val="000000"/>
                <w:lang w:val="es-AR" w:eastAsia="es-AR"/>
              </w:rPr>
            </w:pPr>
            <w:r>
              <w:rPr>
                <w:rFonts w:ascii="Times New Roman" w:hAnsi="Times New Roman"/>
                <w:color w:val="000000"/>
                <w:lang w:val="es-AR" w:eastAsia="es-AR"/>
              </w:rPr>
              <w:t>Inversión</w:t>
            </w:r>
          </w:p>
        </w:tc>
        <w:tc>
          <w:tcPr>
            <w:tcW w:w="1134" w:type="dxa"/>
            <w:vMerge w:val="restart"/>
            <w:shd w:val="clear" w:color="auto" w:fill="auto"/>
            <w:vAlign w:val="center"/>
            <w:hideMark/>
          </w:tcPr>
          <w:p w:rsidR="0094377F" w:rsidRPr="0094377F" w:rsidRDefault="0094377F" w:rsidP="0094377F">
            <w:pPr>
              <w:jc w:val="center"/>
              <w:rPr>
                <w:rFonts w:ascii="Times New Roman" w:hAnsi="Times New Roman"/>
                <w:color w:val="000000"/>
                <w:lang w:val="es-AR" w:eastAsia="es-AR"/>
              </w:rPr>
            </w:pPr>
            <w:r w:rsidRPr="0094377F">
              <w:rPr>
                <w:rFonts w:ascii="Times New Roman" w:hAnsi="Times New Roman"/>
                <w:color w:val="000000"/>
                <w:lang w:val="es-AR" w:eastAsia="es-AR"/>
              </w:rPr>
              <w:t>AOM</w:t>
            </w:r>
          </w:p>
        </w:tc>
        <w:tc>
          <w:tcPr>
            <w:tcW w:w="1134" w:type="dxa"/>
            <w:vMerge w:val="restart"/>
            <w:shd w:val="clear" w:color="auto" w:fill="auto"/>
            <w:vAlign w:val="center"/>
            <w:hideMark/>
          </w:tcPr>
          <w:p w:rsidR="0094377F" w:rsidRPr="0094377F" w:rsidRDefault="0094377F" w:rsidP="0094377F">
            <w:pPr>
              <w:jc w:val="center"/>
              <w:rPr>
                <w:rFonts w:ascii="Times New Roman" w:hAnsi="Times New Roman"/>
                <w:color w:val="000000"/>
                <w:lang w:val="es-AR" w:eastAsia="es-AR"/>
              </w:rPr>
            </w:pPr>
            <w:r>
              <w:rPr>
                <w:rFonts w:ascii="Times New Roman" w:hAnsi="Times New Roman"/>
                <w:color w:val="000000"/>
                <w:lang w:val="es-AR" w:eastAsia="es-AR"/>
              </w:rPr>
              <w:t>UCP + ET</w:t>
            </w:r>
          </w:p>
        </w:tc>
        <w:tc>
          <w:tcPr>
            <w:tcW w:w="1129" w:type="dxa"/>
            <w:vMerge w:val="restart"/>
            <w:shd w:val="clear" w:color="auto" w:fill="auto"/>
            <w:vAlign w:val="center"/>
            <w:hideMark/>
          </w:tcPr>
          <w:p w:rsidR="0094377F" w:rsidRPr="0094377F" w:rsidRDefault="0094377F" w:rsidP="0094377F">
            <w:pPr>
              <w:jc w:val="center"/>
              <w:rPr>
                <w:rFonts w:ascii="Times New Roman" w:hAnsi="Times New Roman"/>
                <w:color w:val="000000"/>
                <w:lang w:val="es-AR" w:eastAsia="es-AR"/>
              </w:rPr>
            </w:pPr>
            <w:r w:rsidRPr="0094377F">
              <w:rPr>
                <w:rFonts w:ascii="Times New Roman" w:hAnsi="Times New Roman"/>
                <w:color w:val="000000"/>
                <w:lang w:val="es-AR" w:eastAsia="es-AR"/>
              </w:rPr>
              <w:t>Total</w:t>
            </w:r>
          </w:p>
        </w:tc>
        <w:tc>
          <w:tcPr>
            <w:tcW w:w="1281" w:type="dxa"/>
            <w:vMerge w:val="restart"/>
            <w:shd w:val="clear" w:color="auto" w:fill="auto"/>
            <w:vAlign w:val="center"/>
            <w:hideMark/>
          </w:tcPr>
          <w:p w:rsidR="0094377F" w:rsidRPr="0094377F" w:rsidRDefault="0094377F" w:rsidP="0094377F">
            <w:pPr>
              <w:jc w:val="center"/>
              <w:rPr>
                <w:rFonts w:ascii="Times New Roman" w:hAnsi="Times New Roman"/>
                <w:color w:val="000000"/>
                <w:lang w:val="es-AR" w:eastAsia="es-AR"/>
              </w:rPr>
            </w:pPr>
            <w:r w:rsidRPr="0094377F">
              <w:rPr>
                <w:rFonts w:ascii="Times New Roman" w:hAnsi="Times New Roman"/>
                <w:color w:val="000000"/>
                <w:lang w:val="es-AR" w:eastAsia="es-AR"/>
              </w:rPr>
              <w:t>Costo</w:t>
            </w:r>
            <w:r>
              <w:rPr>
                <w:rFonts w:ascii="Times New Roman" w:hAnsi="Times New Roman"/>
                <w:color w:val="000000"/>
                <w:lang w:val="es-AR" w:eastAsia="es-AR"/>
              </w:rPr>
              <w:t xml:space="preserve"> </w:t>
            </w:r>
            <w:r w:rsidRPr="0094377F">
              <w:rPr>
                <w:rFonts w:ascii="Times New Roman" w:hAnsi="Times New Roman"/>
                <w:color w:val="000000"/>
                <w:lang w:val="es-AR" w:eastAsia="es-AR"/>
              </w:rPr>
              <w:t>por Vivienda</w:t>
            </w:r>
          </w:p>
        </w:tc>
      </w:tr>
      <w:tr w:rsidR="0094377F" w:rsidRPr="0094377F" w:rsidTr="0094377F">
        <w:trPr>
          <w:trHeight w:val="230"/>
        </w:trPr>
        <w:tc>
          <w:tcPr>
            <w:tcW w:w="2552" w:type="dxa"/>
            <w:vMerge/>
            <w:vAlign w:val="center"/>
            <w:hideMark/>
          </w:tcPr>
          <w:p w:rsidR="0094377F" w:rsidRPr="0094377F" w:rsidRDefault="0094377F" w:rsidP="0094377F">
            <w:pPr>
              <w:rPr>
                <w:rFonts w:ascii="Times New Roman" w:hAnsi="Times New Roman"/>
                <w:color w:val="000000"/>
                <w:lang w:val="es-AR" w:eastAsia="es-AR"/>
              </w:rPr>
            </w:pPr>
          </w:p>
        </w:tc>
        <w:tc>
          <w:tcPr>
            <w:tcW w:w="1276" w:type="dxa"/>
            <w:vMerge/>
            <w:vAlign w:val="center"/>
            <w:hideMark/>
          </w:tcPr>
          <w:p w:rsidR="0094377F" w:rsidRPr="0094377F" w:rsidRDefault="0094377F" w:rsidP="0094377F">
            <w:pPr>
              <w:rPr>
                <w:rFonts w:ascii="Times New Roman" w:hAnsi="Times New Roman"/>
                <w:color w:val="000000"/>
                <w:lang w:val="es-AR" w:eastAsia="es-AR"/>
              </w:rPr>
            </w:pPr>
          </w:p>
        </w:tc>
        <w:tc>
          <w:tcPr>
            <w:tcW w:w="1134" w:type="dxa"/>
            <w:vMerge/>
            <w:vAlign w:val="center"/>
            <w:hideMark/>
          </w:tcPr>
          <w:p w:rsidR="0094377F" w:rsidRPr="0094377F" w:rsidRDefault="0094377F" w:rsidP="0094377F">
            <w:pPr>
              <w:rPr>
                <w:rFonts w:ascii="Times New Roman" w:hAnsi="Times New Roman"/>
                <w:color w:val="000000"/>
                <w:lang w:val="es-AR" w:eastAsia="es-AR"/>
              </w:rPr>
            </w:pPr>
          </w:p>
        </w:tc>
        <w:tc>
          <w:tcPr>
            <w:tcW w:w="1134" w:type="dxa"/>
            <w:vMerge/>
            <w:vAlign w:val="center"/>
            <w:hideMark/>
          </w:tcPr>
          <w:p w:rsidR="0094377F" w:rsidRPr="0094377F" w:rsidRDefault="0094377F" w:rsidP="0094377F">
            <w:pPr>
              <w:rPr>
                <w:rFonts w:ascii="Times New Roman" w:hAnsi="Times New Roman"/>
                <w:color w:val="000000"/>
                <w:lang w:val="es-AR" w:eastAsia="es-AR"/>
              </w:rPr>
            </w:pPr>
          </w:p>
        </w:tc>
        <w:tc>
          <w:tcPr>
            <w:tcW w:w="1129" w:type="dxa"/>
            <w:vMerge/>
            <w:vAlign w:val="center"/>
            <w:hideMark/>
          </w:tcPr>
          <w:p w:rsidR="0094377F" w:rsidRPr="0094377F" w:rsidRDefault="0094377F" w:rsidP="0094377F">
            <w:pPr>
              <w:rPr>
                <w:rFonts w:ascii="Times New Roman" w:hAnsi="Times New Roman"/>
                <w:color w:val="000000"/>
                <w:lang w:val="es-AR" w:eastAsia="es-AR"/>
              </w:rPr>
            </w:pPr>
          </w:p>
        </w:tc>
        <w:tc>
          <w:tcPr>
            <w:tcW w:w="1281" w:type="dxa"/>
            <w:vMerge/>
            <w:vAlign w:val="center"/>
            <w:hideMark/>
          </w:tcPr>
          <w:p w:rsidR="0094377F" w:rsidRPr="0094377F" w:rsidRDefault="0094377F" w:rsidP="0094377F">
            <w:pPr>
              <w:rPr>
                <w:rFonts w:ascii="Times New Roman" w:hAnsi="Times New Roman"/>
                <w:color w:val="000000"/>
                <w:lang w:val="es-AR" w:eastAsia="es-AR"/>
              </w:rPr>
            </w:pPr>
          </w:p>
        </w:tc>
      </w:tr>
      <w:tr w:rsidR="00F97AFD" w:rsidRPr="0094377F" w:rsidTr="0094377F">
        <w:trPr>
          <w:trHeight w:val="20"/>
        </w:trPr>
        <w:tc>
          <w:tcPr>
            <w:tcW w:w="2552" w:type="dxa"/>
            <w:shd w:val="clear" w:color="auto" w:fill="auto"/>
            <w:noWrap/>
            <w:vAlign w:val="bottom"/>
            <w:hideMark/>
          </w:tcPr>
          <w:p w:rsidR="00F97AFD" w:rsidRPr="0094377F" w:rsidRDefault="00F97AFD" w:rsidP="0094377F">
            <w:pPr>
              <w:rPr>
                <w:rFonts w:ascii="Times New Roman" w:hAnsi="Times New Roman"/>
                <w:color w:val="000000"/>
                <w:lang w:val="es-AR" w:eastAsia="es-AR"/>
              </w:rPr>
            </w:pPr>
            <w:r w:rsidRPr="0094377F">
              <w:rPr>
                <w:rFonts w:ascii="Times New Roman" w:hAnsi="Times New Roman"/>
                <w:color w:val="000000"/>
                <w:lang w:val="es-AR" w:eastAsia="es-AR"/>
              </w:rPr>
              <w:t>Vecinal 28-La Estrella</w:t>
            </w:r>
          </w:p>
        </w:tc>
        <w:tc>
          <w:tcPr>
            <w:tcW w:w="1276"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1.270.245</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101.779</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124.728</w:t>
            </w:r>
          </w:p>
        </w:tc>
        <w:tc>
          <w:tcPr>
            <w:tcW w:w="1129"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1.496.752</w:t>
            </w:r>
          </w:p>
        </w:tc>
        <w:tc>
          <w:tcPr>
            <w:tcW w:w="1281"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12.370</w:t>
            </w:r>
          </w:p>
        </w:tc>
      </w:tr>
      <w:tr w:rsidR="00F97AFD" w:rsidRPr="0094377F" w:rsidTr="0094377F">
        <w:trPr>
          <w:trHeight w:val="20"/>
        </w:trPr>
        <w:tc>
          <w:tcPr>
            <w:tcW w:w="2552" w:type="dxa"/>
            <w:shd w:val="clear" w:color="auto" w:fill="auto"/>
            <w:noWrap/>
            <w:vAlign w:val="bottom"/>
            <w:hideMark/>
          </w:tcPr>
          <w:p w:rsidR="00F97AFD" w:rsidRPr="0094377F" w:rsidRDefault="00F97AFD" w:rsidP="0094377F">
            <w:pPr>
              <w:rPr>
                <w:rFonts w:ascii="Times New Roman" w:hAnsi="Times New Roman"/>
                <w:color w:val="000000"/>
                <w:lang w:val="es-AR" w:eastAsia="es-AR"/>
              </w:rPr>
            </w:pPr>
            <w:r w:rsidRPr="0094377F">
              <w:rPr>
                <w:rFonts w:ascii="Times New Roman" w:hAnsi="Times New Roman"/>
                <w:color w:val="000000"/>
                <w:lang w:val="es-AR" w:eastAsia="es-AR"/>
              </w:rPr>
              <w:t>Anagualpo y Timote</w:t>
            </w:r>
          </w:p>
        </w:tc>
        <w:tc>
          <w:tcPr>
            <w:tcW w:w="1276"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942.043</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104.237</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100.441</w:t>
            </w:r>
          </w:p>
        </w:tc>
        <w:tc>
          <w:tcPr>
            <w:tcW w:w="1129"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1.146.721</w:t>
            </w:r>
          </w:p>
        </w:tc>
        <w:tc>
          <w:tcPr>
            <w:tcW w:w="1281"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15.290</w:t>
            </w:r>
          </w:p>
        </w:tc>
      </w:tr>
      <w:tr w:rsidR="00F97AFD" w:rsidRPr="0094377F" w:rsidTr="0094377F">
        <w:trPr>
          <w:trHeight w:val="20"/>
        </w:trPr>
        <w:tc>
          <w:tcPr>
            <w:tcW w:w="2552" w:type="dxa"/>
            <w:shd w:val="clear" w:color="auto" w:fill="auto"/>
            <w:noWrap/>
            <w:vAlign w:val="bottom"/>
            <w:hideMark/>
          </w:tcPr>
          <w:p w:rsidR="00F97AFD" w:rsidRPr="0094377F" w:rsidRDefault="00F97AFD" w:rsidP="0094377F">
            <w:pPr>
              <w:rPr>
                <w:rFonts w:ascii="Times New Roman" w:hAnsi="Times New Roman"/>
                <w:color w:val="000000"/>
                <w:lang w:val="es-AR" w:eastAsia="es-AR"/>
              </w:rPr>
            </w:pPr>
            <w:r w:rsidRPr="0094377F">
              <w:rPr>
                <w:rFonts w:ascii="Times New Roman" w:hAnsi="Times New Roman"/>
                <w:color w:val="000000"/>
                <w:lang w:val="es-AR" w:eastAsia="es-AR"/>
              </w:rPr>
              <w:t>Campichuelo-Itape</w:t>
            </w:r>
          </w:p>
        </w:tc>
        <w:tc>
          <w:tcPr>
            <w:tcW w:w="1276"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1.417.006</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167.931</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144.781</w:t>
            </w:r>
          </w:p>
        </w:tc>
        <w:tc>
          <w:tcPr>
            <w:tcW w:w="1129"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1.729.718</w:t>
            </w:r>
          </w:p>
        </w:tc>
        <w:tc>
          <w:tcPr>
            <w:tcW w:w="1281"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15.725</w:t>
            </w:r>
          </w:p>
        </w:tc>
      </w:tr>
      <w:tr w:rsidR="00F97AFD" w:rsidRPr="0094377F" w:rsidTr="0094377F">
        <w:trPr>
          <w:trHeight w:val="20"/>
        </w:trPr>
        <w:tc>
          <w:tcPr>
            <w:tcW w:w="2552" w:type="dxa"/>
            <w:shd w:val="clear" w:color="auto" w:fill="auto"/>
            <w:noWrap/>
            <w:vAlign w:val="bottom"/>
            <w:hideMark/>
          </w:tcPr>
          <w:p w:rsidR="00F97AFD" w:rsidRPr="0094377F" w:rsidRDefault="00F97AFD" w:rsidP="0094377F">
            <w:pPr>
              <w:rPr>
                <w:rFonts w:ascii="Times New Roman" w:hAnsi="Times New Roman"/>
                <w:color w:val="000000"/>
                <w:lang w:val="es-AR" w:eastAsia="es-AR"/>
              </w:rPr>
            </w:pPr>
            <w:r w:rsidRPr="0094377F">
              <w:rPr>
                <w:rFonts w:ascii="Times New Roman" w:hAnsi="Times New Roman"/>
                <w:color w:val="000000"/>
                <w:lang w:val="es-AR" w:eastAsia="es-AR"/>
              </w:rPr>
              <w:t>El tanque-Villa Prosperidad</w:t>
            </w:r>
          </w:p>
        </w:tc>
        <w:tc>
          <w:tcPr>
            <w:tcW w:w="1276"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2.780.873</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261.845</w:t>
            </w:r>
          </w:p>
        </w:tc>
        <w:tc>
          <w:tcPr>
            <w:tcW w:w="1134" w:type="dxa"/>
            <w:shd w:val="clear" w:color="auto" w:fill="auto"/>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271.873</w:t>
            </w:r>
          </w:p>
        </w:tc>
        <w:tc>
          <w:tcPr>
            <w:tcW w:w="1129"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3.314.591</w:t>
            </w:r>
          </w:p>
        </w:tc>
        <w:tc>
          <w:tcPr>
            <w:tcW w:w="1281"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15.345</w:t>
            </w:r>
          </w:p>
        </w:tc>
      </w:tr>
      <w:tr w:rsidR="00F97AFD" w:rsidRPr="0094377F" w:rsidTr="0094377F">
        <w:trPr>
          <w:trHeight w:val="20"/>
        </w:trPr>
        <w:tc>
          <w:tcPr>
            <w:tcW w:w="2552" w:type="dxa"/>
            <w:shd w:val="clear" w:color="000000" w:fill="FFFFFF"/>
            <w:noWrap/>
            <w:vAlign w:val="bottom"/>
            <w:hideMark/>
          </w:tcPr>
          <w:p w:rsidR="00F97AFD" w:rsidRPr="0094377F" w:rsidRDefault="00F97AFD" w:rsidP="0094377F">
            <w:pPr>
              <w:rPr>
                <w:rFonts w:ascii="Times New Roman" w:hAnsi="Times New Roman"/>
                <w:color w:val="000000"/>
                <w:lang w:val="es-AR" w:eastAsia="es-AR"/>
              </w:rPr>
            </w:pPr>
            <w:r w:rsidRPr="0094377F">
              <w:rPr>
                <w:rFonts w:ascii="Times New Roman" w:hAnsi="Times New Roman"/>
                <w:color w:val="000000"/>
                <w:lang w:val="es-AR" w:eastAsia="es-AR"/>
              </w:rPr>
              <w:t xml:space="preserve">6 de diciembre </w:t>
            </w:r>
          </w:p>
        </w:tc>
        <w:tc>
          <w:tcPr>
            <w:tcW w:w="1276"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4.047.488</w:t>
            </w:r>
          </w:p>
        </w:tc>
        <w:tc>
          <w:tcPr>
            <w:tcW w:w="1134"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323.799</w:t>
            </w:r>
          </w:p>
        </w:tc>
        <w:tc>
          <w:tcPr>
            <w:tcW w:w="1134"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368.321</w:t>
            </w:r>
          </w:p>
        </w:tc>
        <w:tc>
          <w:tcPr>
            <w:tcW w:w="1129"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4.739.609</w:t>
            </w:r>
          </w:p>
        </w:tc>
        <w:tc>
          <w:tcPr>
            <w:tcW w:w="1281"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24.059</w:t>
            </w:r>
          </w:p>
        </w:tc>
      </w:tr>
      <w:tr w:rsidR="00F97AFD" w:rsidRPr="0094377F" w:rsidTr="0094377F">
        <w:trPr>
          <w:trHeight w:val="20"/>
        </w:trPr>
        <w:tc>
          <w:tcPr>
            <w:tcW w:w="2552" w:type="dxa"/>
            <w:shd w:val="clear" w:color="000000" w:fill="FFFFFF"/>
            <w:noWrap/>
            <w:vAlign w:val="bottom"/>
            <w:hideMark/>
          </w:tcPr>
          <w:p w:rsidR="00F97AFD" w:rsidRPr="0094377F" w:rsidRDefault="00F97AFD" w:rsidP="0094377F">
            <w:pPr>
              <w:rPr>
                <w:rFonts w:ascii="Times New Roman" w:hAnsi="Times New Roman"/>
                <w:color w:val="000000"/>
                <w:lang w:val="es-AR" w:eastAsia="es-AR"/>
              </w:rPr>
            </w:pPr>
            <w:r w:rsidRPr="0094377F">
              <w:rPr>
                <w:rFonts w:ascii="Times New Roman" w:hAnsi="Times New Roman"/>
                <w:color w:val="000000"/>
                <w:lang w:val="es-AR" w:eastAsia="es-AR"/>
              </w:rPr>
              <w:t>Barrio Artigas</w:t>
            </w:r>
          </w:p>
        </w:tc>
        <w:tc>
          <w:tcPr>
            <w:tcW w:w="1276"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6.003.840</w:t>
            </w:r>
          </w:p>
        </w:tc>
        <w:tc>
          <w:tcPr>
            <w:tcW w:w="1134"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357.249</w:t>
            </w:r>
          </w:p>
        </w:tc>
        <w:tc>
          <w:tcPr>
            <w:tcW w:w="1134"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600.384</w:t>
            </w:r>
          </w:p>
        </w:tc>
        <w:tc>
          <w:tcPr>
            <w:tcW w:w="1129"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6.961.473</w:t>
            </w:r>
          </w:p>
        </w:tc>
        <w:tc>
          <w:tcPr>
            <w:tcW w:w="1281"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24.862</w:t>
            </w:r>
          </w:p>
        </w:tc>
      </w:tr>
      <w:tr w:rsidR="00F97AFD" w:rsidRPr="0094377F" w:rsidTr="0094377F">
        <w:trPr>
          <w:trHeight w:val="20"/>
        </w:trPr>
        <w:tc>
          <w:tcPr>
            <w:tcW w:w="2552" w:type="dxa"/>
            <w:shd w:val="clear" w:color="auto" w:fill="auto"/>
            <w:noWrap/>
            <w:vAlign w:val="bottom"/>
            <w:hideMark/>
          </w:tcPr>
          <w:p w:rsidR="00F97AFD" w:rsidRPr="0094377F" w:rsidRDefault="00F97AFD" w:rsidP="0094377F">
            <w:pPr>
              <w:rPr>
                <w:rFonts w:ascii="Times New Roman" w:hAnsi="Times New Roman"/>
                <w:b/>
                <w:bCs/>
                <w:i/>
                <w:iCs/>
                <w:color w:val="000000"/>
                <w:lang w:val="es-AR" w:eastAsia="es-AR"/>
              </w:rPr>
            </w:pPr>
            <w:r>
              <w:rPr>
                <w:rFonts w:ascii="Times New Roman" w:hAnsi="Times New Roman"/>
                <w:b/>
                <w:bCs/>
                <w:i/>
                <w:iCs/>
                <w:color w:val="000000"/>
                <w:lang w:val="es-AR" w:eastAsia="es-AR"/>
              </w:rPr>
              <w:t>T</w:t>
            </w:r>
            <w:r w:rsidRPr="0094377F">
              <w:rPr>
                <w:rFonts w:ascii="Times New Roman" w:hAnsi="Times New Roman"/>
                <w:b/>
                <w:bCs/>
                <w:i/>
                <w:iCs/>
                <w:color w:val="000000"/>
                <w:lang w:val="es-AR" w:eastAsia="es-AR"/>
              </w:rPr>
              <w:t>otal</w:t>
            </w:r>
          </w:p>
        </w:tc>
        <w:tc>
          <w:tcPr>
            <w:tcW w:w="1276" w:type="dxa"/>
            <w:shd w:val="clear" w:color="auto" w:fill="auto"/>
            <w:noWrap/>
            <w:vAlign w:val="bottom"/>
            <w:hideMark/>
          </w:tcPr>
          <w:p w:rsidR="00F97AFD" w:rsidRPr="00F97AFD" w:rsidRDefault="00F97AFD">
            <w:pPr>
              <w:jc w:val="right"/>
              <w:rPr>
                <w:rFonts w:ascii="Times New Roman" w:hAnsi="Times New Roman"/>
                <w:b/>
                <w:bCs/>
                <w:i/>
                <w:iCs/>
                <w:color w:val="000000"/>
                <w:sz w:val="24"/>
                <w:szCs w:val="24"/>
              </w:rPr>
            </w:pPr>
            <w:r w:rsidRPr="00F97AFD">
              <w:rPr>
                <w:rFonts w:ascii="Times New Roman" w:hAnsi="Times New Roman"/>
                <w:b/>
                <w:bCs/>
                <w:i/>
                <w:iCs/>
                <w:color w:val="000000"/>
              </w:rPr>
              <w:t>16.461.495</w:t>
            </w:r>
          </w:p>
        </w:tc>
        <w:tc>
          <w:tcPr>
            <w:tcW w:w="1134" w:type="dxa"/>
            <w:shd w:val="clear" w:color="auto" w:fill="auto"/>
            <w:noWrap/>
            <w:vAlign w:val="bottom"/>
            <w:hideMark/>
          </w:tcPr>
          <w:p w:rsidR="00F97AFD" w:rsidRPr="00F97AFD" w:rsidRDefault="00F97AFD">
            <w:pPr>
              <w:jc w:val="right"/>
              <w:rPr>
                <w:rFonts w:ascii="Times New Roman" w:hAnsi="Times New Roman"/>
                <w:b/>
                <w:bCs/>
                <w:i/>
                <w:iCs/>
                <w:color w:val="000000"/>
                <w:sz w:val="24"/>
                <w:szCs w:val="24"/>
              </w:rPr>
            </w:pPr>
            <w:r w:rsidRPr="00F97AFD">
              <w:rPr>
                <w:rFonts w:ascii="Times New Roman" w:hAnsi="Times New Roman"/>
                <w:b/>
                <w:bCs/>
                <w:i/>
                <w:iCs/>
                <w:color w:val="000000"/>
              </w:rPr>
              <w:t>1.316.840</w:t>
            </w:r>
          </w:p>
        </w:tc>
        <w:tc>
          <w:tcPr>
            <w:tcW w:w="1134" w:type="dxa"/>
            <w:shd w:val="clear" w:color="auto" w:fill="auto"/>
            <w:noWrap/>
            <w:vAlign w:val="bottom"/>
            <w:hideMark/>
          </w:tcPr>
          <w:p w:rsidR="00F97AFD" w:rsidRPr="00F97AFD" w:rsidRDefault="00F97AFD">
            <w:pPr>
              <w:jc w:val="right"/>
              <w:rPr>
                <w:rFonts w:ascii="Times New Roman" w:hAnsi="Times New Roman"/>
                <w:b/>
                <w:bCs/>
                <w:i/>
                <w:iCs/>
                <w:color w:val="000000"/>
                <w:sz w:val="24"/>
                <w:szCs w:val="24"/>
              </w:rPr>
            </w:pPr>
            <w:r w:rsidRPr="00F97AFD">
              <w:rPr>
                <w:rFonts w:ascii="Times New Roman" w:hAnsi="Times New Roman"/>
                <w:b/>
                <w:bCs/>
                <w:i/>
                <w:iCs/>
                <w:color w:val="000000"/>
              </w:rPr>
              <w:t>1.610.528</w:t>
            </w:r>
          </w:p>
        </w:tc>
        <w:tc>
          <w:tcPr>
            <w:tcW w:w="1129" w:type="dxa"/>
            <w:shd w:val="clear" w:color="auto" w:fill="auto"/>
            <w:noWrap/>
            <w:vAlign w:val="bottom"/>
            <w:hideMark/>
          </w:tcPr>
          <w:p w:rsidR="00F97AFD" w:rsidRPr="00F97AFD" w:rsidRDefault="00F97AFD">
            <w:pPr>
              <w:jc w:val="right"/>
              <w:rPr>
                <w:rFonts w:ascii="Times New Roman" w:hAnsi="Times New Roman"/>
                <w:b/>
                <w:bCs/>
                <w:i/>
                <w:iCs/>
                <w:color w:val="000000"/>
                <w:sz w:val="24"/>
                <w:szCs w:val="24"/>
              </w:rPr>
            </w:pPr>
            <w:r w:rsidRPr="00F97AFD">
              <w:rPr>
                <w:rFonts w:ascii="Times New Roman" w:hAnsi="Times New Roman"/>
                <w:b/>
                <w:bCs/>
                <w:i/>
                <w:iCs/>
                <w:color w:val="000000"/>
              </w:rPr>
              <w:t>19.388.863</w:t>
            </w:r>
          </w:p>
        </w:tc>
        <w:tc>
          <w:tcPr>
            <w:tcW w:w="1281" w:type="dxa"/>
            <w:shd w:val="clear" w:color="000000" w:fill="FFFFFF"/>
            <w:noWrap/>
            <w:vAlign w:val="bottom"/>
            <w:hideMark/>
          </w:tcPr>
          <w:p w:rsidR="00F97AFD" w:rsidRPr="00F97AFD" w:rsidRDefault="00F97AFD">
            <w:pPr>
              <w:jc w:val="right"/>
              <w:rPr>
                <w:rFonts w:ascii="Times New Roman" w:hAnsi="Times New Roman"/>
                <w:color w:val="000000"/>
                <w:sz w:val="24"/>
                <w:szCs w:val="24"/>
              </w:rPr>
            </w:pPr>
            <w:r w:rsidRPr="00F97AFD">
              <w:rPr>
                <w:rFonts w:ascii="Times New Roman" w:hAnsi="Times New Roman"/>
                <w:color w:val="000000"/>
              </w:rPr>
              <w:t>19.408</w:t>
            </w:r>
          </w:p>
        </w:tc>
      </w:tr>
    </w:tbl>
    <w:p w:rsidR="002E51DF" w:rsidRPr="00D70CC7" w:rsidRDefault="002E51DF" w:rsidP="00D70CC7">
      <w:pPr>
        <w:rPr>
          <w:rFonts w:ascii="Times New Roman" w:hAnsi="Times New Roman"/>
          <w:bCs/>
          <w:sz w:val="24"/>
          <w:szCs w:val="24"/>
          <w:lang w:val="es-ES_tradnl"/>
        </w:rPr>
      </w:pPr>
    </w:p>
    <w:p w:rsidR="00C67A16" w:rsidRPr="001145D5" w:rsidRDefault="00C67A16" w:rsidP="001145D5">
      <w:pPr>
        <w:numPr>
          <w:ilvl w:val="1"/>
          <w:numId w:val="10"/>
        </w:numPr>
        <w:autoSpaceDE w:val="0"/>
        <w:autoSpaceDN w:val="0"/>
        <w:adjustRightInd w:val="0"/>
        <w:ind w:left="426"/>
        <w:jc w:val="both"/>
        <w:rPr>
          <w:rFonts w:ascii="Times New Roman" w:hAnsi="Times New Roman"/>
          <w:bCs/>
          <w:sz w:val="24"/>
          <w:szCs w:val="24"/>
          <w:lang w:val="es-ES_tradnl"/>
        </w:rPr>
      </w:pPr>
      <w:r w:rsidRPr="001145D5">
        <w:rPr>
          <w:rFonts w:ascii="Times New Roman" w:hAnsi="Times New Roman"/>
          <w:bCs/>
          <w:sz w:val="24"/>
          <w:szCs w:val="24"/>
          <w:lang w:val="es-ES_tradnl"/>
        </w:rPr>
        <w:t>Aunque los proyectos del</w:t>
      </w:r>
      <w:r w:rsidR="004E3847">
        <w:rPr>
          <w:rFonts w:ascii="Times New Roman" w:hAnsi="Times New Roman"/>
          <w:bCs/>
          <w:sz w:val="24"/>
          <w:szCs w:val="24"/>
          <w:lang w:val="es-ES_tradnl"/>
        </w:rPr>
        <w:t xml:space="preserve"> programa típicamente suponen </w:t>
      </w:r>
      <w:r w:rsidRPr="001145D5">
        <w:rPr>
          <w:rFonts w:ascii="Times New Roman" w:hAnsi="Times New Roman"/>
          <w:bCs/>
          <w:sz w:val="24"/>
          <w:szCs w:val="24"/>
          <w:lang w:val="es-ES_tradnl"/>
        </w:rPr>
        <w:t xml:space="preserve">plazos de ejecución de las obras de </w:t>
      </w:r>
      <w:r w:rsidR="00924FCB">
        <w:rPr>
          <w:rFonts w:ascii="Times New Roman" w:hAnsi="Times New Roman"/>
          <w:bCs/>
          <w:sz w:val="24"/>
          <w:szCs w:val="24"/>
          <w:lang w:val="es-ES_tradnl"/>
        </w:rPr>
        <w:t>18 meses</w:t>
      </w:r>
      <w:r w:rsidR="00924FCB">
        <w:rPr>
          <w:rStyle w:val="FootnoteReference"/>
          <w:rFonts w:ascii="Times New Roman" w:hAnsi="Times New Roman"/>
          <w:bCs/>
          <w:sz w:val="24"/>
          <w:szCs w:val="24"/>
          <w:lang w:val="es-ES_tradnl"/>
        </w:rPr>
        <w:footnoteReference w:id="21"/>
      </w:r>
      <w:r w:rsidR="00924FCB">
        <w:rPr>
          <w:rFonts w:ascii="Times New Roman" w:hAnsi="Times New Roman"/>
          <w:bCs/>
          <w:sz w:val="24"/>
          <w:szCs w:val="24"/>
          <w:lang w:val="es-ES_tradnl"/>
        </w:rPr>
        <w:t>,</w:t>
      </w:r>
      <w:r w:rsidRPr="001145D5">
        <w:rPr>
          <w:rFonts w:ascii="Times New Roman" w:hAnsi="Times New Roman"/>
          <w:bCs/>
          <w:sz w:val="24"/>
          <w:szCs w:val="24"/>
          <w:lang w:val="es-ES_tradnl"/>
        </w:rPr>
        <w:t xml:space="preserve"> se </w:t>
      </w:r>
      <w:r w:rsidR="00924FCB">
        <w:rPr>
          <w:rFonts w:ascii="Times New Roman" w:hAnsi="Times New Roman"/>
          <w:bCs/>
          <w:sz w:val="24"/>
          <w:szCs w:val="24"/>
          <w:lang w:val="es-ES_tradnl"/>
        </w:rPr>
        <w:t xml:space="preserve">supuso </w:t>
      </w:r>
      <w:r w:rsidRPr="001145D5">
        <w:rPr>
          <w:rFonts w:ascii="Times New Roman" w:hAnsi="Times New Roman"/>
          <w:bCs/>
          <w:sz w:val="24"/>
          <w:szCs w:val="24"/>
          <w:lang w:val="es-ES_tradnl"/>
        </w:rPr>
        <w:t xml:space="preserve">que las inversiones se realizan </w:t>
      </w:r>
      <w:r w:rsidR="00924FCB">
        <w:rPr>
          <w:rFonts w:ascii="Times New Roman" w:hAnsi="Times New Roman"/>
          <w:bCs/>
          <w:sz w:val="24"/>
          <w:szCs w:val="24"/>
          <w:lang w:val="es-ES_tradnl"/>
        </w:rPr>
        <w:t>a lo largo de dos años</w:t>
      </w:r>
      <w:r w:rsidR="00AF5D7A">
        <w:rPr>
          <w:rFonts w:ascii="Times New Roman" w:hAnsi="Times New Roman"/>
          <w:bCs/>
          <w:sz w:val="24"/>
          <w:szCs w:val="24"/>
          <w:lang w:val="es-ES_tradnl"/>
        </w:rPr>
        <w:t xml:space="preserve"> completos</w:t>
      </w:r>
      <w:r w:rsidR="00924FCB">
        <w:rPr>
          <w:rFonts w:ascii="Times New Roman" w:hAnsi="Times New Roman"/>
          <w:bCs/>
          <w:sz w:val="24"/>
          <w:szCs w:val="24"/>
          <w:lang w:val="es-ES_tradnl"/>
        </w:rPr>
        <w:t xml:space="preserve">, lo que implicaría </w:t>
      </w:r>
      <w:r w:rsidRPr="001145D5">
        <w:rPr>
          <w:rFonts w:ascii="Times New Roman" w:hAnsi="Times New Roman"/>
          <w:bCs/>
          <w:sz w:val="24"/>
          <w:szCs w:val="24"/>
          <w:lang w:val="es-ES_tradnl"/>
        </w:rPr>
        <w:t xml:space="preserve">una </w:t>
      </w:r>
      <w:r w:rsidR="00924FCB">
        <w:rPr>
          <w:rFonts w:ascii="Times New Roman" w:hAnsi="Times New Roman"/>
          <w:bCs/>
          <w:sz w:val="24"/>
          <w:szCs w:val="24"/>
          <w:lang w:val="es-ES_tradnl"/>
        </w:rPr>
        <w:t xml:space="preserve">pequeña </w:t>
      </w:r>
      <w:r w:rsidRPr="001145D5">
        <w:rPr>
          <w:rFonts w:ascii="Times New Roman" w:hAnsi="Times New Roman"/>
          <w:bCs/>
          <w:sz w:val="24"/>
          <w:szCs w:val="24"/>
          <w:lang w:val="es-ES_tradnl"/>
        </w:rPr>
        <w:t>subestimación de la rentabilidad de los proyectos de la muestra.</w:t>
      </w:r>
    </w:p>
    <w:p w:rsidR="00C67A16" w:rsidRPr="00DC73F9" w:rsidRDefault="00C67A16" w:rsidP="00C67A16">
      <w:pPr>
        <w:autoSpaceDE w:val="0"/>
        <w:autoSpaceDN w:val="0"/>
        <w:adjustRightInd w:val="0"/>
        <w:jc w:val="both"/>
        <w:rPr>
          <w:rFonts w:ascii="Times New Roman" w:hAnsi="Times New Roman"/>
          <w:bCs/>
          <w:lang w:val="es-ES_tradnl"/>
        </w:rPr>
      </w:pPr>
    </w:p>
    <w:p w:rsidR="008A1B46" w:rsidRPr="00DC73F9" w:rsidRDefault="008A1B46" w:rsidP="000F5A9B">
      <w:pPr>
        <w:rPr>
          <w:rFonts w:ascii="Times New Roman" w:hAnsi="Times New Roman"/>
          <w:lang w:val="es-ES_tradnl"/>
        </w:rPr>
      </w:pPr>
    </w:p>
    <w:p w:rsidR="0064261D" w:rsidRPr="008A1B46" w:rsidRDefault="0064261D" w:rsidP="008A1B46">
      <w:pPr>
        <w:pStyle w:val="Heading1"/>
        <w:numPr>
          <w:ilvl w:val="0"/>
          <w:numId w:val="10"/>
        </w:numPr>
        <w:jc w:val="left"/>
        <w:rPr>
          <w:i w:val="0"/>
          <w:sz w:val="24"/>
          <w:szCs w:val="24"/>
        </w:rPr>
      </w:pPr>
      <w:bookmarkStart w:id="11" w:name="_Toc339982343"/>
      <w:bookmarkStart w:id="12" w:name="_Toc366836879"/>
      <w:r w:rsidRPr="008A1B46">
        <w:rPr>
          <w:i w:val="0"/>
          <w:sz w:val="24"/>
          <w:szCs w:val="24"/>
        </w:rPr>
        <w:t xml:space="preserve">Resultados de Evaluación </w:t>
      </w:r>
      <w:r w:rsidR="00430CFE" w:rsidRPr="008A1B46">
        <w:rPr>
          <w:i w:val="0"/>
          <w:sz w:val="24"/>
          <w:szCs w:val="24"/>
        </w:rPr>
        <w:t>Económica</w:t>
      </w:r>
      <w:r w:rsidRPr="008A1B46">
        <w:rPr>
          <w:i w:val="0"/>
          <w:sz w:val="24"/>
          <w:szCs w:val="24"/>
        </w:rPr>
        <w:t>.</w:t>
      </w:r>
      <w:bookmarkEnd w:id="11"/>
      <w:bookmarkEnd w:id="12"/>
    </w:p>
    <w:p w:rsidR="00DA1F73" w:rsidRPr="00DC73F9" w:rsidRDefault="00DA1F73" w:rsidP="00DA1F73">
      <w:pPr>
        <w:tabs>
          <w:tab w:val="num" w:pos="958"/>
        </w:tabs>
        <w:jc w:val="both"/>
        <w:rPr>
          <w:rFonts w:ascii="Times New Roman" w:hAnsi="Times New Roman"/>
          <w:bCs/>
          <w:lang w:val="es-ES" w:eastAsia="es-ES_tradnl"/>
        </w:rPr>
      </w:pPr>
    </w:p>
    <w:p w:rsidR="00CB60B4" w:rsidRDefault="00DA1F73" w:rsidP="00D70CC7">
      <w:pPr>
        <w:numPr>
          <w:ilvl w:val="1"/>
          <w:numId w:val="10"/>
        </w:numPr>
        <w:autoSpaceDE w:val="0"/>
        <w:autoSpaceDN w:val="0"/>
        <w:adjustRightInd w:val="0"/>
        <w:ind w:left="426"/>
        <w:jc w:val="both"/>
        <w:rPr>
          <w:rFonts w:ascii="Times New Roman" w:hAnsi="Times New Roman"/>
          <w:bCs/>
          <w:sz w:val="24"/>
          <w:szCs w:val="24"/>
          <w:lang w:val="es-ES_tradnl"/>
        </w:rPr>
      </w:pPr>
      <w:r w:rsidRPr="00D70CC7">
        <w:rPr>
          <w:rFonts w:ascii="Times New Roman" w:hAnsi="Times New Roman"/>
          <w:bCs/>
          <w:sz w:val="24"/>
          <w:szCs w:val="24"/>
          <w:lang w:val="es-ES_tradnl"/>
        </w:rPr>
        <w:t xml:space="preserve">Bajo los supuestos </w:t>
      </w:r>
      <w:r w:rsidR="0065680F" w:rsidRPr="00D70CC7">
        <w:rPr>
          <w:rFonts w:ascii="Times New Roman" w:hAnsi="Times New Roman"/>
          <w:bCs/>
          <w:sz w:val="24"/>
          <w:szCs w:val="24"/>
          <w:lang w:val="es-ES_tradnl"/>
        </w:rPr>
        <w:t xml:space="preserve">y estimaciones </w:t>
      </w:r>
      <w:r w:rsidR="00594619" w:rsidRPr="00D70CC7">
        <w:rPr>
          <w:rFonts w:ascii="Times New Roman" w:hAnsi="Times New Roman"/>
          <w:bCs/>
          <w:sz w:val="24"/>
          <w:szCs w:val="24"/>
          <w:lang w:val="es-ES_tradnl"/>
        </w:rPr>
        <w:t>anteriormente analizadas</w:t>
      </w:r>
      <w:r w:rsidR="0065680F" w:rsidRPr="00D70CC7">
        <w:rPr>
          <w:rFonts w:ascii="Times New Roman" w:hAnsi="Times New Roman"/>
          <w:bCs/>
          <w:sz w:val="24"/>
          <w:szCs w:val="24"/>
          <w:lang w:val="es-ES_tradnl"/>
        </w:rPr>
        <w:t>, el</w:t>
      </w:r>
      <w:r w:rsidRPr="00D70CC7">
        <w:rPr>
          <w:rFonts w:ascii="Times New Roman" w:hAnsi="Times New Roman"/>
          <w:bCs/>
          <w:sz w:val="24"/>
          <w:szCs w:val="24"/>
          <w:lang w:val="es-ES_tradnl"/>
        </w:rPr>
        <w:t xml:space="preserve"> </w:t>
      </w:r>
      <w:r w:rsidR="00413AC7" w:rsidRPr="00D70CC7">
        <w:rPr>
          <w:rFonts w:ascii="Times New Roman" w:hAnsi="Times New Roman"/>
          <w:bCs/>
          <w:sz w:val="24"/>
          <w:szCs w:val="24"/>
          <w:lang w:val="es-ES_tradnl"/>
        </w:rPr>
        <w:t xml:space="preserve">VAN de los beneficios de la muestra de proyectos </w:t>
      </w:r>
      <w:r w:rsidR="001709D7">
        <w:rPr>
          <w:rFonts w:ascii="Times New Roman" w:hAnsi="Times New Roman"/>
          <w:bCs/>
          <w:sz w:val="24"/>
          <w:szCs w:val="24"/>
          <w:lang w:val="es-ES_tradnl"/>
        </w:rPr>
        <w:t xml:space="preserve">alcanzo a </w:t>
      </w:r>
      <w:r w:rsidR="00413AC7" w:rsidRPr="00D70CC7">
        <w:rPr>
          <w:rFonts w:ascii="Times New Roman" w:hAnsi="Times New Roman"/>
          <w:bCs/>
          <w:sz w:val="24"/>
          <w:szCs w:val="24"/>
          <w:lang w:val="es-ES_tradnl"/>
        </w:rPr>
        <w:t>U</w:t>
      </w:r>
      <w:r w:rsidR="001709D7">
        <w:rPr>
          <w:rFonts w:ascii="Times New Roman" w:hAnsi="Times New Roman"/>
          <w:bCs/>
          <w:sz w:val="24"/>
          <w:szCs w:val="24"/>
          <w:lang w:val="es-ES_tradnl"/>
        </w:rPr>
        <w:t>$</w:t>
      </w:r>
      <w:r w:rsidR="00413AC7" w:rsidRPr="00D70CC7">
        <w:rPr>
          <w:rFonts w:ascii="Times New Roman" w:hAnsi="Times New Roman"/>
          <w:bCs/>
          <w:sz w:val="24"/>
          <w:szCs w:val="24"/>
          <w:lang w:val="es-ES_tradnl"/>
        </w:rPr>
        <w:t>S</w:t>
      </w:r>
      <w:r w:rsidR="00EF71FF" w:rsidRPr="00D70CC7">
        <w:rPr>
          <w:rFonts w:ascii="Times New Roman" w:hAnsi="Times New Roman"/>
          <w:bCs/>
          <w:sz w:val="24"/>
          <w:szCs w:val="24"/>
          <w:lang w:val="es-ES_tradnl"/>
        </w:rPr>
        <w:t xml:space="preserve"> </w:t>
      </w:r>
      <w:r w:rsidR="00FE3011" w:rsidRPr="00D70CC7">
        <w:rPr>
          <w:rFonts w:ascii="Times New Roman" w:hAnsi="Times New Roman"/>
          <w:bCs/>
          <w:sz w:val="24"/>
          <w:szCs w:val="24"/>
          <w:lang w:val="es-ES_tradnl"/>
        </w:rPr>
        <w:t>1</w:t>
      </w:r>
      <w:r w:rsidR="00081504" w:rsidRPr="00D70CC7">
        <w:rPr>
          <w:rFonts w:ascii="Times New Roman" w:hAnsi="Times New Roman"/>
          <w:bCs/>
          <w:sz w:val="24"/>
          <w:szCs w:val="24"/>
          <w:lang w:val="es-ES_tradnl"/>
        </w:rPr>
        <w:t>,</w:t>
      </w:r>
      <w:r w:rsidR="00AF5D7A">
        <w:rPr>
          <w:rFonts w:ascii="Times New Roman" w:hAnsi="Times New Roman"/>
          <w:bCs/>
          <w:sz w:val="24"/>
          <w:szCs w:val="24"/>
          <w:lang w:val="es-ES_tradnl"/>
        </w:rPr>
        <w:t>9</w:t>
      </w:r>
      <w:r w:rsidR="005B2818" w:rsidRPr="00D70CC7">
        <w:rPr>
          <w:rFonts w:ascii="Times New Roman" w:hAnsi="Times New Roman"/>
          <w:bCs/>
          <w:sz w:val="24"/>
          <w:szCs w:val="24"/>
          <w:lang w:val="es-ES_tradnl"/>
        </w:rPr>
        <w:t xml:space="preserve"> </w:t>
      </w:r>
      <w:r w:rsidR="00081504" w:rsidRPr="00D70CC7">
        <w:rPr>
          <w:rFonts w:ascii="Times New Roman" w:hAnsi="Times New Roman"/>
          <w:bCs/>
          <w:sz w:val="24"/>
          <w:szCs w:val="24"/>
          <w:lang w:val="es-ES_tradnl"/>
        </w:rPr>
        <w:t>millones</w:t>
      </w:r>
      <w:r w:rsidR="001709D7">
        <w:rPr>
          <w:rFonts w:ascii="Times New Roman" w:hAnsi="Times New Roman"/>
          <w:bCs/>
          <w:sz w:val="24"/>
          <w:szCs w:val="24"/>
          <w:lang w:val="es-ES_tradnl"/>
        </w:rPr>
        <w:t>, con una tasa interna de retorno económico del</w:t>
      </w:r>
      <w:r w:rsidR="005B2818" w:rsidRPr="00D70CC7">
        <w:rPr>
          <w:rFonts w:ascii="Times New Roman" w:hAnsi="Times New Roman"/>
          <w:bCs/>
          <w:sz w:val="24"/>
          <w:szCs w:val="24"/>
          <w:lang w:val="es-ES_tradnl"/>
        </w:rPr>
        <w:t xml:space="preserve"> </w:t>
      </w:r>
      <w:r w:rsidR="00081504" w:rsidRPr="00D70CC7">
        <w:rPr>
          <w:rFonts w:ascii="Times New Roman" w:hAnsi="Times New Roman"/>
          <w:bCs/>
          <w:sz w:val="24"/>
          <w:szCs w:val="24"/>
          <w:lang w:val="es-ES_tradnl"/>
        </w:rPr>
        <w:t>4</w:t>
      </w:r>
      <w:r w:rsidR="00AF5D7A">
        <w:rPr>
          <w:rFonts w:ascii="Times New Roman" w:hAnsi="Times New Roman"/>
          <w:bCs/>
          <w:sz w:val="24"/>
          <w:szCs w:val="24"/>
          <w:lang w:val="es-ES_tradnl"/>
        </w:rPr>
        <w:t>9</w:t>
      </w:r>
      <w:r w:rsidR="00FE3011" w:rsidRPr="00D70CC7">
        <w:rPr>
          <w:rFonts w:ascii="Times New Roman" w:hAnsi="Times New Roman"/>
          <w:bCs/>
          <w:sz w:val="24"/>
          <w:szCs w:val="24"/>
          <w:lang w:val="es-ES_tradnl"/>
        </w:rPr>
        <w:t>%</w:t>
      </w:r>
      <w:r w:rsidR="00352E55" w:rsidRPr="00D70CC7">
        <w:rPr>
          <w:rFonts w:ascii="Times New Roman" w:hAnsi="Times New Roman"/>
          <w:bCs/>
          <w:sz w:val="24"/>
          <w:szCs w:val="24"/>
          <w:lang w:val="es-ES_tradnl"/>
        </w:rPr>
        <w:t>.</w:t>
      </w:r>
    </w:p>
    <w:p w:rsidR="001709D7" w:rsidRDefault="001709D7" w:rsidP="001709D7">
      <w:pPr>
        <w:autoSpaceDE w:val="0"/>
        <w:autoSpaceDN w:val="0"/>
        <w:adjustRightInd w:val="0"/>
        <w:jc w:val="both"/>
        <w:rPr>
          <w:rFonts w:ascii="Times New Roman" w:hAnsi="Times New Roman"/>
          <w:bCs/>
          <w:sz w:val="24"/>
          <w:szCs w:val="24"/>
          <w:lang w:val="es-ES_tradnl"/>
        </w:rPr>
      </w:pPr>
    </w:p>
    <w:p w:rsidR="001709D7" w:rsidRPr="001709D7" w:rsidRDefault="001709D7" w:rsidP="00F46B6F">
      <w:pPr>
        <w:pStyle w:val="ListParagraph"/>
        <w:ind w:left="0"/>
        <w:jc w:val="center"/>
        <w:rPr>
          <w:rFonts w:ascii="Times New Roman" w:hAnsi="Times New Roman"/>
          <w:b/>
          <w:lang w:val="es-ES_tradnl"/>
        </w:rPr>
      </w:pPr>
      <w:r w:rsidRPr="001709D7">
        <w:rPr>
          <w:rFonts w:ascii="Times New Roman" w:hAnsi="Times New Roman"/>
          <w:b/>
          <w:lang w:val="es-ES_tradnl"/>
        </w:rPr>
        <w:t>Tabla I</w:t>
      </w:r>
      <w:r w:rsidR="00727C2A">
        <w:rPr>
          <w:rFonts w:ascii="Times New Roman" w:hAnsi="Times New Roman"/>
          <w:b/>
          <w:lang w:val="es-ES_tradnl"/>
        </w:rPr>
        <w:t>X</w:t>
      </w:r>
      <w:r w:rsidRPr="001709D7">
        <w:rPr>
          <w:rFonts w:ascii="Times New Roman" w:hAnsi="Times New Roman"/>
          <w:b/>
          <w:lang w:val="es-ES_tradnl"/>
        </w:rPr>
        <w:t>: Rentabilidad Esperada. Valores de eficiencia, en miles de U$S de junio de 2013</w:t>
      </w:r>
    </w:p>
    <w:tbl>
      <w:tblPr>
        <w:tblW w:w="7607" w:type="dxa"/>
        <w:tblInd w:w="496"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693"/>
        <w:gridCol w:w="1229"/>
        <w:gridCol w:w="1229"/>
        <w:gridCol w:w="1228"/>
        <w:gridCol w:w="1228"/>
      </w:tblGrid>
      <w:tr w:rsidR="00F46B6F" w:rsidRPr="00DD79F4" w:rsidTr="00F46B6F">
        <w:trPr>
          <w:trHeight w:val="251"/>
        </w:trPr>
        <w:tc>
          <w:tcPr>
            <w:tcW w:w="2693" w:type="dxa"/>
            <w:shd w:val="clear" w:color="auto" w:fill="auto"/>
            <w:noWrap/>
            <w:vAlign w:val="bottom"/>
            <w:hideMark/>
          </w:tcPr>
          <w:p w:rsidR="00F46B6F" w:rsidRPr="00D70CC7" w:rsidRDefault="00F46B6F" w:rsidP="00D70CC7">
            <w:pPr>
              <w:jc w:val="center"/>
              <w:rPr>
                <w:rFonts w:ascii="Times New Roman" w:hAnsi="Times New Roman"/>
                <w:lang w:val="es-AR" w:eastAsia="es-AR"/>
              </w:rPr>
            </w:pPr>
            <w:bookmarkStart w:id="13" w:name="_Ref334991411"/>
            <w:r w:rsidRPr="00D70CC7">
              <w:rPr>
                <w:rFonts w:ascii="Times New Roman" w:hAnsi="Times New Roman"/>
                <w:color w:val="000000"/>
                <w:lang w:val="es-AR" w:eastAsia="es-AR"/>
              </w:rPr>
              <w:t>Barrio</w:t>
            </w:r>
          </w:p>
        </w:tc>
        <w:tc>
          <w:tcPr>
            <w:tcW w:w="1229" w:type="dxa"/>
            <w:shd w:val="clear" w:color="auto" w:fill="auto"/>
            <w:vAlign w:val="center"/>
            <w:hideMark/>
          </w:tcPr>
          <w:p w:rsidR="00F46B6F" w:rsidRPr="00D70CC7" w:rsidRDefault="00F46B6F" w:rsidP="001709D7">
            <w:pPr>
              <w:jc w:val="center"/>
              <w:rPr>
                <w:rFonts w:ascii="Times New Roman" w:hAnsi="Times New Roman"/>
                <w:color w:val="000000"/>
                <w:lang w:val="es-AR" w:eastAsia="es-AR"/>
              </w:rPr>
            </w:pPr>
            <w:r w:rsidRPr="00D70CC7">
              <w:rPr>
                <w:rFonts w:ascii="Times New Roman" w:hAnsi="Times New Roman"/>
                <w:color w:val="000000"/>
                <w:lang w:val="es-AR" w:eastAsia="es-AR"/>
              </w:rPr>
              <w:t>Costos</w:t>
            </w:r>
          </w:p>
        </w:tc>
        <w:tc>
          <w:tcPr>
            <w:tcW w:w="1229" w:type="dxa"/>
            <w:shd w:val="clear" w:color="auto" w:fill="auto"/>
            <w:vAlign w:val="center"/>
            <w:hideMark/>
          </w:tcPr>
          <w:p w:rsidR="00F46B6F" w:rsidRPr="00D70CC7" w:rsidRDefault="00F46B6F" w:rsidP="00D70CC7">
            <w:pPr>
              <w:jc w:val="center"/>
              <w:rPr>
                <w:rFonts w:ascii="Times New Roman" w:hAnsi="Times New Roman"/>
                <w:color w:val="000000"/>
                <w:lang w:val="es-AR" w:eastAsia="es-AR"/>
              </w:rPr>
            </w:pPr>
            <w:r w:rsidRPr="00D70CC7">
              <w:rPr>
                <w:rFonts w:ascii="Times New Roman" w:hAnsi="Times New Roman"/>
                <w:color w:val="000000"/>
                <w:lang w:val="es-AR" w:eastAsia="es-AR"/>
              </w:rPr>
              <w:t>Beneficio</w:t>
            </w:r>
            <w:r w:rsidRPr="00DD79F4">
              <w:rPr>
                <w:rFonts w:ascii="Times New Roman" w:hAnsi="Times New Roman"/>
                <w:color w:val="000000"/>
                <w:lang w:val="es-AR" w:eastAsia="es-AR"/>
              </w:rPr>
              <w:t>s</w:t>
            </w:r>
          </w:p>
        </w:tc>
        <w:tc>
          <w:tcPr>
            <w:tcW w:w="1228" w:type="dxa"/>
            <w:shd w:val="clear" w:color="auto" w:fill="auto"/>
            <w:vAlign w:val="center"/>
            <w:hideMark/>
          </w:tcPr>
          <w:p w:rsidR="00F46B6F" w:rsidRPr="00D70CC7" w:rsidRDefault="00F46B6F" w:rsidP="00D70CC7">
            <w:pPr>
              <w:jc w:val="center"/>
              <w:rPr>
                <w:rFonts w:ascii="Times New Roman" w:hAnsi="Times New Roman"/>
                <w:color w:val="000000"/>
                <w:lang w:val="es-AR" w:eastAsia="es-AR"/>
              </w:rPr>
            </w:pPr>
            <w:r w:rsidRPr="00D70CC7">
              <w:rPr>
                <w:rFonts w:ascii="Times New Roman" w:hAnsi="Times New Roman"/>
                <w:color w:val="000000"/>
                <w:lang w:val="es-AR" w:eastAsia="es-AR"/>
              </w:rPr>
              <w:t>VAN</w:t>
            </w:r>
          </w:p>
        </w:tc>
        <w:tc>
          <w:tcPr>
            <w:tcW w:w="1228" w:type="dxa"/>
            <w:shd w:val="clear" w:color="auto" w:fill="auto"/>
            <w:vAlign w:val="center"/>
            <w:hideMark/>
          </w:tcPr>
          <w:p w:rsidR="00F46B6F" w:rsidRPr="00D70CC7" w:rsidRDefault="00F46B6F" w:rsidP="00D70CC7">
            <w:pPr>
              <w:jc w:val="center"/>
              <w:rPr>
                <w:rFonts w:ascii="Times New Roman" w:hAnsi="Times New Roman"/>
                <w:color w:val="000000"/>
                <w:lang w:val="es-AR" w:eastAsia="es-AR"/>
              </w:rPr>
            </w:pPr>
            <w:r w:rsidRPr="00D70CC7">
              <w:rPr>
                <w:rFonts w:ascii="Times New Roman" w:hAnsi="Times New Roman"/>
                <w:color w:val="000000"/>
                <w:lang w:val="es-AR" w:eastAsia="es-AR"/>
              </w:rPr>
              <w:t>TIR</w:t>
            </w:r>
          </w:p>
        </w:tc>
      </w:tr>
      <w:tr w:rsidR="00F97AFD" w:rsidRPr="00DD79F4" w:rsidTr="00F46B6F">
        <w:trPr>
          <w:trHeight w:val="300"/>
        </w:trPr>
        <w:tc>
          <w:tcPr>
            <w:tcW w:w="2693" w:type="dxa"/>
            <w:shd w:val="clear" w:color="auto" w:fill="auto"/>
            <w:vAlign w:val="bottom"/>
            <w:hideMark/>
          </w:tcPr>
          <w:p w:rsidR="00F97AFD" w:rsidRPr="00D70CC7" w:rsidRDefault="00F97AFD" w:rsidP="00D70CC7">
            <w:pPr>
              <w:rPr>
                <w:rFonts w:ascii="Times New Roman" w:hAnsi="Times New Roman"/>
                <w:color w:val="000000"/>
                <w:lang w:val="es-AR" w:eastAsia="es-AR"/>
              </w:rPr>
            </w:pPr>
            <w:r w:rsidRPr="00D70CC7">
              <w:rPr>
                <w:rFonts w:ascii="Times New Roman" w:hAnsi="Times New Roman"/>
                <w:color w:val="000000"/>
                <w:lang w:val="es-AR" w:eastAsia="es-AR"/>
              </w:rPr>
              <w:t>Vecinal 28-La Estrella</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1.496,8</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2.169,8</w:t>
            </w:r>
          </w:p>
        </w:tc>
        <w:tc>
          <w:tcPr>
            <w:tcW w:w="1228"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422,5</w:t>
            </w:r>
          </w:p>
        </w:tc>
        <w:tc>
          <w:tcPr>
            <w:tcW w:w="1228" w:type="dxa"/>
            <w:shd w:val="clear" w:color="auto" w:fill="auto"/>
            <w:noWrap/>
            <w:vAlign w:val="bottom"/>
            <w:hideMark/>
          </w:tcPr>
          <w:p w:rsidR="00F97AFD" w:rsidRPr="00F97AFD" w:rsidRDefault="00F97AFD" w:rsidP="00F97AFD">
            <w:pPr>
              <w:jc w:val="center"/>
              <w:rPr>
                <w:rFonts w:ascii="Times New Roman" w:hAnsi="Times New Roman"/>
              </w:rPr>
            </w:pPr>
            <w:r w:rsidRPr="00F97AFD">
              <w:rPr>
                <w:rFonts w:ascii="Times New Roman" w:hAnsi="Times New Roman"/>
              </w:rPr>
              <w:t>71%</w:t>
            </w:r>
          </w:p>
        </w:tc>
      </w:tr>
      <w:tr w:rsidR="00F97AFD" w:rsidRPr="00DD79F4" w:rsidTr="00F46B6F">
        <w:trPr>
          <w:trHeight w:val="300"/>
        </w:trPr>
        <w:tc>
          <w:tcPr>
            <w:tcW w:w="2693" w:type="dxa"/>
            <w:shd w:val="clear" w:color="auto" w:fill="auto"/>
            <w:vAlign w:val="bottom"/>
            <w:hideMark/>
          </w:tcPr>
          <w:p w:rsidR="00F97AFD" w:rsidRPr="00D70CC7" w:rsidRDefault="00F97AFD" w:rsidP="00D70CC7">
            <w:pPr>
              <w:rPr>
                <w:rFonts w:ascii="Times New Roman" w:hAnsi="Times New Roman"/>
                <w:color w:val="000000"/>
                <w:lang w:val="es-AR" w:eastAsia="es-AR"/>
              </w:rPr>
            </w:pPr>
            <w:r w:rsidRPr="00D70CC7">
              <w:rPr>
                <w:rFonts w:ascii="Times New Roman" w:hAnsi="Times New Roman"/>
                <w:color w:val="000000"/>
                <w:lang w:val="es-AR" w:eastAsia="es-AR"/>
              </w:rPr>
              <w:t>Anagualpo y Timote</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1.146,7</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1.590,1</w:t>
            </w:r>
          </w:p>
        </w:tc>
        <w:tc>
          <w:tcPr>
            <w:tcW w:w="1228"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252,6</w:t>
            </w:r>
          </w:p>
        </w:tc>
        <w:tc>
          <w:tcPr>
            <w:tcW w:w="1228" w:type="dxa"/>
            <w:shd w:val="clear" w:color="auto" w:fill="auto"/>
            <w:noWrap/>
            <w:vAlign w:val="bottom"/>
            <w:hideMark/>
          </w:tcPr>
          <w:p w:rsidR="00F97AFD" w:rsidRPr="00F97AFD" w:rsidRDefault="00F97AFD" w:rsidP="00F97AFD">
            <w:pPr>
              <w:jc w:val="center"/>
              <w:rPr>
                <w:rFonts w:ascii="Times New Roman" w:hAnsi="Times New Roman"/>
              </w:rPr>
            </w:pPr>
            <w:r w:rsidRPr="00F97AFD">
              <w:rPr>
                <w:rFonts w:ascii="Times New Roman" w:hAnsi="Times New Roman"/>
              </w:rPr>
              <w:t>54%</w:t>
            </w:r>
          </w:p>
        </w:tc>
      </w:tr>
      <w:tr w:rsidR="00F97AFD" w:rsidRPr="00DD79F4" w:rsidTr="00F46B6F">
        <w:trPr>
          <w:trHeight w:val="300"/>
        </w:trPr>
        <w:tc>
          <w:tcPr>
            <w:tcW w:w="2693" w:type="dxa"/>
            <w:shd w:val="clear" w:color="auto" w:fill="auto"/>
            <w:vAlign w:val="bottom"/>
            <w:hideMark/>
          </w:tcPr>
          <w:p w:rsidR="00F97AFD" w:rsidRPr="00D70CC7" w:rsidRDefault="00F97AFD" w:rsidP="00D70CC7">
            <w:pPr>
              <w:rPr>
                <w:rFonts w:ascii="Times New Roman" w:hAnsi="Times New Roman"/>
                <w:color w:val="000000"/>
                <w:lang w:val="es-AR" w:eastAsia="es-AR"/>
              </w:rPr>
            </w:pPr>
            <w:r w:rsidRPr="00D70CC7">
              <w:rPr>
                <w:rFonts w:ascii="Times New Roman" w:hAnsi="Times New Roman"/>
                <w:color w:val="000000"/>
                <w:lang w:val="es-AR" w:eastAsia="es-AR"/>
              </w:rPr>
              <w:t>Campichuelo-Itape</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1.729,7</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2.416,4</w:t>
            </w:r>
          </w:p>
        </w:tc>
        <w:tc>
          <w:tcPr>
            <w:tcW w:w="1228"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561,8</w:t>
            </w:r>
          </w:p>
        </w:tc>
        <w:tc>
          <w:tcPr>
            <w:tcW w:w="1228" w:type="dxa"/>
            <w:shd w:val="clear" w:color="auto" w:fill="auto"/>
            <w:noWrap/>
            <w:vAlign w:val="bottom"/>
            <w:hideMark/>
          </w:tcPr>
          <w:p w:rsidR="00F97AFD" w:rsidRPr="00F97AFD" w:rsidRDefault="00F97AFD" w:rsidP="00F97AFD">
            <w:pPr>
              <w:jc w:val="center"/>
              <w:rPr>
                <w:rFonts w:ascii="Times New Roman" w:hAnsi="Times New Roman"/>
              </w:rPr>
            </w:pPr>
            <w:r w:rsidRPr="00F97AFD">
              <w:rPr>
                <w:rFonts w:ascii="Times New Roman" w:hAnsi="Times New Roman"/>
              </w:rPr>
              <w:t>68%</w:t>
            </w:r>
          </w:p>
        </w:tc>
      </w:tr>
      <w:tr w:rsidR="00F97AFD" w:rsidRPr="00DD79F4" w:rsidTr="00F46B6F">
        <w:trPr>
          <w:trHeight w:val="300"/>
        </w:trPr>
        <w:tc>
          <w:tcPr>
            <w:tcW w:w="2693" w:type="dxa"/>
            <w:shd w:val="clear" w:color="auto" w:fill="auto"/>
            <w:vAlign w:val="bottom"/>
            <w:hideMark/>
          </w:tcPr>
          <w:p w:rsidR="00F97AFD" w:rsidRPr="00D70CC7" w:rsidRDefault="00F97AFD" w:rsidP="00D70CC7">
            <w:pPr>
              <w:rPr>
                <w:rFonts w:ascii="Times New Roman" w:hAnsi="Times New Roman"/>
                <w:color w:val="000000"/>
                <w:lang w:val="es-AR" w:eastAsia="es-AR"/>
              </w:rPr>
            </w:pPr>
            <w:r w:rsidRPr="00D70CC7">
              <w:rPr>
                <w:rFonts w:ascii="Times New Roman" w:hAnsi="Times New Roman"/>
                <w:color w:val="000000"/>
                <w:lang w:val="es-AR" w:eastAsia="es-AR"/>
              </w:rPr>
              <w:t>El tanque-Villa Prosperidad</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3.314,6</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4.139,6</w:t>
            </w:r>
          </w:p>
        </w:tc>
        <w:tc>
          <w:tcPr>
            <w:tcW w:w="1228"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429,4</w:t>
            </w:r>
          </w:p>
        </w:tc>
        <w:tc>
          <w:tcPr>
            <w:tcW w:w="1228" w:type="dxa"/>
            <w:shd w:val="clear" w:color="auto" w:fill="auto"/>
            <w:noWrap/>
            <w:vAlign w:val="bottom"/>
            <w:hideMark/>
          </w:tcPr>
          <w:p w:rsidR="00F97AFD" w:rsidRPr="00F97AFD" w:rsidRDefault="00F97AFD" w:rsidP="00F97AFD">
            <w:pPr>
              <w:jc w:val="center"/>
              <w:rPr>
                <w:rFonts w:ascii="Times New Roman" w:hAnsi="Times New Roman"/>
              </w:rPr>
            </w:pPr>
            <w:r w:rsidRPr="00F97AFD">
              <w:rPr>
                <w:rFonts w:ascii="Times New Roman" w:hAnsi="Times New Roman"/>
              </w:rPr>
              <w:t>46%</w:t>
            </w:r>
          </w:p>
        </w:tc>
      </w:tr>
      <w:tr w:rsidR="00F97AFD" w:rsidRPr="00DD79F4" w:rsidTr="00F46B6F">
        <w:trPr>
          <w:trHeight w:val="300"/>
        </w:trPr>
        <w:tc>
          <w:tcPr>
            <w:tcW w:w="2693" w:type="dxa"/>
            <w:shd w:val="clear" w:color="auto" w:fill="auto"/>
            <w:vAlign w:val="bottom"/>
            <w:hideMark/>
          </w:tcPr>
          <w:p w:rsidR="00F97AFD" w:rsidRPr="00D70CC7" w:rsidRDefault="00F97AFD" w:rsidP="00D70CC7">
            <w:pPr>
              <w:rPr>
                <w:rFonts w:ascii="Times New Roman" w:hAnsi="Times New Roman"/>
                <w:color w:val="000000"/>
                <w:lang w:val="es-AR" w:eastAsia="es-AR"/>
              </w:rPr>
            </w:pPr>
            <w:r w:rsidRPr="00D70CC7">
              <w:rPr>
                <w:rFonts w:ascii="Times New Roman" w:hAnsi="Times New Roman"/>
                <w:color w:val="000000"/>
                <w:lang w:val="es-AR" w:eastAsia="es-AR"/>
              </w:rPr>
              <w:t xml:space="preserve">6 de diciembre </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4.739,6</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5.266,5</w:t>
            </w:r>
          </w:p>
        </w:tc>
        <w:tc>
          <w:tcPr>
            <w:tcW w:w="1228"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227,6</w:t>
            </w:r>
          </w:p>
        </w:tc>
        <w:tc>
          <w:tcPr>
            <w:tcW w:w="1228" w:type="dxa"/>
            <w:shd w:val="clear" w:color="auto" w:fill="auto"/>
            <w:noWrap/>
            <w:vAlign w:val="bottom"/>
            <w:hideMark/>
          </w:tcPr>
          <w:p w:rsidR="00F97AFD" w:rsidRPr="00F97AFD" w:rsidRDefault="00F97AFD" w:rsidP="00F97AFD">
            <w:pPr>
              <w:jc w:val="center"/>
              <w:rPr>
                <w:rFonts w:ascii="Times New Roman" w:hAnsi="Times New Roman"/>
              </w:rPr>
            </w:pPr>
            <w:r w:rsidRPr="00F97AFD">
              <w:rPr>
                <w:rFonts w:ascii="Times New Roman" w:hAnsi="Times New Roman"/>
              </w:rPr>
              <w:t>40%</w:t>
            </w:r>
          </w:p>
        </w:tc>
      </w:tr>
      <w:tr w:rsidR="00F97AFD" w:rsidRPr="00DD79F4" w:rsidTr="00F46B6F">
        <w:trPr>
          <w:trHeight w:val="300"/>
        </w:trPr>
        <w:tc>
          <w:tcPr>
            <w:tcW w:w="2693" w:type="dxa"/>
            <w:shd w:val="clear" w:color="auto" w:fill="auto"/>
            <w:vAlign w:val="bottom"/>
            <w:hideMark/>
          </w:tcPr>
          <w:p w:rsidR="00F97AFD" w:rsidRPr="00D70CC7" w:rsidRDefault="00F97AFD" w:rsidP="00D70CC7">
            <w:pPr>
              <w:rPr>
                <w:rFonts w:ascii="Times New Roman" w:hAnsi="Times New Roman"/>
                <w:color w:val="000000"/>
                <w:lang w:val="es-AR" w:eastAsia="es-AR"/>
              </w:rPr>
            </w:pPr>
            <w:r w:rsidRPr="00D70CC7">
              <w:rPr>
                <w:rFonts w:ascii="Times New Roman" w:hAnsi="Times New Roman"/>
                <w:color w:val="000000"/>
                <w:lang w:val="es-AR" w:eastAsia="es-AR"/>
              </w:rPr>
              <w:t>Barrio Artigas</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6.961,5</w:t>
            </w:r>
          </w:p>
        </w:tc>
        <w:tc>
          <w:tcPr>
            <w:tcW w:w="1229"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7.391,9</w:t>
            </w:r>
          </w:p>
        </w:tc>
        <w:tc>
          <w:tcPr>
            <w:tcW w:w="1228" w:type="dxa"/>
            <w:shd w:val="clear" w:color="auto" w:fill="auto"/>
            <w:noWrap/>
            <w:vAlign w:val="bottom"/>
            <w:hideMark/>
          </w:tcPr>
          <w:p w:rsidR="00F97AFD" w:rsidRPr="00F97AFD" w:rsidRDefault="00F97AFD" w:rsidP="00F97AFD">
            <w:pPr>
              <w:jc w:val="center"/>
              <w:rPr>
                <w:rFonts w:ascii="Times New Roman" w:hAnsi="Times New Roman"/>
                <w:color w:val="000000"/>
              </w:rPr>
            </w:pPr>
            <w:r w:rsidRPr="00F97AFD">
              <w:rPr>
                <w:rFonts w:ascii="Times New Roman" w:hAnsi="Times New Roman"/>
                <w:color w:val="000000"/>
              </w:rPr>
              <w:t>144,4</w:t>
            </w:r>
          </w:p>
        </w:tc>
        <w:tc>
          <w:tcPr>
            <w:tcW w:w="1228" w:type="dxa"/>
            <w:shd w:val="clear" w:color="auto" w:fill="auto"/>
            <w:noWrap/>
            <w:vAlign w:val="bottom"/>
            <w:hideMark/>
          </w:tcPr>
          <w:p w:rsidR="00F97AFD" w:rsidRPr="00F97AFD" w:rsidRDefault="00F97AFD" w:rsidP="00F97AFD">
            <w:pPr>
              <w:jc w:val="center"/>
              <w:rPr>
                <w:rFonts w:ascii="Times New Roman" w:hAnsi="Times New Roman"/>
              </w:rPr>
            </w:pPr>
            <w:r w:rsidRPr="00F97AFD">
              <w:rPr>
                <w:rFonts w:ascii="Times New Roman" w:hAnsi="Times New Roman"/>
              </w:rPr>
              <w:t>31%</w:t>
            </w:r>
          </w:p>
        </w:tc>
      </w:tr>
      <w:tr w:rsidR="00F97AFD" w:rsidRPr="00F97AFD" w:rsidTr="00F46B6F">
        <w:trPr>
          <w:trHeight w:val="300"/>
        </w:trPr>
        <w:tc>
          <w:tcPr>
            <w:tcW w:w="2693" w:type="dxa"/>
            <w:shd w:val="clear" w:color="auto" w:fill="auto"/>
            <w:vAlign w:val="bottom"/>
            <w:hideMark/>
          </w:tcPr>
          <w:p w:rsidR="00F97AFD" w:rsidRPr="00F97AFD" w:rsidRDefault="00F97AFD" w:rsidP="00D70CC7">
            <w:pPr>
              <w:rPr>
                <w:rFonts w:ascii="Times New Roman" w:hAnsi="Times New Roman"/>
                <w:b/>
                <w:i/>
                <w:color w:val="000000"/>
                <w:lang w:val="es-AR" w:eastAsia="es-AR"/>
              </w:rPr>
            </w:pPr>
            <w:r w:rsidRPr="00F97AFD">
              <w:rPr>
                <w:rFonts w:ascii="Times New Roman" w:hAnsi="Times New Roman"/>
                <w:b/>
                <w:i/>
                <w:color w:val="000000"/>
                <w:lang w:val="es-AR" w:eastAsia="es-AR"/>
              </w:rPr>
              <w:t>Total Muestra</w:t>
            </w:r>
          </w:p>
        </w:tc>
        <w:tc>
          <w:tcPr>
            <w:tcW w:w="1229" w:type="dxa"/>
            <w:shd w:val="clear" w:color="auto" w:fill="auto"/>
            <w:noWrap/>
            <w:vAlign w:val="bottom"/>
            <w:hideMark/>
          </w:tcPr>
          <w:p w:rsidR="00F97AFD" w:rsidRPr="00F97AFD" w:rsidRDefault="00F97AFD" w:rsidP="00F97AFD">
            <w:pPr>
              <w:jc w:val="center"/>
              <w:rPr>
                <w:rFonts w:ascii="Times New Roman" w:hAnsi="Times New Roman"/>
                <w:b/>
                <w:i/>
                <w:color w:val="000000"/>
              </w:rPr>
            </w:pPr>
            <w:r w:rsidRPr="00F97AFD">
              <w:rPr>
                <w:rFonts w:ascii="Times New Roman" w:hAnsi="Times New Roman"/>
                <w:b/>
                <w:i/>
                <w:color w:val="000000"/>
              </w:rPr>
              <w:t>19.388,9</w:t>
            </w:r>
          </w:p>
        </w:tc>
        <w:tc>
          <w:tcPr>
            <w:tcW w:w="1229" w:type="dxa"/>
            <w:shd w:val="clear" w:color="auto" w:fill="auto"/>
            <w:noWrap/>
            <w:vAlign w:val="bottom"/>
            <w:hideMark/>
          </w:tcPr>
          <w:p w:rsidR="00F97AFD" w:rsidRPr="00F97AFD" w:rsidRDefault="00F97AFD" w:rsidP="00F97AFD">
            <w:pPr>
              <w:jc w:val="center"/>
              <w:rPr>
                <w:rFonts w:ascii="Times New Roman" w:hAnsi="Times New Roman"/>
                <w:b/>
                <w:i/>
                <w:color w:val="000000"/>
              </w:rPr>
            </w:pPr>
            <w:r w:rsidRPr="00F97AFD">
              <w:rPr>
                <w:rFonts w:ascii="Times New Roman" w:hAnsi="Times New Roman"/>
                <w:b/>
                <w:i/>
                <w:color w:val="000000"/>
              </w:rPr>
              <w:t>22.974,4</w:t>
            </w:r>
          </w:p>
        </w:tc>
        <w:tc>
          <w:tcPr>
            <w:tcW w:w="1228" w:type="dxa"/>
            <w:shd w:val="clear" w:color="auto" w:fill="auto"/>
            <w:noWrap/>
            <w:vAlign w:val="bottom"/>
            <w:hideMark/>
          </w:tcPr>
          <w:p w:rsidR="00F97AFD" w:rsidRPr="00F97AFD" w:rsidRDefault="00F97AFD" w:rsidP="00F97AFD">
            <w:pPr>
              <w:jc w:val="center"/>
              <w:rPr>
                <w:rFonts w:ascii="Times New Roman" w:hAnsi="Times New Roman"/>
                <w:b/>
                <w:i/>
                <w:color w:val="000000"/>
              </w:rPr>
            </w:pPr>
            <w:r w:rsidRPr="00F97AFD">
              <w:rPr>
                <w:rFonts w:ascii="Times New Roman" w:hAnsi="Times New Roman"/>
                <w:b/>
                <w:i/>
                <w:color w:val="000000"/>
              </w:rPr>
              <w:t>1.870,3</w:t>
            </w:r>
          </w:p>
        </w:tc>
        <w:tc>
          <w:tcPr>
            <w:tcW w:w="1228" w:type="dxa"/>
            <w:shd w:val="clear" w:color="auto" w:fill="auto"/>
            <w:noWrap/>
            <w:vAlign w:val="bottom"/>
            <w:hideMark/>
          </w:tcPr>
          <w:p w:rsidR="00F97AFD" w:rsidRPr="00F97AFD" w:rsidRDefault="00F97AFD" w:rsidP="00F97AFD">
            <w:pPr>
              <w:jc w:val="center"/>
              <w:rPr>
                <w:rFonts w:ascii="Times New Roman" w:hAnsi="Times New Roman"/>
                <w:b/>
                <w:i/>
              </w:rPr>
            </w:pPr>
            <w:r w:rsidRPr="00F97AFD">
              <w:rPr>
                <w:rFonts w:ascii="Times New Roman" w:hAnsi="Times New Roman"/>
                <w:b/>
                <w:i/>
              </w:rPr>
              <w:t>49%</w:t>
            </w:r>
          </w:p>
        </w:tc>
      </w:tr>
    </w:tbl>
    <w:p w:rsidR="00D70CC7" w:rsidRPr="00DC73F9" w:rsidRDefault="00D70CC7" w:rsidP="00FE3011">
      <w:pPr>
        <w:autoSpaceDE w:val="0"/>
        <w:autoSpaceDN w:val="0"/>
        <w:adjustRightInd w:val="0"/>
        <w:jc w:val="both"/>
        <w:rPr>
          <w:rFonts w:ascii="Times New Roman" w:hAnsi="Times New Roman"/>
          <w:bCs/>
          <w:lang w:val="es-ES_tradnl"/>
        </w:rPr>
      </w:pPr>
    </w:p>
    <w:p w:rsidR="007B7001" w:rsidRPr="001709D7" w:rsidRDefault="006C3EAE" w:rsidP="007E2BEB">
      <w:pPr>
        <w:numPr>
          <w:ilvl w:val="1"/>
          <w:numId w:val="10"/>
        </w:numPr>
        <w:autoSpaceDE w:val="0"/>
        <w:autoSpaceDN w:val="0"/>
        <w:adjustRightInd w:val="0"/>
        <w:ind w:left="426"/>
        <w:jc w:val="both"/>
        <w:rPr>
          <w:rFonts w:ascii="Times New Roman" w:hAnsi="Times New Roman"/>
          <w:bCs/>
          <w:sz w:val="24"/>
          <w:szCs w:val="24"/>
          <w:lang w:val="es-ES_tradnl"/>
        </w:rPr>
      </w:pPr>
      <w:bookmarkStart w:id="14" w:name="_Ref338711985"/>
      <w:bookmarkEnd w:id="13"/>
      <w:r w:rsidRPr="00D7177F">
        <w:rPr>
          <w:rFonts w:ascii="Times New Roman" w:hAnsi="Times New Roman"/>
          <w:bCs/>
          <w:sz w:val="24"/>
          <w:szCs w:val="24"/>
          <w:lang w:val="es-ES_tradnl"/>
        </w:rPr>
        <w:t>El programa sólo tiene flujos netos de beneficios en el segundo año de ejecución, mientras que las inversiones se producen durante los</w:t>
      </w:r>
      <w:r w:rsidR="00377150" w:rsidRPr="00D7177F">
        <w:rPr>
          <w:rFonts w:ascii="Times New Roman" w:hAnsi="Times New Roman"/>
          <w:bCs/>
          <w:sz w:val="24"/>
          <w:szCs w:val="24"/>
          <w:lang w:val="es-ES_tradnl"/>
        </w:rPr>
        <w:t xml:space="preserve"> dos primeros años</w:t>
      </w:r>
      <w:r w:rsidRPr="00D7177F">
        <w:rPr>
          <w:rFonts w:ascii="Times New Roman" w:hAnsi="Times New Roman"/>
          <w:bCs/>
          <w:sz w:val="24"/>
          <w:szCs w:val="24"/>
          <w:lang w:val="es-ES_tradnl"/>
        </w:rPr>
        <w:t xml:space="preserve">. </w:t>
      </w:r>
      <w:r w:rsidR="00FE3011" w:rsidRPr="001709D7">
        <w:rPr>
          <w:rFonts w:ascii="Times New Roman" w:hAnsi="Times New Roman"/>
          <w:bCs/>
          <w:sz w:val="24"/>
          <w:szCs w:val="24"/>
          <w:lang w:val="es-ES_tradnl"/>
        </w:rPr>
        <w:t xml:space="preserve">La mayor rentabilidad se produce en el proyecto </w:t>
      </w:r>
      <w:r w:rsidR="00D7177F" w:rsidRPr="00D7177F">
        <w:rPr>
          <w:rFonts w:ascii="Times New Roman" w:hAnsi="Times New Roman"/>
          <w:bCs/>
          <w:sz w:val="24"/>
          <w:szCs w:val="24"/>
          <w:lang w:val="es-ES_tradnl"/>
        </w:rPr>
        <w:t xml:space="preserve">Vecinal 28-La Estrella </w:t>
      </w:r>
      <w:r w:rsidR="00D10E12" w:rsidRPr="001709D7">
        <w:rPr>
          <w:rFonts w:ascii="Times New Roman" w:hAnsi="Times New Roman"/>
          <w:bCs/>
          <w:sz w:val="24"/>
          <w:szCs w:val="24"/>
          <w:lang w:val="es-ES_tradnl"/>
        </w:rPr>
        <w:t>d</w:t>
      </w:r>
      <w:r w:rsidR="00FE3011" w:rsidRPr="001709D7">
        <w:rPr>
          <w:rFonts w:ascii="Times New Roman" w:hAnsi="Times New Roman"/>
          <w:bCs/>
          <w:sz w:val="24"/>
          <w:szCs w:val="24"/>
          <w:lang w:val="es-ES_tradnl"/>
        </w:rPr>
        <w:t xml:space="preserve">e </w:t>
      </w:r>
      <w:r w:rsidR="00D7177F">
        <w:rPr>
          <w:rFonts w:ascii="Times New Roman" w:hAnsi="Times New Roman"/>
          <w:bCs/>
          <w:sz w:val="24"/>
          <w:szCs w:val="24"/>
          <w:lang w:val="es-ES_tradnl"/>
        </w:rPr>
        <w:t>Montevideo</w:t>
      </w:r>
      <w:r w:rsidR="00B44480" w:rsidRPr="001709D7">
        <w:rPr>
          <w:rFonts w:ascii="Times New Roman" w:hAnsi="Times New Roman"/>
          <w:bCs/>
          <w:sz w:val="24"/>
          <w:szCs w:val="24"/>
          <w:lang w:val="es-ES_tradnl"/>
        </w:rPr>
        <w:t xml:space="preserve">, que </w:t>
      </w:r>
      <w:r w:rsidR="00D10E12" w:rsidRPr="001709D7">
        <w:rPr>
          <w:rFonts w:ascii="Times New Roman" w:hAnsi="Times New Roman"/>
          <w:bCs/>
          <w:sz w:val="24"/>
          <w:szCs w:val="24"/>
          <w:lang w:val="es-ES_tradnl"/>
        </w:rPr>
        <w:t>aporta e</w:t>
      </w:r>
      <w:r w:rsidR="00D509BE" w:rsidRPr="001709D7">
        <w:rPr>
          <w:rFonts w:ascii="Times New Roman" w:hAnsi="Times New Roman"/>
          <w:bCs/>
          <w:sz w:val="24"/>
          <w:szCs w:val="24"/>
          <w:lang w:val="es-ES_tradnl"/>
        </w:rPr>
        <w:t xml:space="preserve">l </w:t>
      </w:r>
      <w:r w:rsidR="00D7177F">
        <w:rPr>
          <w:rFonts w:ascii="Times New Roman" w:hAnsi="Times New Roman"/>
          <w:bCs/>
          <w:sz w:val="24"/>
          <w:szCs w:val="24"/>
          <w:lang w:val="es-ES_tradnl"/>
        </w:rPr>
        <w:t>23</w:t>
      </w:r>
      <w:r w:rsidR="00B44480" w:rsidRPr="001709D7">
        <w:rPr>
          <w:rFonts w:ascii="Times New Roman" w:hAnsi="Times New Roman"/>
          <w:bCs/>
          <w:sz w:val="24"/>
          <w:szCs w:val="24"/>
          <w:lang w:val="es-ES_tradnl"/>
        </w:rPr>
        <w:t>% del VAN del total de la muestra</w:t>
      </w:r>
      <w:r w:rsidR="00FE3011" w:rsidRPr="001709D7">
        <w:rPr>
          <w:rFonts w:ascii="Times New Roman" w:hAnsi="Times New Roman"/>
          <w:bCs/>
          <w:sz w:val="24"/>
          <w:szCs w:val="24"/>
          <w:lang w:val="es-ES_tradnl"/>
        </w:rPr>
        <w:t xml:space="preserve">, </w:t>
      </w:r>
      <w:r w:rsidR="00D10E12" w:rsidRPr="001709D7">
        <w:rPr>
          <w:rFonts w:ascii="Times New Roman" w:hAnsi="Times New Roman"/>
          <w:bCs/>
          <w:sz w:val="24"/>
          <w:szCs w:val="24"/>
          <w:lang w:val="es-ES_tradnl"/>
        </w:rPr>
        <w:t xml:space="preserve">producto </w:t>
      </w:r>
      <w:r w:rsidR="00D7177F">
        <w:rPr>
          <w:rFonts w:ascii="Times New Roman" w:hAnsi="Times New Roman"/>
          <w:bCs/>
          <w:sz w:val="24"/>
          <w:szCs w:val="24"/>
          <w:lang w:val="es-ES_tradnl"/>
        </w:rPr>
        <w:t xml:space="preserve">de que posee los menores costos de inversión por vivienda mientras el </w:t>
      </w:r>
      <w:r w:rsidR="00FE3011" w:rsidRPr="001709D7">
        <w:rPr>
          <w:rFonts w:ascii="Times New Roman" w:hAnsi="Times New Roman"/>
          <w:bCs/>
          <w:sz w:val="24"/>
          <w:szCs w:val="24"/>
          <w:lang w:val="es-ES_tradnl"/>
        </w:rPr>
        <w:t>caso opuesto se produce en el proyecto de</w:t>
      </w:r>
      <w:r w:rsidR="00D7177F">
        <w:rPr>
          <w:rFonts w:ascii="Times New Roman" w:hAnsi="Times New Roman"/>
          <w:bCs/>
          <w:sz w:val="24"/>
          <w:szCs w:val="24"/>
          <w:lang w:val="es-ES_tradnl"/>
        </w:rPr>
        <w:t>l Barrio Artigas en Salto</w:t>
      </w:r>
      <w:r w:rsidR="00FE3011" w:rsidRPr="001709D7">
        <w:rPr>
          <w:rFonts w:ascii="Times New Roman" w:hAnsi="Times New Roman"/>
          <w:bCs/>
          <w:sz w:val="24"/>
          <w:szCs w:val="24"/>
          <w:lang w:val="es-ES_tradnl"/>
        </w:rPr>
        <w:t>.</w:t>
      </w:r>
      <w:bookmarkEnd w:id="14"/>
      <w:r w:rsidR="00660B05" w:rsidRPr="001709D7">
        <w:rPr>
          <w:rFonts w:ascii="Times New Roman" w:hAnsi="Times New Roman"/>
          <w:bCs/>
          <w:sz w:val="24"/>
          <w:szCs w:val="24"/>
          <w:lang w:val="es-ES_tradnl"/>
        </w:rPr>
        <w:t xml:space="preserve"> </w:t>
      </w:r>
      <w:r w:rsidR="00D7177F" w:rsidRPr="00D7177F">
        <w:rPr>
          <w:rFonts w:ascii="Times New Roman" w:hAnsi="Times New Roman"/>
          <w:bCs/>
          <w:sz w:val="24"/>
          <w:szCs w:val="24"/>
          <w:lang w:val="es-ES_tradnl"/>
        </w:rPr>
        <w:t>En la sección siguiente se analizan distintos escenarios en los cuales la rentabilidad de algunos proyectos podrían volverse negativa.</w:t>
      </w:r>
    </w:p>
    <w:p w:rsidR="00DC73F9" w:rsidRDefault="00DC73F9" w:rsidP="001709D7">
      <w:pPr>
        <w:autoSpaceDE w:val="0"/>
        <w:autoSpaceDN w:val="0"/>
        <w:adjustRightInd w:val="0"/>
        <w:jc w:val="both"/>
        <w:rPr>
          <w:rFonts w:ascii="Times New Roman" w:hAnsi="Times New Roman"/>
          <w:bCs/>
          <w:lang w:val="es-ES_tradnl"/>
        </w:rPr>
      </w:pPr>
    </w:p>
    <w:p w:rsidR="00AF5D7A" w:rsidRDefault="00AF5D7A">
      <w:pPr>
        <w:rPr>
          <w:rFonts w:ascii="Times New Roman" w:hAnsi="Times New Roman"/>
          <w:bCs/>
          <w:lang w:val="es-ES_tradnl"/>
        </w:rPr>
      </w:pPr>
      <w:r>
        <w:rPr>
          <w:rFonts w:ascii="Times New Roman" w:hAnsi="Times New Roman"/>
          <w:bCs/>
          <w:lang w:val="es-ES_tradnl"/>
        </w:rPr>
        <w:br w:type="page"/>
      </w:r>
    </w:p>
    <w:p w:rsidR="009662FA" w:rsidRPr="00DC73F9" w:rsidRDefault="009662FA" w:rsidP="001709D7">
      <w:pPr>
        <w:autoSpaceDE w:val="0"/>
        <w:autoSpaceDN w:val="0"/>
        <w:adjustRightInd w:val="0"/>
        <w:jc w:val="both"/>
        <w:rPr>
          <w:rFonts w:ascii="Times New Roman" w:hAnsi="Times New Roman"/>
          <w:bCs/>
          <w:lang w:val="es-ES_tradnl"/>
        </w:rPr>
      </w:pPr>
    </w:p>
    <w:p w:rsidR="0064261D" w:rsidRPr="008A1B46" w:rsidRDefault="00EE3596" w:rsidP="008A1B46">
      <w:pPr>
        <w:pStyle w:val="Heading1"/>
        <w:numPr>
          <w:ilvl w:val="0"/>
          <w:numId w:val="10"/>
        </w:numPr>
        <w:jc w:val="left"/>
        <w:rPr>
          <w:i w:val="0"/>
          <w:sz w:val="24"/>
          <w:szCs w:val="24"/>
        </w:rPr>
      </w:pPr>
      <w:bookmarkStart w:id="15" w:name="_Toc339982344"/>
      <w:bookmarkStart w:id="16" w:name="_Toc366836880"/>
      <w:r w:rsidRPr="008A1B46">
        <w:rPr>
          <w:i w:val="0"/>
          <w:sz w:val="24"/>
          <w:szCs w:val="24"/>
        </w:rPr>
        <w:t>Análisis de Sensibilidad</w:t>
      </w:r>
      <w:r w:rsidR="0064261D" w:rsidRPr="008A1B46">
        <w:rPr>
          <w:i w:val="0"/>
          <w:sz w:val="24"/>
          <w:szCs w:val="24"/>
        </w:rPr>
        <w:t>.</w:t>
      </w:r>
      <w:bookmarkEnd w:id="15"/>
      <w:bookmarkEnd w:id="16"/>
    </w:p>
    <w:p w:rsidR="004E30E2" w:rsidRPr="00DC73F9" w:rsidRDefault="004E30E2">
      <w:pPr>
        <w:rPr>
          <w:lang w:val="es-ES_tradnl"/>
        </w:rPr>
      </w:pPr>
    </w:p>
    <w:p w:rsidR="00FE3011" w:rsidRPr="00D7177F" w:rsidRDefault="00FE3011" w:rsidP="00DD79F4">
      <w:pPr>
        <w:numPr>
          <w:ilvl w:val="1"/>
          <w:numId w:val="10"/>
        </w:numPr>
        <w:autoSpaceDE w:val="0"/>
        <w:autoSpaceDN w:val="0"/>
        <w:adjustRightInd w:val="0"/>
        <w:ind w:left="426"/>
        <w:jc w:val="both"/>
        <w:rPr>
          <w:rFonts w:ascii="Times New Roman" w:hAnsi="Times New Roman"/>
          <w:bCs/>
          <w:sz w:val="24"/>
          <w:szCs w:val="24"/>
          <w:lang w:val="es-ES_tradnl"/>
        </w:rPr>
      </w:pPr>
      <w:r w:rsidRPr="00D7177F">
        <w:rPr>
          <w:rFonts w:ascii="Times New Roman" w:hAnsi="Times New Roman"/>
          <w:bCs/>
          <w:sz w:val="24"/>
          <w:szCs w:val="24"/>
          <w:lang w:val="es-ES_tradnl"/>
        </w:rPr>
        <w:t xml:space="preserve">Se realizaron dos ejercicios alternativos de sensibilidad, uno teniendo en cuenta </w:t>
      </w:r>
      <w:r w:rsidR="00AF5D7A">
        <w:rPr>
          <w:rFonts w:ascii="Times New Roman" w:hAnsi="Times New Roman"/>
          <w:bCs/>
          <w:sz w:val="24"/>
          <w:szCs w:val="24"/>
          <w:lang w:val="es-ES_tradnl"/>
        </w:rPr>
        <w:t xml:space="preserve">diferentes niveles de incrementos en los </w:t>
      </w:r>
      <w:r w:rsidRPr="00D7177F">
        <w:rPr>
          <w:rFonts w:ascii="Times New Roman" w:hAnsi="Times New Roman"/>
          <w:bCs/>
          <w:sz w:val="24"/>
          <w:szCs w:val="24"/>
          <w:lang w:val="es-ES_tradnl"/>
        </w:rPr>
        <w:t>costos de la inversión</w:t>
      </w:r>
      <w:r w:rsidR="00AF5D7A">
        <w:rPr>
          <w:rFonts w:ascii="Times New Roman" w:hAnsi="Times New Roman"/>
          <w:bCs/>
          <w:sz w:val="24"/>
          <w:szCs w:val="24"/>
          <w:lang w:val="es-ES_tradnl"/>
        </w:rPr>
        <w:t xml:space="preserve"> </w:t>
      </w:r>
      <w:r w:rsidR="008B7C69">
        <w:rPr>
          <w:rFonts w:ascii="Times New Roman" w:hAnsi="Times New Roman"/>
          <w:bCs/>
          <w:sz w:val="24"/>
          <w:szCs w:val="24"/>
          <w:lang w:val="es-ES_tradnl"/>
        </w:rPr>
        <w:t>(</w:t>
      </w:r>
      <w:r w:rsidR="00AF5D7A">
        <w:rPr>
          <w:rFonts w:ascii="Times New Roman" w:hAnsi="Times New Roman"/>
          <w:bCs/>
          <w:sz w:val="24"/>
          <w:szCs w:val="24"/>
          <w:lang w:val="es-ES_tradnl"/>
        </w:rPr>
        <w:t>tabla X</w:t>
      </w:r>
      <w:r w:rsidR="008B7C69">
        <w:rPr>
          <w:rFonts w:ascii="Times New Roman" w:hAnsi="Times New Roman"/>
          <w:bCs/>
          <w:sz w:val="24"/>
          <w:szCs w:val="24"/>
          <w:lang w:val="es-ES_tradnl"/>
        </w:rPr>
        <w:t>)</w:t>
      </w:r>
      <w:r w:rsidRPr="00D7177F">
        <w:rPr>
          <w:rFonts w:ascii="Times New Roman" w:hAnsi="Times New Roman"/>
          <w:bCs/>
          <w:sz w:val="24"/>
          <w:szCs w:val="24"/>
          <w:lang w:val="es-ES_tradnl"/>
        </w:rPr>
        <w:t xml:space="preserve"> y el otro asumiendo diferentes </w:t>
      </w:r>
      <w:r w:rsidR="00AF5D7A">
        <w:rPr>
          <w:rFonts w:ascii="Times New Roman" w:hAnsi="Times New Roman"/>
          <w:bCs/>
          <w:sz w:val="24"/>
          <w:szCs w:val="24"/>
          <w:lang w:val="es-ES_tradnl"/>
        </w:rPr>
        <w:t xml:space="preserve">grados </w:t>
      </w:r>
      <w:r w:rsidRPr="00D7177F">
        <w:rPr>
          <w:rFonts w:ascii="Times New Roman" w:hAnsi="Times New Roman"/>
          <w:bCs/>
          <w:sz w:val="24"/>
          <w:szCs w:val="24"/>
          <w:lang w:val="es-ES_tradnl"/>
        </w:rPr>
        <w:t xml:space="preserve">de </w:t>
      </w:r>
      <w:r w:rsidR="00AF5D7A">
        <w:rPr>
          <w:rFonts w:ascii="Times New Roman" w:hAnsi="Times New Roman"/>
          <w:bCs/>
          <w:sz w:val="24"/>
          <w:szCs w:val="24"/>
          <w:lang w:val="es-ES_tradnl"/>
        </w:rPr>
        <w:t xml:space="preserve">impacto de las inversiones en la </w:t>
      </w:r>
      <w:r w:rsidR="00DD79F4">
        <w:rPr>
          <w:rFonts w:ascii="Times New Roman" w:hAnsi="Times New Roman"/>
          <w:bCs/>
          <w:sz w:val="24"/>
          <w:szCs w:val="24"/>
          <w:lang w:val="es-ES_tradnl"/>
        </w:rPr>
        <w:t>valorización de los inmuebles</w:t>
      </w:r>
      <w:r w:rsidR="00AF5D7A">
        <w:rPr>
          <w:rFonts w:ascii="Times New Roman" w:hAnsi="Times New Roman"/>
          <w:bCs/>
          <w:sz w:val="24"/>
          <w:szCs w:val="24"/>
          <w:lang w:val="es-ES_tradnl"/>
        </w:rPr>
        <w:t xml:space="preserve"> (tabla XI)</w:t>
      </w:r>
      <w:r w:rsidRPr="00D7177F">
        <w:rPr>
          <w:rFonts w:ascii="Times New Roman" w:hAnsi="Times New Roman"/>
          <w:bCs/>
          <w:sz w:val="24"/>
          <w:szCs w:val="24"/>
          <w:lang w:val="es-ES_tradnl"/>
        </w:rPr>
        <w:t>.</w:t>
      </w:r>
    </w:p>
    <w:p w:rsidR="00FE3011" w:rsidRPr="00D7177F" w:rsidRDefault="00FE3011" w:rsidP="00DD79F4">
      <w:pPr>
        <w:autoSpaceDE w:val="0"/>
        <w:autoSpaceDN w:val="0"/>
        <w:adjustRightInd w:val="0"/>
        <w:ind w:left="-6"/>
        <w:jc w:val="both"/>
        <w:rPr>
          <w:rFonts w:ascii="Times New Roman" w:hAnsi="Times New Roman"/>
          <w:bCs/>
          <w:sz w:val="24"/>
          <w:szCs w:val="24"/>
          <w:lang w:val="es-ES_tradnl"/>
        </w:rPr>
      </w:pPr>
    </w:p>
    <w:p w:rsidR="004E30E2" w:rsidRPr="00D7177F" w:rsidRDefault="00FE3011" w:rsidP="00DD79F4">
      <w:pPr>
        <w:numPr>
          <w:ilvl w:val="1"/>
          <w:numId w:val="10"/>
        </w:numPr>
        <w:autoSpaceDE w:val="0"/>
        <w:autoSpaceDN w:val="0"/>
        <w:adjustRightInd w:val="0"/>
        <w:ind w:left="426"/>
        <w:jc w:val="both"/>
        <w:rPr>
          <w:rFonts w:ascii="Times New Roman" w:hAnsi="Times New Roman"/>
          <w:bCs/>
          <w:sz w:val="24"/>
          <w:szCs w:val="24"/>
          <w:lang w:val="es-ES_tradnl"/>
        </w:rPr>
      </w:pPr>
      <w:r w:rsidRPr="00D7177F">
        <w:rPr>
          <w:rFonts w:ascii="Times New Roman" w:hAnsi="Times New Roman"/>
          <w:bCs/>
          <w:sz w:val="24"/>
          <w:szCs w:val="24"/>
          <w:lang w:val="es-ES_tradnl"/>
        </w:rPr>
        <w:t>En el primero de los casos, se estiman tanto el VAN como la TIRE suponiendo incrementos en los costos</w:t>
      </w:r>
      <w:r w:rsidR="008B7C69">
        <w:rPr>
          <w:rFonts w:ascii="Times New Roman" w:hAnsi="Times New Roman"/>
          <w:bCs/>
          <w:sz w:val="24"/>
          <w:szCs w:val="24"/>
          <w:lang w:val="es-ES_tradnl"/>
        </w:rPr>
        <w:t xml:space="preserve"> de inversión, </w:t>
      </w:r>
      <w:r w:rsidRPr="00D7177F">
        <w:rPr>
          <w:rFonts w:ascii="Times New Roman" w:hAnsi="Times New Roman"/>
          <w:bCs/>
          <w:sz w:val="24"/>
          <w:szCs w:val="24"/>
          <w:lang w:val="es-ES_tradnl"/>
        </w:rPr>
        <w:t>por encima de los originalmente estimados en el proyecto</w:t>
      </w:r>
      <w:r w:rsidR="008B7C69">
        <w:rPr>
          <w:rFonts w:ascii="Times New Roman" w:hAnsi="Times New Roman"/>
          <w:bCs/>
          <w:sz w:val="24"/>
          <w:szCs w:val="24"/>
          <w:lang w:val="es-ES_tradnl"/>
        </w:rPr>
        <w:t>, de un 3%, 6% y 10%</w:t>
      </w:r>
      <w:r w:rsidRPr="00D7177F">
        <w:rPr>
          <w:rFonts w:ascii="Times New Roman" w:hAnsi="Times New Roman"/>
          <w:bCs/>
          <w:sz w:val="24"/>
          <w:szCs w:val="24"/>
          <w:lang w:val="es-ES_tradnl"/>
        </w:rPr>
        <w:t>. Los resultados se presentan en l</w:t>
      </w:r>
      <w:r w:rsidR="0003089C">
        <w:rPr>
          <w:rFonts w:ascii="Times New Roman" w:hAnsi="Times New Roman"/>
          <w:bCs/>
          <w:sz w:val="24"/>
          <w:szCs w:val="24"/>
          <w:lang w:val="es-ES_tradnl"/>
        </w:rPr>
        <w:t>a tabla</w:t>
      </w:r>
      <w:r w:rsidR="00727C2A">
        <w:rPr>
          <w:rFonts w:ascii="Times New Roman" w:hAnsi="Times New Roman"/>
          <w:bCs/>
          <w:sz w:val="24"/>
          <w:szCs w:val="24"/>
          <w:lang w:val="es-ES_tradnl"/>
        </w:rPr>
        <w:t xml:space="preserve"> siguiente</w:t>
      </w:r>
      <w:r w:rsidRPr="00D7177F">
        <w:rPr>
          <w:rFonts w:ascii="Times New Roman" w:hAnsi="Times New Roman"/>
          <w:bCs/>
          <w:sz w:val="24"/>
          <w:szCs w:val="24"/>
          <w:lang w:val="es-ES_tradnl"/>
        </w:rPr>
        <w:t>.</w:t>
      </w:r>
    </w:p>
    <w:p w:rsidR="004B7F2B" w:rsidRPr="00D7177F" w:rsidRDefault="004B7F2B" w:rsidP="00D7177F">
      <w:pPr>
        <w:autoSpaceDE w:val="0"/>
        <w:autoSpaceDN w:val="0"/>
        <w:adjustRightInd w:val="0"/>
        <w:ind w:left="360"/>
        <w:jc w:val="both"/>
        <w:rPr>
          <w:rFonts w:ascii="Times New Roman" w:hAnsi="Times New Roman"/>
          <w:bCs/>
          <w:sz w:val="24"/>
          <w:szCs w:val="24"/>
          <w:lang w:val="es-ES_tradnl"/>
        </w:rPr>
      </w:pPr>
    </w:p>
    <w:p w:rsidR="004B7F2B" w:rsidRPr="00DC73F9" w:rsidRDefault="00727C2A" w:rsidP="00B36DB3">
      <w:pPr>
        <w:pStyle w:val="ListParagraph"/>
        <w:ind w:left="360"/>
        <w:jc w:val="center"/>
        <w:rPr>
          <w:rFonts w:ascii="Times New Roman" w:hAnsi="Times New Roman"/>
          <w:b/>
          <w:lang w:val="es-ES_tradnl"/>
        </w:rPr>
      </w:pPr>
      <w:r>
        <w:rPr>
          <w:rFonts w:ascii="Times New Roman" w:hAnsi="Times New Roman"/>
          <w:b/>
          <w:lang w:val="es-ES_tradnl"/>
        </w:rPr>
        <w:t>Tabla X</w:t>
      </w:r>
      <w:r w:rsidR="00D7177F">
        <w:rPr>
          <w:rFonts w:ascii="Times New Roman" w:hAnsi="Times New Roman"/>
          <w:b/>
          <w:lang w:val="es-ES_tradnl"/>
        </w:rPr>
        <w:t xml:space="preserve">. </w:t>
      </w:r>
      <w:r w:rsidR="004B7F2B" w:rsidRPr="00DC73F9">
        <w:rPr>
          <w:rFonts w:ascii="Times New Roman" w:hAnsi="Times New Roman"/>
          <w:b/>
          <w:lang w:val="es-ES_tradnl"/>
        </w:rPr>
        <w:t>Ejercicio de Sensibilidad ante variac</w:t>
      </w:r>
      <w:r w:rsidR="005F4F0C" w:rsidRPr="00DC73F9">
        <w:rPr>
          <w:rFonts w:ascii="Times New Roman" w:hAnsi="Times New Roman"/>
          <w:b/>
          <w:lang w:val="es-ES_tradnl"/>
        </w:rPr>
        <w:t>iones de los Costos</w:t>
      </w:r>
    </w:p>
    <w:tbl>
      <w:tblPr>
        <w:tblW w:w="6180" w:type="dxa"/>
        <w:tblInd w:w="1259" w:type="dxa"/>
        <w:tblBorders>
          <w:top w:val="single" w:sz="4" w:space="0" w:color="auto"/>
          <w:bottom w:val="single" w:sz="4" w:space="0" w:color="auto"/>
          <w:insideH w:val="single" w:sz="4" w:space="0" w:color="auto"/>
        </w:tblBorders>
        <w:tblLook w:val="04A0" w:firstRow="1" w:lastRow="0" w:firstColumn="1" w:lastColumn="0" w:noHBand="0" w:noVBand="1"/>
      </w:tblPr>
      <w:tblGrid>
        <w:gridCol w:w="1230"/>
        <w:gridCol w:w="1530"/>
        <w:gridCol w:w="1804"/>
        <w:gridCol w:w="1616"/>
      </w:tblGrid>
      <w:tr w:rsidR="005F4F0C" w:rsidRPr="00DC73F9" w:rsidTr="00F46B6F">
        <w:trPr>
          <w:trHeight w:val="20"/>
        </w:trPr>
        <w:tc>
          <w:tcPr>
            <w:tcW w:w="2760" w:type="dxa"/>
            <w:gridSpan w:val="2"/>
            <w:shd w:val="clear" w:color="auto" w:fill="FFFFFF" w:themeFill="background1"/>
            <w:noWrap/>
            <w:vAlign w:val="center"/>
            <w:hideMark/>
          </w:tcPr>
          <w:p w:rsidR="005F4F0C" w:rsidRPr="00AF5D7A" w:rsidRDefault="005F4F0C" w:rsidP="005F4F0C">
            <w:pPr>
              <w:jc w:val="center"/>
              <w:rPr>
                <w:rFonts w:ascii="Times New Roman" w:hAnsi="Times New Roman"/>
                <w:lang w:val="es-ES_tradnl"/>
              </w:rPr>
            </w:pPr>
          </w:p>
        </w:tc>
        <w:tc>
          <w:tcPr>
            <w:tcW w:w="1804" w:type="dxa"/>
            <w:shd w:val="clear" w:color="auto" w:fill="FFFFFF" w:themeFill="background1"/>
            <w:vAlign w:val="center"/>
          </w:tcPr>
          <w:p w:rsidR="005F4F0C" w:rsidRPr="00F97AFD" w:rsidRDefault="005F4F0C" w:rsidP="00F97AFD">
            <w:pPr>
              <w:jc w:val="center"/>
              <w:rPr>
                <w:rFonts w:ascii="Times New Roman" w:hAnsi="Times New Roman"/>
                <w:b/>
                <w:lang w:val="es-AR"/>
              </w:rPr>
            </w:pPr>
            <w:r w:rsidRPr="00F97AFD">
              <w:rPr>
                <w:rFonts w:ascii="Times New Roman" w:hAnsi="Times New Roman"/>
                <w:b/>
                <w:lang w:val="es-AR"/>
              </w:rPr>
              <w:t>VAN</w:t>
            </w:r>
            <w:r w:rsidR="00890D95" w:rsidRPr="00F97AFD">
              <w:rPr>
                <w:rFonts w:ascii="Times New Roman" w:hAnsi="Times New Roman"/>
                <w:b/>
                <w:lang w:val="es-AR"/>
              </w:rPr>
              <w:t xml:space="preserve"> (</w:t>
            </w:r>
            <w:r w:rsidR="00F97AFD" w:rsidRPr="00F97AFD">
              <w:rPr>
                <w:rFonts w:ascii="Times New Roman" w:hAnsi="Times New Roman"/>
                <w:b/>
                <w:lang w:val="es-AR"/>
              </w:rPr>
              <w:t>Miles de U$S</w:t>
            </w:r>
            <w:r w:rsidR="00890D95" w:rsidRPr="00F97AFD">
              <w:rPr>
                <w:rFonts w:ascii="Times New Roman" w:hAnsi="Times New Roman"/>
                <w:b/>
                <w:lang w:val="es-AR"/>
              </w:rPr>
              <w:t>)</w:t>
            </w:r>
          </w:p>
        </w:tc>
        <w:tc>
          <w:tcPr>
            <w:tcW w:w="1616" w:type="dxa"/>
            <w:shd w:val="clear" w:color="auto" w:fill="FFFFFF" w:themeFill="background1"/>
            <w:vAlign w:val="center"/>
          </w:tcPr>
          <w:p w:rsidR="005F4F0C" w:rsidRPr="00DC73F9" w:rsidRDefault="005F4F0C" w:rsidP="005F4F0C">
            <w:pPr>
              <w:jc w:val="center"/>
              <w:rPr>
                <w:rFonts w:ascii="Times New Roman" w:hAnsi="Times New Roman"/>
                <w:b/>
                <w:lang w:val="es-ES_tradnl"/>
              </w:rPr>
            </w:pPr>
            <w:r w:rsidRPr="00DC73F9">
              <w:rPr>
                <w:rFonts w:ascii="Times New Roman" w:hAnsi="Times New Roman"/>
                <w:b/>
                <w:lang w:val="es-ES_tradnl"/>
              </w:rPr>
              <w:t>TIRE</w:t>
            </w:r>
          </w:p>
        </w:tc>
      </w:tr>
      <w:tr w:rsidR="00890D95" w:rsidRPr="00DC73F9" w:rsidTr="00F46B6F">
        <w:trPr>
          <w:trHeight w:val="20"/>
        </w:trPr>
        <w:tc>
          <w:tcPr>
            <w:tcW w:w="1230" w:type="dxa"/>
            <w:vMerge w:val="restart"/>
            <w:shd w:val="clear" w:color="auto" w:fill="FFFFFF" w:themeFill="background1"/>
            <w:noWrap/>
            <w:vAlign w:val="center"/>
          </w:tcPr>
          <w:p w:rsidR="00890D95" w:rsidRPr="00DC73F9" w:rsidRDefault="00890D95" w:rsidP="005F4F0C">
            <w:pPr>
              <w:jc w:val="center"/>
              <w:rPr>
                <w:rFonts w:ascii="Times New Roman" w:hAnsi="Times New Roman"/>
                <w:b/>
                <w:bCs/>
                <w:lang w:val="es-AR"/>
              </w:rPr>
            </w:pPr>
            <w:r w:rsidRPr="00DC73F9">
              <w:rPr>
                <w:rFonts w:ascii="Times New Roman" w:hAnsi="Times New Roman"/>
                <w:b/>
                <w:bCs/>
                <w:lang w:val="es-ES_tradnl"/>
              </w:rPr>
              <w:t>Porcentaje de aumento de Costos</w:t>
            </w:r>
          </w:p>
        </w:tc>
        <w:tc>
          <w:tcPr>
            <w:tcW w:w="1530" w:type="dxa"/>
            <w:shd w:val="clear" w:color="auto" w:fill="FFFFFF" w:themeFill="background1"/>
            <w:noWrap/>
            <w:vAlign w:val="center"/>
          </w:tcPr>
          <w:p w:rsidR="00890D95" w:rsidRPr="00DC73F9" w:rsidRDefault="00890D95" w:rsidP="005F4F0C">
            <w:pPr>
              <w:jc w:val="center"/>
              <w:rPr>
                <w:rFonts w:ascii="Times New Roman" w:hAnsi="Times New Roman"/>
                <w:b/>
                <w:bCs/>
              </w:rPr>
            </w:pPr>
            <w:r w:rsidRPr="00DC73F9">
              <w:rPr>
                <w:rFonts w:ascii="Times New Roman" w:hAnsi="Times New Roman"/>
                <w:b/>
                <w:bCs/>
              </w:rPr>
              <w:t>Base (0%)</w:t>
            </w:r>
          </w:p>
        </w:tc>
        <w:tc>
          <w:tcPr>
            <w:tcW w:w="1804" w:type="dxa"/>
            <w:shd w:val="clear" w:color="auto" w:fill="FFFFFF" w:themeFill="background1"/>
            <w:noWrap/>
          </w:tcPr>
          <w:p w:rsidR="00890D95" w:rsidRPr="00F46B6F" w:rsidRDefault="0003089C" w:rsidP="00F97AFD">
            <w:pPr>
              <w:jc w:val="right"/>
              <w:rPr>
                <w:rFonts w:ascii="Times New Roman" w:hAnsi="Times New Roman"/>
                <w:b/>
              </w:rPr>
            </w:pPr>
            <w:r w:rsidRPr="00F46B6F">
              <w:rPr>
                <w:rFonts w:ascii="Times New Roman" w:hAnsi="Times New Roman"/>
                <w:b/>
              </w:rPr>
              <w:t>1.</w:t>
            </w:r>
            <w:r w:rsidR="00DD79F4">
              <w:rPr>
                <w:rFonts w:ascii="Times New Roman" w:hAnsi="Times New Roman"/>
                <w:b/>
              </w:rPr>
              <w:t>8</w:t>
            </w:r>
            <w:r w:rsidR="00F97AFD">
              <w:rPr>
                <w:rFonts w:ascii="Times New Roman" w:hAnsi="Times New Roman"/>
                <w:b/>
              </w:rPr>
              <w:t>70</w:t>
            </w:r>
          </w:p>
        </w:tc>
        <w:tc>
          <w:tcPr>
            <w:tcW w:w="1616" w:type="dxa"/>
            <w:shd w:val="clear" w:color="auto" w:fill="FFFFFF" w:themeFill="background1"/>
            <w:noWrap/>
          </w:tcPr>
          <w:p w:rsidR="00890D95" w:rsidRPr="00DC73F9" w:rsidRDefault="00890D95" w:rsidP="00F97AFD">
            <w:pPr>
              <w:jc w:val="right"/>
              <w:rPr>
                <w:rFonts w:ascii="Times New Roman" w:hAnsi="Times New Roman"/>
                <w:b/>
              </w:rPr>
            </w:pPr>
            <w:r w:rsidRPr="00DC73F9">
              <w:rPr>
                <w:rFonts w:ascii="Times New Roman" w:hAnsi="Times New Roman"/>
                <w:b/>
              </w:rPr>
              <w:t>4</w:t>
            </w:r>
            <w:r w:rsidR="00F97AFD">
              <w:rPr>
                <w:rFonts w:ascii="Times New Roman" w:hAnsi="Times New Roman"/>
                <w:b/>
              </w:rPr>
              <w:t>9</w:t>
            </w:r>
            <w:r w:rsidRPr="00DC73F9">
              <w:rPr>
                <w:rFonts w:ascii="Times New Roman" w:hAnsi="Times New Roman"/>
                <w:b/>
              </w:rPr>
              <w:t>%</w:t>
            </w:r>
          </w:p>
        </w:tc>
      </w:tr>
      <w:tr w:rsidR="00890D95" w:rsidRPr="00DC73F9" w:rsidTr="00F46B6F">
        <w:trPr>
          <w:trHeight w:val="20"/>
        </w:trPr>
        <w:tc>
          <w:tcPr>
            <w:tcW w:w="1230" w:type="dxa"/>
            <w:vMerge/>
            <w:shd w:val="clear" w:color="auto" w:fill="FFFFFF" w:themeFill="background1"/>
            <w:noWrap/>
            <w:vAlign w:val="center"/>
          </w:tcPr>
          <w:p w:rsidR="00890D95" w:rsidRPr="00DC73F9" w:rsidRDefault="00890D95" w:rsidP="005F4F0C">
            <w:pPr>
              <w:jc w:val="center"/>
              <w:rPr>
                <w:rFonts w:ascii="Times New Roman" w:hAnsi="Times New Roman"/>
                <w:b/>
                <w:bCs/>
                <w:lang w:val="es-ES_tradnl"/>
              </w:rPr>
            </w:pPr>
          </w:p>
        </w:tc>
        <w:tc>
          <w:tcPr>
            <w:tcW w:w="1530" w:type="dxa"/>
            <w:shd w:val="clear" w:color="auto" w:fill="FFFFFF" w:themeFill="background1"/>
            <w:noWrap/>
            <w:vAlign w:val="center"/>
          </w:tcPr>
          <w:p w:rsidR="00890D95" w:rsidRPr="00DC73F9" w:rsidRDefault="00890D95" w:rsidP="005F4F0C">
            <w:pPr>
              <w:jc w:val="center"/>
              <w:rPr>
                <w:rFonts w:ascii="Times New Roman" w:hAnsi="Times New Roman"/>
                <w:b/>
                <w:bCs/>
                <w:lang w:val="es-ES_tradnl"/>
              </w:rPr>
            </w:pPr>
            <w:r w:rsidRPr="00DC73F9">
              <w:rPr>
                <w:rFonts w:ascii="Times New Roman" w:hAnsi="Times New Roman"/>
                <w:b/>
                <w:bCs/>
                <w:lang w:val="es-ES_tradnl"/>
              </w:rPr>
              <w:t>3%</w:t>
            </w:r>
          </w:p>
        </w:tc>
        <w:tc>
          <w:tcPr>
            <w:tcW w:w="1804" w:type="dxa"/>
            <w:shd w:val="clear" w:color="auto" w:fill="FFFFFF" w:themeFill="background1"/>
            <w:noWrap/>
          </w:tcPr>
          <w:p w:rsidR="00890D95" w:rsidRPr="00DC73F9" w:rsidRDefault="0003089C" w:rsidP="00F97AFD">
            <w:pPr>
              <w:jc w:val="right"/>
              <w:rPr>
                <w:rFonts w:ascii="Times New Roman" w:hAnsi="Times New Roman"/>
              </w:rPr>
            </w:pPr>
            <w:r>
              <w:rPr>
                <w:rFonts w:ascii="Times New Roman" w:hAnsi="Times New Roman"/>
              </w:rPr>
              <w:t>1.4</w:t>
            </w:r>
            <w:r w:rsidR="00DD79F4">
              <w:rPr>
                <w:rFonts w:ascii="Times New Roman" w:hAnsi="Times New Roman"/>
              </w:rPr>
              <w:t>8</w:t>
            </w:r>
            <w:r w:rsidR="00F97AFD">
              <w:rPr>
                <w:rFonts w:ascii="Times New Roman" w:hAnsi="Times New Roman"/>
              </w:rPr>
              <w:t>9</w:t>
            </w:r>
          </w:p>
        </w:tc>
        <w:tc>
          <w:tcPr>
            <w:tcW w:w="1616" w:type="dxa"/>
            <w:shd w:val="clear" w:color="auto" w:fill="FFFFFF" w:themeFill="background1"/>
            <w:noWrap/>
          </w:tcPr>
          <w:p w:rsidR="00890D95" w:rsidRPr="00DC73F9" w:rsidRDefault="00DD79F4" w:rsidP="00F97AFD">
            <w:pPr>
              <w:jc w:val="right"/>
              <w:rPr>
                <w:rFonts w:ascii="Times New Roman" w:hAnsi="Times New Roman"/>
              </w:rPr>
            </w:pPr>
            <w:r>
              <w:rPr>
                <w:rFonts w:ascii="Times New Roman" w:hAnsi="Times New Roman"/>
              </w:rPr>
              <w:t>4</w:t>
            </w:r>
            <w:r w:rsidR="00F97AFD">
              <w:rPr>
                <w:rFonts w:ascii="Times New Roman" w:hAnsi="Times New Roman"/>
              </w:rPr>
              <w:t>1</w:t>
            </w:r>
            <w:r w:rsidR="0003089C">
              <w:rPr>
                <w:rFonts w:ascii="Times New Roman" w:hAnsi="Times New Roman"/>
              </w:rPr>
              <w:t>%</w:t>
            </w:r>
          </w:p>
        </w:tc>
      </w:tr>
      <w:tr w:rsidR="00890D95" w:rsidRPr="00DC73F9" w:rsidTr="00F46B6F">
        <w:trPr>
          <w:trHeight w:val="20"/>
        </w:trPr>
        <w:tc>
          <w:tcPr>
            <w:tcW w:w="1230" w:type="dxa"/>
            <w:vMerge/>
            <w:shd w:val="clear" w:color="auto" w:fill="FFFFFF" w:themeFill="background1"/>
            <w:noWrap/>
            <w:vAlign w:val="center"/>
          </w:tcPr>
          <w:p w:rsidR="00890D95" w:rsidRPr="00DC73F9" w:rsidRDefault="00890D95" w:rsidP="005F4F0C">
            <w:pPr>
              <w:jc w:val="center"/>
              <w:rPr>
                <w:rFonts w:ascii="Times New Roman" w:hAnsi="Times New Roman"/>
                <w:b/>
                <w:bCs/>
                <w:lang w:val="es-ES_tradnl"/>
              </w:rPr>
            </w:pPr>
          </w:p>
        </w:tc>
        <w:tc>
          <w:tcPr>
            <w:tcW w:w="1530" w:type="dxa"/>
            <w:shd w:val="clear" w:color="auto" w:fill="FFFFFF" w:themeFill="background1"/>
            <w:noWrap/>
            <w:vAlign w:val="center"/>
          </w:tcPr>
          <w:p w:rsidR="00890D95" w:rsidRPr="00DC73F9" w:rsidRDefault="00DD79F4" w:rsidP="005F4F0C">
            <w:pPr>
              <w:jc w:val="center"/>
              <w:rPr>
                <w:rFonts w:ascii="Times New Roman" w:hAnsi="Times New Roman"/>
                <w:b/>
                <w:bCs/>
                <w:lang w:val="es-ES_tradnl"/>
              </w:rPr>
            </w:pPr>
            <w:r>
              <w:rPr>
                <w:rFonts w:ascii="Times New Roman" w:hAnsi="Times New Roman"/>
                <w:b/>
                <w:bCs/>
                <w:lang w:val="es-ES_tradnl"/>
              </w:rPr>
              <w:t>6</w:t>
            </w:r>
            <w:r w:rsidR="00890D95" w:rsidRPr="00DC73F9">
              <w:rPr>
                <w:rFonts w:ascii="Times New Roman" w:hAnsi="Times New Roman"/>
                <w:b/>
                <w:bCs/>
                <w:lang w:val="es-ES_tradnl"/>
              </w:rPr>
              <w:t>%</w:t>
            </w:r>
          </w:p>
        </w:tc>
        <w:tc>
          <w:tcPr>
            <w:tcW w:w="1804" w:type="dxa"/>
            <w:shd w:val="clear" w:color="auto" w:fill="FFFFFF" w:themeFill="background1"/>
            <w:noWrap/>
          </w:tcPr>
          <w:p w:rsidR="00F46B6F" w:rsidRPr="00DC73F9" w:rsidRDefault="00F46B6F" w:rsidP="00F97AFD">
            <w:pPr>
              <w:jc w:val="right"/>
              <w:rPr>
                <w:rFonts w:ascii="Times New Roman" w:hAnsi="Times New Roman"/>
              </w:rPr>
            </w:pPr>
            <w:r>
              <w:rPr>
                <w:rFonts w:ascii="Times New Roman" w:hAnsi="Times New Roman"/>
              </w:rPr>
              <w:t>1</w:t>
            </w:r>
            <w:r w:rsidR="00DD79F4">
              <w:rPr>
                <w:rFonts w:ascii="Times New Roman" w:hAnsi="Times New Roman"/>
              </w:rPr>
              <w:t>.</w:t>
            </w:r>
            <w:r w:rsidR="00F97AFD">
              <w:rPr>
                <w:rFonts w:ascii="Times New Roman" w:hAnsi="Times New Roman"/>
              </w:rPr>
              <w:t>1</w:t>
            </w:r>
            <w:r w:rsidR="00DD79F4">
              <w:rPr>
                <w:rFonts w:ascii="Times New Roman" w:hAnsi="Times New Roman"/>
              </w:rPr>
              <w:t>0</w:t>
            </w:r>
            <w:r w:rsidR="00F97AFD">
              <w:rPr>
                <w:rFonts w:ascii="Times New Roman" w:hAnsi="Times New Roman"/>
              </w:rPr>
              <w:t>8</w:t>
            </w:r>
          </w:p>
        </w:tc>
        <w:tc>
          <w:tcPr>
            <w:tcW w:w="1616" w:type="dxa"/>
            <w:shd w:val="clear" w:color="auto" w:fill="FFFFFF" w:themeFill="background1"/>
            <w:noWrap/>
          </w:tcPr>
          <w:p w:rsidR="00890D95" w:rsidRPr="00DC73F9" w:rsidRDefault="0003089C" w:rsidP="00F97AFD">
            <w:pPr>
              <w:jc w:val="right"/>
              <w:rPr>
                <w:rFonts w:ascii="Times New Roman" w:hAnsi="Times New Roman"/>
              </w:rPr>
            </w:pPr>
            <w:r>
              <w:rPr>
                <w:rFonts w:ascii="Times New Roman" w:hAnsi="Times New Roman"/>
              </w:rPr>
              <w:t>3</w:t>
            </w:r>
            <w:r w:rsidR="00F97AFD">
              <w:rPr>
                <w:rFonts w:ascii="Times New Roman" w:hAnsi="Times New Roman"/>
              </w:rPr>
              <w:t>3</w:t>
            </w:r>
            <w:r>
              <w:rPr>
                <w:rFonts w:ascii="Times New Roman" w:hAnsi="Times New Roman"/>
              </w:rPr>
              <w:t>%</w:t>
            </w:r>
          </w:p>
        </w:tc>
      </w:tr>
      <w:tr w:rsidR="00890D95" w:rsidRPr="00DC73F9" w:rsidTr="00F46B6F">
        <w:trPr>
          <w:trHeight w:val="20"/>
        </w:trPr>
        <w:tc>
          <w:tcPr>
            <w:tcW w:w="1230" w:type="dxa"/>
            <w:vMerge/>
            <w:shd w:val="clear" w:color="auto" w:fill="FFFFFF" w:themeFill="background1"/>
            <w:noWrap/>
            <w:vAlign w:val="center"/>
          </w:tcPr>
          <w:p w:rsidR="00890D95" w:rsidRPr="00DC73F9" w:rsidRDefault="00890D95" w:rsidP="005F4F0C">
            <w:pPr>
              <w:jc w:val="center"/>
              <w:rPr>
                <w:rFonts w:ascii="Times New Roman" w:hAnsi="Times New Roman"/>
                <w:lang w:val="es-ES_tradnl"/>
              </w:rPr>
            </w:pPr>
          </w:p>
        </w:tc>
        <w:tc>
          <w:tcPr>
            <w:tcW w:w="1530" w:type="dxa"/>
            <w:shd w:val="clear" w:color="auto" w:fill="FFFFFF" w:themeFill="background1"/>
            <w:noWrap/>
            <w:vAlign w:val="center"/>
          </w:tcPr>
          <w:p w:rsidR="00890D95" w:rsidRPr="00DC73F9" w:rsidRDefault="00F46B6F" w:rsidP="005F4F0C">
            <w:pPr>
              <w:jc w:val="center"/>
              <w:rPr>
                <w:rFonts w:ascii="Times New Roman" w:hAnsi="Times New Roman"/>
                <w:lang w:val="es-ES_tradnl"/>
              </w:rPr>
            </w:pPr>
            <w:r>
              <w:rPr>
                <w:rFonts w:ascii="Times New Roman" w:hAnsi="Times New Roman"/>
                <w:b/>
                <w:bCs/>
                <w:lang w:val="es-ES_tradnl"/>
              </w:rPr>
              <w:t>10</w:t>
            </w:r>
            <w:r w:rsidR="00890D95" w:rsidRPr="00DC73F9">
              <w:rPr>
                <w:rFonts w:ascii="Times New Roman" w:hAnsi="Times New Roman"/>
                <w:b/>
                <w:bCs/>
                <w:lang w:val="es-ES_tradnl"/>
              </w:rPr>
              <w:t>%</w:t>
            </w:r>
          </w:p>
        </w:tc>
        <w:tc>
          <w:tcPr>
            <w:tcW w:w="1804" w:type="dxa"/>
            <w:shd w:val="clear" w:color="auto" w:fill="FFFFFF" w:themeFill="background1"/>
            <w:noWrap/>
          </w:tcPr>
          <w:p w:rsidR="00890D95" w:rsidRPr="00DC73F9" w:rsidRDefault="00DD79F4" w:rsidP="00F97AFD">
            <w:pPr>
              <w:jc w:val="right"/>
              <w:rPr>
                <w:rFonts w:ascii="Times New Roman" w:hAnsi="Times New Roman"/>
              </w:rPr>
            </w:pPr>
            <w:r>
              <w:rPr>
                <w:rFonts w:ascii="Times New Roman" w:hAnsi="Times New Roman"/>
              </w:rPr>
              <w:t>6</w:t>
            </w:r>
            <w:r w:rsidR="00F97AFD">
              <w:rPr>
                <w:rFonts w:ascii="Times New Roman" w:hAnsi="Times New Roman"/>
              </w:rPr>
              <w:t>00</w:t>
            </w:r>
          </w:p>
        </w:tc>
        <w:tc>
          <w:tcPr>
            <w:tcW w:w="1616" w:type="dxa"/>
            <w:shd w:val="clear" w:color="auto" w:fill="FFFFFF" w:themeFill="background1"/>
            <w:noWrap/>
          </w:tcPr>
          <w:p w:rsidR="00890D95" w:rsidRPr="00DC73F9" w:rsidRDefault="00F46B6F" w:rsidP="00F97AFD">
            <w:pPr>
              <w:jc w:val="right"/>
              <w:rPr>
                <w:rFonts w:ascii="Times New Roman" w:hAnsi="Times New Roman"/>
              </w:rPr>
            </w:pPr>
            <w:r>
              <w:rPr>
                <w:rFonts w:ascii="Times New Roman" w:hAnsi="Times New Roman"/>
              </w:rPr>
              <w:t>2</w:t>
            </w:r>
            <w:r w:rsidR="00F97AFD">
              <w:rPr>
                <w:rFonts w:ascii="Times New Roman" w:hAnsi="Times New Roman"/>
              </w:rPr>
              <w:t>3</w:t>
            </w:r>
            <w:r>
              <w:rPr>
                <w:rFonts w:ascii="Times New Roman" w:hAnsi="Times New Roman"/>
              </w:rPr>
              <w:t>%</w:t>
            </w:r>
          </w:p>
        </w:tc>
      </w:tr>
    </w:tbl>
    <w:p w:rsidR="004B7F2B" w:rsidRPr="00DC73F9" w:rsidRDefault="004B7F2B" w:rsidP="005F4F0C">
      <w:pPr>
        <w:autoSpaceDE w:val="0"/>
        <w:autoSpaceDN w:val="0"/>
        <w:adjustRightInd w:val="0"/>
        <w:ind w:left="792"/>
        <w:jc w:val="both"/>
        <w:rPr>
          <w:rFonts w:ascii="Times New Roman" w:hAnsi="Times New Roman"/>
          <w:bCs/>
          <w:lang w:val="es-ES_tradnl"/>
        </w:rPr>
      </w:pPr>
    </w:p>
    <w:p w:rsidR="005F4F0C" w:rsidRPr="00D7177F" w:rsidRDefault="005F4F0C" w:rsidP="00DD79F4">
      <w:pPr>
        <w:numPr>
          <w:ilvl w:val="1"/>
          <w:numId w:val="10"/>
        </w:numPr>
        <w:autoSpaceDE w:val="0"/>
        <w:autoSpaceDN w:val="0"/>
        <w:adjustRightInd w:val="0"/>
        <w:ind w:left="426"/>
        <w:jc w:val="both"/>
        <w:rPr>
          <w:rFonts w:ascii="Times New Roman" w:hAnsi="Times New Roman"/>
          <w:bCs/>
          <w:sz w:val="24"/>
          <w:szCs w:val="24"/>
          <w:lang w:val="es-ES_tradnl"/>
        </w:rPr>
      </w:pPr>
      <w:r w:rsidRPr="00D7177F">
        <w:rPr>
          <w:rFonts w:ascii="Times New Roman" w:hAnsi="Times New Roman"/>
          <w:bCs/>
          <w:sz w:val="24"/>
          <w:szCs w:val="24"/>
          <w:lang w:val="es-ES_tradnl"/>
        </w:rPr>
        <w:t>El segundo ejercicio consistió en re</w:t>
      </w:r>
      <w:r w:rsidR="00890D95" w:rsidRPr="00D7177F">
        <w:rPr>
          <w:rFonts w:ascii="Times New Roman" w:hAnsi="Times New Roman"/>
          <w:bCs/>
          <w:sz w:val="24"/>
          <w:szCs w:val="24"/>
          <w:lang w:val="es-ES_tradnl"/>
        </w:rPr>
        <w:t>-</w:t>
      </w:r>
      <w:r w:rsidRPr="00D7177F">
        <w:rPr>
          <w:rFonts w:ascii="Times New Roman" w:hAnsi="Times New Roman"/>
          <w:bCs/>
          <w:sz w:val="24"/>
          <w:szCs w:val="24"/>
          <w:lang w:val="es-ES_tradnl"/>
        </w:rPr>
        <w:t>estimar tres escenarios distintos</w:t>
      </w:r>
      <w:r w:rsidR="008B7C69">
        <w:rPr>
          <w:rFonts w:ascii="Times New Roman" w:hAnsi="Times New Roman"/>
          <w:bCs/>
          <w:sz w:val="24"/>
          <w:szCs w:val="24"/>
          <w:lang w:val="es-ES_tradnl"/>
        </w:rPr>
        <w:t>,</w:t>
      </w:r>
      <w:r w:rsidRPr="00D7177F">
        <w:rPr>
          <w:rFonts w:ascii="Times New Roman" w:hAnsi="Times New Roman"/>
          <w:bCs/>
          <w:sz w:val="24"/>
          <w:szCs w:val="24"/>
          <w:lang w:val="es-ES_tradnl"/>
        </w:rPr>
        <w:t xml:space="preserve"> a partir del escenario base</w:t>
      </w:r>
      <w:r w:rsidR="008B7C69">
        <w:rPr>
          <w:rFonts w:ascii="Times New Roman" w:hAnsi="Times New Roman"/>
          <w:bCs/>
          <w:sz w:val="24"/>
          <w:szCs w:val="24"/>
          <w:lang w:val="es-ES_tradnl"/>
        </w:rPr>
        <w:t>,</w:t>
      </w:r>
      <w:r w:rsidRPr="00D7177F">
        <w:rPr>
          <w:rFonts w:ascii="Times New Roman" w:hAnsi="Times New Roman"/>
          <w:bCs/>
          <w:sz w:val="24"/>
          <w:szCs w:val="24"/>
          <w:lang w:val="es-ES_tradnl"/>
        </w:rPr>
        <w:t xml:space="preserve"> asumiendo niveles inferiores de impacto de las inversiones del pr</w:t>
      </w:r>
      <w:r w:rsidR="00DD79F4">
        <w:rPr>
          <w:rFonts w:ascii="Times New Roman" w:hAnsi="Times New Roman"/>
          <w:bCs/>
          <w:sz w:val="24"/>
          <w:szCs w:val="24"/>
          <w:lang w:val="es-ES_tradnl"/>
        </w:rPr>
        <w:t>oyecto sobre la valorización de los inmuebles</w:t>
      </w:r>
      <w:r w:rsidRPr="00D7177F">
        <w:rPr>
          <w:rFonts w:ascii="Times New Roman" w:hAnsi="Times New Roman"/>
          <w:bCs/>
          <w:sz w:val="24"/>
          <w:szCs w:val="24"/>
          <w:lang w:val="es-ES_tradnl"/>
        </w:rPr>
        <w:t>. Cabe mencionar que aquí sólo se estiman escenarios conservadores donde el nivel de atribución es menor, pero también puede suceder que el sesgo se de en sentido contrario. Es decir</w:t>
      </w:r>
      <w:r w:rsidR="00BF1F6B">
        <w:rPr>
          <w:rFonts w:ascii="Times New Roman" w:hAnsi="Times New Roman"/>
          <w:bCs/>
          <w:sz w:val="24"/>
          <w:szCs w:val="24"/>
          <w:lang w:val="es-ES_tradnl"/>
        </w:rPr>
        <w:t>,</w:t>
      </w:r>
      <w:r w:rsidRPr="00D7177F">
        <w:rPr>
          <w:rFonts w:ascii="Times New Roman" w:hAnsi="Times New Roman"/>
          <w:bCs/>
          <w:sz w:val="24"/>
          <w:szCs w:val="24"/>
          <w:lang w:val="es-ES_tradnl"/>
        </w:rPr>
        <w:t xml:space="preserve"> que las </w:t>
      </w:r>
      <w:r w:rsidR="00BF1F6B">
        <w:rPr>
          <w:rFonts w:ascii="Times New Roman" w:hAnsi="Times New Roman"/>
          <w:bCs/>
          <w:sz w:val="24"/>
          <w:szCs w:val="24"/>
          <w:lang w:val="es-ES_tradnl"/>
        </w:rPr>
        <w:t xml:space="preserve">elasticidades e incluso los </w:t>
      </w:r>
      <w:r w:rsidRPr="00D7177F">
        <w:rPr>
          <w:rFonts w:ascii="Times New Roman" w:hAnsi="Times New Roman"/>
          <w:bCs/>
          <w:sz w:val="24"/>
          <w:szCs w:val="24"/>
          <w:lang w:val="es-ES_tradnl"/>
        </w:rPr>
        <w:t xml:space="preserve">precios </w:t>
      </w:r>
      <w:r w:rsidR="00BF1F6B">
        <w:rPr>
          <w:rFonts w:ascii="Times New Roman" w:hAnsi="Times New Roman"/>
          <w:bCs/>
          <w:sz w:val="24"/>
          <w:szCs w:val="24"/>
          <w:lang w:val="es-ES_tradnl"/>
        </w:rPr>
        <w:t xml:space="preserve">se encuentren </w:t>
      </w:r>
      <w:r w:rsidRPr="00D7177F">
        <w:rPr>
          <w:rFonts w:ascii="Times New Roman" w:hAnsi="Times New Roman"/>
          <w:bCs/>
          <w:sz w:val="24"/>
          <w:szCs w:val="24"/>
          <w:lang w:val="es-ES_tradnl"/>
        </w:rPr>
        <w:t>subestimadas</w:t>
      </w:r>
      <w:r w:rsidR="00BF1F6B">
        <w:rPr>
          <w:rFonts w:ascii="Times New Roman" w:hAnsi="Times New Roman"/>
          <w:bCs/>
          <w:sz w:val="24"/>
          <w:szCs w:val="24"/>
          <w:lang w:val="es-ES_tradnl"/>
        </w:rPr>
        <w:t>, con relación a lo que finalmente se verifique</w:t>
      </w:r>
      <w:r w:rsidRPr="00D7177F">
        <w:rPr>
          <w:rFonts w:ascii="Times New Roman" w:hAnsi="Times New Roman"/>
          <w:bCs/>
          <w:sz w:val="24"/>
          <w:szCs w:val="24"/>
          <w:lang w:val="es-ES_tradnl"/>
        </w:rPr>
        <w:t xml:space="preserve">. </w:t>
      </w:r>
    </w:p>
    <w:p w:rsidR="007568FF" w:rsidRPr="00D7177F" w:rsidRDefault="007568FF" w:rsidP="00D7177F">
      <w:pPr>
        <w:autoSpaceDE w:val="0"/>
        <w:autoSpaceDN w:val="0"/>
        <w:adjustRightInd w:val="0"/>
        <w:ind w:left="360"/>
        <w:jc w:val="both"/>
        <w:rPr>
          <w:rFonts w:ascii="Times New Roman" w:hAnsi="Times New Roman"/>
          <w:bCs/>
          <w:sz w:val="24"/>
          <w:szCs w:val="24"/>
          <w:lang w:val="es-ES_tradnl"/>
        </w:rPr>
      </w:pPr>
    </w:p>
    <w:p w:rsidR="00712FD1" w:rsidRPr="00DC73F9" w:rsidRDefault="00727C2A" w:rsidP="00712FD1">
      <w:pPr>
        <w:pStyle w:val="ListParagraph"/>
        <w:ind w:left="360"/>
        <w:jc w:val="center"/>
        <w:rPr>
          <w:rFonts w:ascii="Times New Roman" w:hAnsi="Times New Roman"/>
          <w:b/>
          <w:lang w:val="es-ES_tradnl"/>
        </w:rPr>
      </w:pPr>
      <w:r>
        <w:rPr>
          <w:rFonts w:ascii="Times New Roman" w:hAnsi="Times New Roman"/>
          <w:b/>
          <w:lang w:val="es-ES_tradnl"/>
        </w:rPr>
        <w:t xml:space="preserve">Tabla </w:t>
      </w:r>
      <w:r w:rsidR="00D7177F">
        <w:rPr>
          <w:rFonts w:ascii="Times New Roman" w:hAnsi="Times New Roman"/>
          <w:b/>
          <w:lang w:val="es-ES_tradnl"/>
        </w:rPr>
        <w:t>X</w:t>
      </w:r>
      <w:r>
        <w:rPr>
          <w:rFonts w:ascii="Times New Roman" w:hAnsi="Times New Roman"/>
          <w:b/>
          <w:lang w:val="es-ES_tradnl"/>
        </w:rPr>
        <w:t>I</w:t>
      </w:r>
      <w:r w:rsidR="00D7177F">
        <w:rPr>
          <w:rFonts w:ascii="Times New Roman" w:hAnsi="Times New Roman"/>
          <w:b/>
          <w:lang w:val="es-ES_tradnl"/>
        </w:rPr>
        <w:t xml:space="preserve">: </w:t>
      </w:r>
      <w:r w:rsidR="00712FD1" w:rsidRPr="00DC73F9">
        <w:rPr>
          <w:rFonts w:ascii="Times New Roman" w:hAnsi="Times New Roman"/>
          <w:b/>
          <w:lang w:val="es-ES_tradnl"/>
        </w:rPr>
        <w:t>Ejercicio de Sensibilidad ante menores niveles de atribución</w:t>
      </w:r>
    </w:p>
    <w:tbl>
      <w:tblPr>
        <w:tblW w:w="6233" w:type="dxa"/>
        <w:tblInd w:w="1259" w:type="dxa"/>
        <w:tblBorders>
          <w:top w:val="single" w:sz="4" w:space="0" w:color="auto"/>
          <w:bottom w:val="single" w:sz="4" w:space="0" w:color="auto"/>
          <w:insideH w:val="single" w:sz="4" w:space="0" w:color="auto"/>
        </w:tblBorders>
        <w:tblLook w:val="04A0" w:firstRow="1" w:lastRow="0" w:firstColumn="1" w:lastColumn="0" w:noHBand="0" w:noVBand="1"/>
      </w:tblPr>
      <w:tblGrid>
        <w:gridCol w:w="1305"/>
        <w:gridCol w:w="1530"/>
        <w:gridCol w:w="1804"/>
        <w:gridCol w:w="1616"/>
      </w:tblGrid>
      <w:tr w:rsidR="005F4F0C" w:rsidRPr="00DC73F9" w:rsidTr="00DD79F4">
        <w:trPr>
          <w:trHeight w:val="20"/>
        </w:trPr>
        <w:tc>
          <w:tcPr>
            <w:tcW w:w="2813" w:type="dxa"/>
            <w:gridSpan w:val="2"/>
            <w:shd w:val="clear" w:color="auto" w:fill="FFFFFF" w:themeFill="background1"/>
            <w:noWrap/>
            <w:vAlign w:val="center"/>
            <w:hideMark/>
          </w:tcPr>
          <w:p w:rsidR="005F4F0C" w:rsidRPr="00DC73F9" w:rsidRDefault="005F4F0C" w:rsidP="009B32FA">
            <w:pPr>
              <w:jc w:val="center"/>
              <w:rPr>
                <w:rFonts w:ascii="Times New Roman" w:hAnsi="Times New Roman"/>
                <w:b/>
                <w:lang w:val="es-AR"/>
              </w:rPr>
            </w:pPr>
          </w:p>
        </w:tc>
        <w:tc>
          <w:tcPr>
            <w:tcW w:w="1804" w:type="dxa"/>
            <w:shd w:val="clear" w:color="auto" w:fill="FFFFFF" w:themeFill="background1"/>
            <w:vAlign w:val="center"/>
          </w:tcPr>
          <w:p w:rsidR="005F4F0C" w:rsidRPr="00F97AFD" w:rsidRDefault="005F4F0C" w:rsidP="00F97AFD">
            <w:pPr>
              <w:jc w:val="center"/>
              <w:rPr>
                <w:rFonts w:ascii="Times New Roman" w:hAnsi="Times New Roman"/>
                <w:b/>
                <w:lang w:val="es-AR"/>
              </w:rPr>
            </w:pPr>
            <w:r w:rsidRPr="00F97AFD">
              <w:rPr>
                <w:rFonts w:ascii="Times New Roman" w:hAnsi="Times New Roman"/>
                <w:b/>
                <w:lang w:val="es-AR"/>
              </w:rPr>
              <w:t>VAN</w:t>
            </w:r>
            <w:r w:rsidR="00890D95" w:rsidRPr="00F97AFD">
              <w:rPr>
                <w:rFonts w:ascii="Times New Roman" w:hAnsi="Times New Roman"/>
                <w:b/>
                <w:lang w:val="es-AR"/>
              </w:rPr>
              <w:t xml:space="preserve"> (</w:t>
            </w:r>
            <w:r w:rsidR="00F97AFD" w:rsidRPr="00F97AFD">
              <w:rPr>
                <w:rFonts w:ascii="Times New Roman" w:hAnsi="Times New Roman"/>
                <w:b/>
                <w:lang w:val="es-AR"/>
              </w:rPr>
              <w:t xml:space="preserve">Miles de </w:t>
            </w:r>
            <w:r w:rsidR="00890D95" w:rsidRPr="00F97AFD">
              <w:rPr>
                <w:rFonts w:ascii="Times New Roman" w:hAnsi="Times New Roman"/>
                <w:b/>
                <w:lang w:val="es-AR"/>
              </w:rPr>
              <w:t>U</w:t>
            </w:r>
            <w:r w:rsidR="00F97AFD" w:rsidRPr="00F97AFD">
              <w:rPr>
                <w:rFonts w:ascii="Times New Roman" w:hAnsi="Times New Roman"/>
                <w:b/>
                <w:lang w:val="es-AR"/>
              </w:rPr>
              <w:t>$S</w:t>
            </w:r>
            <w:r w:rsidR="00890D95" w:rsidRPr="00F97AFD">
              <w:rPr>
                <w:rFonts w:ascii="Times New Roman" w:hAnsi="Times New Roman"/>
                <w:b/>
                <w:lang w:val="es-AR"/>
              </w:rPr>
              <w:t>)</w:t>
            </w:r>
          </w:p>
        </w:tc>
        <w:tc>
          <w:tcPr>
            <w:tcW w:w="1616" w:type="dxa"/>
            <w:shd w:val="clear" w:color="auto" w:fill="FFFFFF" w:themeFill="background1"/>
            <w:vAlign w:val="center"/>
          </w:tcPr>
          <w:p w:rsidR="005F4F0C" w:rsidRPr="00DC73F9" w:rsidRDefault="005F4F0C" w:rsidP="009B32FA">
            <w:pPr>
              <w:jc w:val="center"/>
              <w:rPr>
                <w:rFonts w:ascii="Times New Roman" w:hAnsi="Times New Roman"/>
                <w:b/>
                <w:lang w:val="es-ES_tradnl"/>
              </w:rPr>
            </w:pPr>
            <w:r w:rsidRPr="00DC73F9">
              <w:rPr>
                <w:rFonts w:ascii="Times New Roman" w:hAnsi="Times New Roman"/>
                <w:b/>
                <w:lang w:val="es-ES_tradnl"/>
              </w:rPr>
              <w:t>TIRE</w:t>
            </w:r>
          </w:p>
        </w:tc>
      </w:tr>
      <w:tr w:rsidR="00DD79F4" w:rsidRPr="00DC73F9" w:rsidTr="00DD79F4">
        <w:trPr>
          <w:trHeight w:val="20"/>
        </w:trPr>
        <w:tc>
          <w:tcPr>
            <w:tcW w:w="1283" w:type="dxa"/>
            <w:vMerge w:val="restart"/>
            <w:shd w:val="clear" w:color="auto" w:fill="FFFFFF" w:themeFill="background1"/>
            <w:noWrap/>
            <w:vAlign w:val="center"/>
          </w:tcPr>
          <w:p w:rsidR="00DD79F4" w:rsidRPr="00DC73F9" w:rsidRDefault="00BF1F6B" w:rsidP="00BF1F6B">
            <w:pPr>
              <w:jc w:val="center"/>
              <w:rPr>
                <w:rFonts w:ascii="Times New Roman" w:hAnsi="Times New Roman"/>
                <w:b/>
                <w:bCs/>
                <w:lang w:val="es-ES_tradnl"/>
              </w:rPr>
            </w:pPr>
            <w:r>
              <w:rPr>
                <w:rFonts w:ascii="Times New Roman" w:hAnsi="Times New Roman"/>
                <w:b/>
                <w:bCs/>
                <w:lang w:val="es-ES_tradnl"/>
              </w:rPr>
              <w:t>Valorización</w:t>
            </w:r>
            <w:r w:rsidR="00DD79F4" w:rsidRPr="00DC73F9">
              <w:rPr>
                <w:rFonts w:ascii="Times New Roman" w:hAnsi="Times New Roman"/>
                <w:b/>
                <w:bCs/>
                <w:lang w:val="es-ES_tradnl"/>
              </w:rPr>
              <w:t xml:space="preserve"> en Porcentaje</w:t>
            </w:r>
          </w:p>
        </w:tc>
        <w:tc>
          <w:tcPr>
            <w:tcW w:w="1530" w:type="dxa"/>
            <w:shd w:val="clear" w:color="auto" w:fill="FFFFFF" w:themeFill="background1"/>
            <w:noWrap/>
            <w:vAlign w:val="center"/>
          </w:tcPr>
          <w:p w:rsidR="00DD79F4" w:rsidRPr="00DC73F9" w:rsidRDefault="00DD79F4" w:rsidP="00583D92">
            <w:pPr>
              <w:jc w:val="center"/>
              <w:rPr>
                <w:rFonts w:ascii="Times New Roman" w:hAnsi="Times New Roman"/>
                <w:b/>
                <w:bCs/>
              </w:rPr>
            </w:pPr>
            <w:r w:rsidRPr="00DC73F9">
              <w:rPr>
                <w:rFonts w:ascii="Times New Roman" w:hAnsi="Times New Roman"/>
                <w:b/>
                <w:bCs/>
              </w:rPr>
              <w:t>Base (</w:t>
            </w:r>
            <w:r w:rsidR="00AF5D7A">
              <w:rPr>
                <w:rFonts w:ascii="Times New Roman" w:hAnsi="Times New Roman"/>
                <w:b/>
                <w:bCs/>
              </w:rPr>
              <w:t>10</w:t>
            </w:r>
            <w:r w:rsidRPr="00DC73F9">
              <w:rPr>
                <w:rFonts w:ascii="Times New Roman" w:hAnsi="Times New Roman"/>
                <w:b/>
                <w:bCs/>
              </w:rPr>
              <w:t>0%)</w:t>
            </w:r>
          </w:p>
        </w:tc>
        <w:tc>
          <w:tcPr>
            <w:tcW w:w="1804" w:type="dxa"/>
            <w:shd w:val="clear" w:color="auto" w:fill="FFFFFF" w:themeFill="background1"/>
            <w:noWrap/>
          </w:tcPr>
          <w:p w:rsidR="00DD79F4" w:rsidRPr="00F46B6F" w:rsidRDefault="00DD79F4" w:rsidP="00F97AFD">
            <w:pPr>
              <w:jc w:val="right"/>
              <w:rPr>
                <w:rFonts w:ascii="Times New Roman" w:hAnsi="Times New Roman"/>
                <w:b/>
              </w:rPr>
            </w:pPr>
            <w:r w:rsidRPr="00F46B6F">
              <w:rPr>
                <w:rFonts w:ascii="Times New Roman" w:hAnsi="Times New Roman"/>
                <w:b/>
              </w:rPr>
              <w:t>1.</w:t>
            </w:r>
            <w:r>
              <w:rPr>
                <w:rFonts w:ascii="Times New Roman" w:hAnsi="Times New Roman"/>
                <w:b/>
              </w:rPr>
              <w:t>8</w:t>
            </w:r>
            <w:r w:rsidR="00F97AFD">
              <w:rPr>
                <w:rFonts w:ascii="Times New Roman" w:hAnsi="Times New Roman"/>
                <w:b/>
              </w:rPr>
              <w:t>70</w:t>
            </w:r>
          </w:p>
        </w:tc>
        <w:tc>
          <w:tcPr>
            <w:tcW w:w="1616" w:type="dxa"/>
            <w:shd w:val="clear" w:color="auto" w:fill="FFFFFF" w:themeFill="background1"/>
            <w:noWrap/>
          </w:tcPr>
          <w:p w:rsidR="00DD79F4" w:rsidRPr="00DC73F9" w:rsidRDefault="00DD79F4" w:rsidP="00F97AFD">
            <w:pPr>
              <w:jc w:val="right"/>
              <w:rPr>
                <w:rFonts w:ascii="Times New Roman" w:hAnsi="Times New Roman"/>
                <w:b/>
              </w:rPr>
            </w:pPr>
            <w:r w:rsidRPr="00DC73F9">
              <w:rPr>
                <w:rFonts w:ascii="Times New Roman" w:hAnsi="Times New Roman"/>
                <w:b/>
              </w:rPr>
              <w:t>4</w:t>
            </w:r>
            <w:r w:rsidR="00F97AFD">
              <w:rPr>
                <w:rFonts w:ascii="Times New Roman" w:hAnsi="Times New Roman"/>
                <w:b/>
              </w:rPr>
              <w:t>9</w:t>
            </w:r>
            <w:r w:rsidRPr="00DC73F9">
              <w:rPr>
                <w:rFonts w:ascii="Times New Roman" w:hAnsi="Times New Roman"/>
                <w:b/>
              </w:rPr>
              <w:t>%</w:t>
            </w:r>
          </w:p>
        </w:tc>
      </w:tr>
      <w:tr w:rsidR="00DD79F4" w:rsidRPr="00DC73F9" w:rsidTr="00DD79F4">
        <w:trPr>
          <w:trHeight w:val="20"/>
        </w:trPr>
        <w:tc>
          <w:tcPr>
            <w:tcW w:w="1283" w:type="dxa"/>
            <w:vMerge/>
            <w:shd w:val="clear" w:color="auto" w:fill="FFFFFF" w:themeFill="background1"/>
            <w:noWrap/>
            <w:vAlign w:val="center"/>
          </w:tcPr>
          <w:p w:rsidR="00DD79F4" w:rsidRPr="00DC73F9" w:rsidRDefault="00DD79F4" w:rsidP="009B32FA">
            <w:pPr>
              <w:jc w:val="center"/>
              <w:rPr>
                <w:rFonts w:ascii="Times New Roman" w:hAnsi="Times New Roman"/>
                <w:b/>
                <w:bCs/>
                <w:lang w:val="es-ES_tradnl"/>
              </w:rPr>
            </w:pPr>
          </w:p>
        </w:tc>
        <w:tc>
          <w:tcPr>
            <w:tcW w:w="1530" w:type="dxa"/>
            <w:shd w:val="clear" w:color="auto" w:fill="FFFFFF" w:themeFill="background1"/>
            <w:noWrap/>
            <w:vAlign w:val="center"/>
          </w:tcPr>
          <w:p w:rsidR="00DD79F4" w:rsidRPr="00DC73F9" w:rsidRDefault="00AF5D7A" w:rsidP="00AF5D7A">
            <w:pPr>
              <w:jc w:val="center"/>
              <w:rPr>
                <w:rFonts w:ascii="Times New Roman" w:hAnsi="Times New Roman"/>
                <w:b/>
                <w:bCs/>
                <w:lang w:val="es-ES_tradnl"/>
              </w:rPr>
            </w:pPr>
            <w:r>
              <w:rPr>
                <w:rFonts w:ascii="Times New Roman" w:hAnsi="Times New Roman"/>
                <w:b/>
                <w:bCs/>
                <w:lang w:val="es-ES_tradnl"/>
              </w:rPr>
              <w:t>97</w:t>
            </w:r>
            <w:r w:rsidR="00DD79F4" w:rsidRPr="00DC73F9">
              <w:rPr>
                <w:rFonts w:ascii="Times New Roman" w:hAnsi="Times New Roman"/>
                <w:b/>
                <w:bCs/>
                <w:lang w:val="es-ES_tradnl"/>
              </w:rPr>
              <w:t>%</w:t>
            </w:r>
          </w:p>
        </w:tc>
        <w:tc>
          <w:tcPr>
            <w:tcW w:w="1804" w:type="dxa"/>
            <w:shd w:val="clear" w:color="auto" w:fill="FFFFFF" w:themeFill="background1"/>
            <w:noWrap/>
          </w:tcPr>
          <w:p w:rsidR="00DD79F4" w:rsidRPr="00DC73F9" w:rsidRDefault="00DD79F4" w:rsidP="00F97AFD">
            <w:pPr>
              <w:jc w:val="right"/>
              <w:rPr>
                <w:rFonts w:ascii="Times New Roman" w:hAnsi="Times New Roman"/>
              </w:rPr>
            </w:pPr>
            <w:r>
              <w:rPr>
                <w:rFonts w:ascii="Times New Roman" w:hAnsi="Times New Roman"/>
              </w:rPr>
              <w:t>1.</w:t>
            </w:r>
            <w:r w:rsidR="00F97AFD">
              <w:rPr>
                <w:rFonts w:ascii="Times New Roman" w:hAnsi="Times New Roman"/>
              </w:rPr>
              <w:t>321</w:t>
            </w:r>
          </w:p>
        </w:tc>
        <w:tc>
          <w:tcPr>
            <w:tcW w:w="1616" w:type="dxa"/>
            <w:shd w:val="clear" w:color="auto" w:fill="FFFFFF" w:themeFill="background1"/>
            <w:noWrap/>
          </w:tcPr>
          <w:p w:rsidR="00DD79F4" w:rsidRPr="00DC73F9" w:rsidRDefault="00DD79F4" w:rsidP="00F97AFD">
            <w:pPr>
              <w:jc w:val="right"/>
              <w:rPr>
                <w:rFonts w:ascii="Times New Roman" w:hAnsi="Times New Roman"/>
              </w:rPr>
            </w:pPr>
            <w:r>
              <w:rPr>
                <w:rFonts w:ascii="Times New Roman" w:hAnsi="Times New Roman"/>
              </w:rPr>
              <w:t>3</w:t>
            </w:r>
            <w:r w:rsidR="00F97AFD">
              <w:rPr>
                <w:rFonts w:ascii="Times New Roman" w:hAnsi="Times New Roman"/>
              </w:rPr>
              <w:t>8</w:t>
            </w:r>
            <w:r>
              <w:rPr>
                <w:rFonts w:ascii="Times New Roman" w:hAnsi="Times New Roman"/>
              </w:rPr>
              <w:t>%</w:t>
            </w:r>
          </w:p>
        </w:tc>
      </w:tr>
      <w:tr w:rsidR="00DD79F4" w:rsidRPr="00DC73F9" w:rsidTr="00DD79F4">
        <w:trPr>
          <w:trHeight w:val="20"/>
        </w:trPr>
        <w:tc>
          <w:tcPr>
            <w:tcW w:w="1283" w:type="dxa"/>
            <w:vMerge/>
            <w:shd w:val="clear" w:color="auto" w:fill="FFFFFF" w:themeFill="background1"/>
            <w:noWrap/>
            <w:vAlign w:val="center"/>
          </w:tcPr>
          <w:p w:rsidR="00DD79F4" w:rsidRPr="00DC73F9" w:rsidRDefault="00DD79F4" w:rsidP="009B32FA">
            <w:pPr>
              <w:jc w:val="center"/>
              <w:rPr>
                <w:rFonts w:ascii="Times New Roman" w:hAnsi="Times New Roman"/>
                <w:b/>
                <w:bCs/>
                <w:lang w:val="es-ES_tradnl"/>
              </w:rPr>
            </w:pPr>
          </w:p>
        </w:tc>
        <w:tc>
          <w:tcPr>
            <w:tcW w:w="1530" w:type="dxa"/>
            <w:shd w:val="clear" w:color="auto" w:fill="FFFFFF" w:themeFill="background1"/>
            <w:noWrap/>
            <w:vAlign w:val="center"/>
          </w:tcPr>
          <w:p w:rsidR="00DD79F4" w:rsidRPr="00DC73F9" w:rsidRDefault="00AF5D7A" w:rsidP="00583D92">
            <w:pPr>
              <w:jc w:val="center"/>
              <w:rPr>
                <w:rFonts w:ascii="Times New Roman" w:hAnsi="Times New Roman"/>
                <w:b/>
                <w:bCs/>
                <w:lang w:val="es-ES_tradnl"/>
              </w:rPr>
            </w:pPr>
            <w:r>
              <w:rPr>
                <w:rFonts w:ascii="Times New Roman" w:hAnsi="Times New Roman"/>
                <w:b/>
                <w:bCs/>
                <w:lang w:val="es-ES_tradnl"/>
              </w:rPr>
              <w:t>94</w:t>
            </w:r>
            <w:r w:rsidR="00DD79F4" w:rsidRPr="00DC73F9">
              <w:rPr>
                <w:rFonts w:ascii="Times New Roman" w:hAnsi="Times New Roman"/>
                <w:b/>
                <w:bCs/>
                <w:lang w:val="es-ES_tradnl"/>
              </w:rPr>
              <w:t>%</w:t>
            </w:r>
          </w:p>
        </w:tc>
        <w:tc>
          <w:tcPr>
            <w:tcW w:w="1804" w:type="dxa"/>
            <w:shd w:val="clear" w:color="auto" w:fill="FFFFFF" w:themeFill="background1"/>
            <w:noWrap/>
          </w:tcPr>
          <w:p w:rsidR="00DD79F4" w:rsidRPr="00DC73F9" w:rsidRDefault="00DD79F4" w:rsidP="00F97AFD">
            <w:pPr>
              <w:jc w:val="right"/>
              <w:rPr>
                <w:rFonts w:ascii="Times New Roman" w:hAnsi="Times New Roman"/>
              </w:rPr>
            </w:pPr>
            <w:r>
              <w:rPr>
                <w:rFonts w:ascii="Times New Roman" w:hAnsi="Times New Roman"/>
              </w:rPr>
              <w:t>7</w:t>
            </w:r>
            <w:r w:rsidR="00F97AFD">
              <w:rPr>
                <w:rFonts w:ascii="Times New Roman" w:hAnsi="Times New Roman"/>
              </w:rPr>
              <w:t>71</w:t>
            </w:r>
          </w:p>
        </w:tc>
        <w:tc>
          <w:tcPr>
            <w:tcW w:w="1616" w:type="dxa"/>
            <w:shd w:val="clear" w:color="auto" w:fill="FFFFFF" w:themeFill="background1"/>
            <w:noWrap/>
          </w:tcPr>
          <w:p w:rsidR="00DD79F4" w:rsidRPr="00DC73F9" w:rsidRDefault="00DD79F4" w:rsidP="00F97AFD">
            <w:pPr>
              <w:jc w:val="right"/>
              <w:rPr>
                <w:rFonts w:ascii="Times New Roman" w:hAnsi="Times New Roman"/>
              </w:rPr>
            </w:pPr>
            <w:r>
              <w:rPr>
                <w:rFonts w:ascii="Times New Roman" w:hAnsi="Times New Roman"/>
              </w:rPr>
              <w:t>2</w:t>
            </w:r>
            <w:r w:rsidR="00F97AFD">
              <w:rPr>
                <w:rFonts w:ascii="Times New Roman" w:hAnsi="Times New Roman"/>
              </w:rPr>
              <w:t>8</w:t>
            </w:r>
            <w:r>
              <w:rPr>
                <w:rFonts w:ascii="Times New Roman" w:hAnsi="Times New Roman"/>
              </w:rPr>
              <w:t>%</w:t>
            </w:r>
          </w:p>
        </w:tc>
      </w:tr>
      <w:tr w:rsidR="00DD79F4" w:rsidRPr="00DC73F9" w:rsidTr="00DD79F4">
        <w:trPr>
          <w:trHeight w:val="20"/>
        </w:trPr>
        <w:tc>
          <w:tcPr>
            <w:tcW w:w="1283" w:type="dxa"/>
            <w:vMerge/>
            <w:shd w:val="clear" w:color="auto" w:fill="FFFFFF" w:themeFill="background1"/>
            <w:noWrap/>
            <w:vAlign w:val="center"/>
          </w:tcPr>
          <w:p w:rsidR="00DD79F4" w:rsidRPr="00DC73F9" w:rsidRDefault="00DD79F4" w:rsidP="009B32FA">
            <w:pPr>
              <w:jc w:val="center"/>
              <w:rPr>
                <w:rFonts w:ascii="Times New Roman" w:hAnsi="Times New Roman"/>
                <w:lang w:val="es-ES_tradnl"/>
              </w:rPr>
            </w:pPr>
          </w:p>
        </w:tc>
        <w:tc>
          <w:tcPr>
            <w:tcW w:w="1530" w:type="dxa"/>
            <w:shd w:val="clear" w:color="auto" w:fill="FFFFFF" w:themeFill="background1"/>
            <w:noWrap/>
            <w:vAlign w:val="center"/>
          </w:tcPr>
          <w:p w:rsidR="00DD79F4" w:rsidRPr="00DC73F9" w:rsidRDefault="00AF5D7A" w:rsidP="00583D92">
            <w:pPr>
              <w:jc w:val="center"/>
              <w:rPr>
                <w:rFonts w:ascii="Times New Roman" w:hAnsi="Times New Roman"/>
                <w:lang w:val="es-ES_tradnl"/>
              </w:rPr>
            </w:pPr>
            <w:r>
              <w:rPr>
                <w:rFonts w:ascii="Times New Roman" w:hAnsi="Times New Roman"/>
                <w:b/>
                <w:bCs/>
                <w:lang w:val="es-ES_tradnl"/>
              </w:rPr>
              <w:t>90</w:t>
            </w:r>
            <w:r w:rsidR="00DD79F4" w:rsidRPr="00DC73F9">
              <w:rPr>
                <w:rFonts w:ascii="Times New Roman" w:hAnsi="Times New Roman"/>
                <w:b/>
                <w:bCs/>
                <w:lang w:val="es-ES_tradnl"/>
              </w:rPr>
              <w:t>%</w:t>
            </w:r>
          </w:p>
        </w:tc>
        <w:tc>
          <w:tcPr>
            <w:tcW w:w="1804" w:type="dxa"/>
            <w:shd w:val="clear" w:color="auto" w:fill="FFFFFF" w:themeFill="background1"/>
            <w:noWrap/>
          </w:tcPr>
          <w:p w:rsidR="00DD79F4" w:rsidRPr="00DC73F9" w:rsidRDefault="00F97AFD" w:rsidP="00890D95">
            <w:pPr>
              <w:jc w:val="right"/>
              <w:rPr>
                <w:rFonts w:ascii="Times New Roman" w:hAnsi="Times New Roman"/>
              </w:rPr>
            </w:pPr>
            <w:r>
              <w:rPr>
                <w:rFonts w:ascii="Times New Roman" w:hAnsi="Times New Roman"/>
              </w:rPr>
              <w:t>39</w:t>
            </w:r>
          </w:p>
        </w:tc>
        <w:tc>
          <w:tcPr>
            <w:tcW w:w="1616" w:type="dxa"/>
            <w:shd w:val="clear" w:color="auto" w:fill="FFFFFF" w:themeFill="background1"/>
            <w:noWrap/>
          </w:tcPr>
          <w:p w:rsidR="00DD79F4" w:rsidRPr="00DC73F9" w:rsidRDefault="00DD79F4" w:rsidP="00F97AFD">
            <w:pPr>
              <w:jc w:val="right"/>
              <w:rPr>
                <w:rFonts w:ascii="Times New Roman" w:hAnsi="Times New Roman"/>
              </w:rPr>
            </w:pPr>
            <w:r>
              <w:rPr>
                <w:rFonts w:ascii="Times New Roman" w:hAnsi="Times New Roman"/>
              </w:rPr>
              <w:t>1</w:t>
            </w:r>
            <w:r w:rsidR="00F97AFD">
              <w:rPr>
                <w:rFonts w:ascii="Times New Roman" w:hAnsi="Times New Roman"/>
              </w:rPr>
              <w:t>3</w:t>
            </w:r>
            <w:r>
              <w:rPr>
                <w:rFonts w:ascii="Times New Roman" w:hAnsi="Times New Roman"/>
              </w:rPr>
              <w:t>%</w:t>
            </w:r>
          </w:p>
        </w:tc>
      </w:tr>
    </w:tbl>
    <w:p w:rsidR="00AB46A0" w:rsidRPr="00DC73F9" w:rsidRDefault="00AB46A0" w:rsidP="001E740A">
      <w:pPr>
        <w:jc w:val="both"/>
        <w:rPr>
          <w:rFonts w:ascii="Times New Roman" w:hAnsi="Times New Roman"/>
          <w:bCs/>
          <w:lang w:val="es-AR" w:eastAsia="es-ES_tradnl"/>
        </w:rPr>
      </w:pPr>
    </w:p>
    <w:p w:rsidR="00B30BFA" w:rsidRPr="007E2BEB" w:rsidRDefault="007E2BEB" w:rsidP="007E2BEB">
      <w:pPr>
        <w:numPr>
          <w:ilvl w:val="1"/>
          <w:numId w:val="10"/>
        </w:numPr>
        <w:autoSpaceDE w:val="0"/>
        <w:autoSpaceDN w:val="0"/>
        <w:adjustRightInd w:val="0"/>
        <w:ind w:left="426"/>
        <w:jc w:val="both"/>
        <w:rPr>
          <w:rFonts w:ascii="Times New Roman" w:hAnsi="Times New Roman"/>
          <w:bCs/>
          <w:sz w:val="24"/>
          <w:szCs w:val="24"/>
          <w:lang w:val="es-ES_tradnl"/>
        </w:rPr>
      </w:pPr>
      <w:r>
        <w:rPr>
          <w:rFonts w:ascii="Times New Roman" w:hAnsi="Times New Roman"/>
          <w:bCs/>
          <w:sz w:val="24"/>
          <w:szCs w:val="24"/>
          <w:lang w:val="es-ES_tradnl"/>
        </w:rPr>
        <w:t xml:space="preserve">La rentabilidad de la muestra en su conjunto se mantiene positiva aun en una combinación de ambos escenarios con un incremento de costos y </w:t>
      </w:r>
      <w:r w:rsidR="00BF1F6B">
        <w:rPr>
          <w:rFonts w:ascii="Times New Roman" w:hAnsi="Times New Roman"/>
          <w:bCs/>
          <w:sz w:val="24"/>
          <w:szCs w:val="24"/>
          <w:lang w:val="es-ES_tradnl"/>
        </w:rPr>
        <w:t xml:space="preserve">una </w:t>
      </w:r>
      <w:r>
        <w:rPr>
          <w:rFonts w:ascii="Times New Roman" w:hAnsi="Times New Roman"/>
          <w:bCs/>
          <w:sz w:val="24"/>
          <w:szCs w:val="24"/>
          <w:lang w:val="es-ES_tradnl"/>
        </w:rPr>
        <w:t xml:space="preserve">disminución de beneficios </w:t>
      </w:r>
      <w:r w:rsidR="00F97AFD">
        <w:rPr>
          <w:rFonts w:ascii="Times New Roman" w:hAnsi="Times New Roman"/>
          <w:bCs/>
          <w:sz w:val="24"/>
          <w:szCs w:val="24"/>
          <w:lang w:val="es-ES_tradnl"/>
        </w:rPr>
        <w:t>simultanea de</w:t>
      </w:r>
      <w:r>
        <w:rPr>
          <w:rFonts w:ascii="Times New Roman" w:hAnsi="Times New Roman"/>
          <w:bCs/>
          <w:sz w:val="24"/>
          <w:szCs w:val="24"/>
          <w:lang w:val="es-ES_tradnl"/>
        </w:rPr>
        <w:t>l 6%</w:t>
      </w:r>
      <w:r w:rsidR="005455FC">
        <w:rPr>
          <w:rStyle w:val="FootnoteReference"/>
          <w:rFonts w:ascii="Times New Roman" w:hAnsi="Times New Roman"/>
          <w:bCs/>
          <w:sz w:val="24"/>
          <w:szCs w:val="24"/>
          <w:lang w:val="es-ES_tradnl"/>
        </w:rPr>
        <w:footnoteReference w:id="22"/>
      </w:r>
      <w:r>
        <w:rPr>
          <w:rFonts w:ascii="Times New Roman" w:hAnsi="Times New Roman"/>
          <w:bCs/>
          <w:sz w:val="24"/>
          <w:szCs w:val="24"/>
          <w:lang w:val="es-ES_tradnl"/>
        </w:rPr>
        <w:t>.</w:t>
      </w:r>
      <w:r w:rsidRPr="007E2BEB">
        <w:rPr>
          <w:rFonts w:ascii="Times New Roman" w:hAnsi="Times New Roman"/>
          <w:bCs/>
          <w:sz w:val="24"/>
          <w:szCs w:val="24"/>
          <w:lang w:val="es-ES_tradnl"/>
        </w:rPr>
        <w:t xml:space="preserve"> </w:t>
      </w:r>
    </w:p>
    <w:p w:rsidR="007E2BEB" w:rsidRPr="007E2BEB" w:rsidRDefault="007E2BEB" w:rsidP="007E2BEB">
      <w:pPr>
        <w:autoSpaceDE w:val="0"/>
        <w:autoSpaceDN w:val="0"/>
        <w:adjustRightInd w:val="0"/>
        <w:ind w:left="-6"/>
        <w:jc w:val="both"/>
        <w:rPr>
          <w:rFonts w:ascii="Times New Roman" w:hAnsi="Times New Roman"/>
          <w:bCs/>
          <w:sz w:val="24"/>
          <w:szCs w:val="24"/>
          <w:lang w:val="es-ES_tradnl"/>
        </w:rPr>
      </w:pPr>
    </w:p>
    <w:p w:rsidR="00AB46A0" w:rsidRPr="00DC73F9" w:rsidRDefault="00AB46A0">
      <w:pPr>
        <w:rPr>
          <w:rFonts w:ascii="Times New Roman" w:hAnsi="Times New Roman"/>
          <w:bCs/>
          <w:lang w:val="es-ES_tradnl"/>
        </w:rPr>
      </w:pPr>
    </w:p>
    <w:p w:rsidR="001709D7" w:rsidRPr="007E2BEB" w:rsidRDefault="001709D7" w:rsidP="007E2BEB">
      <w:pPr>
        <w:pStyle w:val="Heading1"/>
        <w:numPr>
          <w:ilvl w:val="0"/>
          <w:numId w:val="10"/>
        </w:numPr>
        <w:jc w:val="left"/>
        <w:rPr>
          <w:i w:val="0"/>
          <w:sz w:val="24"/>
          <w:szCs w:val="24"/>
        </w:rPr>
      </w:pPr>
      <w:bookmarkStart w:id="17" w:name="_Toc366836881"/>
      <w:bookmarkStart w:id="18" w:name="_Toc339982345"/>
      <w:r w:rsidRPr="007E2BEB">
        <w:rPr>
          <w:i w:val="0"/>
          <w:sz w:val="24"/>
          <w:szCs w:val="24"/>
        </w:rPr>
        <w:t>L</w:t>
      </w:r>
      <w:r w:rsidR="007E2BEB">
        <w:rPr>
          <w:i w:val="0"/>
          <w:sz w:val="24"/>
          <w:szCs w:val="24"/>
        </w:rPr>
        <w:t>ímites de inversión por proyecto.</w:t>
      </w:r>
      <w:bookmarkEnd w:id="17"/>
    </w:p>
    <w:p w:rsidR="001709D7" w:rsidRPr="00D7177F" w:rsidRDefault="001709D7" w:rsidP="001709D7">
      <w:pPr>
        <w:rPr>
          <w:highlight w:val="yellow"/>
          <w:lang w:val="es-ES_tradnl"/>
        </w:rPr>
      </w:pPr>
    </w:p>
    <w:p w:rsidR="00D7177F" w:rsidRDefault="00D7177F" w:rsidP="00D94D17">
      <w:pPr>
        <w:numPr>
          <w:ilvl w:val="1"/>
          <w:numId w:val="10"/>
        </w:numPr>
        <w:autoSpaceDE w:val="0"/>
        <w:autoSpaceDN w:val="0"/>
        <w:adjustRightInd w:val="0"/>
        <w:ind w:left="426"/>
        <w:jc w:val="both"/>
        <w:rPr>
          <w:rFonts w:ascii="Times New Roman" w:hAnsi="Times New Roman"/>
          <w:bCs/>
          <w:sz w:val="24"/>
          <w:szCs w:val="24"/>
          <w:lang w:val="es-ES_tradnl"/>
        </w:rPr>
      </w:pPr>
      <w:r w:rsidRPr="00BF1F6B">
        <w:rPr>
          <w:rFonts w:ascii="Times New Roman" w:hAnsi="Times New Roman"/>
          <w:bCs/>
          <w:sz w:val="24"/>
          <w:szCs w:val="24"/>
          <w:lang w:val="es-ES_tradnl"/>
        </w:rPr>
        <w:t>A partir de</w:t>
      </w:r>
      <w:r w:rsidR="00BF1F6B" w:rsidRPr="00BF1F6B">
        <w:rPr>
          <w:rFonts w:ascii="Times New Roman" w:hAnsi="Times New Roman"/>
          <w:bCs/>
          <w:sz w:val="24"/>
          <w:szCs w:val="24"/>
          <w:lang w:val="es-ES_tradnl"/>
        </w:rPr>
        <w:t xml:space="preserve">l </w:t>
      </w:r>
      <w:r w:rsidRPr="00BF1F6B">
        <w:rPr>
          <w:rFonts w:ascii="Times New Roman" w:hAnsi="Times New Roman"/>
          <w:bCs/>
          <w:sz w:val="24"/>
          <w:szCs w:val="24"/>
          <w:lang w:val="es-ES_tradnl"/>
        </w:rPr>
        <w:t xml:space="preserve">beneficio </w:t>
      </w:r>
      <w:r w:rsidR="00BF1F6B" w:rsidRPr="00BF1F6B">
        <w:rPr>
          <w:rFonts w:ascii="Times New Roman" w:hAnsi="Times New Roman"/>
          <w:bCs/>
          <w:sz w:val="24"/>
          <w:szCs w:val="24"/>
          <w:lang w:val="es-ES_tradnl"/>
        </w:rPr>
        <w:t xml:space="preserve">promedio por vivienda beneficiaria estimado para la muestra representativa analizada, es posible determinar </w:t>
      </w:r>
      <w:r w:rsidRPr="00BF1F6B">
        <w:rPr>
          <w:rFonts w:ascii="Times New Roman" w:hAnsi="Times New Roman"/>
          <w:bCs/>
          <w:sz w:val="24"/>
          <w:szCs w:val="24"/>
          <w:lang w:val="es-ES_tradnl"/>
        </w:rPr>
        <w:t xml:space="preserve">un valor de corte de costo-eficiencia </w:t>
      </w:r>
      <w:r w:rsidR="00BF1F6B" w:rsidRPr="00BF1F6B">
        <w:rPr>
          <w:rFonts w:ascii="Times New Roman" w:hAnsi="Times New Roman"/>
          <w:bCs/>
          <w:sz w:val="24"/>
          <w:szCs w:val="24"/>
          <w:lang w:val="es-ES_tradnl"/>
        </w:rPr>
        <w:lastRenderedPageBreak/>
        <w:t>que posibilite analizar rápidamente la elegibilidad de los proyectos</w:t>
      </w:r>
      <w:r w:rsidR="00BF1F6B">
        <w:rPr>
          <w:rFonts w:ascii="Times New Roman" w:hAnsi="Times New Roman"/>
          <w:bCs/>
          <w:sz w:val="24"/>
          <w:szCs w:val="24"/>
          <w:lang w:val="es-ES_tradnl"/>
        </w:rPr>
        <w:t>. Para esto se proponen los siguientes ajustes:</w:t>
      </w:r>
    </w:p>
    <w:p w:rsidR="00BF1F6B" w:rsidRPr="00BF1F6B" w:rsidRDefault="00BF1F6B" w:rsidP="00BF1F6B">
      <w:pPr>
        <w:autoSpaceDE w:val="0"/>
        <w:autoSpaceDN w:val="0"/>
        <w:adjustRightInd w:val="0"/>
        <w:ind w:left="426"/>
        <w:jc w:val="both"/>
        <w:rPr>
          <w:rFonts w:ascii="Times New Roman" w:hAnsi="Times New Roman"/>
          <w:bCs/>
          <w:sz w:val="24"/>
          <w:szCs w:val="24"/>
          <w:lang w:val="es-ES_tradnl"/>
        </w:rPr>
      </w:pPr>
    </w:p>
    <w:p w:rsidR="00D7177F" w:rsidRDefault="00D7177F" w:rsidP="00D94D17">
      <w:pPr>
        <w:numPr>
          <w:ilvl w:val="1"/>
          <w:numId w:val="10"/>
        </w:numPr>
        <w:autoSpaceDE w:val="0"/>
        <w:autoSpaceDN w:val="0"/>
        <w:adjustRightInd w:val="0"/>
        <w:ind w:left="426"/>
        <w:jc w:val="both"/>
        <w:rPr>
          <w:rFonts w:ascii="Times New Roman" w:hAnsi="Times New Roman"/>
          <w:bCs/>
          <w:sz w:val="24"/>
          <w:szCs w:val="24"/>
          <w:lang w:val="es-ES_tradnl"/>
        </w:rPr>
      </w:pPr>
      <w:r w:rsidRPr="00BA5CFC">
        <w:rPr>
          <w:rFonts w:ascii="Times New Roman" w:hAnsi="Times New Roman"/>
          <w:bCs/>
          <w:sz w:val="24"/>
          <w:szCs w:val="24"/>
          <w:lang w:val="es-ES_tradnl"/>
        </w:rPr>
        <w:t xml:space="preserve">Para llevar los beneficios a precios de mercado se ha ajustado </w:t>
      </w:r>
      <w:r w:rsidR="00D94D17" w:rsidRPr="00BA5CFC">
        <w:rPr>
          <w:rFonts w:ascii="Times New Roman" w:hAnsi="Times New Roman"/>
          <w:bCs/>
          <w:sz w:val="24"/>
          <w:szCs w:val="24"/>
          <w:lang w:val="es-ES_tradnl"/>
        </w:rPr>
        <w:t>e</w:t>
      </w:r>
      <w:r w:rsidRPr="00BA5CFC">
        <w:rPr>
          <w:rFonts w:ascii="Times New Roman" w:hAnsi="Times New Roman"/>
          <w:bCs/>
          <w:sz w:val="24"/>
          <w:szCs w:val="24"/>
          <w:lang w:val="es-ES_tradnl"/>
        </w:rPr>
        <w:t>l</w:t>
      </w:r>
      <w:r w:rsidR="00D94D17" w:rsidRPr="00BA5CFC">
        <w:rPr>
          <w:rFonts w:ascii="Times New Roman" w:hAnsi="Times New Roman"/>
          <w:bCs/>
          <w:sz w:val="24"/>
          <w:szCs w:val="24"/>
          <w:lang w:val="es-ES_tradnl"/>
        </w:rPr>
        <w:t xml:space="preserve"> </w:t>
      </w:r>
      <w:r w:rsidRPr="00BA5CFC">
        <w:rPr>
          <w:rFonts w:ascii="Times New Roman" w:hAnsi="Times New Roman"/>
          <w:bCs/>
          <w:sz w:val="24"/>
          <w:szCs w:val="24"/>
          <w:lang w:val="es-ES_tradnl"/>
        </w:rPr>
        <w:t xml:space="preserve">valor </w:t>
      </w:r>
      <w:r w:rsidR="00BA5CFC" w:rsidRPr="00BA5CFC">
        <w:rPr>
          <w:rFonts w:ascii="Times New Roman" w:hAnsi="Times New Roman"/>
          <w:bCs/>
          <w:sz w:val="24"/>
          <w:szCs w:val="24"/>
          <w:lang w:val="es-ES_tradnl"/>
        </w:rPr>
        <w:t>promedio</w:t>
      </w:r>
      <w:r w:rsidR="00D94D17" w:rsidRPr="00BA5CFC">
        <w:rPr>
          <w:rFonts w:ascii="Times New Roman" w:hAnsi="Times New Roman"/>
          <w:bCs/>
          <w:sz w:val="24"/>
          <w:szCs w:val="24"/>
          <w:lang w:val="es-ES_tradnl"/>
        </w:rPr>
        <w:t xml:space="preserve"> </w:t>
      </w:r>
      <w:r w:rsidR="00BA5CFC" w:rsidRPr="00BA5CFC">
        <w:rPr>
          <w:rFonts w:ascii="Times New Roman" w:hAnsi="Times New Roman"/>
          <w:bCs/>
          <w:sz w:val="24"/>
          <w:szCs w:val="24"/>
          <w:lang w:val="es-ES_tradnl"/>
        </w:rPr>
        <w:t xml:space="preserve">de la muestra </w:t>
      </w:r>
      <w:r w:rsidRPr="00BA5CFC">
        <w:rPr>
          <w:rFonts w:ascii="Times New Roman" w:hAnsi="Times New Roman"/>
          <w:bCs/>
          <w:sz w:val="24"/>
          <w:szCs w:val="24"/>
          <w:lang w:val="es-ES_tradnl"/>
        </w:rPr>
        <w:t xml:space="preserve">de </w:t>
      </w:r>
      <w:r w:rsidR="00BA5CFC" w:rsidRPr="00BA5CFC">
        <w:rPr>
          <w:rFonts w:ascii="Times New Roman" w:hAnsi="Times New Roman"/>
          <w:bCs/>
          <w:sz w:val="24"/>
          <w:szCs w:val="24"/>
          <w:lang w:val="es-ES_tradnl"/>
        </w:rPr>
        <w:t xml:space="preserve">los beneficios por vivienda </w:t>
      </w:r>
      <w:r w:rsidRPr="00BA5CFC">
        <w:rPr>
          <w:rFonts w:ascii="Times New Roman" w:hAnsi="Times New Roman"/>
          <w:bCs/>
          <w:sz w:val="24"/>
          <w:szCs w:val="24"/>
          <w:lang w:val="es-ES_tradnl"/>
        </w:rPr>
        <w:t xml:space="preserve">por el factor de precios de </w:t>
      </w:r>
      <w:r w:rsidR="006510A8">
        <w:rPr>
          <w:rFonts w:ascii="Times New Roman" w:hAnsi="Times New Roman"/>
          <w:bCs/>
          <w:sz w:val="24"/>
          <w:szCs w:val="24"/>
          <w:lang w:val="es-ES_tradnl"/>
        </w:rPr>
        <w:t>eficiencia</w:t>
      </w:r>
      <w:r w:rsidRPr="00BA5CFC">
        <w:rPr>
          <w:rFonts w:ascii="Times New Roman" w:hAnsi="Times New Roman"/>
          <w:bCs/>
          <w:sz w:val="24"/>
          <w:szCs w:val="24"/>
          <w:lang w:val="es-ES_tradnl"/>
        </w:rPr>
        <w:t xml:space="preserve"> por tipo de intervención</w:t>
      </w:r>
      <w:r w:rsidR="00BA5CFC" w:rsidRPr="00BA5CFC">
        <w:rPr>
          <w:rFonts w:ascii="Times New Roman" w:hAnsi="Times New Roman"/>
          <w:bCs/>
          <w:sz w:val="24"/>
          <w:szCs w:val="24"/>
          <w:lang w:val="es-ES_tradnl"/>
        </w:rPr>
        <w:t xml:space="preserve"> (0,9</w:t>
      </w:r>
      <w:r w:rsidR="00FA6650">
        <w:rPr>
          <w:rFonts w:ascii="Times New Roman" w:hAnsi="Times New Roman"/>
          <w:bCs/>
          <w:sz w:val="24"/>
          <w:szCs w:val="24"/>
          <w:lang w:val="es-ES_tradnl"/>
        </w:rPr>
        <w:t>3</w:t>
      </w:r>
      <w:r w:rsidR="00027651">
        <w:rPr>
          <w:rFonts w:ascii="Times New Roman" w:hAnsi="Times New Roman"/>
          <w:bCs/>
          <w:sz w:val="24"/>
          <w:szCs w:val="24"/>
          <w:lang w:val="es-ES_tradnl"/>
        </w:rPr>
        <w:t>1</w:t>
      </w:r>
      <w:r w:rsidR="00BA5CFC" w:rsidRPr="00BA5CFC">
        <w:rPr>
          <w:rFonts w:ascii="Times New Roman" w:hAnsi="Times New Roman"/>
          <w:bCs/>
          <w:sz w:val="24"/>
          <w:szCs w:val="24"/>
          <w:lang w:val="es-ES_tradnl"/>
        </w:rPr>
        <w:t>)</w:t>
      </w:r>
      <w:r w:rsidR="00027651">
        <w:rPr>
          <w:rStyle w:val="FootnoteReference"/>
          <w:rFonts w:ascii="Times New Roman" w:hAnsi="Times New Roman"/>
          <w:bCs/>
          <w:sz w:val="24"/>
          <w:szCs w:val="24"/>
          <w:lang w:val="es-ES_tradnl"/>
        </w:rPr>
        <w:footnoteReference w:id="23"/>
      </w:r>
      <w:r w:rsidRPr="00BA5CFC">
        <w:rPr>
          <w:rFonts w:ascii="Times New Roman" w:hAnsi="Times New Roman"/>
          <w:bCs/>
          <w:sz w:val="24"/>
          <w:szCs w:val="24"/>
          <w:lang w:val="es-ES_tradnl"/>
        </w:rPr>
        <w:t xml:space="preserve">, aumentando con ello el valor de los beneficios </w:t>
      </w:r>
      <w:r w:rsidR="00BA5CFC" w:rsidRPr="00BA5CFC">
        <w:rPr>
          <w:rFonts w:ascii="Times New Roman" w:hAnsi="Times New Roman"/>
          <w:bCs/>
          <w:sz w:val="24"/>
          <w:szCs w:val="24"/>
          <w:lang w:val="es-ES_tradnl"/>
        </w:rPr>
        <w:t>por vivienda</w:t>
      </w:r>
      <w:r w:rsidR="006510A8">
        <w:rPr>
          <w:rFonts w:ascii="Times New Roman" w:hAnsi="Times New Roman"/>
          <w:bCs/>
          <w:sz w:val="24"/>
          <w:szCs w:val="24"/>
          <w:lang w:val="es-ES_tradnl"/>
        </w:rPr>
        <w:t>,</w:t>
      </w:r>
      <w:r w:rsidR="00BA5CFC" w:rsidRPr="00BA5CFC">
        <w:rPr>
          <w:rFonts w:ascii="Times New Roman" w:hAnsi="Times New Roman"/>
          <w:bCs/>
          <w:sz w:val="24"/>
          <w:szCs w:val="24"/>
          <w:lang w:val="es-ES_tradnl"/>
        </w:rPr>
        <w:t xml:space="preserve"> que alcanzarían </w:t>
      </w:r>
      <w:r w:rsidRPr="00BA5CFC">
        <w:rPr>
          <w:rFonts w:ascii="Times New Roman" w:hAnsi="Times New Roman"/>
          <w:bCs/>
          <w:sz w:val="24"/>
          <w:szCs w:val="24"/>
          <w:lang w:val="es-ES_tradnl"/>
        </w:rPr>
        <w:t>unos U$</w:t>
      </w:r>
      <w:r w:rsidR="006510A8">
        <w:rPr>
          <w:rFonts w:ascii="Times New Roman" w:hAnsi="Times New Roman"/>
          <w:bCs/>
          <w:sz w:val="24"/>
          <w:szCs w:val="24"/>
          <w:lang w:val="es-ES_tradnl"/>
        </w:rPr>
        <w:t>S</w:t>
      </w:r>
      <w:r w:rsidRPr="00BA5CFC">
        <w:rPr>
          <w:rFonts w:ascii="Times New Roman" w:hAnsi="Times New Roman"/>
          <w:bCs/>
          <w:sz w:val="24"/>
          <w:szCs w:val="24"/>
          <w:lang w:val="es-ES_tradnl"/>
        </w:rPr>
        <w:t xml:space="preserve"> </w:t>
      </w:r>
      <w:r w:rsidR="00BA5CFC" w:rsidRPr="00BA5CFC">
        <w:rPr>
          <w:rFonts w:ascii="Times New Roman" w:hAnsi="Times New Roman"/>
          <w:bCs/>
          <w:sz w:val="24"/>
          <w:szCs w:val="24"/>
          <w:lang w:val="es-ES_tradnl"/>
        </w:rPr>
        <w:t>24</w:t>
      </w:r>
      <w:r w:rsidRPr="00BA5CFC">
        <w:rPr>
          <w:rFonts w:ascii="Times New Roman" w:hAnsi="Times New Roman"/>
          <w:bCs/>
          <w:sz w:val="24"/>
          <w:szCs w:val="24"/>
          <w:lang w:val="es-ES_tradnl"/>
        </w:rPr>
        <w:t>.</w:t>
      </w:r>
      <w:r w:rsidR="00FA6650">
        <w:rPr>
          <w:rFonts w:ascii="Times New Roman" w:hAnsi="Times New Roman"/>
          <w:bCs/>
          <w:sz w:val="24"/>
          <w:szCs w:val="24"/>
          <w:lang w:val="es-ES_tradnl"/>
        </w:rPr>
        <w:t>7</w:t>
      </w:r>
      <w:r w:rsidR="00027651">
        <w:rPr>
          <w:rFonts w:ascii="Times New Roman" w:hAnsi="Times New Roman"/>
          <w:bCs/>
          <w:sz w:val="24"/>
          <w:szCs w:val="24"/>
          <w:lang w:val="es-ES_tradnl"/>
        </w:rPr>
        <w:t>0</w:t>
      </w:r>
      <w:r w:rsidR="00FA6650">
        <w:rPr>
          <w:rFonts w:ascii="Times New Roman" w:hAnsi="Times New Roman"/>
          <w:bCs/>
          <w:sz w:val="24"/>
          <w:szCs w:val="24"/>
          <w:lang w:val="es-ES_tradnl"/>
        </w:rPr>
        <w:t>8</w:t>
      </w:r>
      <w:r w:rsidR="006510A8">
        <w:rPr>
          <w:rFonts w:ascii="Times New Roman" w:hAnsi="Times New Roman"/>
          <w:bCs/>
          <w:sz w:val="24"/>
          <w:szCs w:val="24"/>
          <w:lang w:val="es-ES_tradnl"/>
        </w:rPr>
        <w:t>.</w:t>
      </w:r>
    </w:p>
    <w:p w:rsidR="00A26A75" w:rsidRPr="00A26A75" w:rsidRDefault="00A26A75" w:rsidP="00A26A75">
      <w:pPr>
        <w:rPr>
          <w:rFonts w:ascii="Times New Roman" w:hAnsi="Times New Roman"/>
          <w:bCs/>
          <w:sz w:val="24"/>
          <w:szCs w:val="24"/>
          <w:lang w:val="es-ES_tradnl"/>
        </w:rPr>
      </w:pPr>
    </w:p>
    <w:p w:rsidR="00D7177F" w:rsidRPr="00027651" w:rsidRDefault="006510A8" w:rsidP="00D94D17">
      <w:pPr>
        <w:numPr>
          <w:ilvl w:val="1"/>
          <w:numId w:val="10"/>
        </w:numPr>
        <w:autoSpaceDE w:val="0"/>
        <w:autoSpaceDN w:val="0"/>
        <w:adjustRightInd w:val="0"/>
        <w:ind w:left="426"/>
        <w:jc w:val="both"/>
        <w:rPr>
          <w:rFonts w:ascii="Times New Roman" w:hAnsi="Times New Roman"/>
          <w:bCs/>
          <w:sz w:val="24"/>
          <w:szCs w:val="24"/>
          <w:lang w:val="es-ES_tradnl"/>
        </w:rPr>
      </w:pPr>
      <w:r>
        <w:rPr>
          <w:rFonts w:ascii="Times New Roman" w:hAnsi="Times New Roman"/>
          <w:bCs/>
          <w:sz w:val="24"/>
          <w:szCs w:val="24"/>
          <w:lang w:val="es-ES_tradnl"/>
        </w:rPr>
        <w:t xml:space="preserve">Para poder compararlos en forma directa con los costos de inversión, a los beneficios obtenidos </w:t>
      </w:r>
      <w:r w:rsidR="00D7177F" w:rsidRPr="00027651">
        <w:rPr>
          <w:rFonts w:ascii="Times New Roman" w:hAnsi="Times New Roman"/>
          <w:bCs/>
          <w:sz w:val="24"/>
          <w:szCs w:val="24"/>
          <w:lang w:val="es-ES_tradnl"/>
        </w:rPr>
        <w:t xml:space="preserve">deben </w:t>
      </w:r>
      <w:r>
        <w:rPr>
          <w:rFonts w:ascii="Times New Roman" w:hAnsi="Times New Roman"/>
          <w:bCs/>
          <w:sz w:val="24"/>
          <w:szCs w:val="24"/>
          <w:lang w:val="es-ES_tradnl"/>
        </w:rPr>
        <w:t xml:space="preserve">descontarse </w:t>
      </w:r>
      <w:r w:rsidR="00D7177F" w:rsidRPr="00027651">
        <w:rPr>
          <w:rFonts w:ascii="Times New Roman" w:hAnsi="Times New Roman"/>
          <w:bCs/>
          <w:sz w:val="24"/>
          <w:szCs w:val="24"/>
          <w:lang w:val="es-ES_tradnl"/>
        </w:rPr>
        <w:t xml:space="preserve">los costos de administración del programa </w:t>
      </w:r>
      <w:r>
        <w:rPr>
          <w:rFonts w:ascii="Times New Roman" w:hAnsi="Times New Roman"/>
          <w:bCs/>
          <w:sz w:val="24"/>
          <w:szCs w:val="24"/>
          <w:lang w:val="es-ES_tradnl"/>
        </w:rPr>
        <w:t xml:space="preserve">y de los equipos técnicos </w:t>
      </w:r>
      <w:r w:rsidR="00D7177F" w:rsidRPr="00027651">
        <w:rPr>
          <w:rFonts w:ascii="Times New Roman" w:hAnsi="Times New Roman"/>
          <w:bCs/>
          <w:sz w:val="24"/>
          <w:szCs w:val="24"/>
          <w:lang w:val="es-ES_tradnl"/>
        </w:rPr>
        <w:t xml:space="preserve">que </w:t>
      </w:r>
      <w:r w:rsidR="00BA5CFC" w:rsidRPr="00027651">
        <w:rPr>
          <w:rFonts w:ascii="Times New Roman" w:hAnsi="Times New Roman"/>
          <w:bCs/>
          <w:sz w:val="24"/>
          <w:szCs w:val="24"/>
          <w:lang w:val="es-ES_tradnl"/>
        </w:rPr>
        <w:t>se estimaron en un 10% (</w:t>
      </w:r>
      <w:r w:rsidR="00D7177F" w:rsidRPr="00027651">
        <w:rPr>
          <w:rFonts w:ascii="Times New Roman" w:hAnsi="Times New Roman"/>
          <w:bCs/>
          <w:sz w:val="24"/>
          <w:szCs w:val="24"/>
          <w:lang w:val="es-ES_tradnl"/>
        </w:rPr>
        <w:t>ET</w:t>
      </w:r>
      <w:r w:rsidR="00BA5CFC" w:rsidRPr="00027651">
        <w:rPr>
          <w:rFonts w:ascii="Times New Roman" w:hAnsi="Times New Roman"/>
          <w:bCs/>
          <w:sz w:val="24"/>
          <w:szCs w:val="24"/>
          <w:lang w:val="es-ES_tradnl"/>
        </w:rPr>
        <w:t xml:space="preserve"> y</w:t>
      </w:r>
      <w:r w:rsidR="00D7177F" w:rsidRPr="00027651">
        <w:rPr>
          <w:rFonts w:ascii="Times New Roman" w:hAnsi="Times New Roman"/>
          <w:bCs/>
          <w:sz w:val="24"/>
          <w:szCs w:val="24"/>
          <w:lang w:val="es-ES_tradnl"/>
        </w:rPr>
        <w:t xml:space="preserve"> UC</w:t>
      </w:r>
      <w:r w:rsidR="006F618C" w:rsidRPr="00027651">
        <w:rPr>
          <w:rFonts w:ascii="Times New Roman" w:hAnsi="Times New Roman"/>
          <w:bCs/>
          <w:sz w:val="24"/>
          <w:szCs w:val="24"/>
          <w:lang w:val="es-ES_tradnl"/>
        </w:rPr>
        <w:t>P</w:t>
      </w:r>
      <w:r w:rsidR="00BA5CFC" w:rsidRPr="00027651">
        <w:rPr>
          <w:rFonts w:ascii="Times New Roman" w:hAnsi="Times New Roman"/>
          <w:bCs/>
          <w:sz w:val="24"/>
          <w:szCs w:val="24"/>
          <w:lang w:val="es-ES_tradnl"/>
        </w:rPr>
        <w:t>)</w:t>
      </w:r>
      <w:r w:rsidR="00D7177F" w:rsidRPr="00027651">
        <w:rPr>
          <w:rFonts w:ascii="Times New Roman" w:hAnsi="Times New Roman"/>
          <w:bCs/>
          <w:sz w:val="24"/>
          <w:szCs w:val="24"/>
          <w:lang w:val="es-ES_tradnl"/>
        </w:rPr>
        <w:t>, por lo que el valor de corte se reduce en esta proporción</w:t>
      </w:r>
      <w:r>
        <w:rPr>
          <w:rFonts w:ascii="Times New Roman" w:hAnsi="Times New Roman"/>
          <w:bCs/>
          <w:sz w:val="24"/>
          <w:szCs w:val="24"/>
          <w:lang w:val="es-ES_tradnl"/>
        </w:rPr>
        <w:t xml:space="preserve">. Deben descontarse también, </w:t>
      </w:r>
      <w:r w:rsidR="00027651" w:rsidRPr="00027651">
        <w:rPr>
          <w:rFonts w:ascii="Times New Roman" w:hAnsi="Times New Roman"/>
          <w:bCs/>
          <w:sz w:val="24"/>
          <w:szCs w:val="24"/>
          <w:lang w:val="es-ES_tradnl"/>
        </w:rPr>
        <w:t xml:space="preserve">los </w:t>
      </w:r>
      <w:r w:rsidR="00D7177F" w:rsidRPr="00027651">
        <w:rPr>
          <w:rFonts w:ascii="Times New Roman" w:hAnsi="Times New Roman"/>
          <w:bCs/>
          <w:sz w:val="24"/>
          <w:szCs w:val="24"/>
          <w:lang w:val="es-ES_tradnl"/>
        </w:rPr>
        <w:t>costos incrementale</w:t>
      </w:r>
      <w:r w:rsidR="00BA5CFC" w:rsidRPr="00027651">
        <w:rPr>
          <w:rFonts w:ascii="Times New Roman" w:hAnsi="Times New Roman"/>
          <w:bCs/>
          <w:sz w:val="24"/>
          <w:szCs w:val="24"/>
          <w:lang w:val="es-ES_tradnl"/>
        </w:rPr>
        <w:t xml:space="preserve">s de </w:t>
      </w:r>
      <w:r>
        <w:rPr>
          <w:rFonts w:ascii="Times New Roman" w:hAnsi="Times New Roman"/>
          <w:bCs/>
          <w:sz w:val="24"/>
          <w:szCs w:val="24"/>
          <w:lang w:val="es-ES_tradnl"/>
        </w:rPr>
        <w:t xml:space="preserve">administración </w:t>
      </w:r>
      <w:r w:rsidR="00BA5CFC" w:rsidRPr="00027651">
        <w:rPr>
          <w:rFonts w:ascii="Times New Roman" w:hAnsi="Times New Roman"/>
          <w:bCs/>
          <w:sz w:val="24"/>
          <w:szCs w:val="24"/>
          <w:lang w:val="es-ES_tradnl"/>
        </w:rPr>
        <w:t xml:space="preserve">operación y mantenimiento </w:t>
      </w:r>
      <w:r>
        <w:rPr>
          <w:rFonts w:ascii="Times New Roman" w:hAnsi="Times New Roman"/>
          <w:bCs/>
          <w:sz w:val="24"/>
          <w:szCs w:val="24"/>
          <w:lang w:val="es-ES_tradnl"/>
        </w:rPr>
        <w:t xml:space="preserve">de las nuevas infraestructuras </w:t>
      </w:r>
      <w:r w:rsidR="00BA5CFC" w:rsidRPr="00027651">
        <w:rPr>
          <w:rFonts w:ascii="Times New Roman" w:hAnsi="Times New Roman"/>
          <w:bCs/>
          <w:sz w:val="24"/>
          <w:szCs w:val="24"/>
          <w:lang w:val="es-ES_tradnl"/>
        </w:rPr>
        <w:t>que</w:t>
      </w:r>
      <w:r>
        <w:rPr>
          <w:rFonts w:ascii="Times New Roman" w:hAnsi="Times New Roman"/>
          <w:bCs/>
          <w:sz w:val="24"/>
          <w:szCs w:val="24"/>
          <w:lang w:val="es-ES_tradnl"/>
        </w:rPr>
        <w:t>,</w:t>
      </w:r>
      <w:r w:rsidR="00BA5CFC" w:rsidRPr="00027651">
        <w:rPr>
          <w:rFonts w:ascii="Times New Roman" w:hAnsi="Times New Roman"/>
          <w:bCs/>
          <w:sz w:val="24"/>
          <w:szCs w:val="24"/>
          <w:lang w:val="es-ES_tradnl"/>
        </w:rPr>
        <w:t xml:space="preserve"> en promedio</w:t>
      </w:r>
      <w:r>
        <w:rPr>
          <w:rFonts w:ascii="Times New Roman" w:hAnsi="Times New Roman"/>
          <w:bCs/>
          <w:sz w:val="24"/>
          <w:szCs w:val="24"/>
          <w:lang w:val="es-ES_tradnl"/>
        </w:rPr>
        <w:t>,</w:t>
      </w:r>
      <w:r w:rsidR="00BA5CFC" w:rsidRPr="00027651">
        <w:rPr>
          <w:rFonts w:ascii="Times New Roman" w:hAnsi="Times New Roman"/>
          <w:bCs/>
          <w:sz w:val="24"/>
          <w:szCs w:val="24"/>
          <w:lang w:val="es-ES_tradnl"/>
        </w:rPr>
        <w:t xml:space="preserve"> se han estimado </w:t>
      </w:r>
      <w:r>
        <w:rPr>
          <w:rFonts w:ascii="Times New Roman" w:hAnsi="Times New Roman"/>
          <w:bCs/>
          <w:sz w:val="24"/>
          <w:szCs w:val="24"/>
          <w:lang w:val="es-ES_tradnl"/>
        </w:rPr>
        <w:t>en</w:t>
      </w:r>
      <w:r w:rsidR="00BA5CFC" w:rsidRPr="00027651">
        <w:rPr>
          <w:rFonts w:ascii="Times New Roman" w:hAnsi="Times New Roman"/>
          <w:bCs/>
          <w:sz w:val="24"/>
          <w:szCs w:val="24"/>
          <w:lang w:val="es-ES_tradnl"/>
        </w:rPr>
        <w:t xml:space="preserve"> un </w:t>
      </w:r>
      <w:r w:rsidR="00027651" w:rsidRPr="00027651">
        <w:rPr>
          <w:rFonts w:ascii="Times New Roman" w:hAnsi="Times New Roman"/>
          <w:bCs/>
          <w:sz w:val="24"/>
          <w:szCs w:val="24"/>
          <w:lang w:val="es-ES_tradnl"/>
        </w:rPr>
        <w:t>5</w:t>
      </w:r>
      <w:r w:rsidR="00BA5CFC" w:rsidRPr="00027651">
        <w:rPr>
          <w:rFonts w:ascii="Times New Roman" w:hAnsi="Times New Roman"/>
          <w:bCs/>
          <w:sz w:val="24"/>
          <w:szCs w:val="24"/>
          <w:lang w:val="es-ES_tradnl"/>
        </w:rPr>
        <w:t>%</w:t>
      </w:r>
      <w:r w:rsidR="00D7177F" w:rsidRPr="00027651">
        <w:rPr>
          <w:rFonts w:ascii="Times New Roman" w:hAnsi="Times New Roman"/>
          <w:bCs/>
          <w:sz w:val="24"/>
          <w:szCs w:val="24"/>
          <w:lang w:val="es-ES_tradnl"/>
        </w:rPr>
        <w:t>.</w:t>
      </w:r>
      <w:r w:rsidR="00027651">
        <w:rPr>
          <w:rFonts w:ascii="Times New Roman" w:hAnsi="Times New Roman"/>
          <w:bCs/>
          <w:sz w:val="24"/>
          <w:szCs w:val="24"/>
          <w:lang w:val="es-ES_tradnl"/>
        </w:rPr>
        <w:t xml:space="preserve"> Finalmente, se consideró un costo adicional del 5% en concepto de imprevistos.</w:t>
      </w:r>
    </w:p>
    <w:p w:rsidR="00D7177F" w:rsidRPr="00D94D17" w:rsidRDefault="00D7177F" w:rsidP="00BA5CFC">
      <w:pPr>
        <w:autoSpaceDE w:val="0"/>
        <w:autoSpaceDN w:val="0"/>
        <w:adjustRightInd w:val="0"/>
        <w:ind w:left="426"/>
        <w:jc w:val="both"/>
        <w:rPr>
          <w:rFonts w:ascii="Times New Roman" w:hAnsi="Times New Roman"/>
          <w:bCs/>
          <w:sz w:val="24"/>
          <w:szCs w:val="24"/>
          <w:lang w:val="es-ES_tradnl"/>
        </w:rPr>
      </w:pPr>
    </w:p>
    <w:p w:rsidR="006F618C" w:rsidRDefault="00D7177F" w:rsidP="00BA5CFC">
      <w:pPr>
        <w:numPr>
          <w:ilvl w:val="1"/>
          <w:numId w:val="10"/>
        </w:numPr>
        <w:autoSpaceDE w:val="0"/>
        <w:autoSpaceDN w:val="0"/>
        <w:adjustRightInd w:val="0"/>
        <w:ind w:left="426"/>
        <w:jc w:val="both"/>
        <w:rPr>
          <w:rFonts w:ascii="Times New Roman" w:hAnsi="Times New Roman"/>
          <w:bCs/>
          <w:sz w:val="24"/>
          <w:szCs w:val="24"/>
          <w:lang w:val="es-ES_tradnl"/>
        </w:rPr>
      </w:pPr>
      <w:r w:rsidRPr="00D94D17">
        <w:rPr>
          <w:rFonts w:ascii="Times New Roman" w:hAnsi="Times New Roman"/>
          <w:bCs/>
          <w:sz w:val="24"/>
          <w:szCs w:val="24"/>
          <w:lang w:val="es-ES_tradnl"/>
        </w:rPr>
        <w:t>Considerando todos los elementos indicados se obtiene un coeficiente de corte de costo-eficiencia de U$</w:t>
      </w:r>
      <w:r w:rsidR="006510A8">
        <w:rPr>
          <w:rFonts w:ascii="Times New Roman" w:hAnsi="Times New Roman"/>
          <w:bCs/>
          <w:sz w:val="24"/>
          <w:szCs w:val="24"/>
          <w:lang w:val="es-ES_tradnl"/>
        </w:rPr>
        <w:t>S</w:t>
      </w:r>
      <w:r w:rsidRPr="00D94D17">
        <w:rPr>
          <w:rFonts w:ascii="Times New Roman" w:hAnsi="Times New Roman"/>
          <w:bCs/>
          <w:sz w:val="24"/>
          <w:szCs w:val="24"/>
          <w:lang w:val="es-ES_tradnl"/>
        </w:rPr>
        <w:t xml:space="preserve"> </w:t>
      </w:r>
      <w:r w:rsidR="00027651">
        <w:rPr>
          <w:rFonts w:ascii="Times New Roman" w:hAnsi="Times New Roman"/>
          <w:bCs/>
          <w:sz w:val="24"/>
          <w:szCs w:val="24"/>
          <w:lang w:val="es-ES_tradnl"/>
        </w:rPr>
        <w:t>19.75</w:t>
      </w:r>
      <w:r w:rsidR="006510A8">
        <w:rPr>
          <w:rFonts w:ascii="Times New Roman" w:hAnsi="Times New Roman"/>
          <w:bCs/>
          <w:sz w:val="24"/>
          <w:szCs w:val="24"/>
          <w:lang w:val="es-ES_tradnl"/>
        </w:rPr>
        <w:t>0</w:t>
      </w:r>
      <w:r w:rsidR="00027651">
        <w:rPr>
          <w:rFonts w:ascii="Times New Roman" w:hAnsi="Times New Roman"/>
          <w:bCs/>
          <w:sz w:val="24"/>
          <w:szCs w:val="24"/>
          <w:lang w:val="es-ES_tradnl"/>
        </w:rPr>
        <w:t xml:space="preserve"> </w:t>
      </w:r>
      <w:r w:rsidR="00BA5CFC">
        <w:rPr>
          <w:rFonts w:ascii="Times New Roman" w:hAnsi="Times New Roman"/>
          <w:bCs/>
          <w:sz w:val="24"/>
          <w:szCs w:val="24"/>
          <w:lang w:val="es-ES_tradnl"/>
        </w:rPr>
        <w:t xml:space="preserve">por </w:t>
      </w:r>
      <w:r w:rsidRPr="00D94D17">
        <w:rPr>
          <w:rFonts w:ascii="Times New Roman" w:hAnsi="Times New Roman"/>
          <w:bCs/>
          <w:sz w:val="24"/>
          <w:szCs w:val="24"/>
          <w:lang w:val="es-ES_tradnl"/>
        </w:rPr>
        <w:t xml:space="preserve">vivienda, a precios de </w:t>
      </w:r>
      <w:r w:rsidR="00BA5CFC">
        <w:rPr>
          <w:rFonts w:ascii="Times New Roman" w:hAnsi="Times New Roman"/>
          <w:bCs/>
          <w:sz w:val="24"/>
          <w:szCs w:val="24"/>
          <w:lang w:val="es-ES_tradnl"/>
        </w:rPr>
        <w:t>junio d</w:t>
      </w:r>
      <w:r w:rsidRPr="00D94D17">
        <w:rPr>
          <w:rFonts w:ascii="Times New Roman" w:hAnsi="Times New Roman"/>
          <w:bCs/>
          <w:sz w:val="24"/>
          <w:szCs w:val="24"/>
          <w:lang w:val="es-ES_tradnl"/>
        </w:rPr>
        <w:t>el 20</w:t>
      </w:r>
      <w:r w:rsidR="00BA5CFC">
        <w:rPr>
          <w:rFonts w:ascii="Times New Roman" w:hAnsi="Times New Roman"/>
          <w:bCs/>
          <w:sz w:val="24"/>
          <w:szCs w:val="24"/>
          <w:lang w:val="es-ES_tradnl"/>
        </w:rPr>
        <w:t>13</w:t>
      </w:r>
      <w:r w:rsidRPr="00D94D17">
        <w:rPr>
          <w:rFonts w:ascii="Times New Roman" w:hAnsi="Times New Roman"/>
          <w:bCs/>
          <w:sz w:val="24"/>
          <w:szCs w:val="24"/>
          <w:lang w:val="es-ES_tradnl"/>
        </w:rPr>
        <w:t xml:space="preserve">. Para mitigar los problemas asociados con la </w:t>
      </w:r>
      <w:r w:rsidR="00BA5CFC">
        <w:rPr>
          <w:rFonts w:ascii="Times New Roman" w:hAnsi="Times New Roman"/>
          <w:bCs/>
          <w:sz w:val="24"/>
          <w:szCs w:val="24"/>
          <w:lang w:val="es-ES_tradnl"/>
        </w:rPr>
        <w:t xml:space="preserve">inflación y la devaluación se propone que dicho valor (equivalente </w:t>
      </w:r>
      <w:r w:rsidR="006F618C">
        <w:rPr>
          <w:rFonts w:ascii="Times New Roman" w:hAnsi="Times New Roman"/>
          <w:bCs/>
          <w:sz w:val="24"/>
          <w:szCs w:val="24"/>
          <w:lang w:val="es-ES_tradnl"/>
        </w:rPr>
        <w:t xml:space="preserve">a </w:t>
      </w:r>
      <w:r w:rsidR="00BA5CFC" w:rsidRPr="00BA5CFC">
        <w:rPr>
          <w:rFonts w:ascii="Times New Roman" w:hAnsi="Times New Roman"/>
          <w:bCs/>
          <w:sz w:val="24"/>
          <w:szCs w:val="24"/>
          <w:lang w:val="es-ES_tradnl"/>
        </w:rPr>
        <w:t>4</w:t>
      </w:r>
      <w:r w:rsidR="00027651">
        <w:rPr>
          <w:rFonts w:ascii="Times New Roman" w:hAnsi="Times New Roman"/>
          <w:bCs/>
          <w:sz w:val="24"/>
          <w:szCs w:val="24"/>
          <w:lang w:val="es-ES_tradnl"/>
        </w:rPr>
        <w:t>08.350</w:t>
      </w:r>
      <w:r w:rsidR="006F618C">
        <w:rPr>
          <w:rFonts w:ascii="Times New Roman" w:hAnsi="Times New Roman"/>
          <w:bCs/>
          <w:sz w:val="24"/>
          <w:szCs w:val="24"/>
          <w:lang w:val="es-ES_tradnl"/>
        </w:rPr>
        <w:t xml:space="preserve"> pesos uruguayos </w:t>
      </w:r>
      <w:r w:rsidR="00BA5CFC">
        <w:rPr>
          <w:rFonts w:ascii="Times New Roman" w:hAnsi="Times New Roman"/>
          <w:bCs/>
          <w:sz w:val="24"/>
          <w:szCs w:val="24"/>
          <w:lang w:val="es-ES_tradnl"/>
        </w:rPr>
        <w:t>de junio de 2013) sea actualizado por el ICC de</w:t>
      </w:r>
      <w:r w:rsidR="006F618C">
        <w:rPr>
          <w:rFonts w:ascii="Times New Roman" w:hAnsi="Times New Roman"/>
          <w:bCs/>
          <w:sz w:val="24"/>
          <w:szCs w:val="24"/>
          <w:lang w:val="es-ES_tradnl"/>
        </w:rPr>
        <w:t>sde dicha fecha hasta el momento de</w:t>
      </w:r>
      <w:r w:rsidR="00BA5CFC">
        <w:rPr>
          <w:rFonts w:ascii="Times New Roman" w:hAnsi="Times New Roman"/>
          <w:bCs/>
          <w:sz w:val="24"/>
          <w:szCs w:val="24"/>
          <w:lang w:val="es-ES_tradnl"/>
        </w:rPr>
        <w:t xml:space="preserve"> la evaluación de</w:t>
      </w:r>
      <w:r w:rsidR="006F618C">
        <w:rPr>
          <w:rFonts w:ascii="Times New Roman" w:hAnsi="Times New Roman"/>
          <w:bCs/>
          <w:sz w:val="24"/>
          <w:szCs w:val="24"/>
          <w:lang w:val="es-ES_tradnl"/>
        </w:rPr>
        <w:t xml:space="preserve"> cada intervención. </w:t>
      </w:r>
    </w:p>
    <w:p w:rsidR="006F618C" w:rsidRDefault="006F618C" w:rsidP="006F618C">
      <w:pPr>
        <w:pStyle w:val="ListParagraph"/>
        <w:rPr>
          <w:rFonts w:ascii="Times New Roman" w:hAnsi="Times New Roman"/>
          <w:bCs/>
          <w:sz w:val="24"/>
          <w:szCs w:val="24"/>
          <w:lang w:val="es-ES_tradnl"/>
        </w:rPr>
      </w:pPr>
    </w:p>
    <w:p w:rsidR="00A04A58" w:rsidRPr="00DC73F9" w:rsidRDefault="00A04A58" w:rsidP="00A04A58">
      <w:pPr>
        <w:pStyle w:val="ListParagraph"/>
        <w:ind w:left="360"/>
        <w:jc w:val="center"/>
        <w:rPr>
          <w:rFonts w:ascii="Times New Roman" w:hAnsi="Times New Roman"/>
          <w:b/>
          <w:lang w:val="es-ES_tradnl"/>
        </w:rPr>
      </w:pPr>
      <w:r>
        <w:rPr>
          <w:rFonts w:ascii="Times New Roman" w:hAnsi="Times New Roman"/>
          <w:b/>
          <w:lang w:val="es-ES_tradnl"/>
        </w:rPr>
        <w:t>Tabla X</w:t>
      </w:r>
      <w:r w:rsidR="00727C2A">
        <w:rPr>
          <w:rFonts w:ascii="Times New Roman" w:hAnsi="Times New Roman"/>
          <w:b/>
          <w:lang w:val="es-ES_tradnl"/>
        </w:rPr>
        <w:t>II</w:t>
      </w:r>
      <w:r>
        <w:rPr>
          <w:rFonts w:ascii="Times New Roman" w:hAnsi="Times New Roman"/>
          <w:b/>
          <w:lang w:val="es-ES_tradnl"/>
        </w:rPr>
        <w:t>: Coeficiente de Corte Costo-eficiencia</w:t>
      </w:r>
    </w:p>
    <w:tbl>
      <w:tblPr>
        <w:tblStyle w:val="TableGrid"/>
        <w:tblW w:w="6913" w:type="dxa"/>
        <w:tblInd w:w="708" w:type="dxa"/>
        <w:tblBorders>
          <w:left w:val="none" w:sz="0" w:space="0" w:color="auto"/>
          <w:right w:val="none" w:sz="0" w:space="0" w:color="auto"/>
          <w:insideV w:val="none" w:sz="0" w:space="0" w:color="auto"/>
        </w:tblBorders>
        <w:tblLook w:val="04A0" w:firstRow="1" w:lastRow="0" w:firstColumn="1" w:lastColumn="0" w:noHBand="0" w:noVBand="1"/>
      </w:tblPr>
      <w:tblGrid>
        <w:gridCol w:w="4929"/>
        <w:gridCol w:w="1984"/>
      </w:tblGrid>
      <w:tr w:rsidR="0067112A" w:rsidRPr="00A04A58" w:rsidTr="00A04A58">
        <w:tc>
          <w:tcPr>
            <w:tcW w:w="4929" w:type="dxa"/>
          </w:tcPr>
          <w:p w:rsidR="0067112A" w:rsidRPr="00A04A58" w:rsidRDefault="0067112A" w:rsidP="006F618C">
            <w:pPr>
              <w:pStyle w:val="ListParagraph"/>
              <w:ind w:left="0"/>
              <w:rPr>
                <w:rFonts w:ascii="Times New Roman" w:hAnsi="Times New Roman"/>
                <w:b/>
                <w:bCs/>
                <w:lang w:val="es-ES_tradnl"/>
              </w:rPr>
            </w:pPr>
          </w:p>
        </w:tc>
        <w:tc>
          <w:tcPr>
            <w:tcW w:w="1984" w:type="dxa"/>
          </w:tcPr>
          <w:p w:rsidR="0067112A" w:rsidRPr="00A04A58" w:rsidRDefault="0067112A" w:rsidP="00A04A58">
            <w:pPr>
              <w:pStyle w:val="ListParagraph"/>
              <w:ind w:left="0"/>
              <w:jc w:val="center"/>
              <w:rPr>
                <w:rFonts w:ascii="Times New Roman" w:hAnsi="Times New Roman"/>
                <w:b/>
                <w:bCs/>
                <w:lang w:val="es-ES_tradnl"/>
              </w:rPr>
            </w:pPr>
            <w:r w:rsidRPr="00A04A58">
              <w:rPr>
                <w:rFonts w:ascii="Times New Roman" w:hAnsi="Times New Roman"/>
                <w:b/>
                <w:bCs/>
                <w:lang w:val="es-ES_tradnl"/>
              </w:rPr>
              <w:t>U$S por vivienda</w:t>
            </w:r>
          </w:p>
        </w:tc>
      </w:tr>
      <w:tr w:rsidR="0067112A" w:rsidTr="00A04A58">
        <w:tc>
          <w:tcPr>
            <w:tcW w:w="4929" w:type="dxa"/>
          </w:tcPr>
          <w:p w:rsidR="0067112A" w:rsidRPr="00A04A58" w:rsidRDefault="0067112A" w:rsidP="006F618C">
            <w:pPr>
              <w:pStyle w:val="ListParagraph"/>
              <w:ind w:left="0"/>
              <w:rPr>
                <w:rFonts w:ascii="Times New Roman" w:hAnsi="Times New Roman"/>
                <w:bCs/>
                <w:lang w:val="es-ES_tradnl"/>
              </w:rPr>
            </w:pPr>
            <w:r w:rsidRPr="00A04A58">
              <w:rPr>
                <w:rFonts w:ascii="Times New Roman" w:hAnsi="Times New Roman"/>
                <w:bCs/>
                <w:lang w:val="es-ES_tradnl"/>
              </w:rPr>
              <w:t>Beneficio medio de la muestra en valores sociales</w:t>
            </w:r>
          </w:p>
        </w:tc>
        <w:tc>
          <w:tcPr>
            <w:tcW w:w="1984" w:type="dxa"/>
          </w:tcPr>
          <w:p w:rsidR="0067112A" w:rsidRPr="00A04A58" w:rsidRDefault="0067112A" w:rsidP="00A04A58">
            <w:pPr>
              <w:pStyle w:val="ListParagraph"/>
              <w:ind w:left="0"/>
              <w:jc w:val="right"/>
              <w:rPr>
                <w:rFonts w:ascii="Times New Roman" w:hAnsi="Times New Roman"/>
                <w:bCs/>
                <w:lang w:val="es-ES_tradnl"/>
              </w:rPr>
            </w:pPr>
            <w:r w:rsidRPr="00A04A58">
              <w:rPr>
                <w:rFonts w:ascii="Times New Roman" w:hAnsi="Times New Roman"/>
                <w:bCs/>
                <w:lang w:val="es-ES_tradnl"/>
              </w:rPr>
              <w:t>22.997</w:t>
            </w:r>
          </w:p>
        </w:tc>
      </w:tr>
      <w:tr w:rsidR="0067112A" w:rsidTr="00A04A58">
        <w:tc>
          <w:tcPr>
            <w:tcW w:w="4929" w:type="dxa"/>
          </w:tcPr>
          <w:p w:rsidR="0067112A" w:rsidRPr="00A04A58" w:rsidRDefault="0067112A" w:rsidP="00A04A58">
            <w:pPr>
              <w:pStyle w:val="ListParagraph"/>
              <w:ind w:left="0"/>
              <w:rPr>
                <w:rFonts w:ascii="Times New Roman" w:hAnsi="Times New Roman"/>
                <w:bCs/>
                <w:lang w:val="es-ES_tradnl"/>
              </w:rPr>
            </w:pPr>
            <w:r w:rsidRPr="00A04A58">
              <w:rPr>
                <w:rFonts w:ascii="Times New Roman" w:hAnsi="Times New Roman"/>
                <w:bCs/>
                <w:lang w:val="es-ES_tradnl"/>
              </w:rPr>
              <w:t>RPC (promedio)</w:t>
            </w:r>
          </w:p>
        </w:tc>
        <w:tc>
          <w:tcPr>
            <w:tcW w:w="1984" w:type="dxa"/>
          </w:tcPr>
          <w:p w:rsidR="0067112A" w:rsidRPr="00A04A58" w:rsidRDefault="0067112A" w:rsidP="00A04A58">
            <w:pPr>
              <w:pStyle w:val="ListParagraph"/>
              <w:ind w:left="0"/>
              <w:jc w:val="right"/>
              <w:rPr>
                <w:rFonts w:ascii="Times New Roman" w:hAnsi="Times New Roman"/>
                <w:bCs/>
                <w:lang w:val="es-ES_tradnl"/>
              </w:rPr>
            </w:pPr>
            <w:r w:rsidRPr="00A04A58">
              <w:rPr>
                <w:rFonts w:ascii="Times New Roman" w:hAnsi="Times New Roman"/>
                <w:bCs/>
                <w:lang w:val="es-ES_tradnl"/>
              </w:rPr>
              <w:t>0,</w:t>
            </w:r>
            <w:r w:rsidR="00A04A58" w:rsidRPr="00A04A58">
              <w:rPr>
                <w:rFonts w:ascii="Times New Roman" w:hAnsi="Times New Roman"/>
                <w:bCs/>
                <w:lang w:val="es-ES_tradnl"/>
              </w:rPr>
              <w:t>9</w:t>
            </w:r>
            <w:r w:rsidRPr="00A04A58">
              <w:rPr>
                <w:rFonts w:ascii="Times New Roman" w:hAnsi="Times New Roman"/>
                <w:bCs/>
                <w:lang w:val="es-ES_tradnl"/>
              </w:rPr>
              <w:t>31</w:t>
            </w:r>
          </w:p>
        </w:tc>
      </w:tr>
      <w:tr w:rsidR="0067112A" w:rsidTr="00A04A58">
        <w:tc>
          <w:tcPr>
            <w:tcW w:w="4929" w:type="dxa"/>
          </w:tcPr>
          <w:p w:rsidR="0067112A" w:rsidRPr="00A04A58" w:rsidRDefault="0067112A" w:rsidP="006F618C">
            <w:pPr>
              <w:pStyle w:val="ListParagraph"/>
              <w:ind w:left="0"/>
              <w:rPr>
                <w:rFonts w:ascii="Times New Roman" w:hAnsi="Times New Roman"/>
                <w:bCs/>
                <w:lang w:val="es-ES_tradnl"/>
              </w:rPr>
            </w:pPr>
            <w:r w:rsidRPr="00A04A58">
              <w:rPr>
                <w:rFonts w:ascii="Times New Roman" w:hAnsi="Times New Roman"/>
                <w:bCs/>
                <w:lang w:val="es-ES_tradnl"/>
              </w:rPr>
              <w:t>Beneficios medios de la muestra en precios de mercado</w:t>
            </w:r>
          </w:p>
        </w:tc>
        <w:tc>
          <w:tcPr>
            <w:tcW w:w="1984" w:type="dxa"/>
          </w:tcPr>
          <w:p w:rsidR="0067112A" w:rsidRPr="00A04A58" w:rsidRDefault="0067112A" w:rsidP="00A04A58">
            <w:pPr>
              <w:jc w:val="right"/>
              <w:rPr>
                <w:rFonts w:ascii="Times New Roman" w:hAnsi="Times New Roman"/>
                <w:bCs/>
                <w:lang w:val="es-ES_tradnl"/>
              </w:rPr>
            </w:pPr>
            <w:r w:rsidRPr="00A04A58">
              <w:rPr>
                <w:rFonts w:ascii="Times New Roman" w:hAnsi="Times New Roman"/>
              </w:rPr>
              <w:t>24.708</w:t>
            </w:r>
          </w:p>
        </w:tc>
      </w:tr>
      <w:tr w:rsidR="0067112A" w:rsidTr="00A04A58">
        <w:tc>
          <w:tcPr>
            <w:tcW w:w="4929" w:type="dxa"/>
          </w:tcPr>
          <w:p w:rsidR="0067112A" w:rsidRPr="00A04A58" w:rsidRDefault="0067112A" w:rsidP="006F618C">
            <w:pPr>
              <w:pStyle w:val="ListParagraph"/>
              <w:ind w:left="0"/>
              <w:rPr>
                <w:rFonts w:ascii="Times New Roman" w:hAnsi="Times New Roman"/>
                <w:bCs/>
                <w:lang w:val="es-ES_tradnl"/>
              </w:rPr>
            </w:pPr>
            <w:r w:rsidRPr="00A04A58">
              <w:rPr>
                <w:rFonts w:ascii="Times New Roman" w:hAnsi="Times New Roman"/>
                <w:bCs/>
                <w:lang w:val="es-ES_tradnl"/>
              </w:rPr>
              <w:t>Costos AOM (5,1% promedio)</w:t>
            </w:r>
          </w:p>
        </w:tc>
        <w:tc>
          <w:tcPr>
            <w:tcW w:w="1984" w:type="dxa"/>
          </w:tcPr>
          <w:p w:rsidR="0067112A" w:rsidRPr="00A04A58" w:rsidRDefault="0067112A" w:rsidP="00A04A58">
            <w:pPr>
              <w:pStyle w:val="ListParagraph"/>
              <w:ind w:left="0"/>
              <w:jc w:val="right"/>
              <w:rPr>
                <w:rFonts w:ascii="Times New Roman" w:hAnsi="Times New Roman"/>
                <w:bCs/>
                <w:lang w:val="es-ES_tradnl"/>
              </w:rPr>
            </w:pPr>
            <w:r w:rsidRPr="00A04A58">
              <w:rPr>
                <w:rFonts w:ascii="Times New Roman" w:hAnsi="Times New Roman"/>
                <w:bCs/>
                <w:lang w:val="es-ES_tradnl"/>
              </w:rPr>
              <w:t>1.251</w:t>
            </w:r>
          </w:p>
        </w:tc>
      </w:tr>
      <w:tr w:rsidR="0067112A" w:rsidTr="00A04A58">
        <w:tc>
          <w:tcPr>
            <w:tcW w:w="4929" w:type="dxa"/>
          </w:tcPr>
          <w:p w:rsidR="0067112A" w:rsidRPr="00A04A58" w:rsidRDefault="0067112A" w:rsidP="006F618C">
            <w:pPr>
              <w:pStyle w:val="ListParagraph"/>
              <w:ind w:left="0"/>
              <w:rPr>
                <w:rFonts w:ascii="Times New Roman" w:hAnsi="Times New Roman"/>
                <w:bCs/>
                <w:lang w:val="es-ES_tradnl"/>
              </w:rPr>
            </w:pPr>
            <w:r w:rsidRPr="00A04A58">
              <w:rPr>
                <w:rFonts w:ascii="Times New Roman" w:hAnsi="Times New Roman"/>
                <w:bCs/>
                <w:lang w:val="es-ES_tradnl"/>
              </w:rPr>
              <w:t>Costos ET + UCP (10%)</w:t>
            </w:r>
          </w:p>
        </w:tc>
        <w:tc>
          <w:tcPr>
            <w:tcW w:w="1984" w:type="dxa"/>
          </w:tcPr>
          <w:p w:rsidR="0067112A" w:rsidRPr="00A04A58" w:rsidRDefault="0067112A" w:rsidP="00A04A58">
            <w:pPr>
              <w:pStyle w:val="ListParagraph"/>
              <w:ind w:left="0"/>
              <w:jc w:val="right"/>
              <w:rPr>
                <w:rFonts w:ascii="Times New Roman" w:hAnsi="Times New Roman"/>
                <w:bCs/>
                <w:lang w:val="es-ES_tradnl"/>
              </w:rPr>
            </w:pPr>
            <w:r w:rsidRPr="00A04A58">
              <w:rPr>
                <w:rFonts w:ascii="Times New Roman" w:hAnsi="Times New Roman"/>
                <w:bCs/>
                <w:lang w:val="es-ES_tradnl"/>
              </w:rPr>
              <w:t>2.471</w:t>
            </w:r>
          </w:p>
        </w:tc>
      </w:tr>
      <w:tr w:rsidR="0067112A" w:rsidTr="00A04A58">
        <w:tc>
          <w:tcPr>
            <w:tcW w:w="4929" w:type="dxa"/>
          </w:tcPr>
          <w:p w:rsidR="0067112A" w:rsidRPr="00A04A58" w:rsidRDefault="0067112A" w:rsidP="006F618C">
            <w:pPr>
              <w:pStyle w:val="ListParagraph"/>
              <w:ind w:left="0"/>
              <w:rPr>
                <w:rFonts w:ascii="Times New Roman" w:hAnsi="Times New Roman"/>
                <w:bCs/>
                <w:lang w:val="es-ES_tradnl"/>
              </w:rPr>
            </w:pPr>
            <w:r w:rsidRPr="00A04A58">
              <w:rPr>
                <w:rFonts w:ascii="Times New Roman" w:hAnsi="Times New Roman"/>
                <w:bCs/>
                <w:lang w:val="es-ES_tradnl"/>
              </w:rPr>
              <w:t>Imprevisto (5%)</w:t>
            </w:r>
          </w:p>
        </w:tc>
        <w:tc>
          <w:tcPr>
            <w:tcW w:w="1984" w:type="dxa"/>
          </w:tcPr>
          <w:p w:rsidR="0067112A" w:rsidRPr="00A04A58" w:rsidRDefault="0067112A" w:rsidP="00A04A58">
            <w:pPr>
              <w:pStyle w:val="ListParagraph"/>
              <w:ind w:left="0"/>
              <w:jc w:val="right"/>
              <w:rPr>
                <w:rFonts w:ascii="Times New Roman" w:hAnsi="Times New Roman"/>
                <w:bCs/>
                <w:lang w:val="es-ES_tradnl"/>
              </w:rPr>
            </w:pPr>
            <w:r w:rsidRPr="00A04A58">
              <w:rPr>
                <w:rFonts w:ascii="Times New Roman" w:hAnsi="Times New Roman"/>
                <w:bCs/>
                <w:lang w:val="es-ES_tradnl"/>
              </w:rPr>
              <w:t>1.235</w:t>
            </w:r>
          </w:p>
        </w:tc>
      </w:tr>
      <w:tr w:rsidR="00A04A58" w:rsidRPr="00A04A58" w:rsidTr="00A04A58">
        <w:tc>
          <w:tcPr>
            <w:tcW w:w="4929" w:type="dxa"/>
          </w:tcPr>
          <w:p w:rsidR="00A04A58" w:rsidRPr="00A04A58" w:rsidRDefault="00A04A58" w:rsidP="006F618C">
            <w:pPr>
              <w:pStyle w:val="ListParagraph"/>
              <w:ind w:left="0"/>
              <w:rPr>
                <w:rFonts w:ascii="Times New Roman" w:hAnsi="Times New Roman"/>
                <w:b/>
                <w:bCs/>
                <w:i/>
                <w:lang w:val="es-ES_tradnl"/>
              </w:rPr>
            </w:pPr>
            <w:r w:rsidRPr="00A04A58">
              <w:rPr>
                <w:rFonts w:ascii="Times New Roman" w:hAnsi="Times New Roman"/>
                <w:b/>
                <w:bCs/>
                <w:i/>
                <w:lang w:val="es-ES_tradnl"/>
              </w:rPr>
              <w:t>Beneficio neto a valores de mercado</w:t>
            </w:r>
          </w:p>
        </w:tc>
        <w:tc>
          <w:tcPr>
            <w:tcW w:w="1984" w:type="dxa"/>
          </w:tcPr>
          <w:p w:rsidR="00A04A58" w:rsidRPr="00A04A58" w:rsidRDefault="00A04A58" w:rsidP="006510A8">
            <w:pPr>
              <w:jc w:val="right"/>
              <w:rPr>
                <w:rFonts w:ascii="Times New Roman" w:hAnsi="Times New Roman"/>
                <w:b/>
                <w:bCs/>
                <w:i/>
                <w:lang w:val="es-ES_tradnl"/>
              </w:rPr>
            </w:pPr>
            <w:r w:rsidRPr="00A04A58">
              <w:rPr>
                <w:rFonts w:ascii="Times New Roman" w:hAnsi="Times New Roman"/>
                <w:b/>
                <w:i/>
              </w:rPr>
              <w:t>19.75</w:t>
            </w:r>
            <w:r w:rsidR="006510A8">
              <w:rPr>
                <w:rFonts w:ascii="Times New Roman" w:hAnsi="Times New Roman"/>
                <w:b/>
                <w:i/>
              </w:rPr>
              <w:t>0</w:t>
            </w:r>
          </w:p>
        </w:tc>
      </w:tr>
    </w:tbl>
    <w:p w:rsidR="0067112A" w:rsidRDefault="0067112A" w:rsidP="006F618C">
      <w:pPr>
        <w:pStyle w:val="ListParagraph"/>
        <w:rPr>
          <w:rFonts w:ascii="Times New Roman" w:hAnsi="Times New Roman"/>
          <w:bCs/>
          <w:sz w:val="24"/>
          <w:szCs w:val="24"/>
          <w:lang w:val="es-ES_tradnl"/>
        </w:rPr>
      </w:pPr>
    </w:p>
    <w:p w:rsidR="00F358D0" w:rsidRPr="00755EF0" w:rsidRDefault="006F618C" w:rsidP="00F358D0">
      <w:pPr>
        <w:numPr>
          <w:ilvl w:val="1"/>
          <w:numId w:val="10"/>
        </w:numPr>
        <w:autoSpaceDE w:val="0"/>
        <w:autoSpaceDN w:val="0"/>
        <w:adjustRightInd w:val="0"/>
        <w:ind w:left="426"/>
        <w:jc w:val="both"/>
        <w:rPr>
          <w:rFonts w:ascii="Times New Roman" w:hAnsi="Times New Roman"/>
          <w:bCs/>
          <w:sz w:val="24"/>
          <w:szCs w:val="24"/>
          <w:lang w:val="es-ES_tradnl"/>
        </w:rPr>
      </w:pPr>
      <w:r w:rsidRPr="00755EF0">
        <w:rPr>
          <w:rFonts w:ascii="Times New Roman" w:hAnsi="Times New Roman"/>
          <w:bCs/>
          <w:sz w:val="24"/>
          <w:szCs w:val="24"/>
          <w:lang w:val="es-ES_tradnl"/>
        </w:rPr>
        <w:t xml:space="preserve">La actualización del valor de corte mediante el </w:t>
      </w:r>
      <w:r w:rsidR="00982495" w:rsidRPr="00755EF0">
        <w:rPr>
          <w:rFonts w:ascii="Times New Roman" w:hAnsi="Times New Roman"/>
          <w:bCs/>
          <w:sz w:val="24"/>
          <w:szCs w:val="24"/>
          <w:lang w:val="es-ES_tradnl"/>
        </w:rPr>
        <w:t>Índice</w:t>
      </w:r>
      <w:r w:rsidRPr="00755EF0">
        <w:rPr>
          <w:rFonts w:ascii="Times New Roman" w:hAnsi="Times New Roman"/>
          <w:bCs/>
          <w:sz w:val="24"/>
          <w:szCs w:val="24"/>
          <w:lang w:val="es-ES_tradnl"/>
        </w:rPr>
        <w:t xml:space="preserve"> del Costo de la Construcción busca evitar el desfasaje generado en la primera etapa del PMB, en la cual el valor </w:t>
      </w:r>
      <w:r w:rsidR="00A04A58" w:rsidRPr="00755EF0">
        <w:rPr>
          <w:rFonts w:ascii="Times New Roman" w:hAnsi="Times New Roman"/>
          <w:bCs/>
          <w:sz w:val="24"/>
          <w:szCs w:val="24"/>
          <w:lang w:val="es-ES_tradnl"/>
        </w:rPr>
        <w:t xml:space="preserve">de corte </w:t>
      </w:r>
      <w:r w:rsidR="00755EF0">
        <w:rPr>
          <w:rFonts w:ascii="Times New Roman" w:hAnsi="Times New Roman"/>
          <w:bCs/>
          <w:sz w:val="24"/>
          <w:szCs w:val="24"/>
          <w:lang w:val="es-ES_tradnl"/>
        </w:rPr>
        <w:t>fue</w:t>
      </w:r>
      <w:r w:rsidRPr="00755EF0">
        <w:rPr>
          <w:rFonts w:ascii="Times New Roman" w:hAnsi="Times New Roman"/>
          <w:bCs/>
          <w:sz w:val="24"/>
          <w:szCs w:val="24"/>
          <w:lang w:val="es-ES_tradnl"/>
        </w:rPr>
        <w:t xml:space="preserve"> </w:t>
      </w:r>
      <w:r w:rsidR="00755EF0">
        <w:rPr>
          <w:rFonts w:ascii="Times New Roman" w:hAnsi="Times New Roman"/>
          <w:bCs/>
          <w:sz w:val="24"/>
          <w:szCs w:val="24"/>
          <w:lang w:val="es-ES_tradnl"/>
        </w:rPr>
        <w:t xml:space="preserve">fijado </w:t>
      </w:r>
      <w:r w:rsidRPr="00755EF0">
        <w:rPr>
          <w:rFonts w:ascii="Times New Roman" w:hAnsi="Times New Roman"/>
          <w:bCs/>
          <w:sz w:val="24"/>
          <w:szCs w:val="24"/>
          <w:lang w:val="es-ES_tradnl"/>
        </w:rPr>
        <w:t>en unidades indexadas</w:t>
      </w:r>
      <w:r w:rsidR="00F358D0" w:rsidRPr="00755EF0">
        <w:rPr>
          <w:rFonts w:ascii="Times New Roman" w:hAnsi="Times New Roman"/>
          <w:bCs/>
          <w:sz w:val="24"/>
          <w:szCs w:val="24"/>
          <w:lang w:val="es-ES_tradnl"/>
        </w:rPr>
        <w:t xml:space="preserve"> (UI 84.443)</w:t>
      </w:r>
      <w:r w:rsidRPr="00755EF0">
        <w:rPr>
          <w:rFonts w:ascii="Times New Roman" w:hAnsi="Times New Roman"/>
          <w:bCs/>
          <w:sz w:val="24"/>
          <w:szCs w:val="24"/>
          <w:lang w:val="es-ES_tradnl"/>
        </w:rPr>
        <w:t xml:space="preserve">. </w:t>
      </w:r>
      <w:r w:rsidR="00F358D0" w:rsidRPr="00755EF0">
        <w:rPr>
          <w:rFonts w:ascii="Times New Roman" w:hAnsi="Times New Roman"/>
          <w:bCs/>
          <w:sz w:val="24"/>
          <w:szCs w:val="24"/>
          <w:lang w:val="es-ES_tradnl"/>
        </w:rPr>
        <w:t>Esta unidad de medida</w:t>
      </w:r>
      <w:r w:rsidR="00755EF0">
        <w:rPr>
          <w:rFonts w:ascii="Times New Roman" w:hAnsi="Times New Roman"/>
          <w:bCs/>
          <w:sz w:val="24"/>
          <w:szCs w:val="24"/>
          <w:lang w:val="es-ES_tradnl"/>
        </w:rPr>
        <w:t xml:space="preserve"> había sido </w:t>
      </w:r>
      <w:r w:rsidR="00F358D0" w:rsidRPr="00755EF0">
        <w:rPr>
          <w:rFonts w:ascii="Times New Roman" w:hAnsi="Times New Roman"/>
          <w:bCs/>
          <w:sz w:val="24"/>
          <w:szCs w:val="24"/>
          <w:lang w:val="es-ES_tradnl"/>
        </w:rPr>
        <w:t>incorporada con el fin de evitar los desfasajes que podrían producirse por modificaciones en el tipo de cambio y/o en la tasa de inflación. No obstante, durante el tiempo transcurrido desde la fijación de dicho límite</w:t>
      </w:r>
      <w:r w:rsidR="00755EF0" w:rsidRPr="00755EF0">
        <w:rPr>
          <w:rFonts w:ascii="Times New Roman" w:hAnsi="Times New Roman"/>
          <w:bCs/>
          <w:sz w:val="24"/>
          <w:szCs w:val="24"/>
          <w:lang w:val="es-ES_tradnl"/>
        </w:rPr>
        <w:t xml:space="preserve"> (marzo 2008)</w:t>
      </w:r>
      <w:r w:rsidR="00F358D0" w:rsidRPr="00755EF0">
        <w:rPr>
          <w:rFonts w:ascii="Times New Roman" w:hAnsi="Times New Roman"/>
          <w:bCs/>
          <w:sz w:val="24"/>
          <w:szCs w:val="24"/>
          <w:lang w:val="es-ES_tradnl"/>
        </w:rPr>
        <w:t xml:space="preserve"> y la actualidad</w:t>
      </w:r>
      <w:r w:rsidR="00755EF0">
        <w:rPr>
          <w:rStyle w:val="FootnoteReference"/>
          <w:rFonts w:ascii="Times New Roman" w:hAnsi="Times New Roman"/>
          <w:bCs/>
          <w:sz w:val="24"/>
          <w:szCs w:val="24"/>
          <w:lang w:val="es-ES_tradnl"/>
        </w:rPr>
        <w:footnoteReference w:id="24"/>
      </w:r>
      <w:r w:rsidR="00F358D0" w:rsidRPr="00755EF0">
        <w:rPr>
          <w:rFonts w:ascii="Times New Roman" w:hAnsi="Times New Roman"/>
          <w:bCs/>
          <w:sz w:val="24"/>
          <w:szCs w:val="24"/>
          <w:lang w:val="es-ES_tradnl"/>
        </w:rPr>
        <w:t xml:space="preserve">, las UI han mantenido una tasa de crecimiento </w:t>
      </w:r>
      <w:r w:rsidR="00DE59E7" w:rsidRPr="00755EF0">
        <w:rPr>
          <w:rFonts w:ascii="Times New Roman" w:hAnsi="Times New Roman"/>
          <w:bCs/>
          <w:sz w:val="24"/>
          <w:szCs w:val="24"/>
          <w:lang w:val="es-ES_tradnl"/>
        </w:rPr>
        <w:t xml:space="preserve">significativamente inferior </w:t>
      </w:r>
      <w:r w:rsidR="00755EF0" w:rsidRPr="00755EF0">
        <w:rPr>
          <w:rFonts w:ascii="Times New Roman" w:hAnsi="Times New Roman"/>
          <w:bCs/>
          <w:sz w:val="24"/>
          <w:szCs w:val="24"/>
          <w:lang w:val="es-ES_tradnl"/>
        </w:rPr>
        <w:t xml:space="preserve">(48,7%) </w:t>
      </w:r>
      <w:r w:rsidR="00DE59E7" w:rsidRPr="00755EF0">
        <w:rPr>
          <w:rFonts w:ascii="Times New Roman" w:hAnsi="Times New Roman"/>
          <w:bCs/>
          <w:sz w:val="24"/>
          <w:szCs w:val="24"/>
          <w:lang w:val="es-ES_tradnl"/>
        </w:rPr>
        <w:t>a</w:t>
      </w:r>
      <w:r w:rsidR="00755EF0" w:rsidRPr="00755EF0">
        <w:rPr>
          <w:rFonts w:ascii="Times New Roman" w:hAnsi="Times New Roman"/>
          <w:bCs/>
          <w:sz w:val="24"/>
          <w:szCs w:val="24"/>
          <w:lang w:val="es-ES_tradnl"/>
        </w:rPr>
        <w:t xml:space="preserve"> </w:t>
      </w:r>
      <w:r w:rsidR="00DE59E7" w:rsidRPr="00755EF0">
        <w:rPr>
          <w:rFonts w:ascii="Times New Roman" w:hAnsi="Times New Roman"/>
          <w:bCs/>
          <w:sz w:val="24"/>
          <w:szCs w:val="24"/>
          <w:lang w:val="es-ES_tradnl"/>
        </w:rPr>
        <w:t>l</w:t>
      </w:r>
      <w:r w:rsidR="00755EF0" w:rsidRPr="00755EF0">
        <w:rPr>
          <w:rFonts w:ascii="Times New Roman" w:hAnsi="Times New Roman"/>
          <w:bCs/>
          <w:sz w:val="24"/>
          <w:szCs w:val="24"/>
          <w:lang w:val="es-ES_tradnl"/>
        </w:rPr>
        <w:t>a</w:t>
      </w:r>
      <w:r w:rsidR="00DE59E7" w:rsidRPr="00755EF0">
        <w:rPr>
          <w:rFonts w:ascii="Times New Roman" w:hAnsi="Times New Roman"/>
          <w:bCs/>
          <w:sz w:val="24"/>
          <w:szCs w:val="24"/>
          <w:lang w:val="es-ES_tradnl"/>
        </w:rPr>
        <w:t xml:space="preserve"> del costo de la construcción </w:t>
      </w:r>
      <w:r w:rsidR="00755EF0" w:rsidRPr="00755EF0">
        <w:rPr>
          <w:rFonts w:ascii="Times New Roman" w:hAnsi="Times New Roman"/>
          <w:bCs/>
          <w:sz w:val="24"/>
          <w:szCs w:val="24"/>
          <w:lang w:val="es-ES_tradnl"/>
        </w:rPr>
        <w:t xml:space="preserve">(78,8%) </w:t>
      </w:r>
      <w:r w:rsidR="00F358D0" w:rsidRPr="00755EF0">
        <w:rPr>
          <w:rFonts w:ascii="Times New Roman" w:hAnsi="Times New Roman"/>
          <w:bCs/>
          <w:sz w:val="24"/>
          <w:szCs w:val="24"/>
          <w:lang w:val="es-ES_tradnl"/>
        </w:rPr>
        <w:t xml:space="preserve">generado un atraso en el límite establecido. </w:t>
      </w:r>
    </w:p>
    <w:p w:rsidR="00BA5CFC" w:rsidRDefault="00BA5CFC" w:rsidP="00BA5CFC">
      <w:pPr>
        <w:autoSpaceDE w:val="0"/>
        <w:autoSpaceDN w:val="0"/>
        <w:adjustRightInd w:val="0"/>
        <w:jc w:val="both"/>
        <w:rPr>
          <w:rFonts w:ascii="Times New Roman" w:hAnsi="Times New Roman"/>
          <w:bCs/>
          <w:sz w:val="24"/>
          <w:szCs w:val="24"/>
          <w:lang w:val="es-ES_tradnl"/>
        </w:rPr>
      </w:pPr>
    </w:p>
    <w:p w:rsidR="00BA5CFC" w:rsidRDefault="00BA5CFC" w:rsidP="00BA5CFC">
      <w:pPr>
        <w:autoSpaceDE w:val="0"/>
        <w:autoSpaceDN w:val="0"/>
        <w:adjustRightInd w:val="0"/>
        <w:jc w:val="both"/>
        <w:rPr>
          <w:rFonts w:ascii="Times New Roman" w:hAnsi="Times New Roman"/>
          <w:bCs/>
          <w:sz w:val="24"/>
          <w:szCs w:val="24"/>
          <w:lang w:val="es-ES_tradnl"/>
        </w:rPr>
      </w:pPr>
    </w:p>
    <w:p w:rsidR="001E740A" w:rsidRPr="008A1B46" w:rsidRDefault="00EE3596" w:rsidP="007E2BEB">
      <w:pPr>
        <w:pStyle w:val="Heading1"/>
        <w:numPr>
          <w:ilvl w:val="0"/>
          <w:numId w:val="10"/>
        </w:numPr>
        <w:jc w:val="left"/>
        <w:rPr>
          <w:i w:val="0"/>
          <w:sz w:val="24"/>
          <w:szCs w:val="24"/>
        </w:rPr>
      </w:pPr>
      <w:bookmarkStart w:id="19" w:name="_Toc366836882"/>
      <w:r w:rsidRPr="008A1B46">
        <w:rPr>
          <w:i w:val="0"/>
          <w:sz w:val="24"/>
          <w:szCs w:val="24"/>
        </w:rPr>
        <w:lastRenderedPageBreak/>
        <w:t>C</w:t>
      </w:r>
      <w:r w:rsidR="007E2BEB">
        <w:rPr>
          <w:i w:val="0"/>
          <w:sz w:val="24"/>
          <w:szCs w:val="24"/>
        </w:rPr>
        <w:t>onclusiones.</w:t>
      </w:r>
      <w:bookmarkEnd w:id="19"/>
      <w:r w:rsidR="007E2BEB">
        <w:rPr>
          <w:i w:val="0"/>
          <w:sz w:val="24"/>
          <w:szCs w:val="24"/>
        </w:rPr>
        <w:t xml:space="preserve"> </w:t>
      </w:r>
      <w:bookmarkEnd w:id="18"/>
    </w:p>
    <w:p w:rsidR="00B86EF8" w:rsidRPr="00DC73F9" w:rsidRDefault="00B86EF8" w:rsidP="004822C1">
      <w:pPr>
        <w:tabs>
          <w:tab w:val="num" w:pos="1294"/>
        </w:tabs>
        <w:jc w:val="both"/>
        <w:rPr>
          <w:rFonts w:ascii="Times New Roman" w:hAnsi="Times New Roman"/>
          <w:bCs/>
          <w:vanish/>
          <w:lang w:val="es-ES_tradnl" w:eastAsia="es-ES_tradnl"/>
        </w:rPr>
      </w:pPr>
    </w:p>
    <w:p w:rsidR="00583D92" w:rsidRDefault="005108AA" w:rsidP="00583D92">
      <w:pPr>
        <w:numPr>
          <w:ilvl w:val="1"/>
          <w:numId w:val="10"/>
        </w:numPr>
        <w:autoSpaceDE w:val="0"/>
        <w:autoSpaceDN w:val="0"/>
        <w:adjustRightInd w:val="0"/>
        <w:ind w:left="426"/>
        <w:jc w:val="both"/>
        <w:rPr>
          <w:rFonts w:ascii="Times New Roman" w:hAnsi="Times New Roman"/>
          <w:bCs/>
          <w:sz w:val="24"/>
          <w:szCs w:val="24"/>
          <w:lang w:val="es-ES_tradnl"/>
        </w:rPr>
      </w:pPr>
      <w:r w:rsidRPr="00CD45AD">
        <w:rPr>
          <w:rFonts w:ascii="Times New Roman" w:hAnsi="Times New Roman"/>
          <w:bCs/>
          <w:sz w:val="24"/>
          <w:szCs w:val="24"/>
          <w:lang w:val="es-ES_tradnl"/>
        </w:rPr>
        <w:t xml:space="preserve">La muestra analizada señala que el conjunto de proyectos a ser financiados resultan ser rentables desde el punto de vista económico, incluso ante escenarios más conservadores en cuanto a los costos de la inversión y el nivel </w:t>
      </w:r>
      <w:r w:rsidR="006F618C" w:rsidRPr="00CD45AD">
        <w:rPr>
          <w:rFonts w:ascii="Times New Roman" w:hAnsi="Times New Roman"/>
          <w:bCs/>
          <w:sz w:val="24"/>
          <w:szCs w:val="24"/>
          <w:lang w:val="es-ES_tradnl"/>
        </w:rPr>
        <w:t xml:space="preserve">valorización </w:t>
      </w:r>
      <w:r w:rsidRPr="00CD45AD">
        <w:rPr>
          <w:rFonts w:ascii="Times New Roman" w:hAnsi="Times New Roman"/>
          <w:bCs/>
          <w:sz w:val="24"/>
          <w:szCs w:val="24"/>
          <w:lang w:val="es-ES_tradnl"/>
        </w:rPr>
        <w:t>de las áreas donde se van a realizar las intervenciones</w:t>
      </w:r>
      <w:r w:rsidR="00CD45AD" w:rsidRPr="00CD45AD">
        <w:rPr>
          <w:rFonts w:ascii="Times New Roman" w:hAnsi="Times New Roman"/>
          <w:bCs/>
          <w:sz w:val="24"/>
          <w:szCs w:val="24"/>
          <w:lang w:val="es-ES_tradnl"/>
        </w:rPr>
        <w:t xml:space="preserve">, lo cual es compatible, no sólo con los resultados de la exhaustiva evaluación económica de la primera etapa, sino en general con los resultados observados para programas similares en otras partes de la región. </w:t>
      </w:r>
      <w:r w:rsidR="00583D92">
        <w:rPr>
          <w:rFonts w:ascii="Times New Roman" w:hAnsi="Times New Roman"/>
          <w:bCs/>
          <w:sz w:val="24"/>
          <w:szCs w:val="24"/>
          <w:lang w:val="es-ES_tradnl"/>
        </w:rPr>
        <w:t>S</w:t>
      </w:r>
      <w:r w:rsidR="00583D92" w:rsidRPr="00CD45AD">
        <w:rPr>
          <w:rFonts w:ascii="Times New Roman" w:hAnsi="Times New Roman"/>
          <w:bCs/>
          <w:sz w:val="24"/>
          <w:szCs w:val="24"/>
          <w:lang w:val="es-ES_tradnl"/>
        </w:rPr>
        <w:t>ólo en escenarios negativos (poco probables), el programa no tendría una rentabilidad positiva</w:t>
      </w:r>
      <w:r w:rsidR="00583D92">
        <w:rPr>
          <w:rFonts w:ascii="Times New Roman" w:hAnsi="Times New Roman"/>
          <w:bCs/>
          <w:sz w:val="24"/>
          <w:szCs w:val="24"/>
          <w:lang w:val="es-ES_tradnl"/>
        </w:rPr>
        <w:t>.</w:t>
      </w:r>
    </w:p>
    <w:p w:rsidR="00CD45AD" w:rsidRDefault="00CD45AD" w:rsidP="00583D92">
      <w:pPr>
        <w:autoSpaceDE w:val="0"/>
        <w:autoSpaceDN w:val="0"/>
        <w:adjustRightInd w:val="0"/>
        <w:ind w:left="426"/>
        <w:jc w:val="both"/>
        <w:rPr>
          <w:rFonts w:ascii="Times New Roman" w:hAnsi="Times New Roman"/>
          <w:bCs/>
          <w:sz w:val="24"/>
          <w:szCs w:val="24"/>
          <w:lang w:val="es-ES_tradnl"/>
        </w:rPr>
      </w:pPr>
    </w:p>
    <w:p w:rsidR="00770D7F" w:rsidRDefault="00CD45AD" w:rsidP="00CD45AD">
      <w:pPr>
        <w:numPr>
          <w:ilvl w:val="1"/>
          <w:numId w:val="10"/>
        </w:numPr>
        <w:autoSpaceDE w:val="0"/>
        <w:autoSpaceDN w:val="0"/>
        <w:adjustRightInd w:val="0"/>
        <w:ind w:left="426"/>
        <w:jc w:val="both"/>
        <w:rPr>
          <w:rFonts w:ascii="Times New Roman" w:hAnsi="Times New Roman"/>
          <w:bCs/>
          <w:sz w:val="24"/>
          <w:szCs w:val="24"/>
          <w:lang w:val="es-ES_tradnl"/>
        </w:rPr>
      </w:pPr>
      <w:r w:rsidRPr="00770D7F">
        <w:rPr>
          <w:rFonts w:ascii="Times New Roman" w:hAnsi="Times New Roman"/>
          <w:bCs/>
          <w:sz w:val="24"/>
          <w:szCs w:val="24"/>
          <w:lang w:val="es-ES_tradnl"/>
        </w:rPr>
        <w:t xml:space="preserve">Los problemas sociales y económicos asociados a la carencia de los servicios básicos como los provistos por el programa suelen ser muy importantes. En general, los costos de acceso a agua potable son muy elevados para las familias más pobres, y además la calidad de la misma puede no ser la adecuada, generando elevados costos adicionales como consecuencia de la proliferación de enfermedades, principalmente gastrointestinales. </w:t>
      </w:r>
    </w:p>
    <w:p w:rsidR="00770D7F" w:rsidRDefault="00770D7F" w:rsidP="00770D7F">
      <w:pPr>
        <w:pStyle w:val="ListParagraph"/>
        <w:rPr>
          <w:rFonts w:ascii="Times New Roman" w:hAnsi="Times New Roman"/>
          <w:bCs/>
          <w:sz w:val="24"/>
          <w:szCs w:val="24"/>
          <w:lang w:val="es-ES_tradnl"/>
        </w:rPr>
      </w:pPr>
    </w:p>
    <w:p w:rsidR="00770D7F" w:rsidRDefault="00CD45AD" w:rsidP="00CD45AD">
      <w:pPr>
        <w:numPr>
          <w:ilvl w:val="1"/>
          <w:numId w:val="10"/>
        </w:numPr>
        <w:autoSpaceDE w:val="0"/>
        <w:autoSpaceDN w:val="0"/>
        <w:adjustRightInd w:val="0"/>
        <w:ind w:left="426"/>
        <w:jc w:val="both"/>
        <w:rPr>
          <w:rFonts w:ascii="Times New Roman" w:hAnsi="Times New Roman"/>
          <w:bCs/>
          <w:sz w:val="24"/>
          <w:szCs w:val="24"/>
          <w:lang w:val="es-ES_tradnl"/>
        </w:rPr>
      </w:pPr>
      <w:r w:rsidRPr="00770D7F">
        <w:rPr>
          <w:rFonts w:ascii="Times New Roman" w:hAnsi="Times New Roman"/>
          <w:bCs/>
          <w:sz w:val="24"/>
          <w:szCs w:val="24"/>
          <w:lang w:val="es-ES_tradnl"/>
        </w:rPr>
        <w:t xml:space="preserve">La mala disposición de aguas negras también impone elevados costos ambientales, además de generar focos de contaminación que pueden conducir a epidemias. Las vías en mal estado </w:t>
      </w:r>
      <w:r w:rsidR="00583D92" w:rsidRPr="00770D7F">
        <w:rPr>
          <w:rFonts w:ascii="Times New Roman" w:hAnsi="Times New Roman"/>
          <w:bCs/>
          <w:sz w:val="24"/>
          <w:szCs w:val="24"/>
          <w:lang w:val="es-ES_tradnl"/>
        </w:rPr>
        <w:t xml:space="preserve">o con dimensiones inadecuadas </w:t>
      </w:r>
      <w:r w:rsidRPr="00770D7F">
        <w:rPr>
          <w:rFonts w:ascii="Times New Roman" w:hAnsi="Times New Roman"/>
          <w:bCs/>
          <w:sz w:val="24"/>
          <w:szCs w:val="24"/>
          <w:lang w:val="es-ES_tradnl"/>
        </w:rPr>
        <w:t xml:space="preserve">imponen elevados costos </w:t>
      </w:r>
      <w:r w:rsidR="00583D92" w:rsidRPr="00770D7F">
        <w:rPr>
          <w:rFonts w:ascii="Times New Roman" w:hAnsi="Times New Roman"/>
          <w:bCs/>
          <w:sz w:val="24"/>
          <w:szCs w:val="24"/>
          <w:lang w:val="es-ES_tradnl"/>
        </w:rPr>
        <w:t>en su mantenimiento y en el d</w:t>
      </w:r>
      <w:r w:rsidRPr="00770D7F">
        <w:rPr>
          <w:rFonts w:ascii="Times New Roman" w:hAnsi="Times New Roman"/>
          <w:bCs/>
          <w:sz w:val="24"/>
          <w:szCs w:val="24"/>
          <w:lang w:val="es-ES_tradnl"/>
        </w:rPr>
        <w:t xml:space="preserve">e los vehículos, </w:t>
      </w:r>
      <w:r w:rsidR="00583D92" w:rsidRPr="00770D7F">
        <w:rPr>
          <w:rFonts w:ascii="Times New Roman" w:hAnsi="Times New Roman"/>
          <w:bCs/>
          <w:sz w:val="24"/>
          <w:szCs w:val="24"/>
          <w:lang w:val="es-ES_tradnl"/>
        </w:rPr>
        <w:t xml:space="preserve">generan </w:t>
      </w:r>
      <w:r w:rsidRPr="00770D7F">
        <w:rPr>
          <w:rFonts w:ascii="Times New Roman" w:hAnsi="Times New Roman"/>
          <w:bCs/>
          <w:sz w:val="24"/>
          <w:szCs w:val="24"/>
          <w:lang w:val="es-ES_tradnl"/>
        </w:rPr>
        <w:t xml:space="preserve">además </w:t>
      </w:r>
      <w:r w:rsidR="00583D92" w:rsidRPr="00770D7F">
        <w:rPr>
          <w:rFonts w:ascii="Times New Roman" w:hAnsi="Times New Roman"/>
          <w:bCs/>
          <w:sz w:val="24"/>
          <w:szCs w:val="24"/>
          <w:lang w:val="es-ES_tradnl"/>
        </w:rPr>
        <w:t xml:space="preserve">un </w:t>
      </w:r>
      <w:r w:rsidRPr="00770D7F">
        <w:rPr>
          <w:rFonts w:ascii="Times New Roman" w:hAnsi="Times New Roman"/>
          <w:bCs/>
          <w:sz w:val="24"/>
          <w:szCs w:val="24"/>
          <w:lang w:val="es-ES_tradnl"/>
        </w:rPr>
        <w:t>aument</w:t>
      </w:r>
      <w:r w:rsidR="00583D92" w:rsidRPr="00770D7F">
        <w:rPr>
          <w:rFonts w:ascii="Times New Roman" w:hAnsi="Times New Roman"/>
          <w:bCs/>
          <w:sz w:val="24"/>
          <w:szCs w:val="24"/>
          <w:lang w:val="es-ES_tradnl"/>
        </w:rPr>
        <w:t>o en</w:t>
      </w:r>
      <w:r w:rsidRPr="00770D7F">
        <w:rPr>
          <w:rFonts w:ascii="Times New Roman" w:hAnsi="Times New Roman"/>
          <w:bCs/>
          <w:sz w:val="24"/>
          <w:szCs w:val="24"/>
          <w:lang w:val="es-ES_tradnl"/>
        </w:rPr>
        <w:t xml:space="preserve"> la incidencia de enfermedades respiratorias</w:t>
      </w:r>
      <w:r w:rsidR="00583D92" w:rsidRPr="00770D7F">
        <w:rPr>
          <w:rFonts w:ascii="Times New Roman" w:hAnsi="Times New Roman"/>
          <w:bCs/>
          <w:sz w:val="24"/>
          <w:szCs w:val="24"/>
          <w:lang w:val="es-ES_tradnl"/>
        </w:rPr>
        <w:t xml:space="preserve"> y </w:t>
      </w:r>
      <w:r w:rsidRPr="00770D7F">
        <w:rPr>
          <w:rFonts w:ascii="Times New Roman" w:hAnsi="Times New Roman"/>
          <w:bCs/>
          <w:sz w:val="24"/>
          <w:szCs w:val="24"/>
          <w:lang w:val="es-ES_tradnl"/>
        </w:rPr>
        <w:t>dificulta</w:t>
      </w:r>
      <w:r w:rsidR="00583D92" w:rsidRPr="00770D7F">
        <w:rPr>
          <w:rFonts w:ascii="Times New Roman" w:hAnsi="Times New Roman"/>
          <w:bCs/>
          <w:sz w:val="24"/>
          <w:szCs w:val="24"/>
          <w:lang w:val="es-ES_tradnl"/>
        </w:rPr>
        <w:t>n</w:t>
      </w:r>
      <w:r w:rsidRPr="00770D7F">
        <w:rPr>
          <w:rFonts w:ascii="Times New Roman" w:hAnsi="Times New Roman"/>
          <w:bCs/>
          <w:sz w:val="24"/>
          <w:szCs w:val="24"/>
          <w:lang w:val="es-ES_tradnl"/>
        </w:rPr>
        <w:t xml:space="preserve"> </w:t>
      </w:r>
      <w:r w:rsidR="00583D92" w:rsidRPr="00770D7F">
        <w:rPr>
          <w:rFonts w:ascii="Times New Roman" w:hAnsi="Times New Roman"/>
          <w:bCs/>
          <w:sz w:val="24"/>
          <w:szCs w:val="24"/>
          <w:lang w:val="es-ES_tradnl"/>
        </w:rPr>
        <w:t xml:space="preserve">la movilidad interior al barrio, imposibilitando el transporte público e incluso el acceso </w:t>
      </w:r>
      <w:r w:rsidRPr="00770D7F">
        <w:rPr>
          <w:rFonts w:ascii="Times New Roman" w:hAnsi="Times New Roman"/>
          <w:bCs/>
          <w:sz w:val="24"/>
          <w:szCs w:val="24"/>
          <w:lang w:val="es-ES_tradnl"/>
        </w:rPr>
        <w:t xml:space="preserve">en casos de emergencias. </w:t>
      </w:r>
      <w:r w:rsidR="00770D7F" w:rsidRPr="00770D7F">
        <w:rPr>
          <w:rFonts w:ascii="Times New Roman" w:hAnsi="Times New Roman"/>
          <w:bCs/>
          <w:sz w:val="24"/>
          <w:szCs w:val="24"/>
          <w:lang w:val="es-ES_tradnl"/>
        </w:rPr>
        <w:t>La falta de vías en algunos casos, o de su registro por parte de las autoridades públicas, conlleva importantes limitaciones a quienes viven en los asentamientos, a la hora de realizar cualquier acción que requiera declarar el domici</w:t>
      </w:r>
      <w:r w:rsidR="00770D7F">
        <w:rPr>
          <w:rFonts w:ascii="Times New Roman" w:hAnsi="Times New Roman"/>
          <w:bCs/>
          <w:sz w:val="24"/>
          <w:szCs w:val="24"/>
          <w:lang w:val="es-ES_tradnl"/>
        </w:rPr>
        <w:t xml:space="preserve">lio, entre ellas </w:t>
      </w:r>
      <w:r w:rsidR="00770D7F" w:rsidRPr="00770D7F">
        <w:rPr>
          <w:rFonts w:ascii="Times New Roman" w:hAnsi="Times New Roman"/>
          <w:bCs/>
          <w:sz w:val="24"/>
          <w:szCs w:val="24"/>
          <w:lang w:val="es-ES_tradnl"/>
        </w:rPr>
        <w:t>la búsqueda de trabajo.</w:t>
      </w:r>
    </w:p>
    <w:p w:rsidR="00770D7F" w:rsidRDefault="00770D7F" w:rsidP="00770D7F">
      <w:pPr>
        <w:pStyle w:val="ListParagraph"/>
        <w:rPr>
          <w:rFonts w:ascii="Times New Roman" w:hAnsi="Times New Roman"/>
          <w:bCs/>
          <w:sz w:val="24"/>
          <w:szCs w:val="24"/>
          <w:lang w:val="es-ES_tradnl"/>
        </w:rPr>
      </w:pPr>
    </w:p>
    <w:p w:rsidR="00CD45AD" w:rsidRPr="00770D7F" w:rsidRDefault="00CD45AD" w:rsidP="00CD45AD">
      <w:pPr>
        <w:numPr>
          <w:ilvl w:val="1"/>
          <w:numId w:val="10"/>
        </w:numPr>
        <w:autoSpaceDE w:val="0"/>
        <w:autoSpaceDN w:val="0"/>
        <w:adjustRightInd w:val="0"/>
        <w:ind w:left="426"/>
        <w:jc w:val="both"/>
        <w:rPr>
          <w:rFonts w:ascii="Times New Roman" w:hAnsi="Times New Roman"/>
          <w:bCs/>
          <w:sz w:val="24"/>
          <w:szCs w:val="24"/>
          <w:lang w:val="es-ES_tradnl"/>
        </w:rPr>
      </w:pPr>
      <w:r w:rsidRPr="00770D7F">
        <w:rPr>
          <w:rFonts w:ascii="Times New Roman" w:hAnsi="Times New Roman"/>
          <w:bCs/>
          <w:sz w:val="24"/>
          <w:szCs w:val="24"/>
          <w:lang w:val="es-ES_tradnl"/>
        </w:rPr>
        <w:t>La electrificación urbana sustituye fuentes alternativas menos seguras, reduciéndose sustancialmente la incidencia de accidentes tales como incendios (con las pérdidas sociales y materiales asociad</w:t>
      </w:r>
      <w:r w:rsidR="00583D92" w:rsidRPr="00770D7F">
        <w:rPr>
          <w:rFonts w:ascii="Times New Roman" w:hAnsi="Times New Roman"/>
          <w:bCs/>
          <w:sz w:val="24"/>
          <w:szCs w:val="24"/>
          <w:lang w:val="es-ES_tradnl"/>
        </w:rPr>
        <w:t>a</w:t>
      </w:r>
      <w:r w:rsidRPr="00770D7F">
        <w:rPr>
          <w:rFonts w:ascii="Times New Roman" w:hAnsi="Times New Roman"/>
          <w:bCs/>
          <w:sz w:val="24"/>
          <w:szCs w:val="24"/>
          <w:lang w:val="es-ES_tradnl"/>
        </w:rPr>
        <w:t>s a los mismos). Por su parte, la iluminación pública tiene, entre otros beneficios, un efecto positivo sobre el nivel de seguridad real y percibida en los barrios. En este contexto, la introducción de servicios básicos en los barrios suele tener cuantiosos beneficios al superar (o reducir significativamente) los problemas mencionados anteriormente.</w:t>
      </w:r>
    </w:p>
    <w:p w:rsidR="00CD45AD" w:rsidRDefault="00CD45AD" w:rsidP="00CD45AD">
      <w:pPr>
        <w:autoSpaceDE w:val="0"/>
        <w:autoSpaceDN w:val="0"/>
        <w:adjustRightInd w:val="0"/>
        <w:ind w:left="426"/>
        <w:jc w:val="both"/>
        <w:rPr>
          <w:rFonts w:ascii="Times New Roman" w:hAnsi="Times New Roman"/>
          <w:bCs/>
          <w:sz w:val="24"/>
          <w:szCs w:val="24"/>
          <w:lang w:val="es-ES_tradnl"/>
        </w:rPr>
      </w:pPr>
    </w:p>
    <w:p w:rsidR="003E2708" w:rsidRPr="00CD45AD" w:rsidRDefault="005108AA" w:rsidP="006F618C">
      <w:pPr>
        <w:numPr>
          <w:ilvl w:val="1"/>
          <w:numId w:val="10"/>
        </w:numPr>
        <w:autoSpaceDE w:val="0"/>
        <w:autoSpaceDN w:val="0"/>
        <w:adjustRightInd w:val="0"/>
        <w:ind w:left="426"/>
        <w:jc w:val="both"/>
        <w:rPr>
          <w:rFonts w:ascii="Times New Roman" w:hAnsi="Times New Roman"/>
          <w:bCs/>
          <w:sz w:val="24"/>
          <w:szCs w:val="24"/>
          <w:lang w:val="es-ES_tradnl"/>
        </w:rPr>
      </w:pPr>
      <w:r w:rsidRPr="00CD45AD">
        <w:rPr>
          <w:rFonts w:ascii="Times New Roman" w:hAnsi="Times New Roman"/>
          <w:bCs/>
          <w:sz w:val="24"/>
          <w:szCs w:val="24"/>
          <w:lang w:val="es-ES_tradnl"/>
        </w:rPr>
        <w:t>Para efectos de garantizar los resultados económicos del proyecto,</w:t>
      </w:r>
      <w:r w:rsidR="00CD45AD" w:rsidRPr="00CD45AD">
        <w:rPr>
          <w:rFonts w:ascii="Times New Roman" w:hAnsi="Times New Roman"/>
          <w:bCs/>
          <w:sz w:val="24"/>
          <w:szCs w:val="24"/>
          <w:lang w:val="es-ES_tradnl"/>
        </w:rPr>
        <w:t xml:space="preserve"> y dado que los proyectos de la muestra están siendo diseñados, se considera conveniente revisar los resultados obtenidos con los costos finalmente alcanzados. Asimismo, </w:t>
      </w:r>
      <w:r w:rsidRPr="00CD45AD">
        <w:rPr>
          <w:rFonts w:ascii="Times New Roman" w:hAnsi="Times New Roman"/>
          <w:bCs/>
          <w:sz w:val="24"/>
          <w:szCs w:val="24"/>
          <w:lang w:val="es-ES_tradnl"/>
        </w:rPr>
        <w:t>se recomienda realizar una gestión eficiente del proyecto, a efecto de que el costo final se encuentre dentro de los márgenes considerados</w:t>
      </w:r>
      <w:r w:rsidR="003E2708" w:rsidRPr="00CD45AD">
        <w:rPr>
          <w:rFonts w:ascii="Times New Roman" w:hAnsi="Times New Roman"/>
          <w:bCs/>
          <w:sz w:val="24"/>
          <w:szCs w:val="24"/>
          <w:lang w:val="es-ES_tradnl"/>
        </w:rPr>
        <w:t>.</w:t>
      </w:r>
    </w:p>
    <w:p w:rsidR="008D2971" w:rsidRPr="006F618C" w:rsidRDefault="008D2971" w:rsidP="006F618C">
      <w:pPr>
        <w:autoSpaceDE w:val="0"/>
        <w:autoSpaceDN w:val="0"/>
        <w:adjustRightInd w:val="0"/>
        <w:ind w:left="-6"/>
        <w:jc w:val="both"/>
        <w:rPr>
          <w:rFonts w:ascii="Times New Roman" w:hAnsi="Times New Roman"/>
          <w:bCs/>
          <w:sz w:val="24"/>
          <w:szCs w:val="24"/>
          <w:lang w:val="es-ES_tradnl"/>
        </w:rPr>
      </w:pPr>
    </w:p>
    <w:p w:rsidR="00DE65C8" w:rsidRPr="00DC73F9" w:rsidRDefault="005E1857" w:rsidP="00982495">
      <w:pPr>
        <w:autoSpaceDE w:val="0"/>
        <w:autoSpaceDN w:val="0"/>
        <w:adjustRightInd w:val="0"/>
        <w:ind w:left="792"/>
        <w:jc w:val="both"/>
        <w:rPr>
          <w:rFonts w:ascii="Times New Roman" w:hAnsi="Times New Roman"/>
          <w:lang w:val="es-ES_tradnl" w:eastAsia="es-ES"/>
        </w:rPr>
      </w:pPr>
      <w:r w:rsidRPr="00DC73F9">
        <w:rPr>
          <w:rFonts w:ascii="Times New Roman" w:hAnsi="Times New Roman"/>
          <w:lang w:val="es-ES_tradnl" w:eastAsia="es-ES"/>
        </w:rPr>
        <w:br w:type="page"/>
      </w:r>
    </w:p>
    <w:p w:rsidR="009F49A3" w:rsidRPr="007E2BEB" w:rsidRDefault="007E2BEB" w:rsidP="007E2BEB">
      <w:pPr>
        <w:pStyle w:val="Heading1"/>
        <w:numPr>
          <w:ilvl w:val="0"/>
          <w:numId w:val="10"/>
        </w:numPr>
        <w:jc w:val="left"/>
        <w:rPr>
          <w:i w:val="0"/>
          <w:sz w:val="24"/>
          <w:szCs w:val="24"/>
        </w:rPr>
      </w:pPr>
      <w:bookmarkStart w:id="20" w:name="_Toc339982346"/>
      <w:bookmarkStart w:id="21" w:name="_Toc366836883"/>
      <w:r>
        <w:rPr>
          <w:i w:val="0"/>
          <w:sz w:val="24"/>
          <w:szCs w:val="24"/>
        </w:rPr>
        <w:lastRenderedPageBreak/>
        <w:t>Bibliografí</w:t>
      </w:r>
      <w:r w:rsidRPr="007E2BEB">
        <w:rPr>
          <w:i w:val="0"/>
          <w:sz w:val="24"/>
          <w:szCs w:val="24"/>
        </w:rPr>
        <w:t xml:space="preserve">a </w:t>
      </w:r>
      <w:r>
        <w:rPr>
          <w:i w:val="0"/>
          <w:sz w:val="24"/>
          <w:szCs w:val="24"/>
        </w:rPr>
        <w:t>y</w:t>
      </w:r>
      <w:r w:rsidRPr="007E2BEB">
        <w:rPr>
          <w:i w:val="0"/>
          <w:sz w:val="24"/>
          <w:szCs w:val="24"/>
        </w:rPr>
        <w:t xml:space="preserve"> Fuentes:</w:t>
      </w:r>
      <w:bookmarkEnd w:id="20"/>
      <w:bookmarkEnd w:id="21"/>
    </w:p>
    <w:p w:rsidR="009F49A3" w:rsidRPr="00DC73F9" w:rsidRDefault="009F49A3" w:rsidP="00DE65C8">
      <w:pPr>
        <w:autoSpaceDE w:val="0"/>
        <w:autoSpaceDN w:val="0"/>
        <w:adjustRightInd w:val="0"/>
        <w:rPr>
          <w:rFonts w:ascii="Times New Roman" w:hAnsi="Times New Roman"/>
          <w:lang w:val="es-ES_tradnl" w:eastAsia="es-ES"/>
        </w:rPr>
      </w:pPr>
    </w:p>
    <w:p w:rsidR="007568FF" w:rsidRPr="00DC73F9" w:rsidRDefault="007568FF" w:rsidP="007568FF">
      <w:pPr>
        <w:pStyle w:val="ListParagraph"/>
        <w:numPr>
          <w:ilvl w:val="0"/>
          <w:numId w:val="15"/>
        </w:numPr>
        <w:autoSpaceDE w:val="0"/>
        <w:autoSpaceDN w:val="0"/>
        <w:adjustRightInd w:val="0"/>
        <w:jc w:val="both"/>
        <w:rPr>
          <w:rFonts w:ascii="Times New Roman" w:hAnsi="Times New Roman"/>
          <w:lang w:val="es-ES_tradnl"/>
        </w:rPr>
      </w:pPr>
      <w:r w:rsidRPr="00DC73F9">
        <w:rPr>
          <w:rFonts w:ascii="Times New Roman" w:hAnsi="Times New Roman"/>
          <w:lang w:val="es-ES_tradnl"/>
        </w:rPr>
        <w:t xml:space="preserve">Cuenin, Fernando. 2009. El aporte del análisis económico al diseño, seguimiento y evaluación de proyectos de mejoramiento de barrios. Nota </w:t>
      </w:r>
      <w:r w:rsidR="00350D6C" w:rsidRPr="00DC73F9">
        <w:rPr>
          <w:rFonts w:ascii="Times New Roman" w:hAnsi="Times New Roman"/>
          <w:lang w:val="es-ES_tradnl"/>
        </w:rPr>
        <w:t>Técnica</w:t>
      </w:r>
      <w:r w:rsidRPr="00DC73F9">
        <w:rPr>
          <w:rFonts w:ascii="Times New Roman" w:hAnsi="Times New Roman"/>
          <w:lang w:val="es-ES_tradnl"/>
        </w:rPr>
        <w:t xml:space="preserve">. Banco Inter-Americano de Desarrollo </w:t>
      </w:r>
    </w:p>
    <w:p w:rsidR="007568FF" w:rsidRPr="00DC73F9" w:rsidRDefault="007568FF" w:rsidP="007568FF">
      <w:pPr>
        <w:pStyle w:val="ListParagraph"/>
        <w:rPr>
          <w:rFonts w:ascii="Times New Roman" w:hAnsi="Times New Roman"/>
          <w:lang w:val="es-ES_tradnl" w:eastAsia="es-ES"/>
        </w:rPr>
      </w:pPr>
    </w:p>
    <w:p w:rsidR="00350D6C" w:rsidRPr="00DC73F9" w:rsidRDefault="00350D6C" w:rsidP="007568FF">
      <w:pPr>
        <w:pStyle w:val="ListParagraph"/>
        <w:numPr>
          <w:ilvl w:val="0"/>
          <w:numId w:val="15"/>
        </w:numPr>
        <w:autoSpaceDE w:val="0"/>
        <w:autoSpaceDN w:val="0"/>
        <w:adjustRightInd w:val="0"/>
        <w:jc w:val="both"/>
        <w:rPr>
          <w:rFonts w:ascii="Times New Roman" w:hAnsi="Times New Roman"/>
          <w:lang w:eastAsia="es-ES"/>
        </w:rPr>
      </w:pPr>
      <w:r w:rsidRPr="00DC73F9">
        <w:rPr>
          <w:rFonts w:ascii="Times New Roman" w:hAnsi="Times New Roman"/>
          <w:lang w:eastAsia="es-ES"/>
        </w:rPr>
        <w:t>Ki and</w:t>
      </w:r>
      <w:r w:rsidR="00B06EFB" w:rsidRPr="00DC73F9">
        <w:rPr>
          <w:rFonts w:ascii="Times New Roman" w:hAnsi="Times New Roman"/>
          <w:lang w:eastAsia="es-ES"/>
        </w:rPr>
        <w:t xml:space="preserve"> </w:t>
      </w:r>
      <w:r w:rsidRPr="00DC73F9">
        <w:rPr>
          <w:rFonts w:ascii="Times New Roman" w:hAnsi="Times New Roman"/>
          <w:lang w:eastAsia="es-ES"/>
        </w:rPr>
        <w:t xml:space="preserve">Jayantha (2010). “ The Effects of Urban Redevelopment on Neighbourhood Housing Prices”. </w:t>
      </w:r>
      <w:r w:rsidRPr="00DC73F9">
        <w:rPr>
          <w:rFonts w:ascii="Times New Roman" w:hAnsi="Times New Roman"/>
          <w:i/>
          <w:lang w:eastAsia="es-ES"/>
        </w:rPr>
        <w:t>International Journal of Urban Sciences,</w:t>
      </w:r>
      <w:r w:rsidRPr="00DC73F9">
        <w:rPr>
          <w:rFonts w:ascii="Times New Roman" w:hAnsi="Times New Roman"/>
          <w:lang w:eastAsia="es-ES"/>
        </w:rPr>
        <w:t xml:space="preserve"> 14(3), 2010, 276-294. </w:t>
      </w:r>
    </w:p>
    <w:p w:rsidR="00350D6C" w:rsidRPr="00DC73F9" w:rsidRDefault="00350D6C" w:rsidP="00350D6C">
      <w:pPr>
        <w:pStyle w:val="ListParagraph"/>
        <w:rPr>
          <w:rFonts w:ascii="Times New Roman" w:hAnsi="Times New Roman"/>
          <w:lang w:eastAsia="es-ES"/>
        </w:rPr>
      </w:pPr>
    </w:p>
    <w:p w:rsidR="00F711A3" w:rsidRPr="00DC73F9" w:rsidRDefault="00F711A3" w:rsidP="007568FF">
      <w:pPr>
        <w:pStyle w:val="ListParagraph"/>
        <w:numPr>
          <w:ilvl w:val="0"/>
          <w:numId w:val="15"/>
        </w:numPr>
        <w:autoSpaceDE w:val="0"/>
        <w:autoSpaceDN w:val="0"/>
        <w:adjustRightInd w:val="0"/>
        <w:jc w:val="both"/>
        <w:rPr>
          <w:rFonts w:ascii="Times New Roman" w:hAnsi="Times New Roman"/>
          <w:lang w:eastAsia="es-ES"/>
        </w:rPr>
      </w:pPr>
      <w:r w:rsidRPr="00DC73F9">
        <w:rPr>
          <w:rFonts w:ascii="Times New Roman" w:hAnsi="Times New Roman"/>
          <w:lang w:eastAsia="es-ES"/>
        </w:rPr>
        <w:t xml:space="preserve">Rosen, Sherwin. 1974. Hedonic prices and implicit markets: Product differentiation in pure competition. </w:t>
      </w:r>
      <w:r w:rsidRPr="00DC73F9">
        <w:rPr>
          <w:rFonts w:ascii="Times New Roman" w:hAnsi="Times New Roman"/>
          <w:i/>
          <w:lang w:eastAsia="es-ES"/>
        </w:rPr>
        <w:t>Journal of Political Economy</w:t>
      </w:r>
      <w:r w:rsidRPr="00DC73F9">
        <w:rPr>
          <w:rFonts w:ascii="Times New Roman" w:hAnsi="Times New Roman"/>
          <w:lang w:eastAsia="es-ES"/>
        </w:rPr>
        <w:t>.</w:t>
      </w:r>
    </w:p>
    <w:p w:rsidR="00821D5E" w:rsidRPr="00F27BDF" w:rsidRDefault="00821D5E" w:rsidP="00821D5E">
      <w:pPr>
        <w:pStyle w:val="ListParagraph"/>
        <w:rPr>
          <w:rFonts w:ascii="Times New Roman" w:hAnsi="Times New Roman"/>
          <w:lang w:eastAsia="es-ES"/>
        </w:rPr>
      </w:pPr>
    </w:p>
    <w:p w:rsidR="00CF329C" w:rsidRDefault="00CF329C" w:rsidP="00CF329C">
      <w:pPr>
        <w:pStyle w:val="ListParagraph"/>
        <w:numPr>
          <w:ilvl w:val="0"/>
          <w:numId w:val="15"/>
        </w:numPr>
        <w:autoSpaceDE w:val="0"/>
        <w:autoSpaceDN w:val="0"/>
        <w:adjustRightInd w:val="0"/>
        <w:jc w:val="both"/>
        <w:rPr>
          <w:rFonts w:ascii="Times New Roman" w:hAnsi="Times New Roman"/>
          <w:lang w:val="es-AR" w:eastAsia="es-ES"/>
        </w:rPr>
      </w:pPr>
      <w:r w:rsidRPr="00DC73F9">
        <w:rPr>
          <w:rFonts w:ascii="Times New Roman" w:hAnsi="Times New Roman"/>
          <w:lang w:val="es-AR" w:eastAsia="es-ES"/>
        </w:rPr>
        <w:t>María Angélica Sotomayor (2003). Análisis económico de proyectos de mejoramiento urbano. En Breve N 30, Banco Mundial</w:t>
      </w:r>
    </w:p>
    <w:p w:rsidR="00D536C7" w:rsidRPr="00D536C7" w:rsidRDefault="00D536C7" w:rsidP="00D536C7">
      <w:pPr>
        <w:pStyle w:val="ListParagraph"/>
        <w:rPr>
          <w:rFonts w:ascii="Times New Roman" w:hAnsi="Times New Roman"/>
          <w:lang w:val="es-AR" w:eastAsia="es-ES"/>
        </w:rPr>
      </w:pPr>
    </w:p>
    <w:p w:rsidR="00D536C7" w:rsidRDefault="00D536C7" w:rsidP="00D536C7">
      <w:pPr>
        <w:pStyle w:val="ListParagraph"/>
        <w:numPr>
          <w:ilvl w:val="0"/>
          <w:numId w:val="15"/>
        </w:numPr>
        <w:autoSpaceDE w:val="0"/>
        <w:autoSpaceDN w:val="0"/>
        <w:adjustRightInd w:val="0"/>
        <w:jc w:val="both"/>
        <w:rPr>
          <w:rFonts w:ascii="Times New Roman" w:hAnsi="Times New Roman"/>
          <w:lang w:val="es-AR" w:eastAsia="es-ES"/>
        </w:rPr>
      </w:pPr>
      <w:r w:rsidRPr="00D536C7">
        <w:rPr>
          <w:rFonts w:ascii="Times New Roman" w:hAnsi="Times New Roman"/>
          <w:lang w:val="es-AR" w:eastAsia="es-ES"/>
        </w:rPr>
        <w:t>Martha Siniacoff (2010). Variación de los valores de los inmuebles en Montevideo</w:t>
      </w:r>
      <w:r>
        <w:rPr>
          <w:rFonts w:ascii="Times New Roman" w:hAnsi="Times New Roman"/>
          <w:lang w:val="es-AR" w:eastAsia="es-ES"/>
        </w:rPr>
        <w:t xml:space="preserve">. </w:t>
      </w:r>
      <w:r w:rsidRPr="00D536C7">
        <w:rPr>
          <w:rFonts w:ascii="Times New Roman" w:hAnsi="Times New Roman"/>
          <w:lang w:val="es-AR" w:eastAsia="es-ES"/>
        </w:rPr>
        <w:t>Estudio longitudinal con metod</w:t>
      </w:r>
      <w:r>
        <w:rPr>
          <w:rFonts w:ascii="Times New Roman" w:hAnsi="Times New Roman"/>
          <w:lang w:val="es-AR" w:eastAsia="es-ES"/>
        </w:rPr>
        <w:t xml:space="preserve">ología de precios hedónicos. </w:t>
      </w:r>
      <w:hyperlink r:id="rId12" w:history="1">
        <w:r w:rsidRPr="00B03527">
          <w:rPr>
            <w:rStyle w:val="Hyperlink"/>
            <w:rFonts w:ascii="Times New Roman" w:hAnsi="Times New Roman"/>
            <w:lang w:val="es-AR" w:eastAsia="es-ES"/>
          </w:rPr>
          <w:t>www.catastrolatino.org</w:t>
        </w:r>
      </w:hyperlink>
    </w:p>
    <w:p w:rsidR="00D536C7" w:rsidRPr="00D536C7" w:rsidRDefault="00D536C7" w:rsidP="00D536C7">
      <w:pPr>
        <w:pStyle w:val="ListParagraph"/>
        <w:rPr>
          <w:rFonts w:ascii="Times New Roman" w:hAnsi="Times New Roman"/>
          <w:lang w:val="es-AR" w:eastAsia="es-ES"/>
        </w:rPr>
      </w:pPr>
    </w:p>
    <w:p w:rsidR="00D536C7" w:rsidRDefault="002D0860" w:rsidP="00D536C7">
      <w:pPr>
        <w:pStyle w:val="ListParagraph"/>
        <w:numPr>
          <w:ilvl w:val="0"/>
          <w:numId w:val="15"/>
        </w:numPr>
        <w:autoSpaceDE w:val="0"/>
        <w:autoSpaceDN w:val="0"/>
        <w:adjustRightInd w:val="0"/>
        <w:jc w:val="both"/>
        <w:rPr>
          <w:rFonts w:ascii="Times New Roman" w:hAnsi="Times New Roman"/>
          <w:lang w:eastAsia="es-ES"/>
        </w:rPr>
      </w:pPr>
      <w:r w:rsidRPr="002D0860">
        <w:rPr>
          <w:rFonts w:ascii="Times New Roman" w:hAnsi="Times New Roman"/>
          <w:lang w:eastAsia="es-ES"/>
        </w:rPr>
        <w:t xml:space="preserve">Natalia Garabato Magdalena Ramada-Sarasola (2012) </w:t>
      </w:r>
      <w:r w:rsidR="00D536C7" w:rsidRPr="002D0860">
        <w:rPr>
          <w:rFonts w:ascii="Times New Roman" w:hAnsi="Times New Roman"/>
          <w:lang w:eastAsia="es-ES"/>
        </w:rPr>
        <w:t>Housing Markets in Uruguay: Determinants of Housing Demand and its Interaction with Public Policies</w:t>
      </w:r>
      <w:r w:rsidRPr="002D0860">
        <w:rPr>
          <w:rFonts w:ascii="Times New Roman" w:hAnsi="Times New Roman"/>
          <w:lang w:eastAsia="es-ES"/>
        </w:rPr>
        <w:t xml:space="preserve">. </w:t>
      </w:r>
      <w:r w:rsidR="00D536C7" w:rsidRPr="002D0860">
        <w:rPr>
          <w:rFonts w:ascii="Times New Roman" w:hAnsi="Times New Roman"/>
          <w:lang w:eastAsia="es-ES"/>
        </w:rPr>
        <w:t>Working paper series No. IDB-WP-258</w:t>
      </w:r>
    </w:p>
    <w:p w:rsidR="00465C76" w:rsidRPr="00465C76" w:rsidRDefault="00465C76" w:rsidP="00465C76">
      <w:pPr>
        <w:pStyle w:val="ListParagraph"/>
        <w:rPr>
          <w:rFonts w:ascii="Times New Roman" w:hAnsi="Times New Roman"/>
          <w:lang w:eastAsia="es-ES"/>
        </w:rPr>
      </w:pPr>
    </w:p>
    <w:p w:rsidR="00465C76" w:rsidRPr="00465C76" w:rsidRDefault="00465C76" w:rsidP="00465C76">
      <w:pPr>
        <w:pStyle w:val="ListParagraph"/>
        <w:numPr>
          <w:ilvl w:val="0"/>
          <w:numId w:val="15"/>
        </w:numPr>
        <w:autoSpaceDE w:val="0"/>
        <w:autoSpaceDN w:val="0"/>
        <w:adjustRightInd w:val="0"/>
        <w:jc w:val="both"/>
        <w:rPr>
          <w:rFonts w:ascii="Times New Roman" w:hAnsi="Times New Roman"/>
          <w:lang w:val="es-AR" w:eastAsia="es-ES"/>
        </w:rPr>
      </w:pPr>
      <w:r w:rsidRPr="00465C76">
        <w:rPr>
          <w:rFonts w:ascii="Times New Roman" w:hAnsi="Times New Roman"/>
          <w:lang w:val="es-AR" w:eastAsia="es-ES"/>
        </w:rPr>
        <w:t>Hugo Roche (2008). Análisis del impacto económico del programa de mejoramiento de barrios. Aplicación del modelo hedónico. Programa PIAI</w:t>
      </w:r>
    </w:p>
    <w:p w:rsidR="00D536C7" w:rsidRPr="00465C76" w:rsidRDefault="00D536C7" w:rsidP="00D536C7">
      <w:pPr>
        <w:pStyle w:val="ListParagraph"/>
        <w:rPr>
          <w:rFonts w:ascii="Times New Roman" w:hAnsi="Times New Roman"/>
          <w:lang w:val="es-AR" w:eastAsia="es-ES"/>
        </w:rPr>
      </w:pPr>
    </w:p>
    <w:p w:rsidR="00D536C7" w:rsidRPr="00465C76" w:rsidRDefault="00D536C7" w:rsidP="00D536C7">
      <w:pPr>
        <w:pStyle w:val="ListParagraph"/>
        <w:rPr>
          <w:rFonts w:ascii="Times New Roman" w:hAnsi="Times New Roman"/>
          <w:lang w:val="es-AR" w:eastAsia="es-ES"/>
        </w:rPr>
      </w:pPr>
    </w:p>
    <w:p w:rsidR="003571F5" w:rsidRPr="00465C76" w:rsidRDefault="003571F5" w:rsidP="00D536C7">
      <w:pPr>
        <w:autoSpaceDE w:val="0"/>
        <w:autoSpaceDN w:val="0"/>
        <w:adjustRightInd w:val="0"/>
        <w:jc w:val="both"/>
        <w:rPr>
          <w:rFonts w:ascii="Times New Roman" w:hAnsi="Times New Roman"/>
          <w:lang w:val="es-AR" w:eastAsia="es-ES"/>
        </w:rPr>
      </w:pPr>
      <w:r w:rsidRPr="00465C76">
        <w:rPr>
          <w:rFonts w:ascii="Times New Roman" w:hAnsi="Times New Roman"/>
          <w:lang w:val="es-AR" w:eastAsia="es-ES"/>
        </w:rPr>
        <w:br w:type="page"/>
      </w:r>
    </w:p>
    <w:p w:rsidR="004661C2" w:rsidRPr="007E2BEB" w:rsidRDefault="003571F5" w:rsidP="007E2BEB">
      <w:pPr>
        <w:pStyle w:val="Heading1"/>
        <w:numPr>
          <w:ilvl w:val="0"/>
          <w:numId w:val="10"/>
        </w:numPr>
        <w:jc w:val="left"/>
        <w:rPr>
          <w:i w:val="0"/>
          <w:sz w:val="24"/>
          <w:szCs w:val="24"/>
        </w:rPr>
      </w:pPr>
      <w:bookmarkStart w:id="22" w:name="_Toc339982347"/>
      <w:bookmarkStart w:id="23" w:name="_Toc366836884"/>
      <w:r w:rsidRPr="007E2BEB">
        <w:rPr>
          <w:i w:val="0"/>
          <w:sz w:val="24"/>
          <w:szCs w:val="24"/>
        </w:rPr>
        <w:lastRenderedPageBreak/>
        <w:t>A</w:t>
      </w:r>
      <w:r w:rsidR="007E2BEB">
        <w:rPr>
          <w:i w:val="0"/>
          <w:sz w:val="24"/>
          <w:szCs w:val="24"/>
        </w:rPr>
        <w:t xml:space="preserve">nexo </w:t>
      </w:r>
      <w:r w:rsidRPr="007E2BEB">
        <w:rPr>
          <w:i w:val="0"/>
          <w:sz w:val="24"/>
          <w:szCs w:val="24"/>
        </w:rPr>
        <w:t>I</w:t>
      </w:r>
      <w:r w:rsidR="008D2971" w:rsidRPr="007E2BEB">
        <w:rPr>
          <w:i w:val="0"/>
          <w:sz w:val="24"/>
          <w:szCs w:val="24"/>
        </w:rPr>
        <w:t xml:space="preserve">. </w:t>
      </w:r>
      <w:bookmarkEnd w:id="22"/>
      <w:r w:rsidR="004661C2" w:rsidRPr="007E2BEB">
        <w:rPr>
          <w:i w:val="0"/>
          <w:sz w:val="24"/>
          <w:szCs w:val="24"/>
        </w:rPr>
        <w:t>Especificación del Modelo de Precios Hedónicos y resultados estadísticos</w:t>
      </w:r>
      <w:r w:rsidR="004661C2" w:rsidRPr="00AB6A42">
        <w:rPr>
          <w:i w:val="0"/>
          <w:sz w:val="24"/>
          <w:szCs w:val="24"/>
          <w:vertAlign w:val="superscript"/>
        </w:rPr>
        <w:footnoteReference w:id="25"/>
      </w:r>
      <w:bookmarkEnd w:id="23"/>
    </w:p>
    <w:p w:rsidR="004661C2" w:rsidRPr="004661C2" w:rsidRDefault="004661C2" w:rsidP="004661C2">
      <w:pPr>
        <w:rPr>
          <w:lang w:val="es-AR"/>
        </w:rPr>
      </w:pPr>
    </w:p>
    <w:p w:rsidR="004661C2" w:rsidRPr="004661C2" w:rsidRDefault="004661C2" w:rsidP="004661C2">
      <w:pPr>
        <w:rPr>
          <w:lang w:val="es-AR"/>
        </w:rPr>
      </w:pPr>
      <w:r w:rsidRPr="004661C2">
        <w:rPr>
          <w:lang w:val="es-AR"/>
        </w:rPr>
        <w:t xml:space="preserve">La especificación semilogaritmica, del Modelo de Precios Hedónicos puede ser representada por la siguiente expresión: </w:t>
      </w:r>
    </w:p>
    <w:p w:rsidR="004661C2" w:rsidRDefault="004661C2" w:rsidP="004661C2">
      <w:r>
        <w:rPr>
          <w:noProof/>
        </w:rPr>
        <w:drawing>
          <wp:inline distT="0" distB="0" distL="0" distR="0" wp14:anchorId="60687B2A" wp14:editId="2349D539">
            <wp:extent cx="1997049" cy="393645"/>
            <wp:effectExtent l="0" t="0" r="381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3791" cy="396945"/>
                    </a:xfrm>
                    <a:prstGeom prst="rect">
                      <a:avLst/>
                    </a:prstGeom>
                    <a:noFill/>
                    <a:ln>
                      <a:noFill/>
                    </a:ln>
                  </pic:spPr>
                </pic:pic>
              </a:graphicData>
            </a:graphic>
          </wp:inline>
        </w:drawing>
      </w:r>
    </w:p>
    <w:p w:rsidR="004661C2" w:rsidRDefault="004661C2" w:rsidP="004661C2">
      <w:pPr>
        <w:rPr>
          <w:lang w:val="es-AR"/>
        </w:rPr>
      </w:pPr>
      <w:r w:rsidRPr="004661C2">
        <w:rPr>
          <w:lang w:val="es-AR"/>
        </w:rPr>
        <w:t>donde,</w:t>
      </w:r>
    </w:p>
    <w:p w:rsidR="00AB6A42" w:rsidRPr="004661C2" w:rsidRDefault="00AB6A42" w:rsidP="004661C2">
      <w:pPr>
        <w:rPr>
          <w:lang w:val="es-AR"/>
        </w:rPr>
      </w:pPr>
    </w:p>
    <w:p w:rsidR="004661C2" w:rsidRPr="004661C2" w:rsidRDefault="004661C2" w:rsidP="004661C2">
      <w:pPr>
        <w:rPr>
          <w:lang w:val="es-AR"/>
        </w:rPr>
      </w:pPr>
      <w:r w:rsidRPr="004661C2">
        <w:rPr>
          <w:lang w:val="es-AR"/>
        </w:rPr>
        <w:t>P: Valor de la Vivienda asignado por los entrevistados en US$</w:t>
      </w:r>
    </w:p>
    <w:p w:rsidR="004661C2" w:rsidRPr="004661C2" w:rsidRDefault="004661C2" w:rsidP="004661C2">
      <w:pPr>
        <w:rPr>
          <w:lang w:val="es-AR"/>
        </w:rPr>
      </w:pPr>
      <w:r w:rsidRPr="004661C2">
        <w:rPr>
          <w:lang w:val="es-AR"/>
        </w:rPr>
        <w:t>X</w:t>
      </w:r>
      <w:r w:rsidRPr="004661C2">
        <w:rPr>
          <w:vertAlign w:val="subscript"/>
          <w:lang w:val="es-AR"/>
        </w:rPr>
        <w:t>i</w:t>
      </w:r>
      <w:r w:rsidRPr="004661C2">
        <w:rPr>
          <w:lang w:val="es-AR"/>
        </w:rPr>
        <w:t>: Variables Continuas relacionadas con los atributos o características de la vivienda, el barrio o el entorno de la vivienda.</w:t>
      </w:r>
    </w:p>
    <w:p w:rsidR="004661C2" w:rsidRPr="004661C2" w:rsidRDefault="004661C2" w:rsidP="004661C2">
      <w:pPr>
        <w:rPr>
          <w:lang w:val="es-AR"/>
        </w:rPr>
      </w:pPr>
      <w:r w:rsidRPr="004661C2">
        <w:rPr>
          <w:lang w:val="es-AR"/>
        </w:rPr>
        <w:t>D</w:t>
      </w:r>
      <w:r w:rsidRPr="004661C2">
        <w:rPr>
          <w:vertAlign w:val="subscript"/>
          <w:lang w:val="es-AR"/>
        </w:rPr>
        <w:t>i</w:t>
      </w:r>
      <w:r w:rsidRPr="004661C2">
        <w:rPr>
          <w:lang w:val="es-AR"/>
        </w:rPr>
        <w:t xml:space="preserve">: Variables Discretas (Dummies) relacionada con un atributo o característica específica de la vivienda, del barrio o del entorno de la vivienda </w:t>
      </w:r>
    </w:p>
    <w:p w:rsidR="004661C2" w:rsidRPr="004661C2" w:rsidRDefault="004661C2" w:rsidP="004661C2">
      <w:pPr>
        <w:rPr>
          <w:lang w:val="es-AR"/>
        </w:rPr>
      </w:pPr>
      <w:r>
        <w:t>α</w:t>
      </w:r>
      <w:r w:rsidRPr="004661C2">
        <w:rPr>
          <w:lang w:val="es-AR"/>
        </w:rPr>
        <w:t xml:space="preserve"> Constante del Modelo/Ecuación</w:t>
      </w:r>
    </w:p>
    <w:p w:rsidR="004661C2" w:rsidRPr="004661C2" w:rsidRDefault="004661C2" w:rsidP="004661C2">
      <w:pPr>
        <w:rPr>
          <w:lang w:val="es-AR"/>
        </w:rPr>
      </w:pPr>
      <w:r>
        <w:t>β</w:t>
      </w:r>
      <w:r w:rsidRPr="004661C2">
        <w:rPr>
          <w:vertAlign w:val="subscript"/>
          <w:lang w:val="es-AR"/>
        </w:rPr>
        <w:t xml:space="preserve">i </w:t>
      </w:r>
      <w:r w:rsidRPr="004661C2">
        <w:rPr>
          <w:lang w:val="es-AR"/>
        </w:rPr>
        <w:t>Coeficiente/Parámetro de la Variable explicativa X</w:t>
      </w:r>
      <w:r w:rsidRPr="004661C2">
        <w:rPr>
          <w:vertAlign w:val="subscript"/>
          <w:lang w:val="es-AR"/>
        </w:rPr>
        <w:t>i</w:t>
      </w:r>
    </w:p>
    <w:p w:rsidR="004661C2" w:rsidRPr="004661C2" w:rsidRDefault="004661C2" w:rsidP="004661C2">
      <w:pPr>
        <w:rPr>
          <w:lang w:val="es-AR"/>
        </w:rPr>
      </w:pPr>
      <w:r>
        <w:t>λ</w:t>
      </w:r>
      <w:r w:rsidRPr="004661C2">
        <w:rPr>
          <w:vertAlign w:val="subscript"/>
          <w:lang w:val="es-AR"/>
        </w:rPr>
        <w:t>j</w:t>
      </w:r>
      <w:r w:rsidRPr="004661C2">
        <w:rPr>
          <w:lang w:val="es-AR"/>
        </w:rPr>
        <w:t xml:space="preserve"> Coeficiente de la variable explicativa D</w:t>
      </w:r>
      <w:r w:rsidRPr="004661C2">
        <w:rPr>
          <w:vertAlign w:val="subscript"/>
          <w:lang w:val="es-AR"/>
        </w:rPr>
        <w:t>j</w:t>
      </w:r>
    </w:p>
    <w:p w:rsidR="004661C2" w:rsidRPr="004661C2" w:rsidRDefault="004661C2" w:rsidP="004661C2">
      <w:pPr>
        <w:rPr>
          <w:lang w:val="es-AR"/>
        </w:rPr>
      </w:pPr>
      <w:r>
        <w:t>ε</w:t>
      </w:r>
      <w:r w:rsidRPr="004661C2">
        <w:rPr>
          <w:lang w:val="es-AR"/>
        </w:rPr>
        <w:t xml:space="preserve"> Residuos estocásticos del Modelo econométrico</w:t>
      </w:r>
    </w:p>
    <w:p w:rsidR="004661C2" w:rsidRPr="004661C2" w:rsidRDefault="004661C2" w:rsidP="004661C2">
      <w:pPr>
        <w:rPr>
          <w:lang w:val="es-AR"/>
        </w:rPr>
      </w:pPr>
    </w:p>
    <w:p w:rsidR="004661C2" w:rsidRPr="004661C2" w:rsidRDefault="004661C2" w:rsidP="004661C2">
      <w:pPr>
        <w:rPr>
          <w:lang w:val="es-AR"/>
        </w:rPr>
      </w:pPr>
      <w:r w:rsidRPr="004661C2">
        <w:rPr>
          <w:lang w:val="es-AR"/>
        </w:rPr>
        <w:t>Las variables seleccionadas en el modelo fueron identificadas de acuerdo a un criterio de relevancia y significación estadística. Su selección surge de un proceso sistemático de contraste estadístico a partir de una especificación semilogarítmica, yendo de lo general a lo particular, y excluyendo aquellas variables con escasa significación estadística. Las 17 variables explicativas seleccionadas cumplen con los dos criterios clave:</w:t>
      </w:r>
    </w:p>
    <w:p w:rsidR="004661C2" w:rsidRPr="004661C2" w:rsidRDefault="004661C2" w:rsidP="004661C2">
      <w:pPr>
        <w:rPr>
          <w:lang w:val="es-AR"/>
        </w:rPr>
      </w:pPr>
      <w:r w:rsidRPr="004661C2">
        <w:rPr>
          <w:lang w:val="es-AR"/>
        </w:rPr>
        <w:t>(i) su relevancia en relación con los objetivos del estudio que es el análisis del impacto potencial de una intervención del Programa de Mejoramiento de Barrios sobre el Valor económico de las Viviendas</w:t>
      </w:r>
    </w:p>
    <w:p w:rsidR="004661C2" w:rsidRPr="004661C2" w:rsidRDefault="004661C2" w:rsidP="004661C2">
      <w:pPr>
        <w:rPr>
          <w:lang w:val="es-AR"/>
        </w:rPr>
      </w:pPr>
      <w:r w:rsidRPr="004661C2">
        <w:rPr>
          <w:lang w:val="es-AR"/>
        </w:rPr>
        <w:t xml:space="preserve">(ii) su significación estadística y contribución al ajuste estadístico del Modelo Loglineal a los datos de la Muestra. </w:t>
      </w:r>
    </w:p>
    <w:p w:rsidR="004661C2" w:rsidRPr="004661C2" w:rsidRDefault="004661C2" w:rsidP="004661C2">
      <w:pPr>
        <w:rPr>
          <w:lang w:val="es-AR"/>
        </w:rPr>
      </w:pPr>
    </w:p>
    <w:p w:rsidR="004661C2" w:rsidRDefault="004661C2" w:rsidP="004661C2">
      <w:r>
        <w:rPr>
          <w:noProof/>
        </w:rPr>
        <w:lastRenderedPageBreak/>
        <w:drawing>
          <wp:inline distT="0" distB="0" distL="0" distR="0" wp14:anchorId="6285B2D0" wp14:editId="3E29BDDD">
            <wp:extent cx="5316747" cy="36019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2811" cy="3599274"/>
                    </a:xfrm>
                    <a:prstGeom prst="rect">
                      <a:avLst/>
                    </a:prstGeom>
                    <a:noFill/>
                    <a:ln>
                      <a:noFill/>
                    </a:ln>
                  </pic:spPr>
                </pic:pic>
              </a:graphicData>
            </a:graphic>
          </wp:inline>
        </w:drawing>
      </w:r>
    </w:p>
    <w:p w:rsidR="004661C2" w:rsidRDefault="004661C2" w:rsidP="004661C2"/>
    <w:p w:rsidR="004661C2" w:rsidRDefault="004661C2" w:rsidP="004661C2">
      <w:pPr>
        <w:rPr>
          <w:lang w:val="es-AR"/>
        </w:rPr>
      </w:pPr>
      <w:r w:rsidRPr="004661C2">
        <w:rPr>
          <w:lang w:val="es-AR"/>
        </w:rPr>
        <w:t>El ajuste global del modelo es relativamente bueno tomando en cuenta el modelo semilog y la naturaleza longitudinal de los datos. El R2_Adj= 64%. El F_statistic es de 98.2 y su P_value es de 0.000, lo que nos indica que el ajuste de los datos de la muestra al modelo Semilog es buena en términos estadísticos y que el modelo de regresión seleccionado puede ser considerado efectivo.</w:t>
      </w:r>
    </w:p>
    <w:p w:rsidR="004661C2" w:rsidRPr="004661C2" w:rsidRDefault="004661C2" w:rsidP="004661C2">
      <w:pPr>
        <w:rPr>
          <w:lang w:val="es-AR"/>
        </w:rPr>
      </w:pPr>
    </w:p>
    <w:p w:rsidR="004661C2" w:rsidRPr="004661C2" w:rsidRDefault="004661C2" w:rsidP="004661C2">
      <w:pPr>
        <w:rPr>
          <w:lang w:val="es-AR"/>
        </w:rPr>
      </w:pPr>
      <w:r w:rsidRPr="004661C2">
        <w:rPr>
          <w:lang w:val="es-AR"/>
        </w:rPr>
        <w:t xml:space="preserve">En relación con la estimación de los coeficientes del modelo, el nivel de los t_Stats de cada coeficiente muestran valores superiores a 1.7 lo que significa que las variables retenidas tienen un impacto significativo y la probabilidad de que aceptar la Hipótesis H0 ( </w:t>
      </w:r>
      <w:r>
        <w:t>β</w:t>
      </w:r>
      <w:r w:rsidRPr="004661C2">
        <w:rPr>
          <w:lang w:val="es-AR"/>
        </w:rPr>
        <w:t xml:space="preserve"> =0) es en todos estos casos inferior a 8%. Solamente en 3 casos esta probabilidad es superior al 5%, pero acotada y su limite superior no supera el 10% (“Acceso de 6-8 mts transitable” y “ Paredes sin revestimiento” y “Alumbrado Publico: no mas de 1 lamparita”. Estas variables fueron retenidas principalmente por su relevancia en términos del Modelo Predictivo y el objetivo de simulación de las Acciones del Program</w:t>
      </w:r>
      <w:r w:rsidR="00982495">
        <w:rPr>
          <w:lang w:val="es-AR"/>
        </w:rPr>
        <w:t>a</w:t>
      </w:r>
      <w:r w:rsidRPr="004661C2">
        <w:rPr>
          <w:lang w:val="es-AR"/>
        </w:rPr>
        <w:t xml:space="preserve"> de Mejoramiento de Barrios. </w:t>
      </w:r>
    </w:p>
    <w:p w:rsidR="004661C2" w:rsidRPr="004661C2" w:rsidRDefault="004661C2" w:rsidP="004661C2">
      <w:pPr>
        <w:rPr>
          <w:lang w:val="es-AR"/>
        </w:rPr>
      </w:pPr>
    </w:p>
    <w:p w:rsidR="004661C2" w:rsidRDefault="004661C2" w:rsidP="004661C2">
      <w:r>
        <w:rPr>
          <w:noProof/>
        </w:rPr>
        <w:lastRenderedPageBreak/>
        <w:drawing>
          <wp:inline distT="0" distB="0" distL="0" distR="0" wp14:anchorId="62659B21" wp14:editId="6EFD24A4">
            <wp:extent cx="5784220" cy="627358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7803" cy="6277466"/>
                    </a:xfrm>
                    <a:prstGeom prst="rect">
                      <a:avLst/>
                    </a:prstGeom>
                    <a:noFill/>
                    <a:ln>
                      <a:noFill/>
                    </a:ln>
                  </pic:spPr>
                </pic:pic>
              </a:graphicData>
            </a:graphic>
          </wp:inline>
        </w:drawing>
      </w:r>
    </w:p>
    <w:p w:rsidR="004661C2" w:rsidRDefault="004661C2" w:rsidP="004661C2">
      <w:r>
        <w:br w:type="page"/>
      </w:r>
    </w:p>
    <w:p w:rsidR="004661C2" w:rsidRPr="004661C2" w:rsidRDefault="004661C2" w:rsidP="004661C2">
      <w:pPr>
        <w:rPr>
          <w:lang w:val="es-AR"/>
        </w:rPr>
      </w:pPr>
      <w:r w:rsidRPr="004661C2">
        <w:rPr>
          <w:lang w:val="es-AR"/>
        </w:rPr>
        <w:lastRenderedPageBreak/>
        <w:t>A partir de los resultados obtenidos se calculó la incidencia económica de una modificación de las variables atributos de la vivienda, a partir de los indicadores de impacto</w:t>
      </w:r>
      <w:r>
        <w:rPr>
          <w:rStyle w:val="FootnoteReference"/>
        </w:rPr>
        <w:footnoteReference w:id="26"/>
      </w:r>
      <w:r w:rsidRPr="004661C2">
        <w:rPr>
          <w:lang w:val="es-AR"/>
        </w:rPr>
        <w:t>.</w:t>
      </w:r>
    </w:p>
    <w:p w:rsidR="004661C2" w:rsidRPr="004661C2" w:rsidRDefault="004661C2" w:rsidP="004661C2">
      <w:pPr>
        <w:rPr>
          <w:lang w:val="es-AR"/>
        </w:rPr>
      </w:pPr>
    </w:p>
    <w:p w:rsidR="004661C2" w:rsidRPr="004661C2" w:rsidRDefault="004661C2" w:rsidP="004661C2">
      <w:pPr>
        <w:rPr>
          <w:lang w:val="es-AR"/>
        </w:rPr>
      </w:pPr>
      <w:r w:rsidRPr="004661C2">
        <w:rPr>
          <w:lang w:val="es-AR"/>
        </w:rPr>
        <w:t>Incidencia en % e Impacto en US$ sobre el Valor de la Vivienda</w:t>
      </w:r>
    </w:p>
    <w:p w:rsidR="004661C2" w:rsidRDefault="004661C2" w:rsidP="004661C2">
      <w:r>
        <w:rPr>
          <w:noProof/>
        </w:rPr>
        <w:drawing>
          <wp:inline distT="0" distB="0" distL="0" distR="0" wp14:anchorId="007397C0" wp14:editId="6D915114">
            <wp:extent cx="5931730" cy="2814762"/>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1959" cy="2814871"/>
                    </a:xfrm>
                    <a:prstGeom prst="rect">
                      <a:avLst/>
                    </a:prstGeom>
                    <a:noFill/>
                    <a:ln>
                      <a:noFill/>
                    </a:ln>
                  </pic:spPr>
                </pic:pic>
              </a:graphicData>
            </a:graphic>
          </wp:inline>
        </w:drawing>
      </w:r>
    </w:p>
    <w:p w:rsidR="004661C2" w:rsidRPr="004661C2" w:rsidRDefault="004661C2" w:rsidP="004661C2">
      <w:pPr>
        <w:rPr>
          <w:lang w:val="es-ES_tradnl"/>
        </w:rPr>
      </w:pPr>
    </w:p>
    <w:sectPr w:rsidR="004661C2" w:rsidRPr="004661C2" w:rsidSect="00CC5162">
      <w:footerReference w:type="default" r:id="rId17"/>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0B" w:rsidRDefault="00395F0B">
      <w:r>
        <w:separator/>
      </w:r>
    </w:p>
  </w:endnote>
  <w:endnote w:type="continuationSeparator" w:id="0">
    <w:p w:rsidR="00395F0B" w:rsidRDefault="003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78" w:rsidRDefault="00A07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778" w:rsidRDefault="00A07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78" w:rsidRDefault="00A07778">
    <w:pPr>
      <w:pStyle w:val="Footer"/>
      <w:jc w:val="right"/>
    </w:pPr>
  </w:p>
  <w:p w:rsidR="00A07778" w:rsidRDefault="00A077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79417"/>
      <w:docPartObj>
        <w:docPartGallery w:val="Page Numbers (Bottom of Page)"/>
        <w:docPartUnique/>
      </w:docPartObj>
    </w:sdtPr>
    <w:sdtEndPr/>
    <w:sdtContent>
      <w:p w:rsidR="00A07778" w:rsidRDefault="00A07778">
        <w:pPr>
          <w:pStyle w:val="Footer"/>
          <w:jc w:val="right"/>
        </w:pPr>
        <w:r>
          <w:fldChar w:fldCharType="begin"/>
        </w:r>
        <w:r>
          <w:instrText>PAGE   \* MERGEFORMAT</w:instrText>
        </w:r>
        <w:r>
          <w:fldChar w:fldCharType="separate"/>
        </w:r>
        <w:r w:rsidR="009360C5">
          <w:rPr>
            <w:noProof/>
          </w:rPr>
          <w:t>20</w:t>
        </w:r>
        <w:r>
          <w:fldChar w:fldCharType="end"/>
        </w:r>
      </w:p>
    </w:sdtContent>
  </w:sdt>
  <w:p w:rsidR="00A07778" w:rsidRDefault="00A07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0B" w:rsidRDefault="00395F0B">
      <w:r>
        <w:separator/>
      </w:r>
    </w:p>
  </w:footnote>
  <w:footnote w:type="continuationSeparator" w:id="0">
    <w:p w:rsidR="00395F0B" w:rsidRDefault="00395F0B">
      <w:r>
        <w:continuationSeparator/>
      </w:r>
    </w:p>
  </w:footnote>
  <w:footnote w:id="1">
    <w:p w:rsidR="00A07778" w:rsidRPr="00727C2A" w:rsidRDefault="00A07778" w:rsidP="008541F6">
      <w:pPr>
        <w:pStyle w:val="FootnoteText"/>
        <w:tabs>
          <w:tab w:val="left" w:pos="270"/>
        </w:tabs>
        <w:spacing w:after="0"/>
        <w:rPr>
          <w:sz w:val="18"/>
          <w:szCs w:val="18"/>
          <w:lang w:val="es-ES_tradnl"/>
        </w:rPr>
      </w:pPr>
      <w:r w:rsidRPr="00727C2A">
        <w:rPr>
          <w:rStyle w:val="Smbolodenotaalpie"/>
          <w:sz w:val="18"/>
          <w:szCs w:val="18"/>
        </w:rPr>
        <w:footnoteRef/>
      </w:r>
      <w:r w:rsidRPr="00727C2A">
        <w:rPr>
          <w:sz w:val="18"/>
          <w:szCs w:val="18"/>
          <w:lang w:val="es-ES"/>
        </w:rPr>
        <w:t xml:space="preserve"> Fuente: Instituto Nacional de Estadística, 2013.</w:t>
      </w:r>
    </w:p>
  </w:footnote>
  <w:footnote w:id="2">
    <w:p w:rsidR="00A07778" w:rsidRPr="00727C2A" w:rsidRDefault="00A07778" w:rsidP="008541F6">
      <w:pPr>
        <w:pStyle w:val="FootnoteText"/>
        <w:tabs>
          <w:tab w:val="left" w:pos="270"/>
        </w:tabs>
        <w:spacing w:after="0"/>
        <w:rPr>
          <w:sz w:val="18"/>
          <w:szCs w:val="18"/>
          <w:lang w:val="es-ES_tradnl"/>
        </w:rPr>
      </w:pPr>
      <w:r w:rsidRPr="00727C2A">
        <w:rPr>
          <w:rStyle w:val="Smbolodenotaalpie"/>
          <w:sz w:val="18"/>
          <w:szCs w:val="18"/>
        </w:rPr>
        <w:footnoteRef/>
      </w:r>
      <w:r w:rsidRPr="00727C2A">
        <w:rPr>
          <w:sz w:val="18"/>
          <w:szCs w:val="18"/>
          <w:lang w:val="es-ES_tradnl"/>
        </w:rPr>
        <w:t xml:space="preserve"> De acuerdo con el INE un asentamiento irregular es un agrupamiento de más de 10 viviendas ubicados en terrenos públicos o privados, construidos sin autorización del propietario en condiciones irregulares, sin respetar la normativa urbanística. </w:t>
      </w:r>
    </w:p>
  </w:footnote>
  <w:footnote w:id="3">
    <w:p w:rsidR="00A07778" w:rsidRPr="00727C2A" w:rsidRDefault="00A07778" w:rsidP="008541F6">
      <w:pPr>
        <w:pStyle w:val="FootnoteText"/>
        <w:spacing w:after="0"/>
        <w:ind w:left="142" w:hanging="142"/>
        <w:rPr>
          <w:sz w:val="18"/>
          <w:szCs w:val="18"/>
          <w:lang w:val="pt-BR"/>
        </w:rPr>
      </w:pPr>
      <w:r w:rsidRPr="00727C2A">
        <w:rPr>
          <w:rStyle w:val="FootnoteReference"/>
          <w:sz w:val="18"/>
          <w:szCs w:val="18"/>
        </w:rPr>
        <w:footnoteRef/>
      </w:r>
      <w:r w:rsidRPr="00727C2A">
        <w:rPr>
          <w:sz w:val="18"/>
          <w:szCs w:val="18"/>
          <w:lang w:val="es-ES"/>
        </w:rPr>
        <w:t xml:space="preserve"> Informe de resultados de la </w:t>
      </w:r>
      <w:r w:rsidRPr="00727C2A">
        <w:rPr>
          <w:sz w:val="18"/>
          <w:szCs w:val="18"/>
          <w:lang w:val="es-ES_tradnl"/>
        </w:rPr>
        <w:t xml:space="preserve">Encuesta Continua de Hogares (ECH), realizada a nivel nacional, y que mide indicadores relevantes en la situación previa a la regularización y posterior a la misma en los asentamientos intervenidos. </w:t>
      </w:r>
      <w:r w:rsidRPr="00727C2A">
        <w:rPr>
          <w:sz w:val="18"/>
          <w:szCs w:val="18"/>
          <w:lang w:val="pt-BR"/>
        </w:rPr>
        <w:t xml:space="preserve">ANO? </w:t>
      </w:r>
    </w:p>
  </w:footnote>
  <w:footnote w:id="4">
    <w:p w:rsidR="00A07778" w:rsidRPr="00727C2A" w:rsidRDefault="00A07778" w:rsidP="008541F6">
      <w:pPr>
        <w:pStyle w:val="FootnoteText"/>
        <w:spacing w:after="0"/>
        <w:ind w:left="142" w:hanging="142"/>
        <w:rPr>
          <w:sz w:val="18"/>
          <w:szCs w:val="18"/>
          <w:lang w:val="es-ES"/>
        </w:rPr>
      </w:pPr>
      <w:r w:rsidRPr="00727C2A">
        <w:rPr>
          <w:rStyle w:val="FootnoteReference"/>
          <w:sz w:val="18"/>
          <w:szCs w:val="18"/>
        </w:rPr>
        <w:footnoteRef/>
      </w:r>
      <w:r w:rsidRPr="00727C2A">
        <w:rPr>
          <w:sz w:val="18"/>
          <w:szCs w:val="18"/>
          <w:lang w:val="pt-BR"/>
        </w:rPr>
        <w:t xml:space="preserve"> Uruguay, Indicadores de Genero 2001-2004. Instituto Nacional de Estadística, Uruguay. </w:t>
      </w:r>
      <w:r w:rsidRPr="00727C2A">
        <w:rPr>
          <w:sz w:val="18"/>
          <w:szCs w:val="18"/>
          <w:lang w:val="es-ES"/>
        </w:rPr>
        <w:t>Estadísticas de Genero 2011. Inmujeres 2011</w:t>
      </w:r>
    </w:p>
  </w:footnote>
  <w:footnote w:id="5">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La valoración resulta similar a la experimentada en proyectos comparables, desarrollados con el apoyo del BID, en otros países de la región. En el caso del proyecto BR-0250 los beneficios económicos se estimaron con base en la evolución esperada de los precios de las propiedades en el área, del 170%. Más recientemente, en el Programa integral de alivio a la pobreza urbana en México (ME-L1098) tomó como base de cálculo de los beneficios económicos el cambio esperado en los precios de los terrenos alcanzado un coeficiente agregado de valorización de 2,3 por peso invertido.</w:t>
      </w:r>
    </w:p>
  </w:footnote>
  <w:footnote w:id="6">
    <w:p w:rsidR="00A70F2B" w:rsidRPr="009360C5" w:rsidRDefault="00A70F2B">
      <w:pPr>
        <w:pStyle w:val="FootnoteText"/>
        <w:rPr>
          <w:lang w:val="es-ES"/>
        </w:rPr>
      </w:pPr>
      <w:r w:rsidRPr="00A70F2B">
        <w:rPr>
          <w:rStyle w:val="FootnoteReference"/>
        </w:rPr>
        <w:footnoteRef/>
      </w:r>
      <w:r w:rsidRPr="009360C5">
        <w:rPr>
          <w:lang w:val="es-ES"/>
        </w:rPr>
        <w:t xml:space="preserve"> </w:t>
      </w:r>
      <w:r w:rsidRPr="009360C5">
        <w:rPr>
          <w:shd w:val="clear" w:color="auto" w:fill="FFFFFF" w:themeFill="background1"/>
          <w:lang w:val="es-MX"/>
        </w:rPr>
        <w:t>La ecuación de precios hedónicos estimada durante la primera fase del CCLIP, pone énfasis en determinar la valorización de los inmuebles productos de la mejora en la infraestructura generada por el programa. Los coeficientes estimados muestran los “sobreprecios” que se pagan en el mercado inmobiliario de la zona por el beneficio de contar con algún servicio básico y están directamente relacionados con la reducida cobertura espacial que presenta cada uno de ellos en las zonas urbanas analizadas. En otros términos, en los barrios estudiados para la estimación de la ecuación de precios hedónicos, donde se asientan las familias con menores ingresos, un lote servido con redes de infraestructura se convierte en un producto escaso y con una muy alta demanda que, por lo tanto, tiene un alto precio relativo en el mercado</w:t>
      </w:r>
      <w:r w:rsidRPr="009360C5">
        <w:rPr>
          <w:rStyle w:val="FootnoteReference"/>
          <w:shd w:val="clear" w:color="auto" w:fill="FFFFFF" w:themeFill="background1"/>
          <w:lang w:val="es-MX"/>
        </w:rPr>
        <w:footnoteRef/>
      </w:r>
      <w:r w:rsidRPr="009360C5">
        <w:rPr>
          <w:shd w:val="clear" w:color="auto" w:fill="FFFFFF" w:themeFill="background1"/>
          <w:lang w:val="es-MX"/>
        </w:rPr>
        <w:t>. Un cambio en la cantidad disponible y/o en la demanda por dicho producto impactará directamente sobre el valor del coeficiente o sobreprecio que se pagaría por él. Dado que el modelo fue estimado en base a datos de asentamientos que resultan representativos, en sus aspectos relevantes (características de las viviendas, infraestructura, niveles de ingresos, tenencia irregular, etc.), de los que se pretenden intervenir, se asumió que los principales condicionantes de oferta y demanda de infraestructura no varían y por tanto tampoco su valoración relativa</w:t>
      </w:r>
    </w:p>
  </w:footnote>
  <w:footnote w:id="7">
    <w:p w:rsidR="00E707C9" w:rsidRPr="009360C5" w:rsidRDefault="00E707C9" w:rsidP="00E707C9">
      <w:pPr>
        <w:pStyle w:val="FootnoteText"/>
        <w:ind w:hanging="18"/>
        <w:rPr>
          <w:lang w:val="es-ES"/>
        </w:rPr>
      </w:pPr>
      <w:r>
        <w:rPr>
          <w:rStyle w:val="FootnoteReference"/>
        </w:rPr>
        <w:footnoteRef/>
      </w:r>
      <w:r w:rsidRPr="009360C5">
        <w:rPr>
          <w:lang w:val="es-ES"/>
        </w:rPr>
        <w:t xml:space="preserve"> </w:t>
      </w:r>
      <w:r w:rsidRPr="009360C5">
        <w:rPr>
          <w:color w:val="FFFFFF" w:themeColor="background1"/>
          <w:shd w:val="clear" w:color="auto" w:fill="FFFFFF" w:themeFill="background1"/>
          <w:lang w:val="es-MX"/>
        </w:rPr>
        <w:t>Dado que el plazo de ejecución de las obras es, en la mayoría de los casos, inferior a un año y al hecho de que resulta habitual la aplicación de medidas que minimizan los efectos mencionados se consideró (en concordancia con la experiencia acumulada en este tipo de obras por parte del GdU y del BID), que los costos</w:t>
      </w:r>
      <w:r w:rsidRPr="009360C5">
        <w:rPr>
          <w:color w:val="FFFFFF" w:themeColor="background1"/>
          <w:lang w:val="es-MX"/>
        </w:rPr>
        <w:t xml:space="preserve"> </w:t>
      </w:r>
      <w:r w:rsidRPr="00FC4979">
        <w:rPr>
          <w:lang w:val="es-MX"/>
        </w:rPr>
        <w:t>de dichas externalidades no resultan de una magnitud suficiente para su estimación e inclusión. Existen también externalidades positivas (como las resultantes de mejoras de bañados por eliminación del vertido de aguas negras, etc.) que al no reflejarse, al menos totalmente, en el valor inmobiliario no se encuentran computadas como beneficios</w:t>
      </w:r>
      <w:r w:rsidRPr="00FC4979">
        <w:rPr>
          <w:rStyle w:val="FootnoteReference"/>
          <w:lang w:val="es-MX"/>
        </w:rPr>
        <w:footnoteRef/>
      </w:r>
      <w:r w:rsidRPr="00FC4979">
        <w:rPr>
          <w:lang w:val="es-MX"/>
        </w:rPr>
        <w:t>. No obstante, la dificultad y el costo de su medición no justifican su incorp</w:t>
      </w:r>
      <w:r w:rsidR="00A70F2B">
        <w:rPr>
          <w:lang w:val="es-MX"/>
        </w:rPr>
        <w:t>oración en proyectos que sin est</w:t>
      </w:r>
      <w:r w:rsidRPr="00FC4979">
        <w:rPr>
          <w:lang w:val="es-MX"/>
        </w:rPr>
        <w:t>os beneficios poseen ya una alta rentabilidad</w:t>
      </w:r>
    </w:p>
  </w:footnote>
  <w:footnote w:id="8">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El trabajo plantea estimaciones para los años 2001 a 2008, pero presenta únicamente los resultados del 2001.</w:t>
      </w:r>
    </w:p>
  </w:footnote>
  <w:footnote w:id="9">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Regresiones 16, 17 y 18.</w:t>
      </w:r>
    </w:p>
  </w:footnote>
  <w:footnote w:id="10">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La variable neigh_servs es un índice que rankea del 1 al 10 de acuerdo agregando un punto por la existencia de cada uno de los siguientes servicios: acceso a la red eléctrica, acceso a la red de agua potable, acceso a la red de saneamiento, acceso a la red de gas, recolección de residuos, calles pavimentadas, alumbrado público, drenaje pluvial, veredas pavimentadas y contenedores de residuos.</w:t>
      </w:r>
    </w:p>
  </w:footnote>
  <w:footnote w:id="11">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La variable tipo de barrio (neigh_type) clasifica los barrios de 1 a 8, siendo 1 aquellos de mejores condiciones socioeconómicas y de seguridad y 8 los establecidos en asentamientos irregulares.</w:t>
      </w:r>
    </w:p>
  </w:footnote>
  <w:footnote w:id="12">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La elasticidad precio de la demanda para el mercado inmobiliario como un todo alcanzó el 0.372, la cual resulta baja en comparación a países desarrollados, pero se incrementa al 0.792 si se considera solo el mercado informal.</w:t>
      </w:r>
    </w:p>
  </w:footnote>
  <w:footnote w:id="13">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La elasticidad ingresos obtenida fue del 0.0373 considerando el ingreso permanente y todo el mercado y se incremental 0,57 considerando solo el mercado informal. </w:t>
      </w:r>
    </w:p>
  </w:footnote>
  <w:footnote w:id="14">
    <w:p w:rsidR="00A07778" w:rsidRPr="00727C2A" w:rsidRDefault="00A07778" w:rsidP="00727C2A">
      <w:pPr>
        <w:pStyle w:val="FootnoteText"/>
        <w:spacing w:after="0"/>
        <w:ind w:left="284" w:hanging="284"/>
        <w:rPr>
          <w:bCs/>
          <w:spacing w:val="0"/>
          <w:sz w:val="18"/>
          <w:szCs w:val="18"/>
          <w:lang w:val="es-ES_tradnl"/>
        </w:rPr>
      </w:pPr>
      <w:r w:rsidRPr="00727C2A">
        <w:rPr>
          <w:rStyle w:val="FootnoteReference"/>
          <w:sz w:val="18"/>
          <w:szCs w:val="18"/>
        </w:rPr>
        <w:footnoteRef/>
      </w:r>
      <w:r w:rsidRPr="00727C2A">
        <w:rPr>
          <w:rStyle w:val="FootnoteReference"/>
          <w:sz w:val="18"/>
          <w:szCs w:val="18"/>
          <w:lang w:val="es-AR"/>
        </w:rPr>
        <w:t xml:space="preserve"> </w:t>
      </w:r>
      <w:r w:rsidRPr="00727C2A">
        <w:rPr>
          <w:bCs/>
          <w:spacing w:val="0"/>
          <w:sz w:val="18"/>
          <w:szCs w:val="18"/>
          <w:lang w:val="es-ES_tradnl"/>
        </w:rPr>
        <w:t>La especificación del modelo queda representada por la siguiente expresión:</w:t>
      </w:r>
    </w:p>
    <w:p w:rsidR="00A07778" w:rsidRPr="00727C2A" w:rsidRDefault="00A07778" w:rsidP="00727C2A">
      <w:pPr>
        <w:pStyle w:val="FootnoteText"/>
        <w:spacing w:after="0"/>
        <w:ind w:left="284" w:hanging="284"/>
        <w:rPr>
          <w:sz w:val="18"/>
          <w:szCs w:val="18"/>
          <w:lang w:val="es-ES_tradnl"/>
        </w:rPr>
      </w:pPr>
      <w:r w:rsidRPr="00727C2A">
        <w:rPr>
          <w:rStyle w:val="FootnoteReference"/>
          <w:sz w:val="18"/>
          <w:szCs w:val="18"/>
          <w:lang w:val="es-AR"/>
        </w:rPr>
        <w:t xml:space="preserve"> </w:t>
      </w:r>
      <w:r w:rsidRPr="00727C2A">
        <w:rPr>
          <w:noProof/>
          <w:sz w:val="18"/>
          <w:szCs w:val="18"/>
        </w:rPr>
        <w:drawing>
          <wp:inline distT="0" distB="0" distL="0" distR="0" wp14:anchorId="1A8E201D" wp14:editId="5972B1C7">
            <wp:extent cx="1413163" cy="2071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407" cy="209834"/>
                    </a:xfrm>
                    <a:prstGeom prst="rect">
                      <a:avLst/>
                    </a:prstGeom>
                    <a:noFill/>
                    <a:ln>
                      <a:noFill/>
                    </a:ln>
                  </pic:spPr>
                </pic:pic>
              </a:graphicData>
            </a:graphic>
          </wp:inline>
        </w:drawing>
      </w:r>
      <w:r w:rsidRPr="00727C2A">
        <w:rPr>
          <w:sz w:val="18"/>
          <w:szCs w:val="18"/>
          <w:lang w:val="es-AR"/>
        </w:rPr>
        <w:t xml:space="preserve">  </w:t>
      </w:r>
      <w:r w:rsidRPr="00727C2A">
        <w:rPr>
          <w:bCs/>
          <w:sz w:val="18"/>
          <w:szCs w:val="18"/>
          <w:lang w:val="es-ES_tradnl"/>
        </w:rPr>
        <w:t>Donde: P es el valor de la Vivienda asignado por los entrevistados en US$, Xi son variables continuas relacionadas con los atributos o características de la vivienda, el barrio o el entorno de la vivienda y Di representa variables Discretas (Dummies) relacionada con un atributo o característica específica de la vivienda, del barrio o del entorno de la vivienda. α es la constante del Modelo/Ecuación. βi y λj son los coeficiente de la variables explicativa Xj y Dj respectivamente y ε los residuos estocásticos del modelo econométrico.</w:t>
      </w:r>
    </w:p>
  </w:footnote>
  <w:footnote w:id="15">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El R2_Adj= 64%. El F_statistic es de 98.2 y su P_value es de 0.000. En el anexo I se presenta el modelo con mayor detalle.</w:t>
      </w:r>
    </w:p>
  </w:footnote>
  <w:footnote w:id="16">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La ECH consulta sobre el valor de alquiler que se paga mensualmente por la vivienda, en caso de que el encuestado sea inquilino, o el valor de alquiler que encuestado debería pagar por la misma en caso de no ser propietario u ocupante.</w:t>
      </w:r>
    </w:p>
  </w:footnote>
  <w:footnote w:id="17">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En los últimos años el ICC ha crecido por encima de otros índices de inflación (consumidor), resultando adecuado su utilización para valores inmobiliarios.</w:t>
      </w:r>
    </w:p>
  </w:footnote>
  <w:footnote w:id="18">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La Dirección de Catastro de la IMM, estima una renta anual de entre el 7% y 11% para las distintas categorías que componen el sector residencial medio y del 12% al 16% para las categorías residenciales bajas.</w:t>
      </w:r>
    </w:p>
  </w:footnote>
  <w:footnote w:id="19">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Considerando que la misma se produce 5 años después de finalizadas las obras y una tasa de descuento del 12% anual.</w:t>
      </w:r>
    </w:p>
  </w:footnote>
  <w:footnote w:id="20">
    <w:p w:rsidR="00A07778" w:rsidRPr="00727C2A" w:rsidRDefault="00A07778" w:rsidP="00727C2A">
      <w:pPr>
        <w:pStyle w:val="FootnoteText"/>
        <w:spacing w:after="0"/>
        <w:rPr>
          <w:sz w:val="18"/>
          <w:szCs w:val="18"/>
          <w:lang w:val="es-AR"/>
        </w:rPr>
      </w:pPr>
      <w:r w:rsidRPr="00727C2A">
        <w:rPr>
          <w:rStyle w:val="FootnoteReference"/>
          <w:sz w:val="18"/>
          <w:szCs w:val="18"/>
        </w:rPr>
        <w:footnoteRef/>
      </w:r>
      <w:r w:rsidRPr="00727C2A">
        <w:rPr>
          <w:sz w:val="18"/>
          <w:szCs w:val="18"/>
          <w:lang w:val="es-AR"/>
        </w:rPr>
        <w:t xml:space="preserve"> El costo de los equipos técnicos alcanzó el 5% del total de las inversiones durante el PMB y los costos de la UE se estimaron en un 4%. Dado que los mismos podrían incrementarse en algunos proyectos de mayor dificultad que la media y la mayor articulación que requerirá la incorporación del tercer nivel de gobierno al programa, se consideró un costo total por estos conceptos del 10%. </w:t>
      </w:r>
    </w:p>
  </w:footnote>
  <w:footnote w:id="21">
    <w:p w:rsidR="00A07778" w:rsidRPr="00727C2A" w:rsidRDefault="00A07778" w:rsidP="00727C2A">
      <w:pPr>
        <w:pStyle w:val="FootnoteText"/>
        <w:spacing w:after="0"/>
        <w:rPr>
          <w:sz w:val="18"/>
          <w:szCs w:val="18"/>
          <w:lang w:val="es-AR"/>
        </w:rPr>
      </w:pPr>
      <w:r w:rsidRPr="00727C2A">
        <w:rPr>
          <w:rStyle w:val="FootnoteReference"/>
          <w:sz w:val="18"/>
          <w:szCs w:val="18"/>
        </w:rPr>
        <w:footnoteRef/>
      </w:r>
      <w:r w:rsidRPr="00727C2A">
        <w:rPr>
          <w:sz w:val="18"/>
          <w:szCs w:val="18"/>
          <w:lang w:val="es-AR"/>
        </w:rPr>
        <w:t xml:space="preserve"> De acuerdo con el informe de evaluación Programa Mejoramiento de Barrios (PMB-PIAI). Interconsult, Julio de 2013.</w:t>
      </w:r>
    </w:p>
  </w:footnote>
  <w:footnote w:id="22">
    <w:p w:rsidR="00A07778" w:rsidRPr="00727C2A" w:rsidRDefault="00A07778" w:rsidP="00727C2A">
      <w:pPr>
        <w:pStyle w:val="FootnoteText"/>
        <w:spacing w:after="0"/>
        <w:rPr>
          <w:sz w:val="18"/>
          <w:szCs w:val="18"/>
          <w:lang w:val="es-AR"/>
        </w:rPr>
      </w:pPr>
      <w:r w:rsidRPr="00727C2A">
        <w:rPr>
          <w:rStyle w:val="FootnoteReference"/>
          <w:sz w:val="18"/>
          <w:szCs w:val="18"/>
        </w:rPr>
        <w:footnoteRef/>
      </w:r>
      <w:r w:rsidRPr="00727C2A">
        <w:rPr>
          <w:sz w:val="18"/>
          <w:szCs w:val="18"/>
          <w:lang w:val="es-AR"/>
        </w:rPr>
        <w:t xml:space="preserve"> Aunque la muestra continua siendo rentable el proyecto Barrio Artigas (Salto) se vuelve negativo con una caída en los beneficios superior al 8% o un incremento del costo por encima del 4%.</w:t>
      </w:r>
    </w:p>
  </w:footnote>
  <w:footnote w:id="23">
    <w:p w:rsidR="00A07778" w:rsidRPr="00727C2A" w:rsidRDefault="00A07778" w:rsidP="00727C2A">
      <w:pPr>
        <w:pStyle w:val="FootnoteText"/>
        <w:spacing w:after="0"/>
        <w:rPr>
          <w:sz w:val="18"/>
          <w:szCs w:val="18"/>
          <w:lang w:val="es-AR"/>
        </w:rPr>
      </w:pPr>
      <w:r w:rsidRPr="00727C2A">
        <w:rPr>
          <w:rStyle w:val="FootnoteReference"/>
          <w:sz w:val="18"/>
          <w:szCs w:val="18"/>
        </w:rPr>
        <w:footnoteRef/>
      </w:r>
      <w:r w:rsidRPr="00727C2A">
        <w:rPr>
          <w:sz w:val="18"/>
          <w:szCs w:val="18"/>
          <w:lang w:val="es-AR"/>
        </w:rPr>
        <w:t xml:space="preserve"> Promedio ponderado</w:t>
      </w:r>
    </w:p>
  </w:footnote>
  <w:footnote w:id="24">
    <w:p w:rsidR="00A07778" w:rsidRPr="00727C2A" w:rsidRDefault="00A07778" w:rsidP="00727C2A">
      <w:pPr>
        <w:pStyle w:val="FootnoteText"/>
        <w:spacing w:after="0"/>
        <w:rPr>
          <w:sz w:val="18"/>
          <w:szCs w:val="18"/>
          <w:lang w:val="es-AR"/>
        </w:rPr>
      </w:pPr>
      <w:r w:rsidRPr="00727C2A">
        <w:rPr>
          <w:rStyle w:val="FootnoteReference"/>
          <w:sz w:val="18"/>
          <w:szCs w:val="18"/>
        </w:rPr>
        <w:footnoteRef/>
      </w:r>
      <w:r w:rsidRPr="00727C2A">
        <w:rPr>
          <w:sz w:val="18"/>
          <w:szCs w:val="18"/>
          <w:lang w:val="es-AR"/>
        </w:rPr>
        <w:t xml:space="preserve"> Junio de 2013</w:t>
      </w:r>
    </w:p>
  </w:footnote>
  <w:footnote w:id="25">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w:t>
      </w:r>
      <w:r>
        <w:rPr>
          <w:sz w:val="18"/>
          <w:szCs w:val="18"/>
          <w:lang w:val="es-AR"/>
        </w:rPr>
        <w:t>Extraído de “</w:t>
      </w:r>
      <w:r w:rsidRPr="00727C2A">
        <w:rPr>
          <w:sz w:val="18"/>
          <w:szCs w:val="18"/>
          <w:lang w:val="es-AR"/>
        </w:rPr>
        <w:t>Análisis del impacto económico del Programa de mejoramiento de barrios. Aplicación del modelo hedónico. Informe Final</w:t>
      </w:r>
      <w:r>
        <w:rPr>
          <w:sz w:val="18"/>
          <w:szCs w:val="18"/>
          <w:lang w:val="es-AR"/>
        </w:rPr>
        <w:t>”</w:t>
      </w:r>
      <w:r w:rsidRPr="00727C2A">
        <w:rPr>
          <w:sz w:val="18"/>
          <w:szCs w:val="18"/>
          <w:lang w:val="es-AR"/>
        </w:rPr>
        <w:t>. Hugo Roche. Abril-2008. Programa PIAI. Ministerio de Vivienda, Ordenamiento Territorial y Medio Ambiente.</w:t>
      </w:r>
    </w:p>
  </w:footnote>
  <w:footnote w:id="26">
    <w:p w:rsidR="00A07778" w:rsidRPr="00727C2A" w:rsidRDefault="00A07778" w:rsidP="00727C2A">
      <w:pPr>
        <w:pStyle w:val="FootnoteText"/>
        <w:spacing w:after="0"/>
        <w:ind w:left="284" w:hanging="284"/>
        <w:rPr>
          <w:sz w:val="18"/>
          <w:szCs w:val="18"/>
          <w:lang w:val="es-AR"/>
        </w:rPr>
      </w:pPr>
      <w:r w:rsidRPr="00727C2A">
        <w:rPr>
          <w:rStyle w:val="FootnoteReference"/>
          <w:sz w:val="18"/>
          <w:szCs w:val="18"/>
        </w:rPr>
        <w:footnoteRef/>
      </w:r>
      <w:r w:rsidRPr="00727C2A">
        <w:rPr>
          <w:sz w:val="18"/>
          <w:szCs w:val="18"/>
          <w:lang w:val="es-AR"/>
        </w:rPr>
        <w:t xml:space="preserve"> En el caso de variables continuas el impacto se estima por la derivada parcial de la función hedónica con respecto a la variable. Lo que significa que los coeficientes de la variable continua “Total de Dormitorios” se interpreta como el impacto en % de la modificación en una unidad de dicha variable. En el caso de variables discretas, como las variables Dummies (Dj) empleadas en el Modelo Hedónico, de naturaleza binaria (Dj=1 si la Vivienda dispone de la característica, o Dj= 0 si no dispone), no existe la derivada parcial. En este caso puede estimarse el impacto de la variable Dj de la siguiente manera.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427"/>
      </w:tblGrid>
      <w:tr w:rsidR="00A07778" w:rsidRPr="00727C2A" w:rsidTr="00DC5E6A">
        <w:tc>
          <w:tcPr>
            <w:tcW w:w="4489" w:type="dxa"/>
          </w:tcPr>
          <w:p w:rsidR="00A07778" w:rsidRPr="00727C2A" w:rsidRDefault="00A07778" w:rsidP="00727C2A">
            <w:pPr>
              <w:pStyle w:val="FootnoteText"/>
              <w:spacing w:after="0"/>
              <w:ind w:left="284" w:hanging="284"/>
              <w:rPr>
                <w:sz w:val="18"/>
                <w:szCs w:val="18"/>
              </w:rPr>
            </w:pPr>
            <w:r w:rsidRPr="00727C2A">
              <w:rPr>
                <w:noProof/>
                <w:sz w:val="18"/>
                <w:szCs w:val="18"/>
              </w:rPr>
              <w:drawing>
                <wp:inline distT="0" distB="0" distL="0" distR="0" wp14:anchorId="64153873" wp14:editId="1D238C90">
                  <wp:extent cx="1900362" cy="278724"/>
                  <wp:effectExtent l="0" t="0" r="508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793" cy="278787"/>
                          </a:xfrm>
                          <a:prstGeom prst="rect">
                            <a:avLst/>
                          </a:prstGeom>
                          <a:noFill/>
                          <a:ln>
                            <a:noFill/>
                          </a:ln>
                        </pic:spPr>
                      </pic:pic>
                    </a:graphicData>
                  </a:graphic>
                </wp:inline>
              </w:drawing>
            </w:r>
          </w:p>
        </w:tc>
        <w:tc>
          <w:tcPr>
            <w:tcW w:w="4489" w:type="dxa"/>
          </w:tcPr>
          <w:p w:rsidR="00A07778" w:rsidRPr="00727C2A" w:rsidRDefault="00A07778" w:rsidP="00727C2A">
            <w:pPr>
              <w:pStyle w:val="FootnoteText"/>
              <w:spacing w:after="0"/>
              <w:ind w:left="284" w:hanging="284"/>
              <w:rPr>
                <w:sz w:val="18"/>
                <w:szCs w:val="18"/>
              </w:rPr>
            </w:pPr>
            <w:r w:rsidRPr="00727C2A">
              <w:rPr>
                <w:noProof/>
                <w:sz w:val="18"/>
                <w:szCs w:val="18"/>
              </w:rPr>
              <w:drawing>
                <wp:inline distT="0" distB="0" distL="0" distR="0" wp14:anchorId="77D442A8" wp14:editId="250E18C6">
                  <wp:extent cx="1884459" cy="272479"/>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3643" cy="273807"/>
                          </a:xfrm>
                          <a:prstGeom prst="rect">
                            <a:avLst/>
                          </a:prstGeom>
                          <a:noFill/>
                          <a:ln>
                            <a:noFill/>
                          </a:ln>
                        </pic:spPr>
                      </pic:pic>
                    </a:graphicData>
                  </a:graphic>
                </wp:inline>
              </w:drawing>
            </w:r>
          </w:p>
        </w:tc>
      </w:tr>
    </w:tbl>
    <w:p w:rsidR="00A07778" w:rsidRPr="00727C2A" w:rsidRDefault="00A07778" w:rsidP="00727C2A">
      <w:pPr>
        <w:pStyle w:val="FootnoteText"/>
        <w:spacing w:after="0"/>
        <w:ind w:left="284" w:hanging="284"/>
        <w:rPr>
          <w:sz w:val="18"/>
          <w:szCs w:val="18"/>
          <w:lang w:val="es-AR"/>
        </w:rPr>
      </w:pPr>
      <w:r w:rsidRPr="00727C2A">
        <w:rPr>
          <w:sz w:val="18"/>
          <w:szCs w:val="18"/>
          <w:lang w:val="es-AR"/>
        </w:rPr>
        <w:t>Por lo que el el Impacto porcentual sobre P de una modificación de Dj puede calcularse de la manera</w:t>
      </w:r>
    </w:p>
    <w:p w:rsidR="00A07778" w:rsidRPr="00727C2A" w:rsidRDefault="00A07778" w:rsidP="00727C2A">
      <w:pPr>
        <w:pStyle w:val="FootnoteText"/>
        <w:spacing w:after="0"/>
        <w:ind w:left="284" w:hanging="284"/>
        <w:rPr>
          <w:sz w:val="18"/>
          <w:szCs w:val="18"/>
          <w:lang w:val="es-AR"/>
        </w:rPr>
      </w:pPr>
      <w:r w:rsidRPr="00727C2A">
        <w:rPr>
          <w:sz w:val="18"/>
          <w:szCs w:val="18"/>
          <w:lang w:val="es-AR"/>
        </w:rPr>
        <w:t>siguiente:</w:t>
      </w:r>
    </w:p>
    <w:p w:rsidR="00A07778" w:rsidRPr="00727C2A" w:rsidRDefault="00A07778" w:rsidP="00727C2A">
      <w:pPr>
        <w:pStyle w:val="FootnoteText"/>
        <w:spacing w:after="0"/>
        <w:ind w:left="284" w:hanging="284"/>
        <w:rPr>
          <w:sz w:val="18"/>
          <w:szCs w:val="18"/>
          <w:lang w:val="es-AR"/>
        </w:rPr>
      </w:pPr>
      <w:r w:rsidRPr="00727C2A">
        <w:rPr>
          <w:noProof/>
          <w:sz w:val="18"/>
          <w:szCs w:val="18"/>
        </w:rPr>
        <w:drawing>
          <wp:inline distT="0" distB="0" distL="0" distR="0" wp14:anchorId="28D9336E" wp14:editId="2F96D216">
            <wp:extent cx="1081378" cy="296879"/>
            <wp:effectExtent l="0" t="0" r="508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635" cy="296675"/>
                    </a:xfrm>
                    <a:prstGeom prst="rect">
                      <a:avLst/>
                    </a:prstGeom>
                    <a:noFill/>
                    <a:ln>
                      <a:noFill/>
                    </a:ln>
                  </pic:spPr>
                </pic:pic>
              </a:graphicData>
            </a:graphic>
          </wp:inline>
        </w:drawing>
      </w:r>
      <w:r w:rsidRPr="00727C2A">
        <w:rPr>
          <w:sz w:val="18"/>
          <w:szCs w:val="18"/>
          <w:lang w:val="es-AR"/>
        </w:rPr>
        <w:t>Halvorsen y Palmquist(1980) y P Kennedy(1981) demostraron que el Indicador anterior tiende a sobreestimar el impacto y han propuesto el empleo de este otro Indicador corregido:</w:t>
      </w:r>
    </w:p>
    <w:p w:rsidR="00A07778" w:rsidRPr="00727C2A" w:rsidRDefault="00A07778" w:rsidP="00727C2A">
      <w:pPr>
        <w:pStyle w:val="FootnoteText"/>
        <w:spacing w:after="0"/>
        <w:ind w:left="284" w:hanging="284"/>
        <w:rPr>
          <w:sz w:val="18"/>
          <w:szCs w:val="18"/>
        </w:rPr>
      </w:pPr>
      <w:r w:rsidRPr="00727C2A">
        <w:rPr>
          <w:noProof/>
          <w:sz w:val="18"/>
          <w:szCs w:val="18"/>
        </w:rPr>
        <w:drawing>
          <wp:inline distT="0" distB="0" distL="0" distR="0" wp14:anchorId="480668A3" wp14:editId="38E91C77">
            <wp:extent cx="882595" cy="24039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633" cy="244489"/>
                    </a:xfrm>
                    <a:prstGeom prst="rect">
                      <a:avLst/>
                    </a:prstGeom>
                    <a:noFill/>
                    <a:ln>
                      <a:noFill/>
                    </a:ln>
                  </pic:spPr>
                </pic:pic>
              </a:graphicData>
            </a:graphic>
          </wp:inline>
        </w:drawing>
      </w:r>
    </w:p>
    <w:p w:rsidR="00A07778" w:rsidRPr="00727C2A" w:rsidRDefault="00A07778" w:rsidP="00727C2A">
      <w:pPr>
        <w:pStyle w:val="FootnoteText"/>
        <w:spacing w:after="0"/>
        <w:ind w:left="284" w:hanging="284"/>
        <w:rPr>
          <w:sz w:val="18"/>
          <w:szCs w:val="18"/>
        </w:rPr>
      </w:pPr>
      <w:r w:rsidRPr="00727C2A">
        <w:rPr>
          <w:noProof/>
          <w:sz w:val="18"/>
          <w:szCs w:val="18"/>
        </w:rPr>
        <w:drawing>
          <wp:inline distT="0" distB="0" distL="0" distR="0" wp14:anchorId="61F5E69B" wp14:editId="319CBF4C">
            <wp:extent cx="2178658" cy="17641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776" cy="178850"/>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78" w:rsidRDefault="00A07778">
    <w:pPr>
      <w:pStyle w:val="Header"/>
    </w:pPr>
  </w:p>
  <w:p w:rsidR="00A07778" w:rsidRDefault="00A07778">
    <w:pPr>
      <w:pStyle w:val="Header"/>
    </w:pPr>
  </w:p>
  <w:p w:rsidR="00A07778" w:rsidRDefault="00A0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center"/>
      <w:pPr>
        <w:tabs>
          <w:tab w:val="num" w:pos="648"/>
        </w:tabs>
        <w:ind w:left="0" w:firstLine="288"/>
      </w:pPr>
      <w:rPr>
        <w:b/>
        <w:i w:val="0"/>
      </w:r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00765ED9"/>
    <w:multiLevelType w:val="hybridMultilevel"/>
    <w:tmpl w:val="E750818C"/>
    <w:lvl w:ilvl="0" w:tplc="2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C3DD1"/>
    <w:multiLevelType w:val="hybridMultilevel"/>
    <w:tmpl w:val="6BF06B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DAB7FC9"/>
    <w:multiLevelType w:val="multilevel"/>
    <w:tmpl w:val="86FA8FCA"/>
    <w:lvl w:ilvl="0">
      <w:start w:val="1"/>
      <w:numFmt w:val="upperRoman"/>
      <w:lvlText w:val="%1."/>
      <w:lvlJc w:val="center"/>
      <w:pPr>
        <w:tabs>
          <w:tab w:val="num" w:pos="648"/>
        </w:tabs>
        <w:ind w:firstLine="288"/>
      </w:pPr>
      <w:rPr>
        <w:rFonts w:cs="Times New Roman"/>
        <w:b/>
        <w:bCs/>
        <w:i w:val="0"/>
        <w:iCs w:val="0"/>
      </w:rPr>
    </w:lvl>
    <w:lvl w:ilvl="1">
      <w:start w:val="1"/>
      <w:numFmt w:val="decimal"/>
      <w:isLgl/>
      <w:lvlText w:val="%1.%2"/>
      <w:lvlJc w:val="left"/>
      <w:pPr>
        <w:tabs>
          <w:tab w:val="num" w:pos="1080"/>
        </w:tabs>
        <w:ind w:left="1080" w:hanging="720"/>
      </w:pPr>
      <w:rPr>
        <w:rFonts w:cs="Times New Roman"/>
        <w:lang w:val="es-ES_tradnl"/>
      </w:rPr>
    </w:lvl>
    <w:lvl w:ilvl="2">
      <w:start w:val="1"/>
      <w:numFmt w:val="lowerLetter"/>
      <w:lvlText w:val="%3."/>
      <w:lvlJc w:val="left"/>
      <w:pPr>
        <w:tabs>
          <w:tab w:val="num" w:pos="1782"/>
        </w:tabs>
        <w:ind w:left="178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4">
    <w:nsid w:val="0EF02E03"/>
    <w:multiLevelType w:val="multilevel"/>
    <w:tmpl w:val="C7A215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3B9466B"/>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E3004"/>
    <w:multiLevelType w:val="hybridMultilevel"/>
    <w:tmpl w:val="9AB47264"/>
    <w:lvl w:ilvl="0" w:tplc="2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E5380"/>
    <w:multiLevelType w:val="multilevel"/>
    <w:tmpl w:val="56209F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7E03F1"/>
    <w:multiLevelType w:val="multilevel"/>
    <w:tmpl w:val="C86A136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676"/>
        </w:tabs>
        <w:ind w:left="676" w:hanging="576"/>
      </w:pPr>
      <w:rPr>
        <w:rFonts w:hint="default"/>
        <w:sz w:val="22"/>
        <w:szCs w:val="22"/>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CF3512"/>
    <w:multiLevelType w:val="hybridMultilevel"/>
    <w:tmpl w:val="50927EF6"/>
    <w:lvl w:ilvl="0" w:tplc="A922076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1AF4CE7"/>
    <w:multiLevelType w:val="hybridMultilevel"/>
    <w:tmpl w:val="89C4A796"/>
    <w:lvl w:ilvl="0" w:tplc="A04613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4DB64AE"/>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8D7FF4"/>
    <w:multiLevelType w:val="hybridMultilevel"/>
    <w:tmpl w:val="89061D10"/>
    <w:lvl w:ilvl="0" w:tplc="F912D4A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75D3599"/>
    <w:multiLevelType w:val="multilevel"/>
    <w:tmpl w:val="C28CF754"/>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4">
    <w:nsid w:val="37C37286"/>
    <w:multiLevelType w:val="multilevel"/>
    <w:tmpl w:val="19F63D0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5">
    <w:nsid w:val="389274AC"/>
    <w:multiLevelType w:val="hybridMultilevel"/>
    <w:tmpl w:val="0DF84DE0"/>
    <w:lvl w:ilvl="0" w:tplc="7578EC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C9E2CB7"/>
    <w:multiLevelType w:val="hybridMultilevel"/>
    <w:tmpl w:val="EC3AF114"/>
    <w:lvl w:ilvl="0" w:tplc="43547892">
      <w:start w:val="1"/>
      <w:numFmt w:val="decimal"/>
      <w:lvlText w:val="(%1)"/>
      <w:lvlJc w:val="left"/>
      <w:pPr>
        <w:ind w:left="720" w:hanging="360"/>
      </w:pPr>
      <w:rPr>
        <w:rFonts w:hint="default"/>
        <w:color w:val="00000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3C64687"/>
    <w:multiLevelType w:val="hybridMultilevel"/>
    <w:tmpl w:val="EDC072A2"/>
    <w:lvl w:ilvl="0" w:tplc="CC267048">
      <w:start w:val="5"/>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F81C5F"/>
    <w:multiLevelType w:val="hybridMultilevel"/>
    <w:tmpl w:val="21B45B9C"/>
    <w:lvl w:ilvl="0" w:tplc="837E2116">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6C009AC"/>
    <w:multiLevelType w:val="multilevel"/>
    <w:tmpl w:val="C7A215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98B0F75"/>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DA5B92"/>
    <w:multiLevelType w:val="multilevel"/>
    <w:tmpl w:val="F0E2BAAE"/>
    <w:lvl w:ilvl="0">
      <w:start w:val="1"/>
      <w:numFmt w:val="decimal"/>
      <w:pStyle w:val="SPLAP1"/>
      <w:lvlText w:val="%1."/>
      <w:lvlJc w:val="left"/>
      <w:pPr>
        <w:tabs>
          <w:tab w:val="num" w:pos="360"/>
        </w:tabs>
        <w:ind w:left="360" w:hanging="360"/>
      </w:pPr>
      <w:rPr>
        <w:rFonts w:ascii="Arial" w:hAnsi="Arial" w:hint="default"/>
        <w:b/>
      </w:rPr>
    </w:lvl>
    <w:lvl w:ilvl="1">
      <w:start w:val="1"/>
      <w:numFmt w:val="decimal"/>
      <w:pStyle w:val="SPLAP2"/>
      <w:lvlText w:val="%1.%2."/>
      <w:lvlJc w:val="left"/>
      <w:pPr>
        <w:tabs>
          <w:tab w:val="num" w:pos="720"/>
        </w:tabs>
        <w:ind w:left="432" w:hanging="432"/>
      </w:pPr>
      <w:rPr>
        <w:rFonts w:hint="default"/>
      </w:rPr>
    </w:lvl>
    <w:lvl w:ilvl="2">
      <w:start w:val="1"/>
      <w:numFmt w:val="decimal"/>
      <w:pStyle w:val="SPLAP3"/>
      <w:lvlText w:val="%1.%2.%3."/>
      <w:lvlJc w:val="left"/>
      <w:pPr>
        <w:tabs>
          <w:tab w:val="num" w:pos="2139"/>
        </w:tabs>
        <w:ind w:left="192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113066C"/>
    <w:multiLevelType w:val="hybridMultilevel"/>
    <w:tmpl w:val="D8B65B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41C100A"/>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D03768F"/>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D1E1C4B"/>
    <w:multiLevelType w:val="hybridMultilevel"/>
    <w:tmpl w:val="D8B65B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EDC655C"/>
    <w:multiLevelType w:val="hybridMultilevel"/>
    <w:tmpl w:val="D4484ABE"/>
    <w:lvl w:ilvl="0" w:tplc="D69A84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07B06BA"/>
    <w:multiLevelType w:val="hybridMultilevel"/>
    <w:tmpl w:val="57B4FA94"/>
    <w:lvl w:ilvl="0" w:tplc="FBD2430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621B6F92"/>
    <w:multiLevelType w:val="hybridMultilevel"/>
    <w:tmpl w:val="1C9250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AE40554"/>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B736B3D"/>
    <w:multiLevelType w:val="hybridMultilevel"/>
    <w:tmpl w:val="9B3CE1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BAD1D55"/>
    <w:multiLevelType w:val="multilevel"/>
    <w:tmpl w:val="C0BC866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B23436"/>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23454D"/>
    <w:multiLevelType w:val="multilevel"/>
    <w:tmpl w:val="2806EBF4"/>
    <w:lvl w:ilvl="0">
      <w:start w:val="1"/>
      <w:numFmt w:val="upperRoman"/>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33A52BD"/>
    <w:multiLevelType w:val="hybridMultilevel"/>
    <w:tmpl w:val="9EAEFB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7762D4A"/>
    <w:multiLevelType w:val="hybridMultilevel"/>
    <w:tmpl w:val="9B8CD4C4"/>
    <w:lvl w:ilvl="0" w:tplc="137E48EA">
      <w:start w:val="1"/>
      <w:numFmt w:val="decimal"/>
      <w:lvlText w:val="%1)"/>
      <w:lvlJc w:val="left"/>
      <w:pPr>
        <w:ind w:left="720" w:hanging="360"/>
      </w:pPr>
      <w:rPr>
        <w:rFonts w:hint="default"/>
        <w:color w:val="00000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E3F0EC1"/>
    <w:multiLevelType w:val="hybridMultilevel"/>
    <w:tmpl w:val="DE2827D0"/>
    <w:lvl w:ilvl="0" w:tplc="F29049B4">
      <w:start w:val="2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E751170"/>
    <w:multiLevelType w:val="hybridMultilevel"/>
    <w:tmpl w:val="1C9250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1"/>
  </w:num>
  <w:num w:numId="3">
    <w:abstractNumId w:val="26"/>
  </w:num>
  <w:num w:numId="4">
    <w:abstractNumId w:val="19"/>
  </w:num>
  <w:num w:numId="5">
    <w:abstractNumId w:val="8"/>
  </w:num>
  <w:num w:numId="6">
    <w:abstractNumId w:val="28"/>
  </w:num>
  <w:num w:numId="7">
    <w:abstractNumId w:val="27"/>
  </w:num>
  <w:num w:numId="8">
    <w:abstractNumId w:val="14"/>
  </w:num>
  <w:num w:numId="9">
    <w:abstractNumId w:val="13"/>
  </w:num>
  <w:num w:numId="10">
    <w:abstractNumId w:val="20"/>
  </w:num>
  <w:num w:numId="11">
    <w:abstractNumId w:val="29"/>
  </w:num>
  <w:num w:numId="12">
    <w:abstractNumId w:val="24"/>
  </w:num>
  <w:num w:numId="13">
    <w:abstractNumId w:val="37"/>
  </w:num>
  <w:num w:numId="14">
    <w:abstractNumId w:val="6"/>
  </w:num>
  <w:num w:numId="15">
    <w:abstractNumId w:val="1"/>
  </w:num>
  <w:num w:numId="16">
    <w:abstractNumId w:val="2"/>
  </w:num>
  <w:num w:numId="17">
    <w:abstractNumId w:val="10"/>
  </w:num>
  <w:num w:numId="18">
    <w:abstractNumId w:val="15"/>
  </w:num>
  <w:num w:numId="19">
    <w:abstractNumId w:val="23"/>
  </w:num>
  <w:num w:numId="20">
    <w:abstractNumId w:val="31"/>
  </w:num>
  <w:num w:numId="21">
    <w:abstractNumId w:val="11"/>
  </w:num>
  <w:num w:numId="22">
    <w:abstractNumId w:val="12"/>
  </w:num>
  <w:num w:numId="23">
    <w:abstractNumId w:val="9"/>
  </w:num>
  <w:num w:numId="24">
    <w:abstractNumId w:val="33"/>
  </w:num>
  <w:num w:numId="25">
    <w:abstractNumId w:val="17"/>
  </w:num>
  <w:num w:numId="26">
    <w:abstractNumId w:val="18"/>
  </w:num>
  <w:num w:numId="27">
    <w:abstractNumId w:val="30"/>
  </w:num>
  <w:num w:numId="28">
    <w:abstractNumId w:val="25"/>
  </w:num>
  <w:num w:numId="29">
    <w:abstractNumId w:val="34"/>
  </w:num>
  <w:num w:numId="30">
    <w:abstractNumId w:val="22"/>
  </w:num>
  <w:num w:numId="31">
    <w:abstractNumId w:val="3"/>
  </w:num>
  <w:num w:numId="32">
    <w:abstractNumId w:val="14"/>
  </w:num>
  <w:num w:numId="33">
    <w:abstractNumId w:val="5"/>
  </w:num>
  <w:num w:numId="34">
    <w:abstractNumId w:val="36"/>
  </w:num>
  <w:num w:numId="35">
    <w:abstractNumId w:val="35"/>
  </w:num>
  <w:num w:numId="36">
    <w:abstractNumId w:val="16"/>
  </w:num>
  <w:num w:numId="37">
    <w:abstractNumId w:val="7"/>
  </w:num>
  <w:num w:numId="38">
    <w:abstractNumId w:val="32"/>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3F"/>
    <w:rsid w:val="000013B0"/>
    <w:rsid w:val="0000289A"/>
    <w:rsid w:val="00002A36"/>
    <w:rsid w:val="00002E81"/>
    <w:rsid w:val="000035A6"/>
    <w:rsid w:val="00003A3A"/>
    <w:rsid w:val="0001021A"/>
    <w:rsid w:val="00012304"/>
    <w:rsid w:val="00013786"/>
    <w:rsid w:val="00014C1A"/>
    <w:rsid w:val="0001557A"/>
    <w:rsid w:val="000161D6"/>
    <w:rsid w:val="00017171"/>
    <w:rsid w:val="00017858"/>
    <w:rsid w:val="00017ADA"/>
    <w:rsid w:val="000205B8"/>
    <w:rsid w:val="00020B70"/>
    <w:rsid w:val="00022973"/>
    <w:rsid w:val="0002351C"/>
    <w:rsid w:val="00024FF6"/>
    <w:rsid w:val="00025073"/>
    <w:rsid w:val="0002538C"/>
    <w:rsid w:val="0002543B"/>
    <w:rsid w:val="00025B27"/>
    <w:rsid w:val="00026591"/>
    <w:rsid w:val="00026908"/>
    <w:rsid w:val="00026DDF"/>
    <w:rsid w:val="00027651"/>
    <w:rsid w:val="00027CC7"/>
    <w:rsid w:val="0003089C"/>
    <w:rsid w:val="00030E41"/>
    <w:rsid w:val="00031571"/>
    <w:rsid w:val="000318F6"/>
    <w:rsid w:val="00033C06"/>
    <w:rsid w:val="00033F9D"/>
    <w:rsid w:val="000354C1"/>
    <w:rsid w:val="00037FDC"/>
    <w:rsid w:val="000410D7"/>
    <w:rsid w:val="000435B8"/>
    <w:rsid w:val="00044543"/>
    <w:rsid w:val="00046193"/>
    <w:rsid w:val="00046536"/>
    <w:rsid w:val="0004679F"/>
    <w:rsid w:val="000477C2"/>
    <w:rsid w:val="000479AB"/>
    <w:rsid w:val="00047CBA"/>
    <w:rsid w:val="000522E7"/>
    <w:rsid w:val="00052CA6"/>
    <w:rsid w:val="00053CE0"/>
    <w:rsid w:val="00055DFD"/>
    <w:rsid w:val="00056693"/>
    <w:rsid w:val="000573FF"/>
    <w:rsid w:val="00057D19"/>
    <w:rsid w:val="00060771"/>
    <w:rsid w:val="00060CD8"/>
    <w:rsid w:val="00062F1C"/>
    <w:rsid w:val="000638A9"/>
    <w:rsid w:val="00065C79"/>
    <w:rsid w:val="00067AB6"/>
    <w:rsid w:val="0007138C"/>
    <w:rsid w:val="00071E19"/>
    <w:rsid w:val="00072D25"/>
    <w:rsid w:val="00072DC3"/>
    <w:rsid w:val="00073033"/>
    <w:rsid w:val="00073229"/>
    <w:rsid w:val="00073269"/>
    <w:rsid w:val="00075595"/>
    <w:rsid w:val="000769BA"/>
    <w:rsid w:val="00076A4A"/>
    <w:rsid w:val="00077B0E"/>
    <w:rsid w:val="00077D56"/>
    <w:rsid w:val="0008094D"/>
    <w:rsid w:val="0008131C"/>
    <w:rsid w:val="00081504"/>
    <w:rsid w:val="000818E3"/>
    <w:rsid w:val="000820CF"/>
    <w:rsid w:val="000821C6"/>
    <w:rsid w:val="000822B7"/>
    <w:rsid w:val="000827C0"/>
    <w:rsid w:val="0008354C"/>
    <w:rsid w:val="000842E8"/>
    <w:rsid w:val="00085D5D"/>
    <w:rsid w:val="000863A4"/>
    <w:rsid w:val="000864DA"/>
    <w:rsid w:val="00086CFA"/>
    <w:rsid w:val="000875A4"/>
    <w:rsid w:val="00087696"/>
    <w:rsid w:val="00087933"/>
    <w:rsid w:val="000879A2"/>
    <w:rsid w:val="00090A7E"/>
    <w:rsid w:val="00090FFC"/>
    <w:rsid w:val="00091222"/>
    <w:rsid w:val="00092AC6"/>
    <w:rsid w:val="00093AD7"/>
    <w:rsid w:val="00093B1B"/>
    <w:rsid w:val="00097604"/>
    <w:rsid w:val="00097D9C"/>
    <w:rsid w:val="000A09C7"/>
    <w:rsid w:val="000A0C87"/>
    <w:rsid w:val="000A0DBA"/>
    <w:rsid w:val="000A1397"/>
    <w:rsid w:val="000A1DEA"/>
    <w:rsid w:val="000A1E58"/>
    <w:rsid w:val="000A2DA5"/>
    <w:rsid w:val="000A38CF"/>
    <w:rsid w:val="000A52E0"/>
    <w:rsid w:val="000A547C"/>
    <w:rsid w:val="000A68E3"/>
    <w:rsid w:val="000A6E9F"/>
    <w:rsid w:val="000A7278"/>
    <w:rsid w:val="000B0BFF"/>
    <w:rsid w:val="000B0C14"/>
    <w:rsid w:val="000B2616"/>
    <w:rsid w:val="000B43CE"/>
    <w:rsid w:val="000B4DB4"/>
    <w:rsid w:val="000B5501"/>
    <w:rsid w:val="000B5E8F"/>
    <w:rsid w:val="000C022B"/>
    <w:rsid w:val="000C0D88"/>
    <w:rsid w:val="000C1D24"/>
    <w:rsid w:val="000C246F"/>
    <w:rsid w:val="000C4A33"/>
    <w:rsid w:val="000C4BF1"/>
    <w:rsid w:val="000C5CAD"/>
    <w:rsid w:val="000C6719"/>
    <w:rsid w:val="000C7DD3"/>
    <w:rsid w:val="000D00C2"/>
    <w:rsid w:val="000D0C18"/>
    <w:rsid w:val="000D14DF"/>
    <w:rsid w:val="000D1637"/>
    <w:rsid w:val="000D2138"/>
    <w:rsid w:val="000D2F32"/>
    <w:rsid w:val="000D3B2B"/>
    <w:rsid w:val="000D3D24"/>
    <w:rsid w:val="000D53FF"/>
    <w:rsid w:val="000D555B"/>
    <w:rsid w:val="000D5877"/>
    <w:rsid w:val="000D606F"/>
    <w:rsid w:val="000D64AE"/>
    <w:rsid w:val="000D6F06"/>
    <w:rsid w:val="000D7869"/>
    <w:rsid w:val="000E1509"/>
    <w:rsid w:val="000E2C42"/>
    <w:rsid w:val="000E46F1"/>
    <w:rsid w:val="000E5583"/>
    <w:rsid w:val="000E59B4"/>
    <w:rsid w:val="000E65C1"/>
    <w:rsid w:val="000E66CD"/>
    <w:rsid w:val="000E78D7"/>
    <w:rsid w:val="000F26E2"/>
    <w:rsid w:val="000F281D"/>
    <w:rsid w:val="000F38FB"/>
    <w:rsid w:val="000F5078"/>
    <w:rsid w:val="000F5A9B"/>
    <w:rsid w:val="000F73A1"/>
    <w:rsid w:val="00100871"/>
    <w:rsid w:val="0010137A"/>
    <w:rsid w:val="0010231E"/>
    <w:rsid w:val="00103725"/>
    <w:rsid w:val="00104428"/>
    <w:rsid w:val="0010503C"/>
    <w:rsid w:val="001054C1"/>
    <w:rsid w:val="00105EE3"/>
    <w:rsid w:val="0010764E"/>
    <w:rsid w:val="00107B3F"/>
    <w:rsid w:val="001100E5"/>
    <w:rsid w:val="001131B4"/>
    <w:rsid w:val="00113E9B"/>
    <w:rsid w:val="001141F2"/>
    <w:rsid w:val="001145D5"/>
    <w:rsid w:val="0011699B"/>
    <w:rsid w:val="001176A3"/>
    <w:rsid w:val="001177D2"/>
    <w:rsid w:val="00117A14"/>
    <w:rsid w:val="001200F7"/>
    <w:rsid w:val="0012073F"/>
    <w:rsid w:val="00121561"/>
    <w:rsid w:val="0012167B"/>
    <w:rsid w:val="00121D70"/>
    <w:rsid w:val="0012252C"/>
    <w:rsid w:val="00122E20"/>
    <w:rsid w:val="00125280"/>
    <w:rsid w:val="00125AB1"/>
    <w:rsid w:val="0012755E"/>
    <w:rsid w:val="00130605"/>
    <w:rsid w:val="00133F6A"/>
    <w:rsid w:val="00135662"/>
    <w:rsid w:val="001357A0"/>
    <w:rsid w:val="001363C5"/>
    <w:rsid w:val="001378AB"/>
    <w:rsid w:val="00137D60"/>
    <w:rsid w:val="0014140B"/>
    <w:rsid w:val="0014338B"/>
    <w:rsid w:val="00150E9B"/>
    <w:rsid w:val="00150FE6"/>
    <w:rsid w:val="0015137F"/>
    <w:rsid w:val="001518C4"/>
    <w:rsid w:val="00152929"/>
    <w:rsid w:val="0015573D"/>
    <w:rsid w:val="00160470"/>
    <w:rsid w:val="001604E1"/>
    <w:rsid w:val="001610D3"/>
    <w:rsid w:val="00161294"/>
    <w:rsid w:val="00161452"/>
    <w:rsid w:val="00163019"/>
    <w:rsid w:val="001633EB"/>
    <w:rsid w:val="00164114"/>
    <w:rsid w:val="0016432C"/>
    <w:rsid w:val="001652C9"/>
    <w:rsid w:val="00165D2F"/>
    <w:rsid w:val="00170099"/>
    <w:rsid w:val="001709D7"/>
    <w:rsid w:val="001717E8"/>
    <w:rsid w:val="00171B63"/>
    <w:rsid w:val="00172654"/>
    <w:rsid w:val="00172683"/>
    <w:rsid w:val="00173AC0"/>
    <w:rsid w:val="001740A8"/>
    <w:rsid w:val="001743BD"/>
    <w:rsid w:val="00174D47"/>
    <w:rsid w:val="001752C6"/>
    <w:rsid w:val="001778BD"/>
    <w:rsid w:val="0018001F"/>
    <w:rsid w:val="00181BE2"/>
    <w:rsid w:val="00181C6D"/>
    <w:rsid w:val="001821D3"/>
    <w:rsid w:val="001821EE"/>
    <w:rsid w:val="001823F0"/>
    <w:rsid w:val="00186005"/>
    <w:rsid w:val="001862D7"/>
    <w:rsid w:val="0018746D"/>
    <w:rsid w:val="00190141"/>
    <w:rsid w:val="00190463"/>
    <w:rsid w:val="00190C80"/>
    <w:rsid w:val="00191A4D"/>
    <w:rsid w:val="00193100"/>
    <w:rsid w:val="00193214"/>
    <w:rsid w:val="001934FB"/>
    <w:rsid w:val="00193B4A"/>
    <w:rsid w:val="0019459A"/>
    <w:rsid w:val="00195A5B"/>
    <w:rsid w:val="00195C9B"/>
    <w:rsid w:val="00197383"/>
    <w:rsid w:val="00197BB7"/>
    <w:rsid w:val="001A011F"/>
    <w:rsid w:val="001A1248"/>
    <w:rsid w:val="001A1655"/>
    <w:rsid w:val="001A1A4E"/>
    <w:rsid w:val="001A1C35"/>
    <w:rsid w:val="001A2920"/>
    <w:rsid w:val="001A2C9C"/>
    <w:rsid w:val="001A3202"/>
    <w:rsid w:val="001A345D"/>
    <w:rsid w:val="001A38F9"/>
    <w:rsid w:val="001A3AB3"/>
    <w:rsid w:val="001A4E89"/>
    <w:rsid w:val="001B1807"/>
    <w:rsid w:val="001B5BFF"/>
    <w:rsid w:val="001B675A"/>
    <w:rsid w:val="001B6C6B"/>
    <w:rsid w:val="001B73FF"/>
    <w:rsid w:val="001B7DF2"/>
    <w:rsid w:val="001C0264"/>
    <w:rsid w:val="001C33D2"/>
    <w:rsid w:val="001C3A24"/>
    <w:rsid w:val="001C4C28"/>
    <w:rsid w:val="001C4FB2"/>
    <w:rsid w:val="001C58B4"/>
    <w:rsid w:val="001C5A86"/>
    <w:rsid w:val="001C5E2C"/>
    <w:rsid w:val="001C5F18"/>
    <w:rsid w:val="001C6396"/>
    <w:rsid w:val="001C7958"/>
    <w:rsid w:val="001D0298"/>
    <w:rsid w:val="001D0658"/>
    <w:rsid w:val="001D080A"/>
    <w:rsid w:val="001D0D0A"/>
    <w:rsid w:val="001D0D48"/>
    <w:rsid w:val="001D0E95"/>
    <w:rsid w:val="001D11AA"/>
    <w:rsid w:val="001D136A"/>
    <w:rsid w:val="001D1469"/>
    <w:rsid w:val="001D159A"/>
    <w:rsid w:val="001D3F7B"/>
    <w:rsid w:val="001D45B1"/>
    <w:rsid w:val="001D502F"/>
    <w:rsid w:val="001D54F4"/>
    <w:rsid w:val="001D5978"/>
    <w:rsid w:val="001D6564"/>
    <w:rsid w:val="001D66D9"/>
    <w:rsid w:val="001D69FA"/>
    <w:rsid w:val="001D7088"/>
    <w:rsid w:val="001D7C0C"/>
    <w:rsid w:val="001E1276"/>
    <w:rsid w:val="001E1D12"/>
    <w:rsid w:val="001E3077"/>
    <w:rsid w:val="001E316D"/>
    <w:rsid w:val="001E3DAF"/>
    <w:rsid w:val="001E40B2"/>
    <w:rsid w:val="001E4865"/>
    <w:rsid w:val="001E4B0C"/>
    <w:rsid w:val="001E4DEF"/>
    <w:rsid w:val="001E64DF"/>
    <w:rsid w:val="001E69AB"/>
    <w:rsid w:val="001E6EC7"/>
    <w:rsid w:val="001E713A"/>
    <w:rsid w:val="001E7353"/>
    <w:rsid w:val="001E740A"/>
    <w:rsid w:val="001E7CB0"/>
    <w:rsid w:val="001F0B2F"/>
    <w:rsid w:val="001F0DE0"/>
    <w:rsid w:val="001F0EB9"/>
    <w:rsid w:val="001F1AD7"/>
    <w:rsid w:val="001F22B7"/>
    <w:rsid w:val="001F245C"/>
    <w:rsid w:val="001F2E21"/>
    <w:rsid w:val="001F2EFA"/>
    <w:rsid w:val="001F3758"/>
    <w:rsid w:val="001F3957"/>
    <w:rsid w:val="001F3B2E"/>
    <w:rsid w:val="001F3D7A"/>
    <w:rsid w:val="001F5F2D"/>
    <w:rsid w:val="001F62CD"/>
    <w:rsid w:val="001F6845"/>
    <w:rsid w:val="00200173"/>
    <w:rsid w:val="00202298"/>
    <w:rsid w:val="00204003"/>
    <w:rsid w:val="0020443C"/>
    <w:rsid w:val="0020445E"/>
    <w:rsid w:val="002050A0"/>
    <w:rsid w:val="00205252"/>
    <w:rsid w:val="002060F2"/>
    <w:rsid w:val="00206AEC"/>
    <w:rsid w:val="002070B9"/>
    <w:rsid w:val="0020770C"/>
    <w:rsid w:val="00207B49"/>
    <w:rsid w:val="002110F3"/>
    <w:rsid w:val="00212460"/>
    <w:rsid w:val="00214BDB"/>
    <w:rsid w:val="002159AE"/>
    <w:rsid w:val="002163E3"/>
    <w:rsid w:val="00216D0C"/>
    <w:rsid w:val="00217784"/>
    <w:rsid w:val="00217CF5"/>
    <w:rsid w:val="00220498"/>
    <w:rsid w:val="00220525"/>
    <w:rsid w:val="002209DE"/>
    <w:rsid w:val="00220B44"/>
    <w:rsid w:val="00220B4C"/>
    <w:rsid w:val="002215AD"/>
    <w:rsid w:val="00222742"/>
    <w:rsid w:val="0022295B"/>
    <w:rsid w:val="0022409C"/>
    <w:rsid w:val="00224EC2"/>
    <w:rsid w:val="00225323"/>
    <w:rsid w:val="00226029"/>
    <w:rsid w:val="00227EDE"/>
    <w:rsid w:val="0023032B"/>
    <w:rsid w:val="00230A38"/>
    <w:rsid w:val="00230B7E"/>
    <w:rsid w:val="00231271"/>
    <w:rsid w:val="0023133A"/>
    <w:rsid w:val="00231C04"/>
    <w:rsid w:val="00232F5A"/>
    <w:rsid w:val="00233759"/>
    <w:rsid w:val="00233DCF"/>
    <w:rsid w:val="002343B5"/>
    <w:rsid w:val="00235BBF"/>
    <w:rsid w:val="00240A70"/>
    <w:rsid w:val="00241C40"/>
    <w:rsid w:val="00243CDA"/>
    <w:rsid w:val="002446E0"/>
    <w:rsid w:val="0024509F"/>
    <w:rsid w:val="002461AD"/>
    <w:rsid w:val="00246811"/>
    <w:rsid w:val="0024763F"/>
    <w:rsid w:val="00251C46"/>
    <w:rsid w:val="002532CC"/>
    <w:rsid w:val="00253364"/>
    <w:rsid w:val="00254A58"/>
    <w:rsid w:val="00254F6D"/>
    <w:rsid w:val="002566CE"/>
    <w:rsid w:val="00256B75"/>
    <w:rsid w:val="002573BD"/>
    <w:rsid w:val="00257AA5"/>
    <w:rsid w:val="00260A1C"/>
    <w:rsid w:val="00260EE9"/>
    <w:rsid w:val="00263BE9"/>
    <w:rsid w:val="00264092"/>
    <w:rsid w:val="002646FE"/>
    <w:rsid w:val="00264AC8"/>
    <w:rsid w:val="00264BAE"/>
    <w:rsid w:val="00270E07"/>
    <w:rsid w:val="002712CB"/>
    <w:rsid w:val="00271E8A"/>
    <w:rsid w:val="0027371D"/>
    <w:rsid w:val="00273E11"/>
    <w:rsid w:val="00274669"/>
    <w:rsid w:val="00274740"/>
    <w:rsid w:val="00274988"/>
    <w:rsid w:val="00275057"/>
    <w:rsid w:val="00275549"/>
    <w:rsid w:val="0027593D"/>
    <w:rsid w:val="00275D62"/>
    <w:rsid w:val="00276197"/>
    <w:rsid w:val="0027702F"/>
    <w:rsid w:val="002800F9"/>
    <w:rsid w:val="00280831"/>
    <w:rsid w:val="00280AE8"/>
    <w:rsid w:val="0028221A"/>
    <w:rsid w:val="002842DB"/>
    <w:rsid w:val="00285011"/>
    <w:rsid w:val="00285A4D"/>
    <w:rsid w:val="00286279"/>
    <w:rsid w:val="00286B6B"/>
    <w:rsid w:val="00287686"/>
    <w:rsid w:val="00287A31"/>
    <w:rsid w:val="002909FA"/>
    <w:rsid w:val="00290FFD"/>
    <w:rsid w:val="00291AFF"/>
    <w:rsid w:val="00292B55"/>
    <w:rsid w:val="002933A5"/>
    <w:rsid w:val="00293F55"/>
    <w:rsid w:val="0029558C"/>
    <w:rsid w:val="00295F8A"/>
    <w:rsid w:val="002A0175"/>
    <w:rsid w:val="002A0997"/>
    <w:rsid w:val="002A323B"/>
    <w:rsid w:val="002A3266"/>
    <w:rsid w:val="002A5559"/>
    <w:rsid w:val="002A5667"/>
    <w:rsid w:val="002A696D"/>
    <w:rsid w:val="002A7005"/>
    <w:rsid w:val="002B000F"/>
    <w:rsid w:val="002B0646"/>
    <w:rsid w:val="002B148C"/>
    <w:rsid w:val="002B1544"/>
    <w:rsid w:val="002B172C"/>
    <w:rsid w:val="002B1A35"/>
    <w:rsid w:val="002B30A7"/>
    <w:rsid w:val="002B33B6"/>
    <w:rsid w:val="002B48DA"/>
    <w:rsid w:val="002B4BF0"/>
    <w:rsid w:val="002B6D13"/>
    <w:rsid w:val="002B7766"/>
    <w:rsid w:val="002B7888"/>
    <w:rsid w:val="002C06F9"/>
    <w:rsid w:val="002C0887"/>
    <w:rsid w:val="002C0C7F"/>
    <w:rsid w:val="002C1B74"/>
    <w:rsid w:val="002C1FE5"/>
    <w:rsid w:val="002C264A"/>
    <w:rsid w:val="002C2B98"/>
    <w:rsid w:val="002C332E"/>
    <w:rsid w:val="002C3648"/>
    <w:rsid w:val="002C5931"/>
    <w:rsid w:val="002C6548"/>
    <w:rsid w:val="002C6D55"/>
    <w:rsid w:val="002C733C"/>
    <w:rsid w:val="002D0860"/>
    <w:rsid w:val="002D194E"/>
    <w:rsid w:val="002D253F"/>
    <w:rsid w:val="002D2DE2"/>
    <w:rsid w:val="002D3D6D"/>
    <w:rsid w:val="002D532F"/>
    <w:rsid w:val="002D5392"/>
    <w:rsid w:val="002D5A9B"/>
    <w:rsid w:val="002D610A"/>
    <w:rsid w:val="002D7297"/>
    <w:rsid w:val="002E0098"/>
    <w:rsid w:val="002E0F65"/>
    <w:rsid w:val="002E2A9A"/>
    <w:rsid w:val="002E51DF"/>
    <w:rsid w:val="002E550E"/>
    <w:rsid w:val="002E60D1"/>
    <w:rsid w:val="002E74A0"/>
    <w:rsid w:val="002E7A8B"/>
    <w:rsid w:val="002F12ED"/>
    <w:rsid w:val="002F30D4"/>
    <w:rsid w:val="002F601F"/>
    <w:rsid w:val="00300B2F"/>
    <w:rsid w:val="003031E7"/>
    <w:rsid w:val="0030477C"/>
    <w:rsid w:val="00306AA0"/>
    <w:rsid w:val="00306E7F"/>
    <w:rsid w:val="00307E5B"/>
    <w:rsid w:val="00311D45"/>
    <w:rsid w:val="003121BC"/>
    <w:rsid w:val="0031315C"/>
    <w:rsid w:val="00313A20"/>
    <w:rsid w:val="0031425D"/>
    <w:rsid w:val="003145D6"/>
    <w:rsid w:val="003165CB"/>
    <w:rsid w:val="00316B4C"/>
    <w:rsid w:val="0031775D"/>
    <w:rsid w:val="00320227"/>
    <w:rsid w:val="00321173"/>
    <w:rsid w:val="00321B5E"/>
    <w:rsid w:val="003224F2"/>
    <w:rsid w:val="00322AC0"/>
    <w:rsid w:val="00322EF2"/>
    <w:rsid w:val="003236BD"/>
    <w:rsid w:val="00324361"/>
    <w:rsid w:val="0032481F"/>
    <w:rsid w:val="0032561B"/>
    <w:rsid w:val="00325AF3"/>
    <w:rsid w:val="003322E9"/>
    <w:rsid w:val="00332C65"/>
    <w:rsid w:val="0033386B"/>
    <w:rsid w:val="00334211"/>
    <w:rsid w:val="003343FC"/>
    <w:rsid w:val="00335190"/>
    <w:rsid w:val="00335D8F"/>
    <w:rsid w:val="00335EBF"/>
    <w:rsid w:val="0033632C"/>
    <w:rsid w:val="00336BBF"/>
    <w:rsid w:val="00336BEE"/>
    <w:rsid w:val="00336E79"/>
    <w:rsid w:val="00337F32"/>
    <w:rsid w:val="00340CBF"/>
    <w:rsid w:val="00341D31"/>
    <w:rsid w:val="00341E88"/>
    <w:rsid w:val="00343142"/>
    <w:rsid w:val="0034426D"/>
    <w:rsid w:val="0034498C"/>
    <w:rsid w:val="0034551B"/>
    <w:rsid w:val="003470C2"/>
    <w:rsid w:val="0034753A"/>
    <w:rsid w:val="00347AC5"/>
    <w:rsid w:val="00347D22"/>
    <w:rsid w:val="00350D6C"/>
    <w:rsid w:val="00351116"/>
    <w:rsid w:val="00352E55"/>
    <w:rsid w:val="00353A96"/>
    <w:rsid w:val="00353E2D"/>
    <w:rsid w:val="00353E94"/>
    <w:rsid w:val="00353F0F"/>
    <w:rsid w:val="0035451A"/>
    <w:rsid w:val="00354A2E"/>
    <w:rsid w:val="0035629B"/>
    <w:rsid w:val="003571F5"/>
    <w:rsid w:val="00357F4F"/>
    <w:rsid w:val="00357FDC"/>
    <w:rsid w:val="00360606"/>
    <w:rsid w:val="00361670"/>
    <w:rsid w:val="00362A45"/>
    <w:rsid w:val="00362B6A"/>
    <w:rsid w:val="00364C1D"/>
    <w:rsid w:val="00364CF9"/>
    <w:rsid w:val="0037133A"/>
    <w:rsid w:val="00371621"/>
    <w:rsid w:val="00371ACB"/>
    <w:rsid w:val="003722F0"/>
    <w:rsid w:val="00372ABF"/>
    <w:rsid w:val="00372E15"/>
    <w:rsid w:val="003732C0"/>
    <w:rsid w:val="0037348A"/>
    <w:rsid w:val="00376D49"/>
    <w:rsid w:val="00376E1A"/>
    <w:rsid w:val="00377150"/>
    <w:rsid w:val="00377E06"/>
    <w:rsid w:val="00381309"/>
    <w:rsid w:val="00381360"/>
    <w:rsid w:val="003819C5"/>
    <w:rsid w:val="003821F6"/>
    <w:rsid w:val="00382682"/>
    <w:rsid w:val="003826E0"/>
    <w:rsid w:val="003840DB"/>
    <w:rsid w:val="003863FE"/>
    <w:rsid w:val="003902C5"/>
    <w:rsid w:val="003919D7"/>
    <w:rsid w:val="0039260C"/>
    <w:rsid w:val="003926E5"/>
    <w:rsid w:val="00392780"/>
    <w:rsid w:val="003932C9"/>
    <w:rsid w:val="003936AD"/>
    <w:rsid w:val="003937F2"/>
    <w:rsid w:val="003940AD"/>
    <w:rsid w:val="00394841"/>
    <w:rsid w:val="00395F0B"/>
    <w:rsid w:val="00396232"/>
    <w:rsid w:val="003A0146"/>
    <w:rsid w:val="003A096F"/>
    <w:rsid w:val="003A0E49"/>
    <w:rsid w:val="003A139B"/>
    <w:rsid w:val="003A1A4D"/>
    <w:rsid w:val="003A1C0A"/>
    <w:rsid w:val="003A5581"/>
    <w:rsid w:val="003A5ABC"/>
    <w:rsid w:val="003A6E59"/>
    <w:rsid w:val="003B0C07"/>
    <w:rsid w:val="003B15FD"/>
    <w:rsid w:val="003B25C9"/>
    <w:rsid w:val="003B3270"/>
    <w:rsid w:val="003B39A9"/>
    <w:rsid w:val="003B3B19"/>
    <w:rsid w:val="003B3E23"/>
    <w:rsid w:val="003B5394"/>
    <w:rsid w:val="003B5AA2"/>
    <w:rsid w:val="003B5ED3"/>
    <w:rsid w:val="003B5F6B"/>
    <w:rsid w:val="003B6FEE"/>
    <w:rsid w:val="003C0AC6"/>
    <w:rsid w:val="003C0CCB"/>
    <w:rsid w:val="003C1314"/>
    <w:rsid w:val="003C1741"/>
    <w:rsid w:val="003C361A"/>
    <w:rsid w:val="003C40AE"/>
    <w:rsid w:val="003C4DC7"/>
    <w:rsid w:val="003C57D2"/>
    <w:rsid w:val="003C58F2"/>
    <w:rsid w:val="003C6C03"/>
    <w:rsid w:val="003C6C1B"/>
    <w:rsid w:val="003C6CD1"/>
    <w:rsid w:val="003D076A"/>
    <w:rsid w:val="003D0D26"/>
    <w:rsid w:val="003D17A5"/>
    <w:rsid w:val="003D1D2D"/>
    <w:rsid w:val="003D259F"/>
    <w:rsid w:val="003D4410"/>
    <w:rsid w:val="003D4A95"/>
    <w:rsid w:val="003D4D5B"/>
    <w:rsid w:val="003D5119"/>
    <w:rsid w:val="003D6505"/>
    <w:rsid w:val="003D7FD8"/>
    <w:rsid w:val="003E2708"/>
    <w:rsid w:val="003E59C0"/>
    <w:rsid w:val="003E5B41"/>
    <w:rsid w:val="003E5B59"/>
    <w:rsid w:val="003E60B7"/>
    <w:rsid w:val="003E76ED"/>
    <w:rsid w:val="003F01AA"/>
    <w:rsid w:val="003F0916"/>
    <w:rsid w:val="003F1DF5"/>
    <w:rsid w:val="003F2031"/>
    <w:rsid w:val="003F2164"/>
    <w:rsid w:val="003F2733"/>
    <w:rsid w:val="003F3D6A"/>
    <w:rsid w:val="003F4731"/>
    <w:rsid w:val="003F4DBD"/>
    <w:rsid w:val="003F5839"/>
    <w:rsid w:val="003F587F"/>
    <w:rsid w:val="003F78B0"/>
    <w:rsid w:val="00400313"/>
    <w:rsid w:val="0040125C"/>
    <w:rsid w:val="00402697"/>
    <w:rsid w:val="00402BC0"/>
    <w:rsid w:val="00402D4C"/>
    <w:rsid w:val="00402DC5"/>
    <w:rsid w:val="00405125"/>
    <w:rsid w:val="00406D42"/>
    <w:rsid w:val="0041075B"/>
    <w:rsid w:val="004119EE"/>
    <w:rsid w:val="00411FAF"/>
    <w:rsid w:val="00413168"/>
    <w:rsid w:val="00413908"/>
    <w:rsid w:val="00413AC7"/>
    <w:rsid w:val="00413BBC"/>
    <w:rsid w:val="00415C1D"/>
    <w:rsid w:val="00415D57"/>
    <w:rsid w:val="004167A1"/>
    <w:rsid w:val="0041718B"/>
    <w:rsid w:val="00417466"/>
    <w:rsid w:val="00417F6F"/>
    <w:rsid w:val="00420CD7"/>
    <w:rsid w:val="00421E04"/>
    <w:rsid w:val="004236AC"/>
    <w:rsid w:val="004241BF"/>
    <w:rsid w:val="00424794"/>
    <w:rsid w:val="00424F41"/>
    <w:rsid w:val="004269B2"/>
    <w:rsid w:val="00426EE4"/>
    <w:rsid w:val="00427762"/>
    <w:rsid w:val="00427C01"/>
    <w:rsid w:val="00430CFE"/>
    <w:rsid w:val="0043392D"/>
    <w:rsid w:val="004339A1"/>
    <w:rsid w:val="0043423A"/>
    <w:rsid w:val="00434E9C"/>
    <w:rsid w:val="004352A9"/>
    <w:rsid w:val="00435669"/>
    <w:rsid w:val="0043624D"/>
    <w:rsid w:val="00436FD2"/>
    <w:rsid w:val="00437666"/>
    <w:rsid w:val="00440921"/>
    <w:rsid w:val="00440AD9"/>
    <w:rsid w:val="00442BDD"/>
    <w:rsid w:val="004433D6"/>
    <w:rsid w:val="00443D5A"/>
    <w:rsid w:val="004458AF"/>
    <w:rsid w:val="00445D44"/>
    <w:rsid w:val="00445E50"/>
    <w:rsid w:val="004462E0"/>
    <w:rsid w:val="00446D36"/>
    <w:rsid w:val="0044703B"/>
    <w:rsid w:val="004470C9"/>
    <w:rsid w:val="0044741F"/>
    <w:rsid w:val="0044747C"/>
    <w:rsid w:val="0045090B"/>
    <w:rsid w:val="00451BA3"/>
    <w:rsid w:val="004524D3"/>
    <w:rsid w:val="00452B8A"/>
    <w:rsid w:val="0045316A"/>
    <w:rsid w:val="004548F6"/>
    <w:rsid w:val="004553CB"/>
    <w:rsid w:val="00460591"/>
    <w:rsid w:val="00461DA8"/>
    <w:rsid w:val="00462526"/>
    <w:rsid w:val="00462594"/>
    <w:rsid w:val="0046337E"/>
    <w:rsid w:val="00464065"/>
    <w:rsid w:val="00464118"/>
    <w:rsid w:val="004642CA"/>
    <w:rsid w:val="0046486D"/>
    <w:rsid w:val="004652F1"/>
    <w:rsid w:val="00465C76"/>
    <w:rsid w:val="0046618E"/>
    <w:rsid w:val="004661C2"/>
    <w:rsid w:val="00467080"/>
    <w:rsid w:val="004701EC"/>
    <w:rsid w:val="004703A6"/>
    <w:rsid w:val="00471AC4"/>
    <w:rsid w:val="00473131"/>
    <w:rsid w:val="0047613D"/>
    <w:rsid w:val="004801D6"/>
    <w:rsid w:val="004806D0"/>
    <w:rsid w:val="00480818"/>
    <w:rsid w:val="00481C4D"/>
    <w:rsid w:val="00481D3D"/>
    <w:rsid w:val="004822C1"/>
    <w:rsid w:val="0048264A"/>
    <w:rsid w:val="00482964"/>
    <w:rsid w:val="00482A3C"/>
    <w:rsid w:val="00482CE0"/>
    <w:rsid w:val="004832B2"/>
    <w:rsid w:val="00483304"/>
    <w:rsid w:val="004835E2"/>
    <w:rsid w:val="00484057"/>
    <w:rsid w:val="00484236"/>
    <w:rsid w:val="00484B09"/>
    <w:rsid w:val="00486FD8"/>
    <w:rsid w:val="00487A42"/>
    <w:rsid w:val="0049004B"/>
    <w:rsid w:val="0049071B"/>
    <w:rsid w:val="004908BA"/>
    <w:rsid w:val="00492AA5"/>
    <w:rsid w:val="00492E4A"/>
    <w:rsid w:val="00492FFD"/>
    <w:rsid w:val="00493514"/>
    <w:rsid w:val="004941ED"/>
    <w:rsid w:val="00494BA0"/>
    <w:rsid w:val="00496A87"/>
    <w:rsid w:val="00496D34"/>
    <w:rsid w:val="00497CF0"/>
    <w:rsid w:val="004A0161"/>
    <w:rsid w:val="004A020F"/>
    <w:rsid w:val="004A5839"/>
    <w:rsid w:val="004A6BDC"/>
    <w:rsid w:val="004A7177"/>
    <w:rsid w:val="004A7B52"/>
    <w:rsid w:val="004B29D1"/>
    <w:rsid w:val="004B4943"/>
    <w:rsid w:val="004B5D74"/>
    <w:rsid w:val="004B5FB1"/>
    <w:rsid w:val="004B6D1D"/>
    <w:rsid w:val="004B7714"/>
    <w:rsid w:val="004B78D6"/>
    <w:rsid w:val="004B7F2B"/>
    <w:rsid w:val="004C10DF"/>
    <w:rsid w:val="004C2FDB"/>
    <w:rsid w:val="004C4E80"/>
    <w:rsid w:val="004C642D"/>
    <w:rsid w:val="004C6D19"/>
    <w:rsid w:val="004C7F2D"/>
    <w:rsid w:val="004D05C1"/>
    <w:rsid w:val="004D1BF9"/>
    <w:rsid w:val="004D22D5"/>
    <w:rsid w:val="004D2A94"/>
    <w:rsid w:val="004D2B03"/>
    <w:rsid w:val="004D2B0E"/>
    <w:rsid w:val="004D2F33"/>
    <w:rsid w:val="004D3A51"/>
    <w:rsid w:val="004D3AC6"/>
    <w:rsid w:val="004D3FEE"/>
    <w:rsid w:val="004D4D18"/>
    <w:rsid w:val="004D549A"/>
    <w:rsid w:val="004D76D3"/>
    <w:rsid w:val="004E078A"/>
    <w:rsid w:val="004E0AC8"/>
    <w:rsid w:val="004E0B18"/>
    <w:rsid w:val="004E2132"/>
    <w:rsid w:val="004E2276"/>
    <w:rsid w:val="004E26F3"/>
    <w:rsid w:val="004E2CB0"/>
    <w:rsid w:val="004E2EDF"/>
    <w:rsid w:val="004E30E2"/>
    <w:rsid w:val="004E3847"/>
    <w:rsid w:val="004E3DF5"/>
    <w:rsid w:val="004E3E87"/>
    <w:rsid w:val="004E4A72"/>
    <w:rsid w:val="004E4B48"/>
    <w:rsid w:val="004E4F25"/>
    <w:rsid w:val="004E536A"/>
    <w:rsid w:val="004E5599"/>
    <w:rsid w:val="004E666D"/>
    <w:rsid w:val="004E6FB8"/>
    <w:rsid w:val="004E712E"/>
    <w:rsid w:val="004E7D88"/>
    <w:rsid w:val="004F0612"/>
    <w:rsid w:val="004F2275"/>
    <w:rsid w:val="004F2AE7"/>
    <w:rsid w:val="004F2E71"/>
    <w:rsid w:val="004F41D3"/>
    <w:rsid w:val="004F5F20"/>
    <w:rsid w:val="004F7AB9"/>
    <w:rsid w:val="00501792"/>
    <w:rsid w:val="005026E6"/>
    <w:rsid w:val="005030F6"/>
    <w:rsid w:val="00504996"/>
    <w:rsid w:val="00504E67"/>
    <w:rsid w:val="005056F8"/>
    <w:rsid w:val="00506809"/>
    <w:rsid w:val="00506F7A"/>
    <w:rsid w:val="00507D11"/>
    <w:rsid w:val="00507F64"/>
    <w:rsid w:val="0051024C"/>
    <w:rsid w:val="0051036F"/>
    <w:rsid w:val="0051053B"/>
    <w:rsid w:val="005108AA"/>
    <w:rsid w:val="00511941"/>
    <w:rsid w:val="00512E1C"/>
    <w:rsid w:val="00513845"/>
    <w:rsid w:val="00513EFA"/>
    <w:rsid w:val="00514B51"/>
    <w:rsid w:val="00515B57"/>
    <w:rsid w:val="00515C13"/>
    <w:rsid w:val="00516C29"/>
    <w:rsid w:val="0051712C"/>
    <w:rsid w:val="005174EE"/>
    <w:rsid w:val="005178F1"/>
    <w:rsid w:val="00517F3C"/>
    <w:rsid w:val="005215B6"/>
    <w:rsid w:val="00521714"/>
    <w:rsid w:val="00523254"/>
    <w:rsid w:val="00523DFD"/>
    <w:rsid w:val="005245DD"/>
    <w:rsid w:val="0052652F"/>
    <w:rsid w:val="005301B1"/>
    <w:rsid w:val="0053051F"/>
    <w:rsid w:val="005318B0"/>
    <w:rsid w:val="0053286A"/>
    <w:rsid w:val="005329A5"/>
    <w:rsid w:val="00532AD2"/>
    <w:rsid w:val="00532B5E"/>
    <w:rsid w:val="00532BD7"/>
    <w:rsid w:val="0053364D"/>
    <w:rsid w:val="00535B78"/>
    <w:rsid w:val="00536F93"/>
    <w:rsid w:val="00537B9B"/>
    <w:rsid w:val="00537D7F"/>
    <w:rsid w:val="00540105"/>
    <w:rsid w:val="00541568"/>
    <w:rsid w:val="00543805"/>
    <w:rsid w:val="005455FC"/>
    <w:rsid w:val="005457F4"/>
    <w:rsid w:val="00547997"/>
    <w:rsid w:val="00550DD8"/>
    <w:rsid w:val="00554595"/>
    <w:rsid w:val="00554975"/>
    <w:rsid w:val="005549BF"/>
    <w:rsid w:val="00554D9D"/>
    <w:rsid w:val="00555D25"/>
    <w:rsid w:val="00555D39"/>
    <w:rsid w:val="0055610D"/>
    <w:rsid w:val="00556480"/>
    <w:rsid w:val="00556E90"/>
    <w:rsid w:val="0056076B"/>
    <w:rsid w:val="005611FD"/>
    <w:rsid w:val="005628D2"/>
    <w:rsid w:val="00563917"/>
    <w:rsid w:val="00563C1D"/>
    <w:rsid w:val="00563E23"/>
    <w:rsid w:val="00563FC4"/>
    <w:rsid w:val="00564D72"/>
    <w:rsid w:val="00565830"/>
    <w:rsid w:val="00565BE2"/>
    <w:rsid w:val="00566C52"/>
    <w:rsid w:val="00567187"/>
    <w:rsid w:val="00567D1E"/>
    <w:rsid w:val="00575C68"/>
    <w:rsid w:val="00576A5B"/>
    <w:rsid w:val="00576BCF"/>
    <w:rsid w:val="00576F54"/>
    <w:rsid w:val="0057749C"/>
    <w:rsid w:val="00580653"/>
    <w:rsid w:val="00581BD1"/>
    <w:rsid w:val="005829DD"/>
    <w:rsid w:val="00582E1A"/>
    <w:rsid w:val="00583D92"/>
    <w:rsid w:val="00583E52"/>
    <w:rsid w:val="00584327"/>
    <w:rsid w:val="00585B7D"/>
    <w:rsid w:val="00586A77"/>
    <w:rsid w:val="005875CF"/>
    <w:rsid w:val="005901B0"/>
    <w:rsid w:val="00591A34"/>
    <w:rsid w:val="00591BA6"/>
    <w:rsid w:val="00591C79"/>
    <w:rsid w:val="00593614"/>
    <w:rsid w:val="00593A78"/>
    <w:rsid w:val="00593E0A"/>
    <w:rsid w:val="00594566"/>
    <w:rsid w:val="00594619"/>
    <w:rsid w:val="005A1097"/>
    <w:rsid w:val="005A12C9"/>
    <w:rsid w:val="005A159E"/>
    <w:rsid w:val="005A17C2"/>
    <w:rsid w:val="005A261D"/>
    <w:rsid w:val="005A2BA9"/>
    <w:rsid w:val="005A363A"/>
    <w:rsid w:val="005A46CC"/>
    <w:rsid w:val="005A4D7D"/>
    <w:rsid w:val="005A5C1D"/>
    <w:rsid w:val="005A6205"/>
    <w:rsid w:val="005A7A8D"/>
    <w:rsid w:val="005A7D64"/>
    <w:rsid w:val="005B0E64"/>
    <w:rsid w:val="005B0FC1"/>
    <w:rsid w:val="005B2126"/>
    <w:rsid w:val="005B2609"/>
    <w:rsid w:val="005B2818"/>
    <w:rsid w:val="005B2AFC"/>
    <w:rsid w:val="005B5A35"/>
    <w:rsid w:val="005B5FD1"/>
    <w:rsid w:val="005B6C94"/>
    <w:rsid w:val="005B6D6C"/>
    <w:rsid w:val="005C0D01"/>
    <w:rsid w:val="005C1680"/>
    <w:rsid w:val="005C17FE"/>
    <w:rsid w:val="005C2A41"/>
    <w:rsid w:val="005C3F01"/>
    <w:rsid w:val="005C563D"/>
    <w:rsid w:val="005C5759"/>
    <w:rsid w:val="005C59BC"/>
    <w:rsid w:val="005C59D8"/>
    <w:rsid w:val="005C5EE5"/>
    <w:rsid w:val="005C670E"/>
    <w:rsid w:val="005C6AE4"/>
    <w:rsid w:val="005C6F62"/>
    <w:rsid w:val="005C7328"/>
    <w:rsid w:val="005D0001"/>
    <w:rsid w:val="005D0177"/>
    <w:rsid w:val="005D17B2"/>
    <w:rsid w:val="005D1CAA"/>
    <w:rsid w:val="005D40FD"/>
    <w:rsid w:val="005D4280"/>
    <w:rsid w:val="005D63FB"/>
    <w:rsid w:val="005D73BD"/>
    <w:rsid w:val="005E05FE"/>
    <w:rsid w:val="005E1857"/>
    <w:rsid w:val="005E1CC1"/>
    <w:rsid w:val="005E26F8"/>
    <w:rsid w:val="005E31FF"/>
    <w:rsid w:val="005E385B"/>
    <w:rsid w:val="005E38C0"/>
    <w:rsid w:val="005E3CD6"/>
    <w:rsid w:val="005E4338"/>
    <w:rsid w:val="005E502E"/>
    <w:rsid w:val="005E67E8"/>
    <w:rsid w:val="005E6E58"/>
    <w:rsid w:val="005E77D6"/>
    <w:rsid w:val="005E7BA3"/>
    <w:rsid w:val="005E7F01"/>
    <w:rsid w:val="005F02C2"/>
    <w:rsid w:val="005F03A0"/>
    <w:rsid w:val="005F2A54"/>
    <w:rsid w:val="005F2ED7"/>
    <w:rsid w:val="005F3003"/>
    <w:rsid w:val="005F33D3"/>
    <w:rsid w:val="005F3E16"/>
    <w:rsid w:val="005F4F0C"/>
    <w:rsid w:val="005F6535"/>
    <w:rsid w:val="00601813"/>
    <w:rsid w:val="00601968"/>
    <w:rsid w:val="00603C0C"/>
    <w:rsid w:val="006048B2"/>
    <w:rsid w:val="0060493C"/>
    <w:rsid w:val="00604BEE"/>
    <w:rsid w:val="00605042"/>
    <w:rsid w:val="00606028"/>
    <w:rsid w:val="00607009"/>
    <w:rsid w:val="0061041F"/>
    <w:rsid w:val="0061077A"/>
    <w:rsid w:val="00610CAB"/>
    <w:rsid w:val="00611108"/>
    <w:rsid w:val="00611CA2"/>
    <w:rsid w:val="00611DAE"/>
    <w:rsid w:val="006125DA"/>
    <w:rsid w:val="00612B26"/>
    <w:rsid w:val="006137EC"/>
    <w:rsid w:val="00614770"/>
    <w:rsid w:val="00614EBC"/>
    <w:rsid w:val="00615932"/>
    <w:rsid w:val="0061615A"/>
    <w:rsid w:val="0061626E"/>
    <w:rsid w:val="00617232"/>
    <w:rsid w:val="006172EE"/>
    <w:rsid w:val="0061733B"/>
    <w:rsid w:val="00621115"/>
    <w:rsid w:val="006215A5"/>
    <w:rsid w:val="00621E54"/>
    <w:rsid w:val="006232E7"/>
    <w:rsid w:val="006233DB"/>
    <w:rsid w:val="0062446E"/>
    <w:rsid w:val="00624625"/>
    <w:rsid w:val="00624D9B"/>
    <w:rsid w:val="00625500"/>
    <w:rsid w:val="006260B4"/>
    <w:rsid w:val="0062633A"/>
    <w:rsid w:val="00626516"/>
    <w:rsid w:val="00627ADA"/>
    <w:rsid w:val="006302DF"/>
    <w:rsid w:val="006303BB"/>
    <w:rsid w:val="00630E4F"/>
    <w:rsid w:val="00632A4C"/>
    <w:rsid w:val="00632F3D"/>
    <w:rsid w:val="00633BAD"/>
    <w:rsid w:val="006347AD"/>
    <w:rsid w:val="0063757C"/>
    <w:rsid w:val="00637D8E"/>
    <w:rsid w:val="00640D39"/>
    <w:rsid w:val="006418BB"/>
    <w:rsid w:val="00641E3F"/>
    <w:rsid w:val="00642344"/>
    <w:rsid w:val="0064261D"/>
    <w:rsid w:val="006437F8"/>
    <w:rsid w:val="00645A09"/>
    <w:rsid w:val="00647EC8"/>
    <w:rsid w:val="00650430"/>
    <w:rsid w:val="006509BB"/>
    <w:rsid w:val="006510A8"/>
    <w:rsid w:val="006523EF"/>
    <w:rsid w:val="00652571"/>
    <w:rsid w:val="0065312E"/>
    <w:rsid w:val="00653EEA"/>
    <w:rsid w:val="00656576"/>
    <w:rsid w:val="0065680F"/>
    <w:rsid w:val="00656B71"/>
    <w:rsid w:val="006575B2"/>
    <w:rsid w:val="00657EEA"/>
    <w:rsid w:val="00660B05"/>
    <w:rsid w:val="0066122C"/>
    <w:rsid w:val="00662FB9"/>
    <w:rsid w:val="00663276"/>
    <w:rsid w:val="006637AD"/>
    <w:rsid w:val="00665246"/>
    <w:rsid w:val="006666C8"/>
    <w:rsid w:val="006678A4"/>
    <w:rsid w:val="00667DDC"/>
    <w:rsid w:val="006707B9"/>
    <w:rsid w:val="0067112A"/>
    <w:rsid w:val="00671321"/>
    <w:rsid w:val="00671567"/>
    <w:rsid w:val="0067217E"/>
    <w:rsid w:val="00672291"/>
    <w:rsid w:val="00672391"/>
    <w:rsid w:val="00672C0F"/>
    <w:rsid w:val="00672CAB"/>
    <w:rsid w:val="0067370E"/>
    <w:rsid w:val="00674DFC"/>
    <w:rsid w:val="006755B7"/>
    <w:rsid w:val="0067668A"/>
    <w:rsid w:val="00676928"/>
    <w:rsid w:val="00676AD4"/>
    <w:rsid w:val="00677AD5"/>
    <w:rsid w:val="00680E60"/>
    <w:rsid w:val="00681284"/>
    <w:rsid w:val="006814A2"/>
    <w:rsid w:val="00681CBC"/>
    <w:rsid w:val="00682A8C"/>
    <w:rsid w:val="00684283"/>
    <w:rsid w:val="00685318"/>
    <w:rsid w:val="00685536"/>
    <w:rsid w:val="00690DB7"/>
    <w:rsid w:val="00692427"/>
    <w:rsid w:val="00692961"/>
    <w:rsid w:val="00693210"/>
    <w:rsid w:val="006932AC"/>
    <w:rsid w:val="00693D96"/>
    <w:rsid w:val="00693F8E"/>
    <w:rsid w:val="00695D72"/>
    <w:rsid w:val="00696679"/>
    <w:rsid w:val="006967D9"/>
    <w:rsid w:val="006968D8"/>
    <w:rsid w:val="00696A2F"/>
    <w:rsid w:val="006972D1"/>
    <w:rsid w:val="0069767E"/>
    <w:rsid w:val="006A0036"/>
    <w:rsid w:val="006A0382"/>
    <w:rsid w:val="006A0B83"/>
    <w:rsid w:val="006A1358"/>
    <w:rsid w:val="006A14B6"/>
    <w:rsid w:val="006A27BC"/>
    <w:rsid w:val="006A321C"/>
    <w:rsid w:val="006A35B9"/>
    <w:rsid w:val="006A545F"/>
    <w:rsid w:val="006A5C0C"/>
    <w:rsid w:val="006A5D21"/>
    <w:rsid w:val="006A5FD1"/>
    <w:rsid w:val="006A65F6"/>
    <w:rsid w:val="006A67AB"/>
    <w:rsid w:val="006B0316"/>
    <w:rsid w:val="006B2456"/>
    <w:rsid w:val="006B26D4"/>
    <w:rsid w:val="006B3494"/>
    <w:rsid w:val="006B36AA"/>
    <w:rsid w:val="006B3B19"/>
    <w:rsid w:val="006B4050"/>
    <w:rsid w:val="006B4966"/>
    <w:rsid w:val="006B4D83"/>
    <w:rsid w:val="006B51E4"/>
    <w:rsid w:val="006B564F"/>
    <w:rsid w:val="006B61B9"/>
    <w:rsid w:val="006B66D5"/>
    <w:rsid w:val="006B6EC3"/>
    <w:rsid w:val="006B704B"/>
    <w:rsid w:val="006B7FBB"/>
    <w:rsid w:val="006C08E1"/>
    <w:rsid w:val="006C0BF6"/>
    <w:rsid w:val="006C14CE"/>
    <w:rsid w:val="006C162F"/>
    <w:rsid w:val="006C2B30"/>
    <w:rsid w:val="006C36F5"/>
    <w:rsid w:val="006C3B4F"/>
    <w:rsid w:val="006C3EAE"/>
    <w:rsid w:val="006C439A"/>
    <w:rsid w:val="006C4864"/>
    <w:rsid w:val="006C4F3A"/>
    <w:rsid w:val="006C5604"/>
    <w:rsid w:val="006C67EE"/>
    <w:rsid w:val="006D0314"/>
    <w:rsid w:val="006D0F41"/>
    <w:rsid w:val="006D1A1A"/>
    <w:rsid w:val="006D2C8E"/>
    <w:rsid w:val="006D5FE0"/>
    <w:rsid w:val="006D7E58"/>
    <w:rsid w:val="006E2730"/>
    <w:rsid w:val="006E2E48"/>
    <w:rsid w:val="006E34B9"/>
    <w:rsid w:val="006E38AE"/>
    <w:rsid w:val="006E3A70"/>
    <w:rsid w:val="006E46C4"/>
    <w:rsid w:val="006E530B"/>
    <w:rsid w:val="006E54F7"/>
    <w:rsid w:val="006E5A7C"/>
    <w:rsid w:val="006E6264"/>
    <w:rsid w:val="006E6457"/>
    <w:rsid w:val="006F05A4"/>
    <w:rsid w:val="006F06A2"/>
    <w:rsid w:val="006F3D66"/>
    <w:rsid w:val="006F4304"/>
    <w:rsid w:val="006F618C"/>
    <w:rsid w:val="006F6453"/>
    <w:rsid w:val="006F6630"/>
    <w:rsid w:val="006F7FAB"/>
    <w:rsid w:val="00700EBE"/>
    <w:rsid w:val="00701229"/>
    <w:rsid w:val="00701A76"/>
    <w:rsid w:val="0070343F"/>
    <w:rsid w:val="007062AA"/>
    <w:rsid w:val="007065FC"/>
    <w:rsid w:val="00706706"/>
    <w:rsid w:val="007068FB"/>
    <w:rsid w:val="00706B5C"/>
    <w:rsid w:val="00707259"/>
    <w:rsid w:val="00707567"/>
    <w:rsid w:val="00710508"/>
    <w:rsid w:val="00710F48"/>
    <w:rsid w:val="00711F50"/>
    <w:rsid w:val="00712059"/>
    <w:rsid w:val="00712FD1"/>
    <w:rsid w:val="0071330B"/>
    <w:rsid w:val="00715EE3"/>
    <w:rsid w:val="00717681"/>
    <w:rsid w:val="0071776B"/>
    <w:rsid w:val="0072072D"/>
    <w:rsid w:val="0072166D"/>
    <w:rsid w:val="00722602"/>
    <w:rsid w:val="0072298B"/>
    <w:rsid w:val="007230B5"/>
    <w:rsid w:val="0072327F"/>
    <w:rsid w:val="007246D3"/>
    <w:rsid w:val="007250C0"/>
    <w:rsid w:val="007258DD"/>
    <w:rsid w:val="00725B6D"/>
    <w:rsid w:val="00725BBF"/>
    <w:rsid w:val="00727220"/>
    <w:rsid w:val="00727C2A"/>
    <w:rsid w:val="00731476"/>
    <w:rsid w:val="00734334"/>
    <w:rsid w:val="007353A8"/>
    <w:rsid w:val="00735A4B"/>
    <w:rsid w:val="00735CA0"/>
    <w:rsid w:val="0073630F"/>
    <w:rsid w:val="007370D2"/>
    <w:rsid w:val="00740480"/>
    <w:rsid w:val="007409E4"/>
    <w:rsid w:val="0074152C"/>
    <w:rsid w:val="00741F17"/>
    <w:rsid w:val="00742107"/>
    <w:rsid w:val="007427EB"/>
    <w:rsid w:val="007448C2"/>
    <w:rsid w:val="00744F93"/>
    <w:rsid w:val="00745AF7"/>
    <w:rsid w:val="00745BD7"/>
    <w:rsid w:val="00745FA9"/>
    <w:rsid w:val="007461CB"/>
    <w:rsid w:val="00747085"/>
    <w:rsid w:val="00753916"/>
    <w:rsid w:val="00755EF0"/>
    <w:rsid w:val="00755FB7"/>
    <w:rsid w:val="007568FF"/>
    <w:rsid w:val="00757DE1"/>
    <w:rsid w:val="0076090A"/>
    <w:rsid w:val="007617A3"/>
    <w:rsid w:val="00761B41"/>
    <w:rsid w:val="00763239"/>
    <w:rsid w:val="007632E5"/>
    <w:rsid w:val="00763437"/>
    <w:rsid w:val="00763785"/>
    <w:rsid w:val="00764604"/>
    <w:rsid w:val="00764790"/>
    <w:rsid w:val="00765C70"/>
    <w:rsid w:val="00766373"/>
    <w:rsid w:val="00766D7E"/>
    <w:rsid w:val="00767F7F"/>
    <w:rsid w:val="007707AB"/>
    <w:rsid w:val="007708BE"/>
    <w:rsid w:val="00770BDA"/>
    <w:rsid w:val="00770D7F"/>
    <w:rsid w:val="00771B13"/>
    <w:rsid w:val="00771BFC"/>
    <w:rsid w:val="00772F5B"/>
    <w:rsid w:val="00774073"/>
    <w:rsid w:val="00775E97"/>
    <w:rsid w:val="00776441"/>
    <w:rsid w:val="00777005"/>
    <w:rsid w:val="007776EE"/>
    <w:rsid w:val="00777772"/>
    <w:rsid w:val="00780825"/>
    <w:rsid w:val="007825D3"/>
    <w:rsid w:val="00790270"/>
    <w:rsid w:val="00790411"/>
    <w:rsid w:val="0079107F"/>
    <w:rsid w:val="00791225"/>
    <w:rsid w:val="00793710"/>
    <w:rsid w:val="007939EA"/>
    <w:rsid w:val="00794F49"/>
    <w:rsid w:val="00794FB6"/>
    <w:rsid w:val="00795305"/>
    <w:rsid w:val="007953C0"/>
    <w:rsid w:val="007956E5"/>
    <w:rsid w:val="0079593A"/>
    <w:rsid w:val="00795D2F"/>
    <w:rsid w:val="0079609A"/>
    <w:rsid w:val="00796191"/>
    <w:rsid w:val="0079674D"/>
    <w:rsid w:val="00797037"/>
    <w:rsid w:val="007A0694"/>
    <w:rsid w:val="007A0A9F"/>
    <w:rsid w:val="007A0E14"/>
    <w:rsid w:val="007A1759"/>
    <w:rsid w:val="007A3222"/>
    <w:rsid w:val="007A4501"/>
    <w:rsid w:val="007A4594"/>
    <w:rsid w:val="007A4916"/>
    <w:rsid w:val="007A63D3"/>
    <w:rsid w:val="007A648D"/>
    <w:rsid w:val="007A7519"/>
    <w:rsid w:val="007B0EF8"/>
    <w:rsid w:val="007B140F"/>
    <w:rsid w:val="007B3126"/>
    <w:rsid w:val="007B4332"/>
    <w:rsid w:val="007B50B2"/>
    <w:rsid w:val="007B61E8"/>
    <w:rsid w:val="007B6634"/>
    <w:rsid w:val="007B7001"/>
    <w:rsid w:val="007B7BF7"/>
    <w:rsid w:val="007B7CE8"/>
    <w:rsid w:val="007C0CBC"/>
    <w:rsid w:val="007C1C31"/>
    <w:rsid w:val="007C1E86"/>
    <w:rsid w:val="007C2AA9"/>
    <w:rsid w:val="007C3EF4"/>
    <w:rsid w:val="007C44E2"/>
    <w:rsid w:val="007C524F"/>
    <w:rsid w:val="007C6224"/>
    <w:rsid w:val="007C6A3E"/>
    <w:rsid w:val="007C7084"/>
    <w:rsid w:val="007C7220"/>
    <w:rsid w:val="007D04DC"/>
    <w:rsid w:val="007D0B13"/>
    <w:rsid w:val="007D18FA"/>
    <w:rsid w:val="007D1A61"/>
    <w:rsid w:val="007D1AB1"/>
    <w:rsid w:val="007D2211"/>
    <w:rsid w:val="007D34A1"/>
    <w:rsid w:val="007D34D1"/>
    <w:rsid w:val="007D3953"/>
    <w:rsid w:val="007D43AF"/>
    <w:rsid w:val="007D4DDA"/>
    <w:rsid w:val="007D57F5"/>
    <w:rsid w:val="007D66AD"/>
    <w:rsid w:val="007D696F"/>
    <w:rsid w:val="007D6F22"/>
    <w:rsid w:val="007E044D"/>
    <w:rsid w:val="007E08B0"/>
    <w:rsid w:val="007E2BEB"/>
    <w:rsid w:val="007E4585"/>
    <w:rsid w:val="007E547D"/>
    <w:rsid w:val="007F0ABD"/>
    <w:rsid w:val="007F1069"/>
    <w:rsid w:val="007F1877"/>
    <w:rsid w:val="007F23E3"/>
    <w:rsid w:val="007F3725"/>
    <w:rsid w:val="007F3787"/>
    <w:rsid w:val="007F4956"/>
    <w:rsid w:val="007F541D"/>
    <w:rsid w:val="007F5469"/>
    <w:rsid w:val="007F6F80"/>
    <w:rsid w:val="00800915"/>
    <w:rsid w:val="008019E5"/>
    <w:rsid w:val="008021BC"/>
    <w:rsid w:val="00802887"/>
    <w:rsid w:val="00802EE1"/>
    <w:rsid w:val="00804C5F"/>
    <w:rsid w:val="0080560E"/>
    <w:rsid w:val="00806B5E"/>
    <w:rsid w:val="0080726B"/>
    <w:rsid w:val="00807EBC"/>
    <w:rsid w:val="0081244D"/>
    <w:rsid w:val="00812D0C"/>
    <w:rsid w:val="00813788"/>
    <w:rsid w:val="00814A7E"/>
    <w:rsid w:val="0081588A"/>
    <w:rsid w:val="00815978"/>
    <w:rsid w:val="008159BA"/>
    <w:rsid w:val="00816D4A"/>
    <w:rsid w:val="00817065"/>
    <w:rsid w:val="00817973"/>
    <w:rsid w:val="0082031C"/>
    <w:rsid w:val="00820470"/>
    <w:rsid w:val="00821838"/>
    <w:rsid w:val="008219F1"/>
    <w:rsid w:val="00821D5E"/>
    <w:rsid w:val="00821FB7"/>
    <w:rsid w:val="008220C1"/>
    <w:rsid w:val="00822550"/>
    <w:rsid w:val="00822E52"/>
    <w:rsid w:val="00823A77"/>
    <w:rsid w:val="0082406A"/>
    <w:rsid w:val="00824B3F"/>
    <w:rsid w:val="008254C4"/>
    <w:rsid w:val="00826EA1"/>
    <w:rsid w:val="00827189"/>
    <w:rsid w:val="008275C9"/>
    <w:rsid w:val="008309D6"/>
    <w:rsid w:val="008329BD"/>
    <w:rsid w:val="00832ECC"/>
    <w:rsid w:val="00835203"/>
    <w:rsid w:val="008355D8"/>
    <w:rsid w:val="00837BA5"/>
    <w:rsid w:val="008406DC"/>
    <w:rsid w:val="00841A98"/>
    <w:rsid w:val="00841FEA"/>
    <w:rsid w:val="00842E5E"/>
    <w:rsid w:val="0084328D"/>
    <w:rsid w:val="00843378"/>
    <w:rsid w:val="008435D6"/>
    <w:rsid w:val="00843B04"/>
    <w:rsid w:val="00843E20"/>
    <w:rsid w:val="00846195"/>
    <w:rsid w:val="00846B51"/>
    <w:rsid w:val="008470A1"/>
    <w:rsid w:val="00847D26"/>
    <w:rsid w:val="008530E8"/>
    <w:rsid w:val="00853914"/>
    <w:rsid w:val="008541F6"/>
    <w:rsid w:val="00854ABD"/>
    <w:rsid w:val="008571F2"/>
    <w:rsid w:val="00857903"/>
    <w:rsid w:val="00857B46"/>
    <w:rsid w:val="00860163"/>
    <w:rsid w:val="00860D38"/>
    <w:rsid w:val="00862017"/>
    <w:rsid w:val="00862785"/>
    <w:rsid w:val="0086293B"/>
    <w:rsid w:val="00863CD2"/>
    <w:rsid w:val="00863DEE"/>
    <w:rsid w:val="008653FD"/>
    <w:rsid w:val="008701BF"/>
    <w:rsid w:val="008706FF"/>
    <w:rsid w:val="00871E08"/>
    <w:rsid w:val="0087234A"/>
    <w:rsid w:val="00872A76"/>
    <w:rsid w:val="00872D29"/>
    <w:rsid w:val="00873322"/>
    <w:rsid w:val="008743BE"/>
    <w:rsid w:val="00874F8C"/>
    <w:rsid w:val="008764E2"/>
    <w:rsid w:val="00876FB4"/>
    <w:rsid w:val="0087727B"/>
    <w:rsid w:val="00877C8D"/>
    <w:rsid w:val="00877CE1"/>
    <w:rsid w:val="0088059E"/>
    <w:rsid w:val="00880B0B"/>
    <w:rsid w:val="00880FDB"/>
    <w:rsid w:val="00881F9E"/>
    <w:rsid w:val="00883299"/>
    <w:rsid w:val="0088399B"/>
    <w:rsid w:val="00884157"/>
    <w:rsid w:val="008857B3"/>
    <w:rsid w:val="00885DB0"/>
    <w:rsid w:val="00887A8C"/>
    <w:rsid w:val="00890D95"/>
    <w:rsid w:val="008920EF"/>
    <w:rsid w:val="0089245B"/>
    <w:rsid w:val="008925AA"/>
    <w:rsid w:val="0089548D"/>
    <w:rsid w:val="008A0F26"/>
    <w:rsid w:val="008A17EE"/>
    <w:rsid w:val="008A1B46"/>
    <w:rsid w:val="008A21DF"/>
    <w:rsid w:val="008A24DE"/>
    <w:rsid w:val="008A2BB1"/>
    <w:rsid w:val="008A5381"/>
    <w:rsid w:val="008A54D1"/>
    <w:rsid w:val="008A66F5"/>
    <w:rsid w:val="008A6C93"/>
    <w:rsid w:val="008A74AF"/>
    <w:rsid w:val="008A77F7"/>
    <w:rsid w:val="008B07EE"/>
    <w:rsid w:val="008B0DBB"/>
    <w:rsid w:val="008B1474"/>
    <w:rsid w:val="008B1C83"/>
    <w:rsid w:val="008B2D1A"/>
    <w:rsid w:val="008B34D7"/>
    <w:rsid w:val="008B3A25"/>
    <w:rsid w:val="008B3AE9"/>
    <w:rsid w:val="008B4956"/>
    <w:rsid w:val="008B4A31"/>
    <w:rsid w:val="008B4D14"/>
    <w:rsid w:val="008B5ACB"/>
    <w:rsid w:val="008B62FA"/>
    <w:rsid w:val="008B634A"/>
    <w:rsid w:val="008B673A"/>
    <w:rsid w:val="008B6CAE"/>
    <w:rsid w:val="008B6D02"/>
    <w:rsid w:val="008B6F4A"/>
    <w:rsid w:val="008B78BF"/>
    <w:rsid w:val="008B7C69"/>
    <w:rsid w:val="008C145C"/>
    <w:rsid w:val="008C18C7"/>
    <w:rsid w:val="008C190A"/>
    <w:rsid w:val="008C1A44"/>
    <w:rsid w:val="008C26A4"/>
    <w:rsid w:val="008C2CE2"/>
    <w:rsid w:val="008C34A9"/>
    <w:rsid w:val="008C374A"/>
    <w:rsid w:val="008C425A"/>
    <w:rsid w:val="008C55E4"/>
    <w:rsid w:val="008C5AF8"/>
    <w:rsid w:val="008C5BB0"/>
    <w:rsid w:val="008C7FCE"/>
    <w:rsid w:val="008D0DB1"/>
    <w:rsid w:val="008D0E79"/>
    <w:rsid w:val="008D2971"/>
    <w:rsid w:val="008D4610"/>
    <w:rsid w:val="008D4F94"/>
    <w:rsid w:val="008D676A"/>
    <w:rsid w:val="008D746E"/>
    <w:rsid w:val="008D7932"/>
    <w:rsid w:val="008E04C0"/>
    <w:rsid w:val="008E0A0E"/>
    <w:rsid w:val="008E1D91"/>
    <w:rsid w:val="008E267E"/>
    <w:rsid w:val="008E339C"/>
    <w:rsid w:val="008E3650"/>
    <w:rsid w:val="008E37A9"/>
    <w:rsid w:val="008E4A4B"/>
    <w:rsid w:val="008E5098"/>
    <w:rsid w:val="008E510B"/>
    <w:rsid w:val="008E5A01"/>
    <w:rsid w:val="008E739F"/>
    <w:rsid w:val="008F0650"/>
    <w:rsid w:val="008F0C67"/>
    <w:rsid w:val="008F0D13"/>
    <w:rsid w:val="008F455A"/>
    <w:rsid w:val="008F49B0"/>
    <w:rsid w:val="008F5A70"/>
    <w:rsid w:val="008F5DB7"/>
    <w:rsid w:val="008F680B"/>
    <w:rsid w:val="008F70E5"/>
    <w:rsid w:val="008F7662"/>
    <w:rsid w:val="0090218A"/>
    <w:rsid w:val="009024B1"/>
    <w:rsid w:val="009033D4"/>
    <w:rsid w:val="00903497"/>
    <w:rsid w:val="009038B5"/>
    <w:rsid w:val="00905A19"/>
    <w:rsid w:val="00906810"/>
    <w:rsid w:val="0091215A"/>
    <w:rsid w:val="00912421"/>
    <w:rsid w:val="009131E7"/>
    <w:rsid w:val="00913238"/>
    <w:rsid w:val="00914A08"/>
    <w:rsid w:val="00915FFC"/>
    <w:rsid w:val="009164BD"/>
    <w:rsid w:val="009174DE"/>
    <w:rsid w:val="009179C3"/>
    <w:rsid w:val="00917DA2"/>
    <w:rsid w:val="00920B87"/>
    <w:rsid w:val="00920BA6"/>
    <w:rsid w:val="0092117F"/>
    <w:rsid w:val="00922ED1"/>
    <w:rsid w:val="009235E3"/>
    <w:rsid w:val="00924900"/>
    <w:rsid w:val="00924D56"/>
    <w:rsid w:val="00924FCB"/>
    <w:rsid w:val="00926B3A"/>
    <w:rsid w:val="0092706C"/>
    <w:rsid w:val="00927464"/>
    <w:rsid w:val="009276BC"/>
    <w:rsid w:val="00930283"/>
    <w:rsid w:val="0093407C"/>
    <w:rsid w:val="009360C5"/>
    <w:rsid w:val="009372C5"/>
    <w:rsid w:val="0094148D"/>
    <w:rsid w:val="009415D4"/>
    <w:rsid w:val="00941BEB"/>
    <w:rsid w:val="00942351"/>
    <w:rsid w:val="009428B1"/>
    <w:rsid w:val="00942982"/>
    <w:rsid w:val="00942B8D"/>
    <w:rsid w:val="00942EA3"/>
    <w:rsid w:val="0094377F"/>
    <w:rsid w:val="00943AE2"/>
    <w:rsid w:val="00943CDD"/>
    <w:rsid w:val="00943F53"/>
    <w:rsid w:val="009448F9"/>
    <w:rsid w:val="00944DED"/>
    <w:rsid w:val="00946524"/>
    <w:rsid w:val="009466A4"/>
    <w:rsid w:val="00946A83"/>
    <w:rsid w:val="009515A5"/>
    <w:rsid w:val="00952528"/>
    <w:rsid w:val="0095252B"/>
    <w:rsid w:val="009525DC"/>
    <w:rsid w:val="009525F7"/>
    <w:rsid w:val="00952EE0"/>
    <w:rsid w:val="00952F55"/>
    <w:rsid w:val="00953880"/>
    <w:rsid w:val="0095389F"/>
    <w:rsid w:val="00953B82"/>
    <w:rsid w:val="009548EA"/>
    <w:rsid w:val="00954CC4"/>
    <w:rsid w:val="00954E70"/>
    <w:rsid w:val="00956FC8"/>
    <w:rsid w:val="0095702B"/>
    <w:rsid w:val="00957821"/>
    <w:rsid w:val="00957AA4"/>
    <w:rsid w:val="00961724"/>
    <w:rsid w:val="0096315B"/>
    <w:rsid w:val="009632BB"/>
    <w:rsid w:val="00963A10"/>
    <w:rsid w:val="00963C2D"/>
    <w:rsid w:val="0096438D"/>
    <w:rsid w:val="00964E69"/>
    <w:rsid w:val="0096551C"/>
    <w:rsid w:val="009662FA"/>
    <w:rsid w:val="00967C24"/>
    <w:rsid w:val="009700ED"/>
    <w:rsid w:val="009705FE"/>
    <w:rsid w:val="009718BA"/>
    <w:rsid w:val="009720A3"/>
    <w:rsid w:val="00973F6B"/>
    <w:rsid w:val="009751DF"/>
    <w:rsid w:val="009755FC"/>
    <w:rsid w:val="0097560A"/>
    <w:rsid w:val="00975D88"/>
    <w:rsid w:val="00980060"/>
    <w:rsid w:val="00981D14"/>
    <w:rsid w:val="00982495"/>
    <w:rsid w:val="00983731"/>
    <w:rsid w:val="00984346"/>
    <w:rsid w:val="00984647"/>
    <w:rsid w:val="00986C77"/>
    <w:rsid w:val="00990B73"/>
    <w:rsid w:val="0099129E"/>
    <w:rsid w:val="00993306"/>
    <w:rsid w:val="009941A9"/>
    <w:rsid w:val="00996C6F"/>
    <w:rsid w:val="00996EF6"/>
    <w:rsid w:val="00996F77"/>
    <w:rsid w:val="009A2298"/>
    <w:rsid w:val="009A2628"/>
    <w:rsid w:val="009A283F"/>
    <w:rsid w:val="009A33BE"/>
    <w:rsid w:val="009A34F2"/>
    <w:rsid w:val="009A3795"/>
    <w:rsid w:val="009A5A1E"/>
    <w:rsid w:val="009A5BE4"/>
    <w:rsid w:val="009A5FE3"/>
    <w:rsid w:val="009A6310"/>
    <w:rsid w:val="009B0CCF"/>
    <w:rsid w:val="009B15E2"/>
    <w:rsid w:val="009B1792"/>
    <w:rsid w:val="009B1EB7"/>
    <w:rsid w:val="009B2432"/>
    <w:rsid w:val="009B2433"/>
    <w:rsid w:val="009B2559"/>
    <w:rsid w:val="009B32FA"/>
    <w:rsid w:val="009B3336"/>
    <w:rsid w:val="009B4F75"/>
    <w:rsid w:val="009B51CF"/>
    <w:rsid w:val="009B63FB"/>
    <w:rsid w:val="009C0A22"/>
    <w:rsid w:val="009C14FA"/>
    <w:rsid w:val="009C22E7"/>
    <w:rsid w:val="009C269F"/>
    <w:rsid w:val="009C2EE2"/>
    <w:rsid w:val="009C4A8F"/>
    <w:rsid w:val="009C62A4"/>
    <w:rsid w:val="009C6A15"/>
    <w:rsid w:val="009C6DA1"/>
    <w:rsid w:val="009D284F"/>
    <w:rsid w:val="009D31D7"/>
    <w:rsid w:val="009D3518"/>
    <w:rsid w:val="009D46BA"/>
    <w:rsid w:val="009D65BD"/>
    <w:rsid w:val="009D6D36"/>
    <w:rsid w:val="009D6E33"/>
    <w:rsid w:val="009D79E3"/>
    <w:rsid w:val="009D7B90"/>
    <w:rsid w:val="009E0DD6"/>
    <w:rsid w:val="009E1C8E"/>
    <w:rsid w:val="009E2329"/>
    <w:rsid w:val="009E2560"/>
    <w:rsid w:val="009E3636"/>
    <w:rsid w:val="009E44F3"/>
    <w:rsid w:val="009E4EE3"/>
    <w:rsid w:val="009E5757"/>
    <w:rsid w:val="009E6456"/>
    <w:rsid w:val="009E71DF"/>
    <w:rsid w:val="009F00B1"/>
    <w:rsid w:val="009F011F"/>
    <w:rsid w:val="009F063D"/>
    <w:rsid w:val="009F14F8"/>
    <w:rsid w:val="009F2203"/>
    <w:rsid w:val="009F2500"/>
    <w:rsid w:val="009F2C9F"/>
    <w:rsid w:val="009F49A3"/>
    <w:rsid w:val="009F4A69"/>
    <w:rsid w:val="009F574C"/>
    <w:rsid w:val="009F5875"/>
    <w:rsid w:val="009F5A7B"/>
    <w:rsid w:val="009F5D5B"/>
    <w:rsid w:val="00A0187B"/>
    <w:rsid w:val="00A01BC5"/>
    <w:rsid w:val="00A01FA1"/>
    <w:rsid w:val="00A03007"/>
    <w:rsid w:val="00A04A58"/>
    <w:rsid w:val="00A07778"/>
    <w:rsid w:val="00A07A04"/>
    <w:rsid w:val="00A07E41"/>
    <w:rsid w:val="00A10A56"/>
    <w:rsid w:val="00A11B8A"/>
    <w:rsid w:val="00A12A54"/>
    <w:rsid w:val="00A137C0"/>
    <w:rsid w:val="00A13A64"/>
    <w:rsid w:val="00A141FB"/>
    <w:rsid w:val="00A143A5"/>
    <w:rsid w:val="00A15A0D"/>
    <w:rsid w:val="00A21916"/>
    <w:rsid w:val="00A222C2"/>
    <w:rsid w:val="00A22BD3"/>
    <w:rsid w:val="00A26381"/>
    <w:rsid w:val="00A265F2"/>
    <w:rsid w:val="00A26A75"/>
    <w:rsid w:val="00A26C72"/>
    <w:rsid w:val="00A277C8"/>
    <w:rsid w:val="00A3222C"/>
    <w:rsid w:val="00A326D1"/>
    <w:rsid w:val="00A32E95"/>
    <w:rsid w:val="00A342D1"/>
    <w:rsid w:val="00A3758B"/>
    <w:rsid w:val="00A412D7"/>
    <w:rsid w:val="00A421AD"/>
    <w:rsid w:val="00A425D1"/>
    <w:rsid w:val="00A428D4"/>
    <w:rsid w:val="00A42994"/>
    <w:rsid w:val="00A42A6E"/>
    <w:rsid w:val="00A42C86"/>
    <w:rsid w:val="00A46EB0"/>
    <w:rsid w:val="00A46F8C"/>
    <w:rsid w:val="00A50153"/>
    <w:rsid w:val="00A50711"/>
    <w:rsid w:val="00A50727"/>
    <w:rsid w:val="00A51E19"/>
    <w:rsid w:val="00A53F16"/>
    <w:rsid w:val="00A558C3"/>
    <w:rsid w:val="00A56746"/>
    <w:rsid w:val="00A600E9"/>
    <w:rsid w:val="00A60F90"/>
    <w:rsid w:val="00A624C1"/>
    <w:rsid w:val="00A62A41"/>
    <w:rsid w:val="00A62A45"/>
    <w:rsid w:val="00A63733"/>
    <w:rsid w:val="00A64D82"/>
    <w:rsid w:val="00A64EFE"/>
    <w:rsid w:val="00A65045"/>
    <w:rsid w:val="00A65D93"/>
    <w:rsid w:val="00A661F0"/>
    <w:rsid w:val="00A662F5"/>
    <w:rsid w:val="00A707E8"/>
    <w:rsid w:val="00A70F2B"/>
    <w:rsid w:val="00A70F71"/>
    <w:rsid w:val="00A71618"/>
    <w:rsid w:val="00A71BC1"/>
    <w:rsid w:val="00A7251C"/>
    <w:rsid w:val="00A7497E"/>
    <w:rsid w:val="00A74A47"/>
    <w:rsid w:val="00A74E2F"/>
    <w:rsid w:val="00A755AC"/>
    <w:rsid w:val="00A7621B"/>
    <w:rsid w:val="00A76259"/>
    <w:rsid w:val="00A764DA"/>
    <w:rsid w:val="00A81EA6"/>
    <w:rsid w:val="00A84658"/>
    <w:rsid w:val="00A84C1F"/>
    <w:rsid w:val="00A85132"/>
    <w:rsid w:val="00A856A2"/>
    <w:rsid w:val="00A857C8"/>
    <w:rsid w:val="00A85F8B"/>
    <w:rsid w:val="00A8735D"/>
    <w:rsid w:val="00A90EC0"/>
    <w:rsid w:val="00A91D00"/>
    <w:rsid w:val="00A922ED"/>
    <w:rsid w:val="00A92AE8"/>
    <w:rsid w:val="00A92F89"/>
    <w:rsid w:val="00A933C8"/>
    <w:rsid w:val="00A93C21"/>
    <w:rsid w:val="00A940F3"/>
    <w:rsid w:val="00A949B4"/>
    <w:rsid w:val="00A95C83"/>
    <w:rsid w:val="00A96825"/>
    <w:rsid w:val="00A974E5"/>
    <w:rsid w:val="00A975B3"/>
    <w:rsid w:val="00AA06F4"/>
    <w:rsid w:val="00AA0A94"/>
    <w:rsid w:val="00AA3AB5"/>
    <w:rsid w:val="00AA40F5"/>
    <w:rsid w:val="00AA4935"/>
    <w:rsid w:val="00AA54F8"/>
    <w:rsid w:val="00AA677C"/>
    <w:rsid w:val="00AA71C0"/>
    <w:rsid w:val="00AA7DA3"/>
    <w:rsid w:val="00AB0E31"/>
    <w:rsid w:val="00AB1CD6"/>
    <w:rsid w:val="00AB3BB9"/>
    <w:rsid w:val="00AB4155"/>
    <w:rsid w:val="00AB46A0"/>
    <w:rsid w:val="00AB48DD"/>
    <w:rsid w:val="00AB58A9"/>
    <w:rsid w:val="00AB5D02"/>
    <w:rsid w:val="00AB61FD"/>
    <w:rsid w:val="00AB6590"/>
    <w:rsid w:val="00AB671E"/>
    <w:rsid w:val="00AB69BB"/>
    <w:rsid w:val="00AB6A42"/>
    <w:rsid w:val="00AB6FFA"/>
    <w:rsid w:val="00AB7FC2"/>
    <w:rsid w:val="00AC010B"/>
    <w:rsid w:val="00AC1494"/>
    <w:rsid w:val="00AC23F5"/>
    <w:rsid w:val="00AC3485"/>
    <w:rsid w:val="00AC375B"/>
    <w:rsid w:val="00AC3DA8"/>
    <w:rsid w:val="00AC48F1"/>
    <w:rsid w:val="00AC4CC9"/>
    <w:rsid w:val="00AC5DBF"/>
    <w:rsid w:val="00AC674A"/>
    <w:rsid w:val="00AC76D9"/>
    <w:rsid w:val="00AC7AC4"/>
    <w:rsid w:val="00AD082D"/>
    <w:rsid w:val="00AD2E17"/>
    <w:rsid w:val="00AD3168"/>
    <w:rsid w:val="00AD364A"/>
    <w:rsid w:val="00AD41EB"/>
    <w:rsid w:val="00AD563B"/>
    <w:rsid w:val="00AD5730"/>
    <w:rsid w:val="00AD588F"/>
    <w:rsid w:val="00AD5A74"/>
    <w:rsid w:val="00AD6E7E"/>
    <w:rsid w:val="00AD7003"/>
    <w:rsid w:val="00AD731B"/>
    <w:rsid w:val="00AE037B"/>
    <w:rsid w:val="00AE14D8"/>
    <w:rsid w:val="00AE181F"/>
    <w:rsid w:val="00AE32C3"/>
    <w:rsid w:val="00AE360A"/>
    <w:rsid w:val="00AE3977"/>
    <w:rsid w:val="00AE39D1"/>
    <w:rsid w:val="00AE498F"/>
    <w:rsid w:val="00AE5890"/>
    <w:rsid w:val="00AE641E"/>
    <w:rsid w:val="00AE73F3"/>
    <w:rsid w:val="00AE7D94"/>
    <w:rsid w:val="00AF002C"/>
    <w:rsid w:val="00AF0F69"/>
    <w:rsid w:val="00AF1062"/>
    <w:rsid w:val="00AF166E"/>
    <w:rsid w:val="00AF1CD9"/>
    <w:rsid w:val="00AF1F4F"/>
    <w:rsid w:val="00AF270F"/>
    <w:rsid w:val="00AF5168"/>
    <w:rsid w:val="00AF55D9"/>
    <w:rsid w:val="00AF5D7A"/>
    <w:rsid w:val="00AF6255"/>
    <w:rsid w:val="00AF6AC2"/>
    <w:rsid w:val="00AF794E"/>
    <w:rsid w:val="00AF7D85"/>
    <w:rsid w:val="00B007EA"/>
    <w:rsid w:val="00B01605"/>
    <w:rsid w:val="00B02A34"/>
    <w:rsid w:val="00B03193"/>
    <w:rsid w:val="00B04503"/>
    <w:rsid w:val="00B06EFB"/>
    <w:rsid w:val="00B0725A"/>
    <w:rsid w:val="00B11278"/>
    <w:rsid w:val="00B11701"/>
    <w:rsid w:val="00B11F9A"/>
    <w:rsid w:val="00B13EC3"/>
    <w:rsid w:val="00B13F6E"/>
    <w:rsid w:val="00B15025"/>
    <w:rsid w:val="00B1562F"/>
    <w:rsid w:val="00B1579C"/>
    <w:rsid w:val="00B1729E"/>
    <w:rsid w:val="00B20096"/>
    <w:rsid w:val="00B20795"/>
    <w:rsid w:val="00B21903"/>
    <w:rsid w:val="00B22039"/>
    <w:rsid w:val="00B22663"/>
    <w:rsid w:val="00B22C05"/>
    <w:rsid w:val="00B24F6D"/>
    <w:rsid w:val="00B25028"/>
    <w:rsid w:val="00B251F9"/>
    <w:rsid w:val="00B25274"/>
    <w:rsid w:val="00B26327"/>
    <w:rsid w:val="00B2700D"/>
    <w:rsid w:val="00B275A3"/>
    <w:rsid w:val="00B30659"/>
    <w:rsid w:val="00B30BFA"/>
    <w:rsid w:val="00B31127"/>
    <w:rsid w:val="00B313C9"/>
    <w:rsid w:val="00B3143D"/>
    <w:rsid w:val="00B31B73"/>
    <w:rsid w:val="00B31CD4"/>
    <w:rsid w:val="00B3342C"/>
    <w:rsid w:val="00B34C2C"/>
    <w:rsid w:val="00B34EBB"/>
    <w:rsid w:val="00B3573C"/>
    <w:rsid w:val="00B36DB3"/>
    <w:rsid w:val="00B36EA5"/>
    <w:rsid w:val="00B37E97"/>
    <w:rsid w:val="00B41FA8"/>
    <w:rsid w:val="00B43545"/>
    <w:rsid w:val="00B43AC8"/>
    <w:rsid w:val="00B4427A"/>
    <w:rsid w:val="00B44480"/>
    <w:rsid w:val="00B446ED"/>
    <w:rsid w:val="00B44914"/>
    <w:rsid w:val="00B45527"/>
    <w:rsid w:val="00B45E0B"/>
    <w:rsid w:val="00B460DA"/>
    <w:rsid w:val="00B50375"/>
    <w:rsid w:val="00B53040"/>
    <w:rsid w:val="00B5367F"/>
    <w:rsid w:val="00B53A99"/>
    <w:rsid w:val="00B5517A"/>
    <w:rsid w:val="00B56456"/>
    <w:rsid w:val="00B570C0"/>
    <w:rsid w:val="00B604FF"/>
    <w:rsid w:val="00B60FBA"/>
    <w:rsid w:val="00B61223"/>
    <w:rsid w:val="00B612A3"/>
    <w:rsid w:val="00B6132B"/>
    <w:rsid w:val="00B61935"/>
    <w:rsid w:val="00B61EFC"/>
    <w:rsid w:val="00B624E8"/>
    <w:rsid w:val="00B63DEC"/>
    <w:rsid w:val="00B63F2C"/>
    <w:rsid w:val="00B640D5"/>
    <w:rsid w:val="00B65706"/>
    <w:rsid w:val="00B66BE0"/>
    <w:rsid w:val="00B70FA6"/>
    <w:rsid w:val="00B718A2"/>
    <w:rsid w:val="00B73307"/>
    <w:rsid w:val="00B7345A"/>
    <w:rsid w:val="00B735A2"/>
    <w:rsid w:val="00B75E6A"/>
    <w:rsid w:val="00B76C7F"/>
    <w:rsid w:val="00B77AF5"/>
    <w:rsid w:val="00B81FA0"/>
    <w:rsid w:val="00B83434"/>
    <w:rsid w:val="00B8532A"/>
    <w:rsid w:val="00B8561D"/>
    <w:rsid w:val="00B85A26"/>
    <w:rsid w:val="00B86A21"/>
    <w:rsid w:val="00B86EF8"/>
    <w:rsid w:val="00B877DA"/>
    <w:rsid w:val="00B87801"/>
    <w:rsid w:val="00B879F4"/>
    <w:rsid w:val="00B87A8C"/>
    <w:rsid w:val="00B92AD9"/>
    <w:rsid w:val="00B93136"/>
    <w:rsid w:val="00B9348E"/>
    <w:rsid w:val="00B95A95"/>
    <w:rsid w:val="00B95C37"/>
    <w:rsid w:val="00B9638D"/>
    <w:rsid w:val="00B96BEF"/>
    <w:rsid w:val="00B97525"/>
    <w:rsid w:val="00B97903"/>
    <w:rsid w:val="00B97FA4"/>
    <w:rsid w:val="00BA0EDD"/>
    <w:rsid w:val="00BA1559"/>
    <w:rsid w:val="00BA1A3A"/>
    <w:rsid w:val="00BA1E97"/>
    <w:rsid w:val="00BA2D20"/>
    <w:rsid w:val="00BA3450"/>
    <w:rsid w:val="00BA409B"/>
    <w:rsid w:val="00BA43BE"/>
    <w:rsid w:val="00BA4A78"/>
    <w:rsid w:val="00BA4C80"/>
    <w:rsid w:val="00BA4CAB"/>
    <w:rsid w:val="00BA5CFC"/>
    <w:rsid w:val="00BA79AB"/>
    <w:rsid w:val="00BA7CD7"/>
    <w:rsid w:val="00BB01DC"/>
    <w:rsid w:val="00BB169F"/>
    <w:rsid w:val="00BB2E9D"/>
    <w:rsid w:val="00BB441A"/>
    <w:rsid w:val="00BB4EA5"/>
    <w:rsid w:val="00BB55EB"/>
    <w:rsid w:val="00BB5EC6"/>
    <w:rsid w:val="00BB66B7"/>
    <w:rsid w:val="00BB7575"/>
    <w:rsid w:val="00BC0B29"/>
    <w:rsid w:val="00BC0BBF"/>
    <w:rsid w:val="00BC0BF4"/>
    <w:rsid w:val="00BC0C51"/>
    <w:rsid w:val="00BC3151"/>
    <w:rsid w:val="00BC36BC"/>
    <w:rsid w:val="00BC3D26"/>
    <w:rsid w:val="00BC3FD7"/>
    <w:rsid w:val="00BC46CA"/>
    <w:rsid w:val="00BC5DE0"/>
    <w:rsid w:val="00BC60FD"/>
    <w:rsid w:val="00BD0006"/>
    <w:rsid w:val="00BD0C10"/>
    <w:rsid w:val="00BD0F2F"/>
    <w:rsid w:val="00BD134D"/>
    <w:rsid w:val="00BD1732"/>
    <w:rsid w:val="00BD19E9"/>
    <w:rsid w:val="00BD1A45"/>
    <w:rsid w:val="00BD1B63"/>
    <w:rsid w:val="00BD26BE"/>
    <w:rsid w:val="00BD41E0"/>
    <w:rsid w:val="00BD4983"/>
    <w:rsid w:val="00BD5E3D"/>
    <w:rsid w:val="00BD614D"/>
    <w:rsid w:val="00BD6991"/>
    <w:rsid w:val="00BE15CF"/>
    <w:rsid w:val="00BE2DE3"/>
    <w:rsid w:val="00BE47E7"/>
    <w:rsid w:val="00BE48DA"/>
    <w:rsid w:val="00BE516A"/>
    <w:rsid w:val="00BE52E1"/>
    <w:rsid w:val="00BE6B32"/>
    <w:rsid w:val="00BE7719"/>
    <w:rsid w:val="00BF17B9"/>
    <w:rsid w:val="00BF1F6B"/>
    <w:rsid w:val="00BF2405"/>
    <w:rsid w:val="00BF3946"/>
    <w:rsid w:val="00BF39E0"/>
    <w:rsid w:val="00BF47EF"/>
    <w:rsid w:val="00BF4B3A"/>
    <w:rsid w:val="00BF5DC4"/>
    <w:rsid w:val="00C0000A"/>
    <w:rsid w:val="00C00374"/>
    <w:rsid w:val="00C006E6"/>
    <w:rsid w:val="00C01F4D"/>
    <w:rsid w:val="00C03318"/>
    <w:rsid w:val="00C03DA5"/>
    <w:rsid w:val="00C03E3F"/>
    <w:rsid w:val="00C06167"/>
    <w:rsid w:val="00C06727"/>
    <w:rsid w:val="00C06814"/>
    <w:rsid w:val="00C06BAC"/>
    <w:rsid w:val="00C07204"/>
    <w:rsid w:val="00C076A9"/>
    <w:rsid w:val="00C102DA"/>
    <w:rsid w:val="00C11028"/>
    <w:rsid w:val="00C11443"/>
    <w:rsid w:val="00C116BA"/>
    <w:rsid w:val="00C1347A"/>
    <w:rsid w:val="00C14AA0"/>
    <w:rsid w:val="00C1533C"/>
    <w:rsid w:val="00C15A62"/>
    <w:rsid w:val="00C163BB"/>
    <w:rsid w:val="00C16F20"/>
    <w:rsid w:val="00C1715F"/>
    <w:rsid w:val="00C17575"/>
    <w:rsid w:val="00C17A0A"/>
    <w:rsid w:val="00C20178"/>
    <w:rsid w:val="00C20ECD"/>
    <w:rsid w:val="00C23CA9"/>
    <w:rsid w:val="00C25FD1"/>
    <w:rsid w:val="00C26465"/>
    <w:rsid w:val="00C26C09"/>
    <w:rsid w:val="00C2793F"/>
    <w:rsid w:val="00C30758"/>
    <w:rsid w:val="00C325FA"/>
    <w:rsid w:val="00C32859"/>
    <w:rsid w:val="00C32951"/>
    <w:rsid w:val="00C32967"/>
    <w:rsid w:val="00C33348"/>
    <w:rsid w:val="00C33ADF"/>
    <w:rsid w:val="00C33F84"/>
    <w:rsid w:val="00C34557"/>
    <w:rsid w:val="00C34FBC"/>
    <w:rsid w:val="00C3567D"/>
    <w:rsid w:val="00C35ECC"/>
    <w:rsid w:val="00C36D38"/>
    <w:rsid w:val="00C375C6"/>
    <w:rsid w:val="00C37EBE"/>
    <w:rsid w:val="00C41F78"/>
    <w:rsid w:val="00C41FDC"/>
    <w:rsid w:val="00C43121"/>
    <w:rsid w:val="00C439C5"/>
    <w:rsid w:val="00C4428C"/>
    <w:rsid w:val="00C44E70"/>
    <w:rsid w:val="00C45074"/>
    <w:rsid w:val="00C47AF2"/>
    <w:rsid w:val="00C55584"/>
    <w:rsid w:val="00C55B3C"/>
    <w:rsid w:val="00C56260"/>
    <w:rsid w:val="00C60615"/>
    <w:rsid w:val="00C60E95"/>
    <w:rsid w:val="00C6273F"/>
    <w:rsid w:val="00C62DBC"/>
    <w:rsid w:val="00C62EE1"/>
    <w:rsid w:val="00C6348E"/>
    <w:rsid w:val="00C648EF"/>
    <w:rsid w:val="00C64D89"/>
    <w:rsid w:val="00C65E27"/>
    <w:rsid w:val="00C67A16"/>
    <w:rsid w:val="00C72122"/>
    <w:rsid w:val="00C7322A"/>
    <w:rsid w:val="00C73F3B"/>
    <w:rsid w:val="00C74856"/>
    <w:rsid w:val="00C75846"/>
    <w:rsid w:val="00C77FD8"/>
    <w:rsid w:val="00C801D9"/>
    <w:rsid w:val="00C8120B"/>
    <w:rsid w:val="00C826B8"/>
    <w:rsid w:val="00C85AEC"/>
    <w:rsid w:val="00C873C5"/>
    <w:rsid w:val="00C9202B"/>
    <w:rsid w:val="00C9468C"/>
    <w:rsid w:val="00C949CC"/>
    <w:rsid w:val="00C94D73"/>
    <w:rsid w:val="00C96630"/>
    <w:rsid w:val="00C9671C"/>
    <w:rsid w:val="00C96C67"/>
    <w:rsid w:val="00C96E65"/>
    <w:rsid w:val="00C96FBE"/>
    <w:rsid w:val="00C970A4"/>
    <w:rsid w:val="00C97CE3"/>
    <w:rsid w:val="00CA3BF2"/>
    <w:rsid w:val="00CA4209"/>
    <w:rsid w:val="00CA6998"/>
    <w:rsid w:val="00CA6AA8"/>
    <w:rsid w:val="00CA734C"/>
    <w:rsid w:val="00CB1535"/>
    <w:rsid w:val="00CB2353"/>
    <w:rsid w:val="00CB250F"/>
    <w:rsid w:val="00CB3858"/>
    <w:rsid w:val="00CB3B1C"/>
    <w:rsid w:val="00CB4388"/>
    <w:rsid w:val="00CB593B"/>
    <w:rsid w:val="00CB5CC3"/>
    <w:rsid w:val="00CB60B4"/>
    <w:rsid w:val="00CB67CA"/>
    <w:rsid w:val="00CB7240"/>
    <w:rsid w:val="00CB77F9"/>
    <w:rsid w:val="00CB7BF8"/>
    <w:rsid w:val="00CC1265"/>
    <w:rsid w:val="00CC193E"/>
    <w:rsid w:val="00CC1970"/>
    <w:rsid w:val="00CC2957"/>
    <w:rsid w:val="00CC4140"/>
    <w:rsid w:val="00CC4701"/>
    <w:rsid w:val="00CC4814"/>
    <w:rsid w:val="00CC5158"/>
    <w:rsid w:val="00CC5162"/>
    <w:rsid w:val="00CC6C37"/>
    <w:rsid w:val="00CD0A36"/>
    <w:rsid w:val="00CD3432"/>
    <w:rsid w:val="00CD3D0E"/>
    <w:rsid w:val="00CD4184"/>
    <w:rsid w:val="00CD41C8"/>
    <w:rsid w:val="00CD45AD"/>
    <w:rsid w:val="00CD4BC3"/>
    <w:rsid w:val="00CD4CEB"/>
    <w:rsid w:val="00CD5F3F"/>
    <w:rsid w:val="00CD61AB"/>
    <w:rsid w:val="00CD6336"/>
    <w:rsid w:val="00CD639C"/>
    <w:rsid w:val="00CD69F4"/>
    <w:rsid w:val="00CD6E40"/>
    <w:rsid w:val="00CE3117"/>
    <w:rsid w:val="00CE38D4"/>
    <w:rsid w:val="00CE5F60"/>
    <w:rsid w:val="00CE63D1"/>
    <w:rsid w:val="00CE697E"/>
    <w:rsid w:val="00CF074F"/>
    <w:rsid w:val="00CF1357"/>
    <w:rsid w:val="00CF14C8"/>
    <w:rsid w:val="00CF1589"/>
    <w:rsid w:val="00CF329C"/>
    <w:rsid w:val="00CF33E3"/>
    <w:rsid w:val="00CF3A8B"/>
    <w:rsid w:val="00CF3ACC"/>
    <w:rsid w:val="00CF3CAD"/>
    <w:rsid w:val="00CF4424"/>
    <w:rsid w:val="00CF4BE6"/>
    <w:rsid w:val="00CF6E6C"/>
    <w:rsid w:val="00CF73C1"/>
    <w:rsid w:val="00CF7721"/>
    <w:rsid w:val="00D017AA"/>
    <w:rsid w:val="00D0244F"/>
    <w:rsid w:val="00D02B23"/>
    <w:rsid w:val="00D03703"/>
    <w:rsid w:val="00D04C51"/>
    <w:rsid w:val="00D0587C"/>
    <w:rsid w:val="00D058E0"/>
    <w:rsid w:val="00D05D92"/>
    <w:rsid w:val="00D05FA7"/>
    <w:rsid w:val="00D0722D"/>
    <w:rsid w:val="00D07FDF"/>
    <w:rsid w:val="00D1093B"/>
    <w:rsid w:val="00D10E12"/>
    <w:rsid w:val="00D110C9"/>
    <w:rsid w:val="00D11BFD"/>
    <w:rsid w:val="00D12195"/>
    <w:rsid w:val="00D13A52"/>
    <w:rsid w:val="00D16023"/>
    <w:rsid w:val="00D1628A"/>
    <w:rsid w:val="00D17618"/>
    <w:rsid w:val="00D203C9"/>
    <w:rsid w:val="00D206C7"/>
    <w:rsid w:val="00D21437"/>
    <w:rsid w:val="00D21989"/>
    <w:rsid w:val="00D21F9D"/>
    <w:rsid w:val="00D2638A"/>
    <w:rsid w:val="00D26564"/>
    <w:rsid w:val="00D310C6"/>
    <w:rsid w:val="00D31E96"/>
    <w:rsid w:val="00D3436B"/>
    <w:rsid w:val="00D374B1"/>
    <w:rsid w:val="00D4111B"/>
    <w:rsid w:val="00D41431"/>
    <w:rsid w:val="00D416D8"/>
    <w:rsid w:val="00D41AD2"/>
    <w:rsid w:val="00D43115"/>
    <w:rsid w:val="00D43277"/>
    <w:rsid w:val="00D449F6"/>
    <w:rsid w:val="00D44E0C"/>
    <w:rsid w:val="00D45C0B"/>
    <w:rsid w:val="00D46EBF"/>
    <w:rsid w:val="00D5072C"/>
    <w:rsid w:val="00D509BE"/>
    <w:rsid w:val="00D509CC"/>
    <w:rsid w:val="00D536C7"/>
    <w:rsid w:val="00D55153"/>
    <w:rsid w:val="00D55D7C"/>
    <w:rsid w:val="00D5694E"/>
    <w:rsid w:val="00D571F1"/>
    <w:rsid w:val="00D5752E"/>
    <w:rsid w:val="00D611B7"/>
    <w:rsid w:val="00D614F1"/>
    <w:rsid w:val="00D62042"/>
    <w:rsid w:val="00D624D9"/>
    <w:rsid w:val="00D6312A"/>
    <w:rsid w:val="00D634F2"/>
    <w:rsid w:val="00D639BB"/>
    <w:rsid w:val="00D63C01"/>
    <w:rsid w:val="00D647EC"/>
    <w:rsid w:val="00D64FDA"/>
    <w:rsid w:val="00D650A7"/>
    <w:rsid w:val="00D65155"/>
    <w:rsid w:val="00D65288"/>
    <w:rsid w:val="00D656A0"/>
    <w:rsid w:val="00D66639"/>
    <w:rsid w:val="00D67877"/>
    <w:rsid w:val="00D678A9"/>
    <w:rsid w:val="00D70095"/>
    <w:rsid w:val="00D70B6E"/>
    <w:rsid w:val="00D70CC7"/>
    <w:rsid w:val="00D7177F"/>
    <w:rsid w:val="00D72F01"/>
    <w:rsid w:val="00D748DB"/>
    <w:rsid w:val="00D74E14"/>
    <w:rsid w:val="00D754CA"/>
    <w:rsid w:val="00D75D2F"/>
    <w:rsid w:val="00D763C9"/>
    <w:rsid w:val="00D80017"/>
    <w:rsid w:val="00D8052E"/>
    <w:rsid w:val="00D82E5C"/>
    <w:rsid w:val="00D84728"/>
    <w:rsid w:val="00D84A7B"/>
    <w:rsid w:val="00D86540"/>
    <w:rsid w:val="00D86C2F"/>
    <w:rsid w:val="00D90436"/>
    <w:rsid w:val="00D905B8"/>
    <w:rsid w:val="00D9198B"/>
    <w:rsid w:val="00D91C16"/>
    <w:rsid w:val="00D91C3D"/>
    <w:rsid w:val="00D923C2"/>
    <w:rsid w:val="00D924F4"/>
    <w:rsid w:val="00D937E0"/>
    <w:rsid w:val="00D93E64"/>
    <w:rsid w:val="00D94401"/>
    <w:rsid w:val="00D94D17"/>
    <w:rsid w:val="00D9531C"/>
    <w:rsid w:val="00D9549C"/>
    <w:rsid w:val="00D9782A"/>
    <w:rsid w:val="00D97B24"/>
    <w:rsid w:val="00DA0012"/>
    <w:rsid w:val="00DA00F9"/>
    <w:rsid w:val="00DA036F"/>
    <w:rsid w:val="00DA0415"/>
    <w:rsid w:val="00DA06F6"/>
    <w:rsid w:val="00DA0D3A"/>
    <w:rsid w:val="00DA14A5"/>
    <w:rsid w:val="00DA1566"/>
    <w:rsid w:val="00DA1938"/>
    <w:rsid w:val="00DA1F73"/>
    <w:rsid w:val="00DA3E9D"/>
    <w:rsid w:val="00DA41A5"/>
    <w:rsid w:val="00DA702A"/>
    <w:rsid w:val="00DB0106"/>
    <w:rsid w:val="00DB1526"/>
    <w:rsid w:val="00DB1B06"/>
    <w:rsid w:val="00DB323D"/>
    <w:rsid w:val="00DB3CDE"/>
    <w:rsid w:val="00DB3DF5"/>
    <w:rsid w:val="00DB3F99"/>
    <w:rsid w:val="00DB435B"/>
    <w:rsid w:val="00DB4E88"/>
    <w:rsid w:val="00DB535E"/>
    <w:rsid w:val="00DB672F"/>
    <w:rsid w:val="00DB6B42"/>
    <w:rsid w:val="00DB78E5"/>
    <w:rsid w:val="00DB7C45"/>
    <w:rsid w:val="00DC01A0"/>
    <w:rsid w:val="00DC0FE1"/>
    <w:rsid w:val="00DC1321"/>
    <w:rsid w:val="00DC1836"/>
    <w:rsid w:val="00DC1843"/>
    <w:rsid w:val="00DC2194"/>
    <w:rsid w:val="00DC2C71"/>
    <w:rsid w:val="00DC3C14"/>
    <w:rsid w:val="00DC40AA"/>
    <w:rsid w:val="00DC5E6A"/>
    <w:rsid w:val="00DC6A25"/>
    <w:rsid w:val="00DC6CA0"/>
    <w:rsid w:val="00DC70C8"/>
    <w:rsid w:val="00DC73F9"/>
    <w:rsid w:val="00DD05AF"/>
    <w:rsid w:val="00DD1D51"/>
    <w:rsid w:val="00DD2D41"/>
    <w:rsid w:val="00DD3757"/>
    <w:rsid w:val="00DD41DE"/>
    <w:rsid w:val="00DD457F"/>
    <w:rsid w:val="00DD5466"/>
    <w:rsid w:val="00DD55A6"/>
    <w:rsid w:val="00DD79F4"/>
    <w:rsid w:val="00DE088E"/>
    <w:rsid w:val="00DE2B9D"/>
    <w:rsid w:val="00DE313D"/>
    <w:rsid w:val="00DE361D"/>
    <w:rsid w:val="00DE3F06"/>
    <w:rsid w:val="00DE4AE2"/>
    <w:rsid w:val="00DE59E7"/>
    <w:rsid w:val="00DE65C8"/>
    <w:rsid w:val="00DF1150"/>
    <w:rsid w:val="00DF115F"/>
    <w:rsid w:val="00DF1BDA"/>
    <w:rsid w:val="00DF2892"/>
    <w:rsid w:val="00DF28AA"/>
    <w:rsid w:val="00DF2FD4"/>
    <w:rsid w:val="00DF3293"/>
    <w:rsid w:val="00DF45E6"/>
    <w:rsid w:val="00DF4B4A"/>
    <w:rsid w:val="00DF4BC4"/>
    <w:rsid w:val="00DF5117"/>
    <w:rsid w:val="00DF5E03"/>
    <w:rsid w:val="00DF5F4F"/>
    <w:rsid w:val="00DF6263"/>
    <w:rsid w:val="00E012D1"/>
    <w:rsid w:val="00E013A0"/>
    <w:rsid w:val="00E02F44"/>
    <w:rsid w:val="00E03553"/>
    <w:rsid w:val="00E0379F"/>
    <w:rsid w:val="00E0426C"/>
    <w:rsid w:val="00E043A2"/>
    <w:rsid w:val="00E04FEF"/>
    <w:rsid w:val="00E052E3"/>
    <w:rsid w:val="00E05830"/>
    <w:rsid w:val="00E05E8F"/>
    <w:rsid w:val="00E06ABD"/>
    <w:rsid w:val="00E10964"/>
    <w:rsid w:val="00E109C9"/>
    <w:rsid w:val="00E115A2"/>
    <w:rsid w:val="00E115D5"/>
    <w:rsid w:val="00E11910"/>
    <w:rsid w:val="00E11A16"/>
    <w:rsid w:val="00E11B22"/>
    <w:rsid w:val="00E12ECD"/>
    <w:rsid w:val="00E135EA"/>
    <w:rsid w:val="00E14049"/>
    <w:rsid w:val="00E1414B"/>
    <w:rsid w:val="00E14C94"/>
    <w:rsid w:val="00E16E52"/>
    <w:rsid w:val="00E17142"/>
    <w:rsid w:val="00E2016B"/>
    <w:rsid w:val="00E205B9"/>
    <w:rsid w:val="00E2090D"/>
    <w:rsid w:val="00E23BF4"/>
    <w:rsid w:val="00E259D1"/>
    <w:rsid w:val="00E26220"/>
    <w:rsid w:val="00E27937"/>
    <w:rsid w:val="00E27D53"/>
    <w:rsid w:val="00E3045D"/>
    <w:rsid w:val="00E32644"/>
    <w:rsid w:val="00E33B5E"/>
    <w:rsid w:val="00E356C9"/>
    <w:rsid w:val="00E35766"/>
    <w:rsid w:val="00E37E3F"/>
    <w:rsid w:val="00E4032F"/>
    <w:rsid w:val="00E40688"/>
    <w:rsid w:val="00E408F0"/>
    <w:rsid w:val="00E41251"/>
    <w:rsid w:val="00E41368"/>
    <w:rsid w:val="00E4250B"/>
    <w:rsid w:val="00E428AA"/>
    <w:rsid w:val="00E430A1"/>
    <w:rsid w:val="00E43EAE"/>
    <w:rsid w:val="00E44C0C"/>
    <w:rsid w:val="00E44EB7"/>
    <w:rsid w:val="00E4546C"/>
    <w:rsid w:val="00E45859"/>
    <w:rsid w:val="00E45AF2"/>
    <w:rsid w:val="00E45C70"/>
    <w:rsid w:val="00E47210"/>
    <w:rsid w:val="00E472AF"/>
    <w:rsid w:val="00E50BAA"/>
    <w:rsid w:val="00E51DA6"/>
    <w:rsid w:val="00E52163"/>
    <w:rsid w:val="00E52AA1"/>
    <w:rsid w:val="00E5359B"/>
    <w:rsid w:val="00E546CC"/>
    <w:rsid w:val="00E60EBC"/>
    <w:rsid w:val="00E60FD2"/>
    <w:rsid w:val="00E619E0"/>
    <w:rsid w:val="00E62666"/>
    <w:rsid w:val="00E6334A"/>
    <w:rsid w:val="00E6352A"/>
    <w:rsid w:val="00E637D8"/>
    <w:rsid w:val="00E6480F"/>
    <w:rsid w:val="00E64D3F"/>
    <w:rsid w:val="00E65561"/>
    <w:rsid w:val="00E678EB"/>
    <w:rsid w:val="00E70221"/>
    <w:rsid w:val="00E707C9"/>
    <w:rsid w:val="00E70FB7"/>
    <w:rsid w:val="00E717F3"/>
    <w:rsid w:val="00E72DB1"/>
    <w:rsid w:val="00E73DDC"/>
    <w:rsid w:val="00E748B0"/>
    <w:rsid w:val="00E74C08"/>
    <w:rsid w:val="00E778B3"/>
    <w:rsid w:val="00E81247"/>
    <w:rsid w:val="00E8238C"/>
    <w:rsid w:val="00E828E3"/>
    <w:rsid w:val="00E83863"/>
    <w:rsid w:val="00E83FD9"/>
    <w:rsid w:val="00E85610"/>
    <w:rsid w:val="00E85831"/>
    <w:rsid w:val="00E85F24"/>
    <w:rsid w:val="00E865A8"/>
    <w:rsid w:val="00E8714C"/>
    <w:rsid w:val="00E90474"/>
    <w:rsid w:val="00E9072E"/>
    <w:rsid w:val="00E90861"/>
    <w:rsid w:val="00E90D8C"/>
    <w:rsid w:val="00E91A16"/>
    <w:rsid w:val="00E92F97"/>
    <w:rsid w:val="00E934F2"/>
    <w:rsid w:val="00E939A8"/>
    <w:rsid w:val="00E95419"/>
    <w:rsid w:val="00E95A37"/>
    <w:rsid w:val="00E9665D"/>
    <w:rsid w:val="00E96BE5"/>
    <w:rsid w:val="00EA2DB6"/>
    <w:rsid w:val="00EA5D24"/>
    <w:rsid w:val="00EA6883"/>
    <w:rsid w:val="00EA7BB0"/>
    <w:rsid w:val="00EB0DCD"/>
    <w:rsid w:val="00EB19FF"/>
    <w:rsid w:val="00EB1BCA"/>
    <w:rsid w:val="00EB26C7"/>
    <w:rsid w:val="00EB4B0C"/>
    <w:rsid w:val="00EB4DC6"/>
    <w:rsid w:val="00EB5C57"/>
    <w:rsid w:val="00EB6000"/>
    <w:rsid w:val="00EB696D"/>
    <w:rsid w:val="00EB6AFE"/>
    <w:rsid w:val="00EB6C14"/>
    <w:rsid w:val="00EB7CBB"/>
    <w:rsid w:val="00EC0979"/>
    <w:rsid w:val="00EC0F42"/>
    <w:rsid w:val="00EC1027"/>
    <w:rsid w:val="00EC1C55"/>
    <w:rsid w:val="00EC2198"/>
    <w:rsid w:val="00EC3F19"/>
    <w:rsid w:val="00EC4BD8"/>
    <w:rsid w:val="00EC6E27"/>
    <w:rsid w:val="00EC7851"/>
    <w:rsid w:val="00ED04D1"/>
    <w:rsid w:val="00ED0B37"/>
    <w:rsid w:val="00ED1105"/>
    <w:rsid w:val="00ED165D"/>
    <w:rsid w:val="00ED1D63"/>
    <w:rsid w:val="00ED27E8"/>
    <w:rsid w:val="00ED2D2B"/>
    <w:rsid w:val="00ED3EF7"/>
    <w:rsid w:val="00ED4356"/>
    <w:rsid w:val="00ED4C1C"/>
    <w:rsid w:val="00ED54CD"/>
    <w:rsid w:val="00ED5681"/>
    <w:rsid w:val="00ED64DA"/>
    <w:rsid w:val="00ED7966"/>
    <w:rsid w:val="00ED7F04"/>
    <w:rsid w:val="00EE0960"/>
    <w:rsid w:val="00EE272E"/>
    <w:rsid w:val="00EE297F"/>
    <w:rsid w:val="00EE3596"/>
    <w:rsid w:val="00EE3CF5"/>
    <w:rsid w:val="00EE4146"/>
    <w:rsid w:val="00EE564F"/>
    <w:rsid w:val="00EE5990"/>
    <w:rsid w:val="00EE5B78"/>
    <w:rsid w:val="00EE67CF"/>
    <w:rsid w:val="00EE7F15"/>
    <w:rsid w:val="00EF026F"/>
    <w:rsid w:val="00EF0ED2"/>
    <w:rsid w:val="00EF1974"/>
    <w:rsid w:val="00EF1F61"/>
    <w:rsid w:val="00EF2C09"/>
    <w:rsid w:val="00EF311C"/>
    <w:rsid w:val="00EF40E5"/>
    <w:rsid w:val="00EF49BC"/>
    <w:rsid w:val="00EF4F9D"/>
    <w:rsid w:val="00EF5544"/>
    <w:rsid w:val="00EF5586"/>
    <w:rsid w:val="00EF5CD0"/>
    <w:rsid w:val="00EF5E85"/>
    <w:rsid w:val="00EF6BF0"/>
    <w:rsid w:val="00EF71FF"/>
    <w:rsid w:val="00EF7316"/>
    <w:rsid w:val="00EF78E2"/>
    <w:rsid w:val="00F00997"/>
    <w:rsid w:val="00F00B1F"/>
    <w:rsid w:val="00F04999"/>
    <w:rsid w:val="00F05467"/>
    <w:rsid w:val="00F06127"/>
    <w:rsid w:val="00F06D3A"/>
    <w:rsid w:val="00F103CD"/>
    <w:rsid w:val="00F11840"/>
    <w:rsid w:val="00F15B54"/>
    <w:rsid w:val="00F15F62"/>
    <w:rsid w:val="00F167F6"/>
    <w:rsid w:val="00F2124C"/>
    <w:rsid w:val="00F212DF"/>
    <w:rsid w:val="00F21C1D"/>
    <w:rsid w:val="00F25ADF"/>
    <w:rsid w:val="00F27314"/>
    <w:rsid w:val="00F27652"/>
    <w:rsid w:val="00F27BDF"/>
    <w:rsid w:val="00F30936"/>
    <w:rsid w:val="00F31569"/>
    <w:rsid w:val="00F32404"/>
    <w:rsid w:val="00F329F5"/>
    <w:rsid w:val="00F338A3"/>
    <w:rsid w:val="00F33FA8"/>
    <w:rsid w:val="00F3410D"/>
    <w:rsid w:val="00F34904"/>
    <w:rsid w:val="00F35656"/>
    <w:rsid w:val="00F358D0"/>
    <w:rsid w:val="00F35CD6"/>
    <w:rsid w:val="00F35F5D"/>
    <w:rsid w:val="00F36C54"/>
    <w:rsid w:val="00F36C73"/>
    <w:rsid w:val="00F36DA3"/>
    <w:rsid w:val="00F37186"/>
    <w:rsid w:val="00F374C2"/>
    <w:rsid w:val="00F37656"/>
    <w:rsid w:val="00F379B1"/>
    <w:rsid w:val="00F37A8B"/>
    <w:rsid w:val="00F4371F"/>
    <w:rsid w:val="00F437F4"/>
    <w:rsid w:val="00F43A94"/>
    <w:rsid w:val="00F43BEC"/>
    <w:rsid w:val="00F44593"/>
    <w:rsid w:val="00F45145"/>
    <w:rsid w:val="00F46203"/>
    <w:rsid w:val="00F468F3"/>
    <w:rsid w:val="00F46B6F"/>
    <w:rsid w:val="00F47BC5"/>
    <w:rsid w:val="00F5112D"/>
    <w:rsid w:val="00F518EC"/>
    <w:rsid w:val="00F5272D"/>
    <w:rsid w:val="00F54D1A"/>
    <w:rsid w:val="00F553EC"/>
    <w:rsid w:val="00F56391"/>
    <w:rsid w:val="00F57AD2"/>
    <w:rsid w:val="00F608E5"/>
    <w:rsid w:val="00F62054"/>
    <w:rsid w:val="00F64FC2"/>
    <w:rsid w:val="00F6508F"/>
    <w:rsid w:val="00F65331"/>
    <w:rsid w:val="00F662B8"/>
    <w:rsid w:val="00F676B1"/>
    <w:rsid w:val="00F711A3"/>
    <w:rsid w:val="00F711D1"/>
    <w:rsid w:val="00F717BF"/>
    <w:rsid w:val="00F71E87"/>
    <w:rsid w:val="00F71F42"/>
    <w:rsid w:val="00F72283"/>
    <w:rsid w:val="00F722A2"/>
    <w:rsid w:val="00F73852"/>
    <w:rsid w:val="00F738F9"/>
    <w:rsid w:val="00F74102"/>
    <w:rsid w:val="00F7548F"/>
    <w:rsid w:val="00F757EA"/>
    <w:rsid w:val="00F75BC6"/>
    <w:rsid w:val="00F7699C"/>
    <w:rsid w:val="00F82483"/>
    <w:rsid w:val="00F82E48"/>
    <w:rsid w:val="00F83A5A"/>
    <w:rsid w:val="00F87C26"/>
    <w:rsid w:val="00F90B07"/>
    <w:rsid w:val="00F91348"/>
    <w:rsid w:val="00F92983"/>
    <w:rsid w:val="00F94D33"/>
    <w:rsid w:val="00F9502F"/>
    <w:rsid w:val="00F951EC"/>
    <w:rsid w:val="00F95791"/>
    <w:rsid w:val="00F97461"/>
    <w:rsid w:val="00F97AFD"/>
    <w:rsid w:val="00F97B52"/>
    <w:rsid w:val="00FA0902"/>
    <w:rsid w:val="00FA0E42"/>
    <w:rsid w:val="00FA15F8"/>
    <w:rsid w:val="00FA2AFE"/>
    <w:rsid w:val="00FA428B"/>
    <w:rsid w:val="00FA4A35"/>
    <w:rsid w:val="00FA4E14"/>
    <w:rsid w:val="00FA5033"/>
    <w:rsid w:val="00FA6650"/>
    <w:rsid w:val="00FA6925"/>
    <w:rsid w:val="00FA7917"/>
    <w:rsid w:val="00FA7E57"/>
    <w:rsid w:val="00FA7FC6"/>
    <w:rsid w:val="00FB0054"/>
    <w:rsid w:val="00FB14BA"/>
    <w:rsid w:val="00FB1CEC"/>
    <w:rsid w:val="00FB7405"/>
    <w:rsid w:val="00FB7608"/>
    <w:rsid w:val="00FB76D2"/>
    <w:rsid w:val="00FB7E7D"/>
    <w:rsid w:val="00FB7EE8"/>
    <w:rsid w:val="00FC1055"/>
    <w:rsid w:val="00FC24E5"/>
    <w:rsid w:val="00FC45E6"/>
    <w:rsid w:val="00FC5774"/>
    <w:rsid w:val="00FC5DEE"/>
    <w:rsid w:val="00FC5E4A"/>
    <w:rsid w:val="00FC7772"/>
    <w:rsid w:val="00FD0908"/>
    <w:rsid w:val="00FD0A82"/>
    <w:rsid w:val="00FD1847"/>
    <w:rsid w:val="00FD1A20"/>
    <w:rsid w:val="00FD308E"/>
    <w:rsid w:val="00FD3378"/>
    <w:rsid w:val="00FD3751"/>
    <w:rsid w:val="00FD406B"/>
    <w:rsid w:val="00FD5990"/>
    <w:rsid w:val="00FD75F1"/>
    <w:rsid w:val="00FD7B17"/>
    <w:rsid w:val="00FD7FDB"/>
    <w:rsid w:val="00FE1570"/>
    <w:rsid w:val="00FE1D4B"/>
    <w:rsid w:val="00FE2E5F"/>
    <w:rsid w:val="00FE2F3F"/>
    <w:rsid w:val="00FE3011"/>
    <w:rsid w:val="00FE3587"/>
    <w:rsid w:val="00FE3E8F"/>
    <w:rsid w:val="00FE42A7"/>
    <w:rsid w:val="00FE495E"/>
    <w:rsid w:val="00FE4C49"/>
    <w:rsid w:val="00FE4F90"/>
    <w:rsid w:val="00FE5708"/>
    <w:rsid w:val="00FE6559"/>
    <w:rsid w:val="00FE7BA6"/>
    <w:rsid w:val="00FE7F41"/>
    <w:rsid w:val="00FF0EB2"/>
    <w:rsid w:val="00FF1504"/>
    <w:rsid w:val="00FF1D67"/>
    <w:rsid w:val="00FF3DB7"/>
    <w:rsid w:val="00FF444C"/>
    <w:rsid w:val="00FF4833"/>
    <w:rsid w:val="00FF54C5"/>
    <w:rsid w:val="00FF5664"/>
    <w:rsid w:val="00FF56ED"/>
    <w:rsid w:val="00FF696F"/>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7DDC"/>
    <w:rPr>
      <w:rFonts w:ascii="Arial" w:hAnsi="Arial"/>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link w:val="Heading2Char"/>
    <w:qFormat/>
    <w:rsid w:val="003D7FD8"/>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3D7FD8"/>
    <w:pPr>
      <w:keepNext/>
      <w:spacing w:before="240" w:after="60"/>
      <w:outlineLvl w:val="2"/>
    </w:pPr>
    <w:rPr>
      <w:rFonts w:ascii="Times New Roman" w:hAnsi="Times New Roman" w:cs="Arial"/>
      <w:bCs/>
      <w:i/>
      <w:sz w:val="24"/>
      <w:szCs w:val="26"/>
    </w:rPr>
  </w:style>
  <w:style w:type="paragraph" w:styleId="Heading4">
    <w:name w:val="heading 4"/>
    <w:basedOn w:val="Normal"/>
    <w:next w:val="Normal"/>
    <w:link w:val="Heading4Char"/>
    <w:semiHidden/>
    <w:unhideWhenUsed/>
    <w:qFormat/>
    <w:rsid w:val="003D7F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7FD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7FD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7FD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7FD8"/>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D7FD8"/>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EEA"/>
    <w:pPr>
      <w:jc w:val="center"/>
    </w:pPr>
    <w:rPr>
      <w:rFonts w:ascii="Times New Roman" w:hAnsi="Times New Roman"/>
      <w:b/>
      <w:bCs/>
      <w:sz w:val="28"/>
      <w:szCs w:val="24"/>
      <w:lang w:val="es-ES_tradnl"/>
    </w:rPr>
  </w:style>
  <w:style w:type="paragraph" w:styleId="Footer">
    <w:name w:val="footer"/>
    <w:basedOn w:val="Normal"/>
    <w:link w:val="FooterChar"/>
    <w:uiPriority w:val="99"/>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aliases w:val="Texto nota pie IIRSA,Footnote,text,foottextfra,footnote,F,fn,FOOTNOTES,single space,footnote text,Footnote Text Char Char,Footnote Text Char,Texto de rodapé,nota_rodapé,nota de rodapé"/>
    <w:basedOn w:val="Normal"/>
    <w:link w:val="FootnoteTextChar1"/>
    <w:uiPriority w:val="99"/>
    <w:rsid w:val="00B2700D"/>
    <w:pPr>
      <w:keepNext/>
      <w:keepLines/>
      <w:spacing w:after="120"/>
      <w:ind w:left="288" w:hanging="288"/>
      <w:jc w:val="both"/>
    </w:pPr>
    <w:rPr>
      <w:rFonts w:ascii="Times New Roman" w:hAnsi="Times New Roman"/>
      <w:spacing w:val="-3"/>
    </w:rPr>
  </w:style>
  <w:style w:type="character" w:styleId="FootnoteReference">
    <w:name w:val="footnote reference"/>
    <w:basedOn w:val="DefaultParagraphFont"/>
    <w:uiPriority w:val="99"/>
    <w:semiHidden/>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uiPriority w:val="99"/>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150E9B"/>
    <w:pPr>
      <w:tabs>
        <w:tab w:val="right" w:leader="dot" w:pos="8630"/>
      </w:tabs>
      <w:ind w:left="400"/>
    </w:pPr>
    <w:rPr>
      <w:rFonts w:ascii="Times New Roman" w:hAnsi="Times New Roman"/>
      <w:i/>
      <w:iCs/>
      <w:sz w:val="24"/>
      <w:szCs w:val="24"/>
      <w:lang w:val="es-ES_tradnl"/>
    </w:rPr>
  </w:style>
  <w:style w:type="paragraph" w:styleId="TOC2">
    <w:name w:val="toc 2"/>
    <w:basedOn w:val="Normal"/>
    <w:next w:val="Normal"/>
    <w:autoRedefine/>
    <w:uiPriority w:val="39"/>
    <w:unhideWhenUsed/>
    <w:rsid w:val="00CB3858"/>
    <w:pPr>
      <w:tabs>
        <w:tab w:val="right" w:leader="dot" w:pos="8630"/>
      </w:tabs>
    </w:pPr>
    <w:rPr>
      <w:rFonts w:ascii="Times New Roman" w:hAnsi="Times New Roman"/>
      <w:b/>
      <w:smallCaps/>
      <w:noProof/>
    </w:rPr>
  </w:style>
  <w:style w:type="character" w:styleId="Hyperlink">
    <w:name w:val="Hyperlink"/>
    <w:basedOn w:val="DefaultParagraphFont"/>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basedOn w:val="DefaultParagraphFont"/>
    <w:link w:val="EndnoteText"/>
    <w:uiPriority w:val="99"/>
    <w:semiHidden/>
    <w:rsid w:val="00685536"/>
    <w:rPr>
      <w:rFonts w:ascii="Arial" w:hAnsi="Arial"/>
      <w:lang w:val="en-US" w:eastAsia="en-US"/>
    </w:rPr>
  </w:style>
  <w:style w:type="character" w:styleId="EndnoteReference">
    <w:name w:val="endnote reference"/>
    <w:basedOn w:val="DefaultParagraphFont"/>
    <w:uiPriority w:val="99"/>
    <w:semiHidden/>
    <w:unhideWhenUsed/>
    <w:rsid w:val="00685536"/>
    <w:rPr>
      <w:vertAlign w:val="superscript"/>
    </w:rPr>
  </w:style>
  <w:style w:type="paragraph" w:styleId="ListParagraph">
    <w:name w:val="List Paragraph"/>
    <w:basedOn w:val="Normal"/>
    <w:uiPriority w:val="34"/>
    <w:qFormat/>
    <w:rsid w:val="00207B49"/>
    <w:pPr>
      <w:ind w:left="708"/>
    </w:pPr>
  </w:style>
  <w:style w:type="paragraph" w:styleId="TOC1">
    <w:name w:val="toc 1"/>
    <w:basedOn w:val="Normal"/>
    <w:next w:val="Normal"/>
    <w:autoRedefine/>
    <w:uiPriority w:val="39"/>
    <w:unhideWhenUsed/>
    <w:rsid w:val="00727C2A"/>
    <w:pPr>
      <w:tabs>
        <w:tab w:val="left" w:pos="360"/>
        <w:tab w:val="right" w:leader="dot" w:pos="8364"/>
      </w:tabs>
      <w:ind w:left="360" w:right="843" w:hanging="360"/>
    </w:pPr>
    <w:rPr>
      <w:rFonts w:ascii="Times New Roman" w:hAnsi="Times New Roman"/>
      <w:b/>
      <w:bCs/>
      <w:caps/>
    </w:rPr>
  </w:style>
  <w:style w:type="paragraph" w:styleId="BalloonText">
    <w:name w:val="Balloon Text"/>
    <w:basedOn w:val="Normal"/>
    <w:link w:val="BalloonTextChar"/>
    <w:semiHidden/>
    <w:rsid w:val="00A71618"/>
    <w:rPr>
      <w:rFonts w:ascii="Tahoma" w:hAnsi="Tahoma" w:cs="Tahoma"/>
      <w:sz w:val="16"/>
      <w:szCs w:val="16"/>
    </w:rPr>
  </w:style>
  <w:style w:type="character" w:customStyle="1" w:styleId="Heading3Char">
    <w:name w:val="Heading 3 Char"/>
    <w:basedOn w:val="DefaultParagraphFont"/>
    <w:link w:val="Heading3"/>
    <w:rsid w:val="003D7FD8"/>
    <w:rPr>
      <w:rFonts w:cs="Arial"/>
      <w:bCs/>
      <w:i/>
      <w:sz w:val="24"/>
      <w:szCs w:val="26"/>
    </w:rPr>
  </w:style>
  <w:style w:type="paragraph" w:customStyle="1" w:styleId="Titulo4">
    <w:name w:val="Titulo 4"/>
    <w:basedOn w:val="Normal"/>
    <w:link w:val="Titulo4Car"/>
    <w:rsid w:val="007068FB"/>
    <w:pPr>
      <w:ind w:left="720"/>
    </w:pPr>
    <w:rPr>
      <w:u w:val="single"/>
    </w:rPr>
  </w:style>
  <w:style w:type="character" w:customStyle="1" w:styleId="Titulo4Car">
    <w:name w:val="Titulo 4 Car"/>
    <w:basedOn w:val="DefaultParagraphFont"/>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rsid w:val="00717681"/>
    <w:pPr>
      <w:tabs>
        <w:tab w:val="center" w:pos="4252"/>
        <w:tab w:val="right" w:pos="8504"/>
      </w:tabs>
    </w:pPr>
  </w:style>
  <w:style w:type="table" w:styleId="TableWeb2">
    <w:name w:val="Table Web 2"/>
    <w:basedOn w:val="TableNormal"/>
    <w:rsid w:val="00D70095"/>
    <w:tblPr>
      <w:tblCellSpacing w:w="20" w:type="dxa"/>
      <w:tblInd w:w="0" w:type="dxa"/>
      <w:tblCellMar>
        <w:top w:w="0" w:type="dxa"/>
        <w:left w:w="108" w:type="dxa"/>
        <w:bottom w:w="0" w:type="dxa"/>
        <w:right w:w="108" w:type="dxa"/>
      </w:tblCellMar>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basedOn w:val="DefaultParagraphFont"/>
    <w:link w:val="Header"/>
    <w:semiHidden/>
    <w:rsid w:val="00DD3757"/>
    <w:rPr>
      <w:rFonts w:ascii="Arial" w:hAnsi="Arial"/>
      <w:lang w:val="en-US" w:eastAsia="en-US" w:bidi="ar-SA"/>
    </w:rPr>
  </w:style>
  <w:style w:type="paragraph" w:customStyle="1" w:styleId="SPLAP1">
    <w:name w:val="SPLAP 1"/>
    <w:basedOn w:val="Heading1"/>
    <w:rsid w:val="00D0244F"/>
    <w:pPr>
      <w:numPr>
        <w:numId w:val="2"/>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2"/>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2"/>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basedOn w:val="DefaultParagraphFont"/>
    <w:rsid w:val="00C03318"/>
    <w:rPr>
      <w:color w:val="800080"/>
      <w:u w:val="single"/>
    </w:rPr>
  </w:style>
  <w:style w:type="character" w:styleId="Emphasis">
    <w:name w:val="Emphasis"/>
    <w:basedOn w:val="DefaultParagraphFont"/>
    <w:qFormat/>
    <w:rsid w:val="007A0A9F"/>
    <w:rPr>
      <w:i/>
      <w:iCs/>
    </w:rPr>
  </w:style>
  <w:style w:type="paragraph" w:customStyle="1" w:styleId="SecHeading">
    <w:name w:val="SecHeading"/>
    <w:basedOn w:val="Normal"/>
    <w:next w:val="Paragraph"/>
    <w:rsid w:val="003D7FD8"/>
    <w:pPr>
      <w:keepNext/>
      <w:numPr>
        <w:ilvl w:val="1"/>
        <w:numId w:val="9"/>
      </w:numPr>
      <w:tabs>
        <w:tab w:val="clear" w:pos="5400"/>
        <w:tab w:val="num" w:pos="1296"/>
      </w:tabs>
      <w:spacing w:before="120" w:after="120"/>
      <w:ind w:left="1296"/>
    </w:pPr>
    <w:rPr>
      <w:rFonts w:ascii="Times New Roman" w:hAnsi="Times New Roman"/>
      <w:b/>
      <w:sz w:val="24"/>
      <w:lang w:val="es-ES_tradnl"/>
    </w:rPr>
  </w:style>
  <w:style w:type="character" w:customStyle="1" w:styleId="FootnoteTextChar1">
    <w:name w:val="Footnote Text Char1"/>
    <w:aliases w:val="Texto nota pie IIRSA Char,Footnote Char,text Char,foottextfra Char,footnote Char,F Char,fn Char,FOOTNOTES Char,single space Char,footnote text Char,Footnote Text Char Char Char,Footnote Text Char Char1,Texto de rodapé Char"/>
    <w:basedOn w:val="DefaultParagraphFont"/>
    <w:link w:val="FootnoteText"/>
    <w:uiPriority w:val="99"/>
    <w:rsid w:val="00336BBF"/>
    <w:rPr>
      <w:spacing w:val="-3"/>
    </w:rPr>
  </w:style>
  <w:style w:type="table" w:customStyle="1" w:styleId="Sombreadoclaro1">
    <w:name w:val="Sombreado claro1"/>
    <w:basedOn w:val="TableNormal"/>
    <w:uiPriority w:val="60"/>
    <w:rsid w:val="00E64D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E740A"/>
    <w:rPr>
      <w:b/>
      <w:bCs/>
      <w:i/>
      <w:iCs/>
      <w:sz w:val="22"/>
      <w:szCs w:val="22"/>
      <w:lang w:val="es-ES_tradnl" w:eastAsia="en-US"/>
    </w:rPr>
  </w:style>
  <w:style w:type="table" w:styleId="TableGrid">
    <w:name w:val="Table Grid"/>
    <w:basedOn w:val="TableNormal"/>
    <w:uiPriority w:val="59"/>
    <w:rsid w:val="00F32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link w:val="ChapterChar"/>
    <w:rsid w:val="003D7FD8"/>
    <w:pPr>
      <w:keepNext/>
      <w:numPr>
        <w:numId w:val="8"/>
      </w:numPr>
      <w:tabs>
        <w:tab w:val="clear" w:pos="1800"/>
        <w:tab w:val="num" w:pos="648"/>
        <w:tab w:val="left" w:pos="1440"/>
      </w:tabs>
      <w:spacing w:before="240" w:after="240"/>
      <w:ind w:left="0"/>
      <w:jc w:val="center"/>
    </w:pPr>
    <w:rPr>
      <w:rFonts w:ascii="Times New Roman" w:hAnsi="Times New Roman"/>
      <w:b/>
      <w:smallCaps/>
      <w:sz w:val="24"/>
    </w:rPr>
  </w:style>
  <w:style w:type="character" w:customStyle="1" w:styleId="ChapterChar">
    <w:name w:val="Chapter Char"/>
    <w:basedOn w:val="Heading1Char"/>
    <w:link w:val="Chapter"/>
    <w:rsid w:val="003D7FD8"/>
    <w:rPr>
      <w:b/>
      <w:bCs/>
      <w:i/>
      <w:iCs/>
      <w:smallCaps/>
      <w:sz w:val="24"/>
      <w:szCs w:val="22"/>
      <w:lang w:val="es-ES_tradnl" w:eastAsia="en-US"/>
    </w:rPr>
  </w:style>
  <w:style w:type="paragraph" w:customStyle="1" w:styleId="FirstHeading">
    <w:name w:val="FirstHeading"/>
    <w:basedOn w:val="Normal"/>
    <w:next w:val="Normal"/>
    <w:link w:val="FirstHeadingChar"/>
    <w:rsid w:val="003D7FD8"/>
    <w:pPr>
      <w:keepNext/>
      <w:numPr>
        <w:numId w:val="9"/>
      </w:numPr>
      <w:tabs>
        <w:tab w:val="left" w:pos="0"/>
        <w:tab w:val="left" w:pos="86"/>
      </w:tabs>
      <w:spacing w:before="120" w:after="120"/>
      <w:ind w:left="720"/>
    </w:pPr>
    <w:rPr>
      <w:rFonts w:ascii="Times New Roman" w:hAnsi="Times New Roman"/>
      <w:b/>
      <w:sz w:val="24"/>
    </w:rPr>
  </w:style>
  <w:style w:type="character" w:customStyle="1" w:styleId="FirstHeadingChar">
    <w:name w:val="FirstHeading Char"/>
    <w:basedOn w:val="Heading1Char"/>
    <w:link w:val="FirstHeading"/>
    <w:rsid w:val="003D7FD8"/>
    <w:rPr>
      <w:b/>
      <w:bCs/>
      <w:i/>
      <w:iCs/>
      <w:sz w:val="24"/>
      <w:szCs w:val="22"/>
      <w:lang w:val="es-ES_tradnl" w:eastAsia="en-US"/>
    </w:rPr>
  </w:style>
  <w:style w:type="paragraph" w:customStyle="1" w:styleId="SubHeading1">
    <w:name w:val="SubHeading1"/>
    <w:basedOn w:val="SecHeading"/>
    <w:link w:val="SubHeading1Char"/>
    <w:rsid w:val="003D7FD8"/>
    <w:pPr>
      <w:numPr>
        <w:ilvl w:val="2"/>
      </w:numPr>
      <w:tabs>
        <w:tab w:val="clear" w:pos="5976"/>
        <w:tab w:val="num" w:pos="1872"/>
      </w:tabs>
      <w:ind w:left="1872"/>
    </w:pPr>
  </w:style>
  <w:style w:type="character" w:customStyle="1" w:styleId="SubHeading1Char">
    <w:name w:val="SubHeading1 Char"/>
    <w:basedOn w:val="Heading1Char"/>
    <w:link w:val="SubHeading1"/>
    <w:rsid w:val="003D7FD8"/>
    <w:rPr>
      <w:b/>
      <w:bCs/>
      <w:i/>
      <w:iCs/>
      <w:sz w:val="24"/>
      <w:szCs w:val="22"/>
      <w:lang w:val="es-ES_tradnl" w:eastAsia="en-US"/>
    </w:rPr>
  </w:style>
  <w:style w:type="paragraph" w:customStyle="1" w:styleId="Subheading2">
    <w:name w:val="Subheading2"/>
    <w:basedOn w:val="SecHeading"/>
    <w:link w:val="Subheading2Char"/>
    <w:rsid w:val="003D7FD8"/>
    <w:pPr>
      <w:numPr>
        <w:ilvl w:val="3"/>
      </w:numPr>
      <w:tabs>
        <w:tab w:val="clear" w:pos="6480"/>
        <w:tab w:val="num" w:pos="2376"/>
      </w:tabs>
      <w:ind w:left="2376"/>
    </w:pPr>
  </w:style>
  <w:style w:type="character" w:customStyle="1" w:styleId="Subheading2Char">
    <w:name w:val="Subheading2 Char"/>
    <w:basedOn w:val="Heading1Char"/>
    <w:link w:val="Subheading2"/>
    <w:rsid w:val="003D7FD8"/>
    <w:rPr>
      <w:b/>
      <w:bCs/>
      <w:i/>
      <w:iCs/>
      <w:sz w:val="24"/>
      <w:szCs w:val="22"/>
      <w:lang w:val="es-ES_tradnl" w:eastAsia="en-US"/>
    </w:rPr>
  </w:style>
  <w:style w:type="paragraph" w:customStyle="1" w:styleId="Paragraph">
    <w:name w:val="Paragraph"/>
    <w:aliases w:val="paragraph,p,PARAGRAPH,PG,pa,at"/>
    <w:basedOn w:val="BodyTextIndent"/>
    <w:link w:val="ParagraphChar"/>
    <w:rsid w:val="003D7FD8"/>
    <w:pPr>
      <w:numPr>
        <w:ilvl w:val="1"/>
        <w:numId w:val="8"/>
      </w:numPr>
      <w:tabs>
        <w:tab w:val="clear" w:pos="2448"/>
        <w:tab w:val="num" w:pos="720"/>
      </w:tabs>
      <w:spacing w:before="120"/>
      <w:ind w:left="720" w:hanging="720"/>
      <w:jc w:val="both"/>
      <w:outlineLvl w:val="1"/>
    </w:pPr>
  </w:style>
  <w:style w:type="character" w:customStyle="1" w:styleId="ParagraphChar">
    <w:name w:val="Paragraph Char"/>
    <w:basedOn w:val="Heading1Char"/>
    <w:link w:val="Paragraph"/>
    <w:rsid w:val="003D7FD8"/>
    <w:rPr>
      <w:b/>
      <w:bCs/>
      <w:i/>
      <w:iCs/>
      <w:sz w:val="24"/>
      <w:szCs w:val="22"/>
      <w:lang w:val="es-ES_tradnl" w:eastAsia="en-US"/>
    </w:rPr>
  </w:style>
  <w:style w:type="paragraph" w:customStyle="1" w:styleId="subpar">
    <w:name w:val="subpar"/>
    <w:basedOn w:val="BodyTextIndent3"/>
    <w:link w:val="subparChar"/>
    <w:rsid w:val="003D7FD8"/>
    <w:pPr>
      <w:numPr>
        <w:ilvl w:val="2"/>
        <w:numId w:val="8"/>
      </w:numPr>
      <w:tabs>
        <w:tab w:val="clear" w:pos="2304"/>
        <w:tab w:val="num" w:pos="1152"/>
      </w:tabs>
      <w:spacing w:before="120"/>
      <w:ind w:left="1152"/>
      <w:jc w:val="both"/>
      <w:outlineLvl w:val="2"/>
    </w:pPr>
  </w:style>
  <w:style w:type="character" w:customStyle="1" w:styleId="subparChar">
    <w:name w:val="subpar Char"/>
    <w:basedOn w:val="Heading1Char"/>
    <w:link w:val="subpar"/>
    <w:rsid w:val="003D7FD8"/>
    <w:rPr>
      <w:b/>
      <w:bCs/>
      <w:i/>
      <w:iCs/>
      <w:sz w:val="24"/>
      <w:szCs w:val="16"/>
      <w:lang w:val="es-ES_tradnl" w:eastAsia="en-US"/>
    </w:rPr>
  </w:style>
  <w:style w:type="paragraph" w:customStyle="1" w:styleId="SubSubPar">
    <w:name w:val="SubSubPar"/>
    <w:basedOn w:val="subpar"/>
    <w:link w:val="SubSubParChar"/>
    <w:rsid w:val="003D7FD8"/>
    <w:pPr>
      <w:numPr>
        <w:ilvl w:val="3"/>
      </w:numPr>
      <w:tabs>
        <w:tab w:val="left" w:pos="0"/>
      </w:tabs>
    </w:pPr>
  </w:style>
  <w:style w:type="character" w:customStyle="1" w:styleId="SubSubParChar">
    <w:name w:val="SubSubPar Char"/>
    <w:basedOn w:val="Heading1Char"/>
    <w:link w:val="SubSubPar"/>
    <w:rsid w:val="003D7FD8"/>
    <w:rPr>
      <w:b w:val="0"/>
      <w:bCs w:val="0"/>
      <w:i w:val="0"/>
      <w:iCs w:val="0"/>
      <w:sz w:val="24"/>
      <w:szCs w:val="16"/>
      <w:lang w:val="es-ES_tradnl" w:eastAsia="en-US"/>
    </w:rPr>
  </w:style>
  <w:style w:type="paragraph" w:customStyle="1" w:styleId="Regtable">
    <w:name w:val="Regtable"/>
    <w:basedOn w:val="Normal"/>
    <w:link w:val="RegtableChar"/>
    <w:rsid w:val="003D7FD8"/>
    <w:pPr>
      <w:keepLines/>
      <w:framePr w:wrap="around" w:vAnchor="text" w:hAnchor="text" w:y="1"/>
      <w:spacing w:before="20" w:after="20"/>
    </w:pPr>
    <w:rPr>
      <w:rFonts w:ascii="Times New Roman" w:hAnsi="Times New Roman"/>
    </w:rPr>
  </w:style>
  <w:style w:type="character" w:customStyle="1" w:styleId="RegtableChar">
    <w:name w:val="Regtable Char"/>
    <w:basedOn w:val="Heading1Char"/>
    <w:link w:val="Regtable"/>
    <w:rsid w:val="003D7FD8"/>
    <w:rPr>
      <w:b/>
      <w:bCs/>
      <w:i/>
      <w:iCs/>
      <w:sz w:val="22"/>
      <w:szCs w:val="22"/>
      <w:lang w:val="es-ES_tradnl" w:eastAsia="en-US"/>
    </w:rPr>
  </w:style>
  <w:style w:type="paragraph" w:customStyle="1" w:styleId="TableTitle">
    <w:name w:val="TableTitle"/>
    <w:basedOn w:val="Normal"/>
    <w:link w:val="TableTitleChar"/>
    <w:rsid w:val="003D7FD8"/>
    <w:pPr>
      <w:framePr w:wrap="around" w:vAnchor="text" w:hAnchor="text" w:y="1"/>
      <w:spacing w:before="20" w:after="20"/>
    </w:pPr>
    <w:rPr>
      <w:rFonts w:ascii="Times New Roman Bold" w:hAnsi="Times New Roman Bold"/>
      <w:i/>
      <w:spacing w:val="-3"/>
    </w:rPr>
  </w:style>
  <w:style w:type="character" w:customStyle="1" w:styleId="TableTitleChar">
    <w:name w:val="TableTitle Char"/>
    <w:basedOn w:val="Heading1Char"/>
    <w:link w:val="TableTitle"/>
    <w:rsid w:val="003D7FD8"/>
    <w:rPr>
      <w:rFonts w:ascii="Times New Roman Bold" w:hAnsi="Times New Roman Bold"/>
      <w:b/>
      <w:bCs/>
      <w:i/>
      <w:iCs/>
      <w:spacing w:val="-3"/>
      <w:sz w:val="22"/>
      <w:szCs w:val="22"/>
      <w:lang w:val="es-ES_tradnl" w:eastAsia="en-US"/>
    </w:rPr>
  </w:style>
  <w:style w:type="character" w:customStyle="1" w:styleId="Heading4Char">
    <w:name w:val="Heading 4 Char"/>
    <w:basedOn w:val="DefaultParagraphFont"/>
    <w:link w:val="Heading4"/>
    <w:semiHidden/>
    <w:rsid w:val="003D7F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D7F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D7F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D7F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D7F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D7FD8"/>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3D7FD8"/>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3D7FD8"/>
    <w:rPr>
      <w:sz w:val="24"/>
    </w:rPr>
  </w:style>
  <w:style w:type="paragraph" w:styleId="BodyTextIndent3">
    <w:name w:val="Body Text Indent 3"/>
    <w:basedOn w:val="Normal"/>
    <w:link w:val="BodyTextIndent3Char"/>
    <w:rsid w:val="003D7FD8"/>
    <w:pPr>
      <w:spacing w:after="120"/>
      <w:ind w:left="360"/>
    </w:pPr>
    <w:rPr>
      <w:rFonts w:ascii="Times New Roman" w:hAnsi="Times New Roman"/>
      <w:sz w:val="24"/>
      <w:szCs w:val="16"/>
    </w:rPr>
  </w:style>
  <w:style w:type="character" w:customStyle="1" w:styleId="BodyTextIndent3Char">
    <w:name w:val="Body Text Indent 3 Char"/>
    <w:basedOn w:val="DefaultParagraphFont"/>
    <w:link w:val="BodyTextIndent3"/>
    <w:rsid w:val="003D7FD8"/>
    <w:rPr>
      <w:sz w:val="24"/>
      <w:szCs w:val="16"/>
    </w:rPr>
  </w:style>
  <w:style w:type="paragraph" w:styleId="PlainText">
    <w:name w:val="Plain Text"/>
    <w:basedOn w:val="Normal"/>
    <w:link w:val="PlainTextChar"/>
    <w:uiPriority w:val="99"/>
    <w:unhideWhenUsed/>
    <w:rsid w:val="008B07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07EE"/>
    <w:rPr>
      <w:rFonts w:ascii="Consolas" w:eastAsiaTheme="minorHAnsi" w:hAnsi="Consolas" w:cstheme="minorBidi"/>
      <w:sz w:val="21"/>
      <w:szCs w:val="21"/>
    </w:rPr>
  </w:style>
  <w:style w:type="character" w:styleId="CommentReference">
    <w:name w:val="annotation reference"/>
    <w:basedOn w:val="DefaultParagraphFont"/>
    <w:rsid w:val="009E1C8E"/>
    <w:rPr>
      <w:sz w:val="16"/>
      <w:szCs w:val="16"/>
    </w:rPr>
  </w:style>
  <w:style w:type="paragraph" w:styleId="CommentText">
    <w:name w:val="annotation text"/>
    <w:basedOn w:val="Normal"/>
    <w:link w:val="CommentTextChar"/>
    <w:rsid w:val="009E1C8E"/>
  </w:style>
  <w:style w:type="character" w:customStyle="1" w:styleId="CommentTextChar">
    <w:name w:val="Comment Text Char"/>
    <w:basedOn w:val="DefaultParagraphFont"/>
    <w:link w:val="CommentText"/>
    <w:rsid w:val="009E1C8E"/>
    <w:rPr>
      <w:rFonts w:ascii="Arial" w:hAnsi="Arial"/>
    </w:rPr>
  </w:style>
  <w:style w:type="paragraph" w:styleId="CommentSubject">
    <w:name w:val="annotation subject"/>
    <w:basedOn w:val="CommentText"/>
    <w:next w:val="CommentText"/>
    <w:link w:val="CommentSubjectChar"/>
    <w:rsid w:val="009E1C8E"/>
    <w:rPr>
      <w:b/>
      <w:bCs/>
    </w:rPr>
  </w:style>
  <w:style w:type="character" w:customStyle="1" w:styleId="CommentSubjectChar">
    <w:name w:val="Comment Subject Char"/>
    <w:basedOn w:val="CommentTextChar"/>
    <w:link w:val="CommentSubject"/>
    <w:rsid w:val="009E1C8E"/>
    <w:rPr>
      <w:rFonts w:ascii="Arial" w:hAnsi="Arial"/>
      <w:b/>
      <w:bCs/>
    </w:rPr>
  </w:style>
  <w:style w:type="table" w:styleId="TableSimple1">
    <w:name w:val="Table Simple 1"/>
    <w:basedOn w:val="TableNormal"/>
    <w:rsid w:val="00BD000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alloonTextChar">
    <w:name w:val="Balloon Text Char"/>
    <w:basedOn w:val="DefaultParagraphFont"/>
    <w:link w:val="BalloonText"/>
    <w:semiHidden/>
    <w:rsid w:val="005F4F0C"/>
    <w:rPr>
      <w:rFonts w:ascii="Tahoma" w:hAnsi="Tahoma" w:cs="Tahoma"/>
      <w:sz w:val="16"/>
      <w:szCs w:val="16"/>
    </w:rPr>
  </w:style>
  <w:style w:type="character" w:customStyle="1" w:styleId="TextonotapieCar1">
    <w:name w:val="Texto nota pie Car1"/>
    <w:aliases w:val="Texto nota pie IIRSA Car,Footnote Car,text Car,foottextfra Car,footnote Car,F Car,Texto nota pie Car Car"/>
    <w:uiPriority w:val="99"/>
    <w:semiHidden/>
    <w:rsid w:val="00FE5708"/>
    <w:rPr>
      <w:lang w:eastAsia="es-ES"/>
    </w:rPr>
  </w:style>
  <w:style w:type="paragraph" w:styleId="BodyText">
    <w:name w:val="Body Text"/>
    <w:basedOn w:val="Normal"/>
    <w:link w:val="BodyTextChar"/>
    <w:rsid w:val="00257AA5"/>
    <w:pPr>
      <w:spacing w:after="120"/>
    </w:pPr>
  </w:style>
  <w:style w:type="character" w:customStyle="1" w:styleId="BodyTextChar">
    <w:name w:val="Body Text Char"/>
    <w:basedOn w:val="DefaultParagraphFont"/>
    <w:link w:val="BodyText"/>
    <w:rsid w:val="00257AA5"/>
    <w:rPr>
      <w:rFonts w:ascii="Arial" w:hAnsi="Arial"/>
    </w:rPr>
  </w:style>
  <w:style w:type="character" w:customStyle="1" w:styleId="Heading2Char">
    <w:name w:val="Heading 2 Char"/>
    <w:basedOn w:val="DefaultParagraphFont"/>
    <w:link w:val="Heading2"/>
    <w:rsid w:val="00C33ADF"/>
    <w:rPr>
      <w:b/>
      <w:bCs/>
      <w:iCs/>
      <w:sz w:val="22"/>
      <w:szCs w:val="22"/>
      <w:lang w:val="es-ES_tradnl"/>
    </w:rPr>
  </w:style>
  <w:style w:type="character" w:customStyle="1" w:styleId="FooterChar">
    <w:name w:val="Footer Char"/>
    <w:basedOn w:val="DefaultParagraphFont"/>
    <w:link w:val="Footer"/>
    <w:uiPriority w:val="99"/>
    <w:rsid w:val="00150E9B"/>
    <w:rPr>
      <w:sz w:val="24"/>
      <w:szCs w:val="24"/>
      <w:lang w:val="es-ES"/>
    </w:rPr>
  </w:style>
  <w:style w:type="character" w:customStyle="1" w:styleId="ParagraphCar">
    <w:name w:val="Paragraph Car"/>
    <w:basedOn w:val="DefaultParagraphFont"/>
    <w:locked/>
    <w:rsid w:val="007062AA"/>
    <w:rPr>
      <w:sz w:val="24"/>
      <w:lang w:val="es-ES"/>
    </w:rPr>
  </w:style>
  <w:style w:type="character" w:customStyle="1" w:styleId="Smbolodenotaalpie">
    <w:name w:val="Símbolo de nota al pie"/>
    <w:rsid w:val="00706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7DDC"/>
    <w:rPr>
      <w:rFonts w:ascii="Arial" w:hAnsi="Arial"/>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link w:val="Heading2Char"/>
    <w:qFormat/>
    <w:rsid w:val="003D7FD8"/>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3D7FD8"/>
    <w:pPr>
      <w:keepNext/>
      <w:spacing w:before="240" w:after="60"/>
      <w:outlineLvl w:val="2"/>
    </w:pPr>
    <w:rPr>
      <w:rFonts w:ascii="Times New Roman" w:hAnsi="Times New Roman" w:cs="Arial"/>
      <w:bCs/>
      <w:i/>
      <w:sz w:val="24"/>
      <w:szCs w:val="26"/>
    </w:rPr>
  </w:style>
  <w:style w:type="paragraph" w:styleId="Heading4">
    <w:name w:val="heading 4"/>
    <w:basedOn w:val="Normal"/>
    <w:next w:val="Normal"/>
    <w:link w:val="Heading4Char"/>
    <w:semiHidden/>
    <w:unhideWhenUsed/>
    <w:qFormat/>
    <w:rsid w:val="003D7F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7FD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7FD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7FD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7FD8"/>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D7FD8"/>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EEA"/>
    <w:pPr>
      <w:jc w:val="center"/>
    </w:pPr>
    <w:rPr>
      <w:rFonts w:ascii="Times New Roman" w:hAnsi="Times New Roman"/>
      <w:b/>
      <w:bCs/>
      <w:sz w:val="28"/>
      <w:szCs w:val="24"/>
      <w:lang w:val="es-ES_tradnl"/>
    </w:rPr>
  </w:style>
  <w:style w:type="paragraph" w:styleId="Footer">
    <w:name w:val="footer"/>
    <w:basedOn w:val="Normal"/>
    <w:link w:val="FooterChar"/>
    <w:uiPriority w:val="99"/>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aliases w:val="Texto nota pie IIRSA,Footnote,text,foottextfra,footnote,F,fn,FOOTNOTES,single space,footnote text,Footnote Text Char Char,Footnote Text Char,Texto de rodapé,nota_rodapé,nota de rodapé"/>
    <w:basedOn w:val="Normal"/>
    <w:link w:val="FootnoteTextChar1"/>
    <w:uiPriority w:val="99"/>
    <w:rsid w:val="00B2700D"/>
    <w:pPr>
      <w:keepNext/>
      <w:keepLines/>
      <w:spacing w:after="120"/>
      <w:ind w:left="288" w:hanging="288"/>
      <w:jc w:val="both"/>
    </w:pPr>
    <w:rPr>
      <w:rFonts w:ascii="Times New Roman" w:hAnsi="Times New Roman"/>
      <w:spacing w:val="-3"/>
    </w:rPr>
  </w:style>
  <w:style w:type="character" w:styleId="FootnoteReference">
    <w:name w:val="footnote reference"/>
    <w:basedOn w:val="DefaultParagraphFont"/>
    <w:uiPriority w:val="99"/>
    <w:semiHidden/>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uiPriority w:val="99"/>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150E9B"/>
    <w:pPr>
      <w:tabs>
        <w:tab w:val="right" w:leader="dot" w:pos="8630"/>
      </w:tabs>
      <w:ind w:left="400"/>
    </w:pPr>
    <w:rPr>
      <w:rFonts w:ascii="Times New Roman" w:hAnsi="Times New Roman"/>
      <w:i/>
      <w:iCs/>
      <w:sz w:val="24"/>
      <w:szCs w:val="24"/>
      <w:lang w:val="es-ES_tradnl"/>
    </w:rPr>
  </w:style>
  <w:style w:type="paragraph" w:styleId="TOC2">
    <w:name w:val="toc 2"/>
    <w:basedOn w:val="Normal"/>
    <w:next w:val="Normal"/>
    <w:autoRedefine/>
    <w:uiPriority w:val="39"/>
    <w:unhideWhenUsed/>
    <w:rsid w:val="00CB3858"/>
    <w:pPr>
      <w:tabs>
        <w:tab w:val="right" w:leader="dot" w:pos="8630"/>
      </w:tabs>
    </w:pPr>
    <w:rPr>
      <w:rFonts w:ascii="Times New Roman" w:hAnsi="Times New Roman"/>
      <w:b/>
      <w:smallCaps/>
      <w:noProof/>
    </w:rPr>
  </w:style>
  <w:style w:type="character" w:styleId="Hyperlink">
    <w:name w:val="Hyperlink"/>
    <w:basedOn w:val="DefaultParagraphFont"/>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basedOn w:val="DefaultParagraphFont"/>
    <w:link w:val="EndnoteText"/>
    <w:uiPriority w:val="99"/>
    <w:semiHidden/>
    <w:rsid w:val="00685536"/>
    <w:rPr>
      <w:rFonts w:ascii="Arial" w:hAnsi="Arial"/>
      <w:lang w:val="en-US" w:eastAsia="en-US"/>
    </w:rPr>
  </w:style>
  <w:style w:type="character" w:styleId="EndnoteReference">
    <w:name w:val="endnote reference"/>
    <w:basedOn w:val="DefaultParagraphFont"/>
    <w:uiPriority w:val="99"/>
    <w:semiHidden/>
    <w:unhideWhenUsed/>
    <w:rsid w:val="00685536"/>
    <w:rPr>
      <w:vertAlign w:val="superscript"/>
    </w:rPr>
  </w:style>
  <w:style w:type="paragraph" w:styleId="ListParagraph">
    <w:name w:val="List Paragraph"/>
    <w:basedOn w:val="Normal"/>
    <w:uiPriority w:val="34"/>
    <w:qFormat/>
    <w:rsid w:val="00207B49"/>
    <w:pPr>
      <w:ind w:left="708"/>
    </w:pPr>
  </w:style>
  <w:style w:type="paragraph" w:styleId="TOC1">
    <w:name w:val="toc 1"/>
    <w:basedOn w:val="Normal"/>
    <w:next w:val="Normal"/>
    <w:autoRedefine/>
    <w:uiPriority w:val="39"/>
    <w:unhideWhenUsed/>
    <w:rsid w:val="00727C2A"/>
    <w:pPr>
      <w:tabs>
        <w:tab w:val="left" w:pos="360"/>
        <w:tab w:val="right" w:leader="dot" w:pos="8364"/>
      </w:tabs>
      <w:ind w:left="360" w:right="843" w:hanging="360"/>
    </w:pPr>
    <w:rPr>
      <w:rFonts w:ascii="Times New Roman" w:hAnsi="Times New Roman"/>
      <w:b/>
      <w:bCs/>
      <w:caps/>
    </w:rPr>
  </w:style>
  <w:style w:type="paragraph" w:styleId="BalloonText">
    <w:name w:val="Balloon Text"/>
    <w:basedOn w:val="Normal"/>
    <w:link w:val="BalloonTextChar"/>
    <w:semiHidden/>
    <w:rsid w:val="00A71618"/>
    <w:rPr>
      <w:rFonts w:ascii="Tahoma" w:hAnsi="Tahoma" w:cs="Tahoma"/>
      <w:sz w:val="16"/>
      <w:szCs w:val="16"/>
    </w:rPr>
  </w:style>
  <w:style w:type="character" w:customStyle="1" w:styleId="Heading3Char">
    <w:name w:val="Heading 3 Char"/>
    <w:basedOn w:val="DefaultParagraphFont"/>
    <w:link w:val="Heading3"/>
    <w:rsid w:val="003D7FD8"/>
    <w:rPr>
      <w:rFonts w:cs="Arial"/>
      <w:bCs/>
      <w:i/>
      <w:sz w:val="24"/>
      <w:szCs w:val="26"/>
    </w:rPr>
  </w:style>
  <w:style w:type="paragraph" w:customStyle="1" w:styleId="Titulo4">
    <w:name w:val="Titulo 4"/>
    <w:basedOn w:val="Normal"/>
    <w:link w:val="Titulo4Car"/>
    <w:rsid w:val="007068FB"/>
    <w:pPr>
      <w:ind w:left="720"/>
    </w:pPr>
    <w:rPr>
      <w:u w:val="single"/>
    </w:rPr>
  </w:style>
  <w:style w:type="character" w:customStyle="1" w:styleId="Titulo4Car">
    <w:name w:val="Titulo 4 Car"/>
    <w:basedOn w:val="DefaultParagraphFont"/>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rsid w:val="00717681"/>
    <w:pPr>
      <w:tabs>
        <w:tab w:val="center" w:pos="4252"/>
        <w:tab w:val="right" w:pos="8504"/>
      </w:tabs>
    </w:pPr>
  </w:style>
  <w:style w:type="table" w:styleId="TableWeb2">
    <w:name w:val="Table Web 2"/>
    <w:basedOn w:val="TableNormal"/>
    <w:rsid w:val="00D70095"/>
    <w:tblPr>
      <w:tblCellSpacing w:w="20" w:type="dxa"/>
      <w:tblInd w:w="0" w:type="dxa"/>
      <w:tblCellMar>
        <w:top w:w="0" w:type="dxa"/>
        <w:left w:w="108" w:type="dxa"/>
        <w:bottom w:w="0" w:type="dxa"/>
        <w:right w:w="108" w:type="dxa"/>
      </w:tblCellMar>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basedOn w:val="DefaultParagraphFont"/>
    <w:link w:val="Header"/>
    <w:semiHidden/>
    <w:rsid w:val="00DD3757"/>
    <w:rPr>
      <w:rFonts w:ascii="Arial" w:hAnsi="Arial"/>
      <w:lang w:val="en-US" w:eastAsia="en-US" w:bidi="ar-SA"/>
    </w:rPr>
  </w:style>
  <w:style w:type="paragraph" w:customStyle="1" w:styleId="SPLAP1">
    <w:name w:val="SPLAP 1"/>
    <w:basedOn w:val="Heading1"/>
    <w:rsid w:val="00D0244F"/>
    <w:pPr>
      <w:numPr>
        <w:numId w:val="2"/>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2"/>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2"/>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basedOn w:val="DefaultParagraphFont"/>
    <w:rsid w:val="00C03318"/>
    <w:rPr>
      <w:color w:val="800080"/>
      <w:u w:val="single"/>
    </w:rPr>
  </w:style>
  <w:style w:type="character" w:styleId="Emphasis">
    <w:name w:val="Emphasis"/>
    <w:basedOn w:val="DefaultParagraphFont"/>
    <w:qFormat/>
    <w:rsid w:val="007A0A9F"/>
    <w:rPr>
      <w:i/>
      <w:iCs/>
    </w:rPr>
  </w:style>
  <w:style w:type="paragraph" w:customStyle="1" w:styleId="SecHeading">
    <w:name w:val="SecHeading"/>
    <w:basedOn w:val="Normal"/>
    <w:next w:val="Paragraph"/>
    <w:rsid w:val="003D7FD8"/>
    <w:pPr>
      <w:keepNext/>
      <w:numPr>
        <w:ilvl w:val="1"/>
        <w:numId w:val="9"/>
      </w:numPr>
      <w:tabs>
        <w:tab w:val="clear" w:pos="5400"/>
        <w:tab w:val="num" w:pos="1296"/>
      </w:tabs>
      <w:spacing w:before="120" w:after="120"/>
      <w:ind w:left="1296"/>
    </w:pPr>
    <w:rPr>
      <w:rFonts w:ascii="Times New Roman" w:hAnsi="Times New Roman"/>
      <w:b/>
      <w:sz w:val="24"/>
      <w:lang w:val="es-ES_tradnl"/>
    </w:rPr>
  </w:style>
  <w:style w:type="character" w:customStyle="1" w:styleId="FootnoteTextChar1">
    <w:name w:val="Footnote Text Char1"/>
    <w:aliases w:val="Texto nota pie IIRSA Char,Footnote Char,text Char,foottextfra Char,footnote Char,F Char,fn Char,FOOTNOTES Char,single space Char,footnote text Char,Footnote Text Char Char Char,Footnote Text Char Char1,Texto de rodapé Char"/>
    <w:basedOn w:val="DefaultParagraphFont"/>
    <w:link w:val="FootnoteText"/>
    <w:uiPriority w:val="99"/>
    <w:rsid w:val="00336BBF"/>
    <w:rPr>
      <w:spacing w:val="-3"/>
    </w:rPr>
  </w:style>
  <w:style w:type="table" w:customStyle="1" w:styleId="Sombreadoclaro1">
    <w:name w:val="Sombreado claro1"/>
    <w:basedOn w:val="TableNormal"/>
    <w:uiPriority w:val="60"/>
    <w:rsid w:val="00E64D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E740A"/>
    <w:rPr>
      <w:b/>
      <w:bCs/>
      <w:i/>
      <w:iCs/>
      <w:sz w:val="22"/>
      <w:szCs w:val="22"/>
      <w:lang w:val="es-ES_tradnl" w:eastAsia="en-US"/>
    </w:rPr>
  </w:style>
  <w:style w:type="table" w:styleId="TableGrid">
    <w:name w:val="Table Grid"/>
    <w:basedOn w:val="TableNormal"/>
    <w:uiPriority w:val="59"/>
    <w:rsid w:val="00F32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link w:val="ChapterChar"/>
    <w:rsid w:val="003D7FD8"/>
    <w:pPr>
      <w:keepNext/>
      <w:numPr>
        <w:numId w:val="8"/>
      </w:numPr>
      <w:tabs>
        <w:tab w:val="clear" w:pos="1800"/>
        <w:tab w:val="num" w:pos="648"/>
        <w:tab w:val="left" w:pos="1440"/>
      </w:tabs>
      <w:spacing w:before="240" w:after="240"/>
      <w:ind w:left="0"/>
      <w:jc w:val="center"/>
    </w:pPr>
    <w:rPr>
      <w:rFonts w:ascii="Times New Roman" w:hAnsi="Times New Roman"/>
      <w:b/>
      <w:smallCaps/>
      <w:sz w:val="24"/>
    </w:rPr>
  </w:style>
  <w:style w:type="character" w:customStyle="1" w:styleId="ChapterChar">
    <w:name w:val="Chapter Char"/>
    <w:basedOn w:val="Heading1Char"/>
    <w:link w:val="Chapter"/>
    <w:rsid w:val="003D7FD8"/>
    <w:rPr>
      <w:b/>
      <w:bCs/>
      <w:i/>
      <w:iCs/>
      <w:smallCaps/>
      <w:sz w:val="24"/>
      <w:szCs w:val="22"/>
      <w:lang w:val="es-ES_tradnl" w:eastAsia="en-US"/>
    </w:rPr>
  </w:style>
  <w:style w:type="paragraph" w:customStyle="1" w:styleId="FirstHeading">
    <w:name w:val="FirstHeading"/>
    <w:basedOn w:val="Normal"/>
    <w:next w:val="Normal"/>
    <w:link w:val="FirstHeadingChar"/>
    <w:rsid w:val="003D7FD8"/>
    <w:pPr>
      <w:keepNext/>
      <w:numPr>
        <w:numId w:val="9"/>
      </w:numPr>
      <w:tabs>
        <w:tab w:val="left" w:pos="0"/>
        <w:tab w:val="left" w:pos="86"/>
      </w:tabs>
      <w:spacing w:before="120" w:after="120"/>
      <w:ind w:left="720"/>
    </w:pPr>
    <w:rPr>
      <w:rFonts w:ascii="Times New Roman" w:hAnsi="Times New Roman"/>
      <w:b/>
      <w:sz w:val="24"/>
    </w:rPr>
  </w:style>
  <w:style w:type="character" w:customStyle="1" w:styleId="FirstHeadingChar">
    <w:name w:val="FirstHeading Char"/>
    <w:basedOn w:val="Heading1Char"/>
    <w:link w:val="FirstHeading"/>
    <w:rsid w:val="003D7FD8"/>
    <w:rPr>
      <w:b/>
      <w:bCs/>
      <w:i/>
      <w:iCs/>
      <w:sz w:val="24"/>
      <w:szCs w:val="22"/>
      <w:lang w:val="es-ES_tradnl" w:eastAsia="en-US"/>
    </w:rPr>
  </w:style>
  <w:style w:type="paragraph" w:customStyle="1" w:styleId="SubHeading1">
    <w:name w:val="SubHeading1"/>
    <w:basedOn w:val="SecHeading"/>
    <w:link w:val="SubHeading1Char"/>
    <w:rsid w:val="003D7FD8"/>
    <w:pPr>
      <w:numPr>
        <w:ilvl w:val="2"/>
      </w:numPr>
      <w:tabs>
        <w:tab w:val="clear" w:pos="5976"/>
        <w:tab w:val="num" w:pos="1872"/>
      </w:tabs>
      <w:ind w:left="1872"/>
    </w:pPr>
  </w:style>
  <w:style w:type="character" w:customStyle="1" w:styleId="SubHeading1Char">
    <w:name w:val="SubHeading1 Char"/>
    <w:basedOn w:val="Heading1Char"/>
    <w:link w:val="SubHeading1"/>
    <w:rsid w:val="003D7FD8"/>
    <w:rPr>
      <w:b/>
      <w:bCs/>
      <w:i/>
      <w:iCs/>
      <w:sz w:val="24"/>
      <w:szCs w:val="22"/>
      <w:lang w:val="es-ES_tradnl" w:eastAsia="en-US"/>
    </w:rPr>
  </w:style>
  <w:style w:type="paragraph" w:customStyle="1" w:styleId="Subheading2">
    <w:name w:val="Subheading2"/>
    <w:basedOn w:val="SecHeading"/>
    <w:link w:val="Subheading2Char"/>
    <w:rsid w:val="003D7FD8"/>
    <w:pPr>
      <w:numPr>
        <w:ilvl w:val="3"/>
      </w:numPr>
      <w:tabs>
        <w:tab w:val="clear" w:pos="6480"/>
        <w:tab w:val="num" w:pos="2376"/>
      </w:tabs>
      <w:ind w:left="2376"/>
    </w:pPr>
  </w:style>
  <w:style w:type="character" w:customStyle="1" w:styleId="Subheading2Char">
    <w:name w:val="Subheading2 Char"/>
    <w:basedOn w:val="Heading1Char"/>
    <w:link w:val="Subheading2"/>
    <w:rsid w:val="003D7FD8"/>
    <w:rPr>
      <w:b/>
      <w:bCs/>
      <w:i/>
      <w:iCs/>
      <w:sz w:val="24"/>
      <w:szCs w:val="22"/>
      <w:lang w:val="es-ES_tradnl" w:eastAsia="en-US"/>
    </w:rPr>
  </w:style>
  <w:style w:type="paragraph" w:customStyle="1" w:styleId="Paragraph">
    <w:name w:val="Paragraph"/>
    <w:aliases w:val="paragraph,p,PARAGRAPH,PG,pa,at"/>
    <w:basedOn w:val="BodyTextIndent"/>
    <w:link w:val="ParagraphChar"/>
    <w:rsid w:val="003D7FD8"/>
    <w:pPr>
      <w:numPr>
        <w:ilvl w:val="1"/>
        <w:numId w:val="8"/>
      </w:numPr>
      <w:tabs>
        <w:tab w:val="clear" w:pos="2448"/>
        <w:tab w:val="num" w:pos="720"/>
      </w:tabs>
      <w:spacing w:before="120"/>
      <w:ind w:left="720" w:hanging="720"/>
      <w:jc w:val="both"/>
      <w:outlineLvl w:val="1"/>
    </w:pPr>
  </w:style>
  <w:style w:type="character" w:customStyle="1" w:styleId="ParagraphChar">
    <w:name w:val="Paragraph Char"/>
    <w:basedOn w:val="Heading1Char"/>
    <w:link w:val="Paragraph"/>
    <w:rsid w:val="003D7FD8"/>
    <w:rPr>
      <w:b/>
      <w:bCs/>
      <w:i/>
      <w:iCs/>
      <w:sz w:val="24"/>
      <w:szCs w:val="22"/>
      <w:lang w:val="es-ES_tradnl" w:eastAsia="en-US"/>
    </w:rPr>
  </w:style>
  <w:style w:type="paragraph" w:customStyle="1" w:styleId="subpar">
    <w:name w:val="subpar"/>
    <w:basedOn w:val="BodyTextIndent3"/>
    <w:link w:val="subparChar"/>
    <w:rsid w:val="003D7FD8"/>
    <w:pPr>
      <w:numPr>
        <w:ilvl w:val="2"/>
        <w:numId w:val="8"/>
      </w:numPr>
      <w:tabs>
        <w:tab w:val="clear" w:pos="2304"/>
        <w:tab w:val="num" w:pos="1152"/>
      </w:tabs>
      <w:spacing w:before="120"/>
      <w:ind w:left="1152"/>
      <w:jc w:val="both"/>
      <w:outlineLvl w:val="2"/>
    </w:pPr>
  </w:style>
  <w:style w:type="character" w:customStyle="1" w:styleId="subparChar">
    <w:name w:val="subpar Char"/>
    <w:basedOn w:val="Heading1Char"/>
    <w:link w:val="subpar"/>
    <w:rsid w:val="003D7FD8"/>
    <w:rPr>
      <w:b/>
      <w:bCs/>
      <w:i/>
      <w:iCs/>
      <w:sz w:val="24"/>
      <w:szCs w:val="16"/>
      <w:lang w:val="es-ES_tradnl" w:eastAsia="en-US"/>
    </w:rPr>
  </w:style>
  <w:style w:type="paragraph" w:customStyle="1" w:styleId="SubSubPar">
    <w:name w:val="SubSubPar"/>
    <w:basedOn w:val="subpar"/>
    <w:link w:val="SubSubParChar"/>
    <w:rsid w:val="003D7FD8"/>
    <w:pPr>
      <w:numPr>
        <w:ilvl w:val="3"/>
      </w:numPr>
      <w:tabs>
        <w:tab w:val="left" w:pos="0"/>
      </w:tabs>
    </w:pPr>
  </w:style>
  <w:style w:type="character" w:customStyle="1" w:styleId="SubSubParChar">
    <w:name w:val="SubSubPar Char"/>
    <w:basedOn w:val="Heading1Char"/>
    <w:link w:val="SubSubPar"/>
    <w:rsid w:val="003D7FD8"/>
    <w:rPr>
      <w:b w:val="0"/>
      <w:bCs w:val="0"/>
      <w:i w:val="0"/>
      <w:iCs w:val="0"/>
      <w:sz w:val="24"/>
      <w:szCs w:val="16"/>
      <w:lang w:val="es-ES_tradnl" w:eastAsia="en-US"/>
    </w:rPr>
  </w:style>
  <w:style w:type="paragraph" w:customStyle="1" w:styleId="Regtable">
    <w:name w:val="Regtable"/>
    <w:basedOn w:val="Normal"/>
    <w:link w:val="RegtableChar"/>
    <w:rsid w:val="003D7FD8"/>
    <w:pPr>
      <w:keepLines/>
      <w:framePr w:wrap="around" w:vAnchor="text" w:hAnchor="text" w:y="1"/>
      <w:spacing w:before="20" w:after="20"/>
    </w:pPr>
    <w:rPr>
      <w:rFonts w:ascii="Times New Roman" w:hAnsi="Times New Roman"/>
    </w:rPr>
  </w:style>
  <w:style w:type="character" w:customStyle="1" w:styleId="RegtableChar">
    <w:name w:val="Regtable Char"/>
    <w:basedOn w:val="Heading1Char"/>
    <w:link w:val="Regtable"/>
    <w:rsid w:val="003D7FD8"/>
    <w:rPr>
      <w:b/>
      <w:bCs/>
      <w:i/>
      <w:iCs/>
      <w:sz w:val="22"/>
      <w:szCs w:val="22"/>
      <w:lang w:val="es-ES_tradnl" w:eastAsia="en-US"/>
    </w:rPr>
  </w:style>
  <w:style w:type="paragraph" w:customStyle="1" w:styleId="TableTitle">
    <w:name w:val="TableTitle"/>
    <w:basedOn w:val="Normal"/>
    <w:link w:val="TableTitleChar"/>
    <w:rsid w:val="003D7FD8"/>
    <w:pPr>
      <w:framePr w:wrap="around" w:vAnchor="text" w:hAnchor="text" w:y="1"/>
      <w:spacing w:before="20" w:after="20"/>
    </w:pPr>
    <w:rPr>
      <w:rFonts w:ascii="Times New Roman Bold" w:hAnsi="Times New Roman Bold"/>
      <w:i/>
      <w:spacing w:val="-3"/>
    </w:rPr>
  </w:style>
  <w:style w:type="character" w:customStyle="1" w:styleId="TableTitleChar">
    <w:name w:val="TableTitle Char"/>
    <w:basedOn w:val="Heading1Char"/>
    <w:link w:val="TableTitle"/>
    <w:rsid w:val="003D7FD8"/>
    <w:rPr>
      <w:rFonts w:ascii="Times New Roman Bold" w:hAnsi="Times New Roman Bold"/>
      <w:b/>
      <w:bCs/>
      <w:i/>
      <w:iCs/>
      <w:spacing w:val="-3"/>
      <w:sz w:val="22"/>
      <w:szCs w:val="22"/>
      <w:lang w:val="es-ES_tradnl" w:eastAsia="en-US"/>
    </w:rPr>
  </w:style>
  <w:style w:type="character" w:customStyle="1" w:styleId="Heading4Char">
    <w:name w:val="Heading 4 Char"/>
    <w:basedOn w:val="DefaultParagraphFont"/>
    <w:link w:val="Heading4"/>
    <w:semiHidden/>
    <w:rsid w:val="003D7F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D7F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D7F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D7F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D7F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D7FD8"/>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3D7FD8"/>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3D7FD8"/>
    <w:rPr>
      <w:sz w:val="24"/>
    </w:rPr>
  </w:style>
  <w:style w:type="paragraph" w:styleId="BodyTextIndent3">
    <w:name w:val="Body Text Indent 3"/>
    <w:basedOn w:val="Normal"/>
    <w:link w:val="BodyTextIndent3Char"/>
    <w:rsid w:val="003D7FD8"/>
    <w:pPr>
      <w:spacing w:after="120"/>
      <w:ind w:left="360"/>
    </w:pPr>
    <w:rPr>
      <w:rFonts w:ascii="Times New Roman" w:hAnsi="Times New Roman"/>
      <w:sz w:val="24"/>
      <w:szCs w:val="16"/>
    </w:rPr>
  </w:style>
  <w:style w:type="character" w:customStyle="1" w:styleId="BodyTextIndent3Char">
    <w:name w:val="Body Text Indent 3 Char"/>
    <w:basedOn w:val="DefaultParagraphFont"/>
    <w:link w:val="BodyTextIndent3"/>
    <w:rsid w:val="003D7FD8"/>
    <w:rPr>
      <w:sz w:val="24"/>
      <w:szCs w:val="16"/>
    </w:rPr>
  </w:style>
  <w:style w:type="paragraph" w:styleId="PlainText">
    <w:name w:val="Plain Text"/>
    <w:basedOn w:val="Normal"/>
    <w:link w:val="PlainTextChar"/>
    <w:uiPriority w:val="99"/>
    <w:unhideWhenUsed/>
    <w:rsid w:val="008B07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07EE"/>
    <w:rPr>
      <w:rFonts w:ascii="Consolas" w:eastAsiaTheme="minorHAnsi" w:hAnsi="Consolas" w:cstheme="minorBidi"/>
      <w:sz w:val="21"/>
      <w:szCs w:val="21"/>
    </w:rPr>
  </w:style>
  <w:style w:type="character" w:styleId="CommentReference">
    <w:name w:val="annotation reference"/>
    <w:basedOn w:val="DefaultParagraphFont"/>
    <w:rsid w:val="009E1C8E"/>
    <w:rPr>
      <w:sz w:val="16"/>
      <w:szCs w:val="16"/>
    </w:rPr>
  </w:style>
  <w:style w:type="paragraph" w:styleId="CommentText">
    <w:name w:val="annotation text"/>
    <w:basedOn w:val="Normal"/>
    <w:link w:val="CommentTextChar"/>
    <w:rsid w:val="009E1C8E"/>
  </w:style>
  <w:style w:type="character" w:customStyle="1" w:styleId="CommentTextChar">
    <w:name w:val="Comment Text Char"/>
    <w:basedOn w:val="DefaultParagraphFont"/>
    <w:link w:val="CommentText"/>
    <w:rsid w:val="009E1C8E"/>
    <w:rPr>
      <w:rFonts w:ascii="Arial" w:hAnsi="Arial"/>
    </w:rPr>
  </w:style>
  <w:style w:type="paragraph" w:styleId="CommentSubject">
    <w:name w:val="annotation subject"/>
    <w:basedOn w:val="CommentText"/>
    <w:next w:val="CommentText"/>
    <w:link w:val="CommentSubjectChar"/>
    <w:rsid w:val="009E1C8E"/>
    <w:rPr>
      <w:b/>
      <w:bCs/>
    </w:rPr>
  </w:style>
  <w:style w:type="character" w:customStyle="1" w:styleId="CommentSubjectChar">
    <w:name w:val="Comment Subject Char"/>
    <w:basedOn w:val="CommentTextChar"/>
    <w:link w:val="CommentSubject"/>
    <w:rsid w:val="009E1C8E"/>
    <w:rPr>
      <w:rFonts w:ascii="Arial" w:hAnsi="Arial"/>
      <w:b/>
      <w:bCs/>
    </w:rPr>
  </w:style>
  <w:style w:type="table" w:styleId="TableSimple1">
    <w:name w:val="Table Simple 1"/>
    <w:basedOn w:val="TableNormal"/>
    <w:rsid w:val="00BD000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alloonTextChar">
    <w:name w:val="Balloon Text Char"/>
    <w:basedOn w:val="DefaultParagraphFont"/>
    <w:link w:val="BalloonText"/>
    <w:semiHidden/>
    <w:rsid w:val="005F4F0C"/>
    <w:rPr>
      <w:rFonts w:ascii="Tahoma" w:hAnsi="Tahoma" w:cs="Tahoma"/>
      <w:sz w:val="16"/>
      <w:szCs w:val="16"/>
    </w:rPr>
  </w:style>
  <w:style w:type="character" w:customStyle="1" w:styleId="TextonotapieCar1">
    <w:name w:val="Texto nota pie Car1"/>
    <w:aliases w:val="Texto nota pie IIRSA Car,Footnote Car,text Car,foottextfra Car,footnote Car,F Car,Texto nota pie Car Car"/>
    <w:uiPriority w:val="99"/>
    <w:semiHidden/>
    <w:rsid w:val="00FE5708"/>
    <w:rPr>
      <w:lang w:eastAsia="es-ES"/>
    </w:rPr>
  </w:style>
  <w:style w:type="paragraph" w:styleId="BodyText">
    <w:name w:val="Body Text"/>
    <w:basedOn w:val="Normal"/>
    <w:link w:val="BodyTextChar"/>
    <w:rsid w:val="00257AA5"/>
    <w:pPr>
      <w:spacing w:after="120"/>
    </w:pPr>
  </w:style>
  <w:style w:type="character" w:customStyle="1" w:styleId="BodyTextChar">
    <w:name w:val="Body Text Char"/>
    <w:basedOn w:val="DefaultParagraphFont"/>
    <w:link w:val="BodyText"/>
    <w:rsid w:val="00257AA5"/>
    <w:rPr>
      <w:rFonts w:ascii="Arial" w:hAnsi="Arial"/>
    </w:rPr>
  </w:style>
  <w:style w:type="character" w:customStyle="1" w:styleId="Heading2Char">
    <w:name w:val="Heading 2 Char"/>
    <w:basedOn w:val="DefaultParagraphFont"/>
    <w:link w:val="Heading2"/>
    <w:rsid w:val="00C33ADF"/>
    <w:rPr>
      <w:b/>
      <w:bCs/>
      <w:iCs/>
      <w:sz w:val="22"/>
      <w:szCs w:val="22"/>
      <w:lang w:val="es-ES_tradnl"/>
    </w:rPr>
  </w:style>
  <w:style w:type="character" w:customStyle="1" w:styleId="FooterChar">
    <w:name w:val="Footer Char"/>
    <w:basedOn w:val="DefaultParagraphFont"/>
    <w:link w:val="Footer"/>
    <w:uiPriority w:val="99"/>
    <w:rsid w:val="00150E9B"/>
    <w:rPr>
      <w:sz w:val="24"/>
      <w:szCs w:val="24"/>
      <w:lang w:val="es-ES"/>
    </w:rPr>
  </w:style>
  <w:style w:type="character" w:customStyle="1" w:styleId="ParagraphCar">
    <w:name w:val="Paragraph Car"/>
    <w:basedOn w:val="DefaultParagraphFont"/>
    <w:locked/>
    <w:rsid w:val="007062AA"/>
    <w:rPr>
      <w:sz w:val="24"/>
      <w:lang w:val="es-ES"/>
    </w:rPr>
  </w:style>
  <w:style w:type="character" w:customStyle="1" w:styleId="Smbolodenotaalpie">
    <w:name w:val="Símbolo de nota al pie"/>
    <w:rsid w:val="0070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600">
      <w:bodyDiv w:val="1"/>
      <w:marLeft w:val="0"/>
      <w:marRight w:val="0"/>
      <w:marTop w:val="0"/>
      <w:marBottom w:val="0"/>
      <w:divBdr>
        <w:top w:val="none" w:sz="0" w:space="0" w:color="auto"/>
        <w:left w:val="none" w:sz="0" w:space="0" w:color="auto"/>
        <w:bottom w:val="none" w:sz="0" w:space="0" w:color="auto"/>
        <w:right w:val="none" w:sz="0" w:space="0" w:color="auto"/>
      </w:divBdr>
    </w:div>
    <w:div w:id="80874055">
      <w:bodyDiv w:val="1"/>
      <w:marLeft w:val="0"/>
      <w:marRight w:val="0"/>
      <w:marTop w:val="0"/>
      <w:marBottom w:val="0"/>
      <w:divBdr>
        <w:top w:val="none" w:sz="0" w:space="0" w:color="auto"/>
        <w:left w:val="none" w:sz="0" w:space="0" w:color="auto"/>
        <w:bottom w:val="none" w:sz="0" w:space="0" w:color="auto"/>
        <w:right w:val="none" w:sz="0" w:space="0" w:color="auto"/>
      </w:divBdr>
    </w:div>
    <w:div w:id="82731015">
      <w:bodyDiv w:val="1"/>
      <w:marLeft w:val="0"/>
      <w:marRight w:val="0"/>
      <w:marTop w:val="0"/>
      <w:marBottom w:val="0"/>
      <w:divBdr>
        <w:top w:val="none" w:sz="0" w:space="0" w:color="auto"/>
        <w:left w:val="none" w:sz="0" w:space="0" w:color="auto"/>
        <w:bottom w:val="none" w:sz="0" w:space="0" w:color="auto"/>
        <w:right w:val="none" w:sz="0" w:space="0" w:color="auto"/>
      </w:divBdr>
      <w:divsChild>
        <w:div w:id="164367819">
          <w:marLeft w:val="547"/>
          <w:marRight w:val="0"/>
          <w:marTop w:val="86"/>
          <w:marBottom w:val="0"/>
          <w:divBdr>
            <w:top w:val="none" w:sz="0" w:space="0" w:color="auto"/>
            <w:left w:val="none" w:sz="0" w:space="0" w:color="auto"/>
            <w:bottom w:val="none" w:sz="0" w:space="0" w:color="auto"/>
            <w:right w:val="none" w:sz="0" w:space="0" w:color="auto"/>
          </w:divBdr>
        </w:div>
        <w:div w:id="581447716">
          <w:marLeft w:val="547"/>
          <w:marRight w:val="0"/>
          <w:marTop w:val="86"/>
          <w:marBottom w:val="0"/>
          <w:divBdr>
            <w:top w:val="none" w:sz="0" w:space="0" w:color="auto"/>
            <w:left w:val="none" w:sz="0" w:space="0" w:color="auto"/>
            <w:bottom w:val="none" w:sz="0" w:space="0" w:color="auto"/>
            <w:right w:val="none" w:sz="0" w:space="0" w:color="auto"/>
          </w:divBdr>
        </w:div>
        <w:div w:id="944964885">
          <w:marLeft w:val="0"/>
          <w:marRight w:val="0"/>
          <w:marTop w:val="86"/>
          <w:marBottom w:val="0"/>
          <w:divBdr>
            <w:top w:val="none" w:sz="0" w:space="0" w:color="auto"/>
            <w:left w:val="none" w:sz="0" w:space="0" w:color="auto"/>
            <w:bottom w:val="none" w:sz="0" w:space="0" w:color="auto"/>
            <w:right w:val="none" w:sz="0" w:space="0" w:color="auto"/>
          </w:divBdr>
        </w:div>
        <w:div w:id="1378161022">
          <w:marLeft w:val="547"/>
          <w:marRight w:val="0"/>
          <w:marTop w:val="86"/>
          <w:marBottom w:val="0"/>
          <w:divBdr>
            <w:top w:val="none" w:sz="0" w:space="0" w:color="auto"/>
            <w:left w:val="none" w:sz="0" w:space="0" w:color="auto"/>
            <w:bottom w:val="none" w:sz="0" w:space="0" w:color="auto"/>
            <w:right w:val="none" w:sz="0" w:space="0" w:color="auto"/>
          </w:divBdr>
        </w:div>
        <w:div w:id="1614366665">
          <w:marLeft w:val="547"/>
          <w:marRight w:val="0"/>
          <w:marTop w:val="86"/>
          <w:marBottom w:val="0"/>
          <w:divBdr>
            <w:top w:val="none" w:sz="0" w:space="0" w:color="auto"/>
            <w:left w:val="none" w:sz="0" w:space="0" w:color="auto"/>
            <w:bottom w:val="none" w:sz="0" w:space="0" w:color="auto"/>
            <w:right w:val="none" w:sz="0" w:space="0" w:color="auto"/>
          </w:divBdr>
        </w:div>
        <w:div w:id="1843741550">
          <w:marLeft w:val="547"/>
          <w:marRight w:val="0"/>
          <w:marTop w:val="86"/>
          <w:marBottom w:val="0"/>
          <w:divBdr>
            <w:top w:val="none" w:sz="0" w:space="0" w:color="auto"/>
            <w:left w:val="none" w:sz="0" w:space="0" w:color="auto"/>
            <w:bottom w:val="none" w:sz="0" w:space="0" w:color="auto"/>
            <w:right w:val="none" w:sz="0" w:space="0" w:color="auto"/>
          </w:divBdr>
        </w:div>
        <w:div w:id="2084599872">
          <w:marLeft w:val="547"/>
          <w:marRight w:val="0"/>
          <w:marTop w:val="86"/>
          <w:marBottom w:val="0"/>
          <w:divBdr>
            <w:top w:val="none" w:sz="0" w:space="0" w:color="auto"/>
            <w:left w:val="none" w:sz="0" w:space="0" w:color="auto"/>
            <w:bottom w:val="none" w:sz="0" w:space="0" w:color="auto"/>
            <w:right w:val="none" w:sz="0" w:space="0" w:color="auto"/>
          </w:divBdr>
        </w:div>
      </w:divsChild>
    </w:div>
    <w:div w:id="99377839">
      <w:bodyDiv w:val="1"/>
      <w:marLeft w:val="0"/>
      <w:marRight w:val="0"/>
      <w:marTop w:val="0"/>
      <w:marBottom w:val="0"/>
      <w:divBdr>
        <w:top w:val="none" w:sz="0" w:space="0" w:color="auto"/>
        <w:left w:val="none" w:sz="0" w:space="0" w:color="auto"/>
        <w:bottom w:val="none" w:sz="0" w:space="0" w:color="auto"/>
        <w:right w:val="none" w:sz="0" w:space="0" w:color="auto"/>
      </w:divBdr>
      <w:divsChild>
        <w:div w:id="1842772544">
          <w:marLeft w:val="0"/>
          <w:marRight w:val="0"/>
          <w:marTop w:val="0"/>
          <w:marBottom w:val="0"/>
          <w:divBdr>
            <w:top w:val="none" w:sz="0" w:space="0" w:color="auto"/>
            <w:left w:val="none" w:sz="0" w:space="0" w:color="auto"/>
            <w:bottom w:val="none" w:sz="0" w:space="0" w:color="auto"/>
            <w:right w:val="none" w:sz="0" w:space="0" w:color="auto"/>
          </w:divBdr>
          <w:divsChild>
            <w:div w:id="187374764">
              <w:marLeft w:val="0"/>
              <w:marRight w:val="0"/>
              <w:marTop w:val="0"/>
              <w:marBottom w:val="0"/>
              <w:divBdr>
                <w:top w:val="none" w:sz="0" w:space="0" w:color="auto"/>
                <w:left w:val="none" w:sz="0" w:space="0" w:color="auto"/>
                <w:bottom w:val="none" w:sz="0" w:space="0" w:color="auto"/>
                <w:right w:val="none" w:sz="0" w:space="0" w:color="auto"/>
              </w:divBdr>
            </w:div>
            <w:div w:id="293676307">
              <w:marLeft w:val="0"/>
              <w:marRight w:val="0"/>
              <w:marTop w:val="0"/>
              <w:marBottom w:val="0"/>
              <w:divBdr>
                <w:top w:val="none" w:sz="0" w:space="0" w:color="auto"/>
                <w:left w:val="none" w:sz="0" w:space="0" w:color="auto"/>
                <w:bottom w:val="none" w:sz="0" w:space="0" w:color="auto"/>
                <w:right w:val="none" w:sz="0" w:space="0" w:color="auto"/>
              </w:divBdr>
            </w:div>
            <w:div w:id="1308704602">
              <w:marLeft w:val="0"/>
              <w:marRight w:val="0"/>
              <w:marTop w:val="0"/>
              <w:marBottom w:val="0"/>
              <w:divBdr>
                <w:top w:val="none" w:sz="0" w:space="0" w:color="auto"/>
                <w:left w:val="none" w:sz="0" w:space="0" w:color="auto"/>
                <w:bottom w:val="none" w:sz="0" w:space="0" w:color="auto"/>
                <w:right w:val="none" w:sz="0" w:space="0" w:color="auto"/>
              </w:divBdr>
            </w:div>
            <w:div w:id="2089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2147">
      <w:bodyDiv w:val="1"/>
      <w:marLeft w:val="0"/>
      <w:marRight w:val="0"/>
      <w:marTop w:val="0"/>
      <w:marBottom w:val="0"/>
      <w:divBdr>
        <w:top w:val="none" w:sz="0" w:space="0" w:color="auto"/>
        <w:left w:val="none" w:sz="0" w:space="0" w:color="auto"/>
        <w:bottom w:val="none" w:sz="0" w:space="0" w:color="auto"/>
        <w:right w:val="none" w:sz="0" w:space="0" w:color="auto"/>
      </w:divBdr>
    </w:div>
    <w:div w:id="114100952">
      <w:bodyDiv w:val="1"/>
      <w:marLeft w:val="0"/>
      <w:marRight w:val="0"/>
      <w:marTop w:val="0"/>
      <w:marBottom w:val="0"/>
      <w:divBdr>
        <w:top w:val="none" w:sz="0" w:space="0" w:color="auto"/>
        <w:left w:val="none" w:sz="0" w:space="0" w:color="auto"/>
        <w:bottom w:val="none" w:sz="0" w:space="0" w:color="auto"/>
        <w:right w:val="none" w:sz="0" w:space="0" w:color="auto"/>
      </w:divBdr>
    </w:div>
    <w:div w:id="134296972">
      <w:bodyDiv w:val="1"/>
      <w:marLeft w:val="0"/>
      <w:marRight w:val="0"/>
      <w:marTop w:val="0"/>
      <w:marBottom w:val="0"/>
      <w:divBdr>
        <w:top w:val="none" w:sz="0" w:space="0" w:color="auto"/>
        <w:left w:val="none" w:sz="0" w:space="0" w:color="auto"/>
        <w:bottom w:val="none" w:sz="0" w:space="0" w:color="auto"/>
        <w:right w:val="none" w:sz="0" w:space="0" w:color="auto"/>
      </w:divBdr>
    </w:div>
    <w:div w:id="175268055">
      <w:bodyDiv w:val="1"/>
      <w:marLeft w:val="0"/>
      <w:marRight w:val="0"/>
      <w:marTop w:val="0"/>
      <w:marBottom w:val="0"/>
      <w:divBdr>
        <w:top w:val="none" w:sz="0" w:space="0" w:color="auto"/>
        <w:left w:val="none" w:sz="0" w:space="0" w:color="auto"/>
        <w:bottom w:val="none" w:sz="0" w:space="0" w:color="auto"/>
        <w:right w:val="none" w:sz="0" w:space="0" w:color="auto"/>
      </w:divBdr>
    </w:div>
    <w:div w:id="223680535">
      <w:bodyDiv w:val="1"/>
      <w:marLeft w:val="0"/>
      <w:marRight w:val="0"/>
      <w:marTop w:val="0"/>
      <w:marBottom w:val="0"/>
      <w:divBdr>
        <w:top w:val="none" w:sz="0" w:space="0" w:color="auto"/>
        <w:left w:val="none" w:sz="0" w:space="0" w:color="auto"/>
        <w:bottom w:val="none" w:sz="0" w:space="0" w:color="auto"/>
        <w:right w:val="none" w:sz="0" w:space="0" w:color="auto"/>
      </w:divBdr>
    </w:div>
    <w:div w:id="238370207">
      <w:bodyDiv w:val="1"/>
      <w:marLeft w:val="0"/>
      <w:marRight w:val="0"/>
      <w:marTop w:val="0"/>
      <w:marBottom w:val="0"/>
      <w:divBdr>
        <w:top w:val="none" w:sz="0" w:space="0" w:color="auto"/>
        <w:left w:val="none" w:sz="0" w:space="0" w:color="auto"/>
        <w:bottom w:val="none" w:sz="0" w:space="0" w:color="auto"/>
        <w:right w:val="none" w:sz="0" w:space="0" w:color="auto"/>
      </w:divBdr>
    </w:div>
    <w:div w:id="287856983">
      <w:bodyDiv w:val="1"/>
      <w:marLeft w:val="0"/>
      <w:marRight w:val="0"/>
      <w:marTop w:val="0"/>
      <w:marBottom w:val="0"/>
      <w:divBdr>
        <w:top w:val="none" w:sz="0" w:space="0" w:color="auto"/>
        <w:left w:val="none" w:sz="0" w:space="0" w:color="auto"/>
        <w:bottom w:val="none" w:sz="0" w:space="0" w:color="auto"/>
        <w:right w:val="none" w:sz="0" w:space="0" w:color="auto"/>
      </w:divBdr>
    </w:div>
    <w:div w:id="296956393">
      <w:bodyDiv w:val="1"/>
      <w:marLeft w:val="0"/>
      <w:marRight w:val="0"/>
      <w:marTop w:val="0"/>
      <w:marBottom w:val="0"/>
      <w:divBdr>
        <w:top w:val="none" w:sz="0" w:space="0" w:color="auto"/>
        <w:left w:val="none" w:sz="0" w:space="0" w:color="auto"/>
        <w:bottom w:val="none" w:sz="0" w:space="0" w:color="auto"/>
        <w:right w:val="none" w:sz="0" w:space="0" w:color="auto"/>
      </w:divBdr>
    </w:div>
    <w:div w:id="306472394">
      <w:bodyDiv w:val="1"/>
      <w:marLeft w:val="0"/>
      <w:marRight w:val="0"/>
      <w:marTop w:val="0"/>
      <w:marBottom w:val="0"/>
      <w:divBdr>
        <w:top w:val="none" w:sz="0" w:space="0" w:color="auto"/>
        <w:left w:val="none" w:sz="0" w:space="0" w:color="auto"/>
        <w:bottom w:val="none" w:sz="0" w:space="0" w:color="auto"/>
        <w:right w:val="none" w:sz="0" w:space="0" w:color="auto"/>
      </w:divBdr>
    </w:div>
    <w:div w:id="317420286">
      <w:bodyDiv w:val="1"/>
      <w:marLeft w:val="0"/>
      <w:marRight w:val="0"/>
      <w:marTop w:val="0"/>
      <w:marBottom w:val="0"/>
      <w:divBdr>
        <w:top w:val="none" w:sz="0" w:space="0" w:color="auto"/>
        <w:left w:val="none" w:sz="0" w:space="0" w:color="auto"/>
        <w:bottom w:val="none" w:sz="0" w:space="0" w:color="auto"/>
        <w:right w:val="none" w:sz="0" w:space="0" w:color="auto"/>
      </w:divBdr>
    </w:div>
    <w:div w:id="351415400">
      <w:bodyDiv w:val="1"/>
      <w:marLeft w:val="0"/>
      <w:marRight w:val="0"/>
      <w:marTop w:val="0"/>
      <w:marBottom w:val="0"/>
      <w:divBdr>
        <w:top w:val="none" w:sz="0" w:space="0" w:color="auto"/>
        <w:left w:val="none" w:sz="0" w:space="0" w:color="auto"/>
        <w:bottom w:val="none" w:sz="0" w:space="0" w:color="auto"/>
        <w:right w:val="none" w:sz="0" w:space="0" w:color="auto"/>
      </w:divBdr>
    </w:div>
    <w:div w:id="370229090">
      <w:bodyDiv w:val="1"/>
      <w:marLeft w:val="0"/>
      <w:marRight w:val="0"/>
      <w:marTop w:val="0"/>
      <w:marBottom w:val="0"/>
      <w:divBdr>
        <w:top w:val="none" w:sz="0" w:space="0" w:color="auto"/>
        <w:left w:val="none" w:sz="0" w:space="0" w:color="auto"/>
        <w:bottom w:val="none" w:sz="0" w:space="0" w:color="auto"/>
        <w:right w:val="none" w:sz="0" w:space="0" w:color="auto"/>
      </w:divBdr>
    </w:div>
    <w:div w:id="449277254">
      <w:bodyDiv w:val="1"/>
      <w:marLeft w:val="0"/>
      <w:marRight w:val="0"/>
      <w:marTop w:val="0"/>
      <w:marBottom w:val="0"/>
      <w:divBdr>
        <w:top w:val="none" w:sz="0" w:space="0" w:color="auto"/>
        <w:left w:val="none" w:sz="0" w:space="0" w:color="auto"/>
        <w:bottom w:val="none" w:sz="0" w:space="0" w:color="auto"/>
        <w:right w:val="none" w:sz="0" w:space="0" w:color="auto"/>
      </w:divBdr>
      <w:divsChild>
        <w:div w:id="937373973">
          <w:marLeft w:val="0"/>
          <w:marRight w:val="0"/>
          <w:marTop w:val="0"/>
          <w:marBottom w:val="0"/>
          <w:divBdr>
            <w:top w:val="none" w:sz="0" w:space="0" w:color="auto"/>
            <w:left w:val="none" w:sz="0" w:space="0" w:color="auto"/>
            <w:bottom w:val="none" w:sz="0" w:space="0" w:color="auto"/>
            <w:right w:val="none" w:sz="0" w:space="0" w:color="auto"/>
          </w:divBdr>
          <w:divsChild>
            <w:div w:id="1963883170">
              <w:marLeft w:val="0"/>
              <w:marRight w:val="0"/>
              <w:marTop w:val="0"/>
              <w:marBottom w:val="0"/>
              <w:divBdr>
                <w:top w:val="none" w:sz="0" w:space="0" w:color="auto"/>
                <w:left w:val="none" w:sz="0" w:space="0" w:color="auto"/>
                <w:bottom w:val="none" w:sz="0" w:space="0" w:color="auto"/>
                <w:right w:val="none" w:sz="0" w:space="0" w:color="auto"/>
              </w:divBdr>
              <w:divsChild>
                <w:div w:id="1480224695">
                  <w:marLeft w:val="0"/>
                  <w:marRight w:val="0"/>
                  <w:marTop w:val="0"/>
                  <w:marBottom w:val="0"/>
                  <w:divBdr>
                    <w:top w:val="none" w:sz="0" w:space="0" w:color="auto"/>
                    <w:left w:val="none" w:sz="0" w:space="0" w:color="auto"/>
                    <w:bottom w:val="none" w:sz="0" w:space="0" w:color="auto"/>
                    <w:right w:val="none" w:sz="0" w:space="0" w:color="auto"/>
                  </w:divBdr>
                  <w:divsChild>
                    <w:div w:id="228734595">
                      <w:marLeft w:val="0"/>
                      <w:marRight w:val="0"/>
                      <w:marTop w:val="0"/>
                      <w:marBottom w:val="0"/>
                      <w:divBdr>
                        <w:top w:val="none" w:sz="0" w:space="0" w:color="auto"/>
                        <w:left w:val="none" w:sz="0" w:space="0" w:color="auto"/>
                        <w:bottom w:val="none" w:sz="0" w:space="0" w:color="auto"/>
                        <w:right w:val="none" w:sz="0" w:space="0" w:color="auto"/>
                      </w:divBdr>
                      <w:divsChild>
                        <w:div w:id="1162702963">
                          <w:marLeft w:val="0"/>
                          <w:marRight w:val="0"/>
                          <w:marTop w:val="0"/>
                          <w:marBottom w:val="0"/>
                          <w:divBdr>
                            <w:top w:val="none" w:sz="0" w:space="0" w:color="auto"/>
                            <w:left w:val="none" w:sz="0" w:space="0" w:color="auto"/>
                            <w:bottom w:val="none" w:sz="0" w:space="0" w:color="auto"/>
                            <w:right w:val="none" w:sz="0" w:space="0" w:color="auto"/>
                          </w:divBdr>
                          <w:divsChild>
                            <w:div w:id="605111983">
                              <w:marLeft w:val="0"/>
                              <w:marRight w:val="0"/>
                              <w:marTop w:val="240"/>
                              <w:marBottom w:val="240"/>
                              <w:divBdr>
                                <w:top w:val="none" w:sz="0" w:space="0" w:color="auto"/>
                                <w:left w:val="none" w:sz="0" w:space="0" w:color="auto"/>
                                <w:bottom w:val="none" w:sz="0" w:space="0" w:color="auto"/>
                                <w:right w:val="none" w:sz="0" w:space="0" w:color="auto"/>
                              </w:divBdr>
                              <w:divsChild>
                                <w:div w:id="1698316720">
                                  <w:marLeft w:val="0"/>
                                  <w:marRight w:val="0"/>
                                  <w:marTop w:val="0"/>
                                  <w:marBottom w:val="0"/>
                                  <w:divBdr>
                                    <w:top w:val="none" w:sz="0" w:space="0" w:color="auto"/>
                                    <w:left w:val="none" w:sz="0" w:space="0" w:color="auto"/>
                                    <w:bottom w:val="none" w:sz="0" w:space="0" w:color="auto"/>
                                    <w:right w:val="none" w:sz="0" w:space="0" w:color="auto"/>
                                  </w:divBdr>
                                  <w:divsChild>
                                    <w:div w:id="1184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6862">
      <w:bodyDiv w:val="1"/>
      <w:marLeft w:val="0"/>
      <w:marRight w:val="0"/>
      <w:marTop w:val="0"/>
      <w:marBottom w:val="0"/>
      <w:divBdr>
        <w:top w:val="none" w:sz="0" w:space="0" w:color="auto"/>
        <w:left w:val="none" w:sz="0" w:space="0" w:color="auto"/>
        <w:bottom w:val="none" w:sz="0" w:space="0" w:color="auto"/>
        <w:right w:val="none" w:sz="0" w:space="0" w:color="auto"/>
      </w:divBdr>
    </w:div>
    <w:div w:id="560138429">
      <w:bodyDiv w:val="1"/>
      <w:marLeft w:val="0"/>
      <w:marRight w:val="0"/>
      <w:marTop w:val="0"/>
      <w:marBottom w:val="0"/>
      <w:divBdr>
        <w:top w:val="none" w:sz="0" w:space="0" w:color="auto"/>
        <w:left w:val="none" w:sz="0" w:space="0" w:color="auto"/>
        <w:bottom w:val="none" w:sz="0" w:space="0" w:color="auto"/>
        <w:right w:val="none" w:sz="0" w:space="0" w:color="auto"/>
      </w:divBdr>
      <w:divsChild>
        <w:div w:id="23334804">
          <w:marLeft w:val="0"/>
          <w:marRight w:val="0"/>
          <w:marTop w:val="0"/>
          <w:marBottom w:val="0"/>
          <w:divBdr>
            <w:top w:val="none" w:sz="0" w:space="0" w:color="auto"/>
            <w:left w:val="none" w:sz="0" w:space="0" w:color="auto"/>
            <w:bottom w:val="none" w:sz="0" w:space="0" w:color="auto"/>
            <w:right w:val="none" w:sz="0" w:space="0" w:color="auto"/>
          </w:divBdr>
          <w:divsChild>
            <w:div w:id="160631819">
              <w:marLeft w:val="0"/>
              <w:marRight w:val="0"/>
              <w:marTop w:val="0"/>
              <w:marBottom w:val="0"/>
              <w:divBdr>
                <w:top w:val="none" w:sz="0" w:space="0" w:color="auto"/>
                <w:left w:val="none" w:sz="0" w:space="0" w:color="auto"/>
                <w:bottom w:val="none" w:sz="0" w:space="0" w:color="auto"/>
                <w:right w:val="none" w:sz="0" w:space="0" w:color="auto"/>
              </w:divBdr>
              <w:divsChild>
                <w:div w:id="1605848166">
                  <w:marLeft w:val="0"/>
                  <w:marRight w:val="0"/>
                  <w:marTop w:val="0"/>
                  <w:marBottom w:val="0"/>
                  <w:divBdr>
                    <w:top w:val="none" w:sz="0" w:space="0" w:color="auto"/>
                    <w:left w:val="none" w:sz="0" w:space="0" w:color="auto"/>
                    <w:bottom w:val="none" w:sz="0" w:space="0" w:color="auto"/>
                    <w:right w:val="none" w:sz="0" w:space="0" w:color="auto"/>
                  </w:divBdr>
                  <w:divsChild>
                    <w:div w:id="1549755078">
                      <w:marLeft w:val="0"/>
                      <w:marRight w:val="0"/>
                      <w:marTop w:val="0"/>
                      <w:marBottom w:val="0"/>
                      <w:divBdr>
                        <w:top w:val="none" w:sz="0" w:space="0" w:color="auto"/>
                        <w:left w:val="none" w:sz="0" w:space="0" w:color="auto"/>
                        <w:bottom w:val="none" w:sz="0" w:space="0" w:color="auto"/>
                        <w:right w:val="none" w:sz="0" w:space="0" w:color="auto"/>
                      </w:divBdr>
                      <w:divsChild>
                        <w:div w:id="626860614">
                          <w:marLeft w:val="0"/>
                          <w:marRight w:val="0"/>
                          <w:marTop w:val="0"/>
                          <w:marBottom w:val="0"/>
                          <w:divBdr>
                            <w:top w:val="none" w:sz="0" w:space="0" w:color="auto"/>
                            <w:left w:val="none" w:sz="0" w:space="0" w:color="auto"/>
                            <w:bottom w:val="none" w:sz="0" w:space="0" w:color="auto"/>
                            <w:right w:val="none" w:sz="0" w:space="0" w:color="auto"/>
                          </w:divBdr>
                          <w:divsChild>
                            <w:div w:id="137918376">
                              <w:marLeft w:val="0"/>
                              <w:marRight w:val="0"/>
                              <w:marTop w:val="240"/>
                              <w:marBottom w:val="240"/>
                              <w:divBdr>
                                <w:top w:val="none" w:sz="0" w:space="0" w:color="auto"/>
                                <w:left w:val="none" w:sz="0" w:space="0" w:color="auto"/>
                                <w:bottom w:val="none" w:sz="0" w:space="0" w:color="auto"/>
                                <w:right w:val="none" w:sz="0" w:space="0" w:color="auto"/>
                              </w:divBdr>
                              <w:divsChild>
                                <w:div w:id="1061368649">
                                  <w:marLeft w:val="0"/>
                                  <w:marRight w:val="0"/>
                                  <w:marTop w:val="0"/>
                                  <w:marBottom w:val="0"/>
                                  <w:divBdr>
                                    <w:top w:val="none" w:sz="0" w:space="0" w:color="auto"/>
                                    <w:left w:val="none" w:sz="0" w:space="0" w:color="auto"/>
                                    <w:bottom w:val="none" w:sz="0" w:space="0" w:color="auto"/>
                                    <w:right w:val="none" w:sz="0" w:space="0" w:color="auto"/>
                                  </w:divBdr>
                                  <w:divsChild>
                                    <w:div w:id="4794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237195">
      <w:bodyDiv w:val="1"/>
      <w:marLeft w:val="0"/>
      <w:marRight w:val="0"/>
      <w:marTop w:val="0"/>
      <w:marBottom w:val="0"/>
      <w:divBdr>
        <w:top w:val="none" w:sz="0" w:space="0" w:color="auto"/>
        <w:left w:val="none" w:sz="0" w:space="0" w:color="auto"/>
        <w:bottom w:val="none" w:sz="0" w:space="0" w:color="auto"/>
        <w:right w:val="none" w:sz="0" w:space="0" w:color="auto"/>
      </w:divBdr>
      <w:divsChild>
        <w:div w:id="476069516">
          <w:marLeft w:val="0"/>
          <w:marRight w:val="0"/>
          <w:marTop w:val="0"/>
          <w:marBottom w:val="0"/>
          <w:divBdr>
            <w:top w:val="none" w:sz="0" w:space="0" w:color="auto"/>
            <w:left w:val="none" w:sz="0" w:space="0" w:color="auto"/>
            <w:bottom w:val="none" w:sz="0" w:space="0" w:color="auto"/>
            <w:right w:val="none" w:sz="0" w:space="0" w:color="auto"/>
          </w:divBdr>
        </w:div>
      </w:divsChild>
    </w:div>
    <w:div w:id="643198588">
      <w:bodyDiv w:val="1"/>
      <w:marLeft w:val="0"/>
      <w:marRight w:val="0"/>
      <w:marTop w:val="0"/>
      <w:marBottom w:val="0"/>
      <w:divBdr>
        <w:top w:val="none" w:sz="0" w:space="0" w:color="auto"/>
        <w:left w:val="none" w:sz="0" w:space="0" w:color="auto"/>
        <w:bottom w:val="none" w:sz="0" w:space="0" w:color="auto"/>
        <w:right w:val="none" w:sz="0" w:space="0" w:color="auto"/>
      </w:divBdr>
      <w:divsChild>
        <w:div w:id="1344284315">
          <w:marLeft w:val="0"/>
          <w:marRight w:val="0"/>
          <w:marTop w:val="0"/>
          <w:marBottom w:val="0"/>
          <w:divBdr>
            <w:top w:val="none" w:sz="0" w:space="0" w:color="auto"/>
            <w:left w:val="none" w:sz="0" w:space="0" w:color="auto"/>
            <w:bottom w:val="none" w:sz="0" w:space="0" w:color="auto"/>
            <w:right w:val="none" w:sz="0" w:space="0" w:color="auto"/>
          </w:divBdr>
          <w:divsChild>
            <w:div w:id="1311982105">
              <w:marLeft w:val="0"/>
              <w:marRight w:val="0"/>
              <w:marTop w:val="0"/>
              <w:marBottom w:val="0"/>
              <w:divBdr>
                <w:top w:val="none" w:sz="0" w:space="0" w:color="auto"/>
                <w:left w:val="none" w:sz="0" w:space="0" w:color="auto"/>
                <w:bottom w:val="none" w:sz="0" w:space="0" w:color="auto"/>
                <w:right w:val="none" w:sz="0" w:space="0" w:color="auto"/>
              </w:divBdr>
              <w:divsChild>
                <w:div w:id="1780490031">
                  <w:marLeft w:val="0"/>
                  <w:marRight w:val="0"/>
                  <w:marTop w:val="0"/>
                  <w:marBottom w:val="0"/>
                  <w:divBdr>
                    <w:top w:val="none" w:sz="0" w:space="0" w:color="auto"/>
                    <w:left w:val="none" w:sz="0" w:space="0" w:color="auto"/>
                    <w:bottom w:val="none" w:sz="0" w:space="0" w:color="auto"/>
                    <w:right w:val="none" w:sz="0" w:space="0" w:color="auto"/>
                  </w:divBdr>
                  <w:divsChild>
                    <w:div w:id="528109493">
                      <w:marLeft w:val="0"/>
                      <w:marRight w:val="0"/>
                      <w:marTop w:val="0"/>
                      <w:marBottom w:val="0"/>
                      <w:divBdr>
                        <w:top w:val="none" w:sz="0" w:space="0" w:color="auto"/>
                        <w:left w:val="none" w:sz="0" w:space="0" w:color="auto"/>
                        <w:bottom w:val="none" w:sz="0" w:space="0" w:color="auto"/>
                        <w:right w:val="none" w:sz="0" w:space="0" w:color="auto"/>
                      </w:divBdr>
                      <w:divsChild>
                        <w:div w:id="2025281343">
                          <w:marLeft w:val="0"/>
                          <w:marRight w:val="0"/>
                          <w:marTop w:val="0"/>
                          <w:marBottom w:val="0"/>
                          <w:divBdr>
                            <w:top w:val="none" w:sz="0" w:space="0" w:color="auto"/>
                            <w:left w:val="none" w:sz="0" w:space="0" w:color="auto"/>
                            <w:bottom w:val="none" w:sz="0" w:space="0" w:color="auto"/>
                            <w:right w:val="none" w:sz="0" w:space="0" w:color="auto"/>
                          </w:divBdr>
                          <w:divsChild>
                            <w:div w:id="9427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06483">
      <w:bodyDiv w:val="1"/>
      <w:marLeft w:val="0"/>
      <w:marRight w:val="0"/>
      <w:marTop w:val="0"/>
      <w:marBottom w:val="0"/>
      <w:divBdr>
        <w:top w:val="none" w:sz="0" w:space="0" w:color="auto"/>
        <w:left w:val="none" w:sz="0" w:space="0" w:color="auto"/>
        <w:bottom w:val="none" w:sz="0" w:space="0" w:color="auto"/>
        <w:right w:val="none" w:sz="0" w:space="0" w:color="auto"/>
      </w:divBdr>
    </w:div>
    <w:div w:id="661349326">
      <w:bodyDiv w:val="1"/>
      <w:marLeft w:val="0"/>
      <w:marRight w:val="0"/>
      <w:marTop w:val="0"/>
      <w:marBottom w:val="0"/>
      <w:divBdr>
        <w:top w:val="none" w:sz="0" w:space="0" w:color="auto"/>
        <w:left w:val="none" w:sz="0" w:space="0" w:color="auto"/>
        <w:bottom w:val="none" w:sz="0" w:space="0" w:color="auto"/>
        <w:right w:val="none" w:sz="0" w:space="0" w:color="auto"/>
      </w:divBdr>
    </w:div>
    <w:div w:id="672605453">
      <w:bodyDiv w:val="1"/>
      <w:marLeft w:val="0"/>
      <w:marRight w:val="0"/>
      <w:marTop w:val="0"/>
      <w:marBottom w:val="0"/>
      <w:divBdr>
        <w:top w:val="none" w:sz="0" w:space="0" w:color="auto"/>
        <w:left w:val="none" w:sz="0" w:space="0" w:color="auto"/>
        <w:bottom w:val="none" w:sz="0" w:space="0" w:color="auto"/>
        <w:right w:val="none" w:sz="0" w:space="0" w:color="auto"/>
      </w:divBdr>
    </w:div>
    <w:div w:id="695693800">
      <w:bodyDiv w:val="1"/>
      <w:marLeft w:val="0"/>
      <w:marRight w:val="0"/>
      <w:marTop w:val="0"/>
      <w:marBottom w:val="0"/>
      <w:divBdr>
        <w:top w:val="none" w:sz="0" w:space="0" w:color="auto"/>
        <w:left w:val="none" w:sz="0" w:space="0" w:color="auto"/>
        <w:bottom w:val="none" w:sz="0" w:space="0" w:color="auto"/>
        <w:right w:val="none" w:sz="0" w:space="0" w:color="auto"/>
      </w:divBdr>
    </w:div>
    <w:div w:id="699822407">
      <w:bodyDiv w:val="1"/>
      <w:marLeft w:val="0"/>
      <w:marRight w:val="0"/>
      <w:marTop w:val="0"/>
      <w:marBottom w:val="0"/>
      <w:divBdr>
        <w:top w:val="none" w:sz="0" w:space="0" w:color="auto"/>
        <w:left w:val="none" w:sz="0" w:space="0" w:color="auto"/>
        <w:bottom w:val="none" w:sz="0" w:space="0" w:color="auto"/>
        <w:right w:val="none" w:sz="0" w:space="0" w:color="auto"/>
      </w:divBdr>
    </w:div>
    <w:div w:id="704788466">
      <w:bodyDiv w:val="1"/>
      <w:marLeft w:val="0"/>
      <w:marRight w:val="0"/>
      <w:marTop w:val="0"/>
      <w:marBottom w:val="0"/>
      <w:divBdr>
        <w:top w:val="none" w:sz="0" w:space="0" w:color="auto"/>
        <w:left w:val="none" w:sz="0" w:space="0" w:color="auto"/>
        <w:bottom w:val="none" w:sz="0" w:space="0" w:color="auto"/>
        <w:right w:val="none" w:sz="0" w:space="0" w:color="auto"/>
      </w:divBdr>
    </w:div>
    <w:div w:id="751661930">
      <w:bodyDiv w:val="1"/>
      <w:marLeft w:val="0"/>
      <w:marRight w:val="0"/>
      <w:marTop w:val="0"/>
      <w:marBottom w:val="0"/>
      <w:divBdr>
        <w:top w:val="none" w:sz="0" w:space="0" w:color="auto"/>
        <w:left w:val="none" w:sz="0" w:space="0" w:color="auto"/>
        <w:bottom w:val="none" w:sz="0" w:space="0" w:color="auto"/>
        <w:right w:val="none" w:sz="0" w:space="0" w:color="auto"/>
      </w:divBdr>
    </w:div>
    <w:div w:id="821385914">
      <w:bodyDiv w:val="1"/>
      <w:marLeft w:val="0"/>
      <w:marRight w:val="0"/>
      <w:marTop w:val="0"/>
      <w:marBottom w:val="0"/>
      <w:divBdr>
        <w:top w:val="none" w:sz="0" w:space="0" w:color="auto"/>
        <w:left w:val="none" w:sz="0" w:space="0" w:color="auto"/>
        <w:bottom w:val="none" w:sz="0" w:space="0" w:color="auto"/>
        <w:right w:val="none" w:sz="0" w:space="0" w:color="auto"/>
      </w:divBdr>
    </w:div>
    <w:div w:id="828978604">
      <w:bodyDiv w:val="1"/>
      <w:marLeft w:val="0"/>
      <w:marRight w:val="0"/>
      <w:marTop w:val="0"/>
      <w:marBottom w:val="0"/>
      <w:divBdr>
        <w:top w:val="none" w:sz="0" w:space="0" w:color="auto"/>
        <w:left w:val="none" w:sz="0" w:space="0" w:color="auto"/>
        <w:bottom w:val="none" w:sz="0" w:space="0" w:color="auto"/>
        <w:right w:val="none" w:sz="0" w:space="0" w:color="auto"/>
      </w:divBdr>
    </w:div>
    <w:div w:id="839733900">
      <w:bodyDiv w:val="1"/>
      <w:marLeft w:val="0"/>
      <w:marRight w:val="0"/>
      <w:marTop w:val="0"/>
      <w:marBottom w:val="0"/>
      <w:divBdr>
        <w:top w:val="none" w:sz="0" w:space="0" w:color="auto"/>
        <w:left w:val="none" w:sz="0" w:space="0" w:color="auto"/>
        <w:bottom w:val="none" w:sz="0" w:space="0" w:color="auto"/>
        <w:right w:val="none" w:sz="0" w:space="0" w:color="auto"/>
      </w:divBdr>
    </w:div>
    <w:div w:id="913783676">
      <w:bodyDiv w:val="1"/>
      <w:marLeft w:val="0"/>
      <w:marRight w:val="0"/>
      <w:marTop w:val="0"/>
      <w:marBottom w:val="0"/>
      <w:divBdr>
        <w:top w:val="none" w:sz="0" w:space="0" w:color="auto"/>
        <w:left w:val="none" w:sz="0" w:space="0" w:color="auto"/>
        <w:bottom w:val="none" w:sz="0" w:space="0" w:color="auto"/>
        <w:right w:val="none" w:sz="0" w:space="0" w:color="auto"/>
      </w:divBdr>
    </w:div>
    <w:div w:id="944926316">
      <w:bodyDiv w:val="1"/>
      <w:marLeft w:val="0"/>
      <w:marRight w:val="0"/>
      <w:marTop w:val="0"/>
      <w:marBottom w:val="0"/>
      <w:divBdr>
        <w:top w:val="none" w:sz="0" w:space="0" w:color="auto"/>
        <w:left w:val="none" w:sz="0" w:space="0" w:color="auto"/>
        <w:bottom w:val="none" w:sz="0" w:space="0" w:color="auto"/>
        <w:right w:val="none" w:sz="0" w:space="0" w:color="auto"/>
      </w:divBdr>
    </w:div>
    <w:div w:id="977540120">
      <w:bodyDiv w:val="1"/>
      <w:marLeft w:val="0"/>
      <w:marRight w:val="0"/>
      <w:marTop w:val="0"/>
      <w:marBottom w:val="0"/>
      <w:divBdr>
        <w:top w:val="none" w:sz="0" w:space="0" w:color="auto"/>
        <w:left w:val="none" w:sz="0" w:space="0" w:color="auto"/>
        <w:bottom w:val="none" w:sz="0" w:space="0" w:color="auto"/>
        <w:right w:val="none" w:sz="0" w:space="0" w:color="auto"/>
      </w:divBdr>
    </w:div>
    <w:div w:id="1000084028">
      <w:bodyDiv w:val="1"/>
      <w:marLeft w:val="0"/>
      <w:marRight w:val="0"/>
      <w:marTop w:val="0"/>
      <w:marBottom w:val="0"/>
      <w:divBdr>
        <w:top w:val="none" w:sz="0" w:space="0" w:color="auto"/>
        <w:left w:val="none" w:sz="0" w:space="0" w:color="auto"/>
        <w:bottom w:val="none" w:sz="0" w:space="0" w:color="auto"/>
        <w:right w:val="none" w:sz="0" w:space="0" w:color="auto"/>
      </w:divBdr>
    </w:div>
    <w:div w:id="1007173424">
      <w:bodyDiv w:val="1"/>
      <w:marLeft w:val="0"/>
      <w:marRight w:val="0"/>
      <w:marTop w:val="0"/>
      <w:marBottom w:val="0"/>
      <w:divBdr>
        <w:top w:val="none" w:sz="0" w:space="0" w:color="auto"/>
        <w:left w:val="none" w:sz="0" w:space="0" w:color="auto"/>
        <w:bottom w:val="none" w:sz="0" w:space="0" w:color="auto"/>
        <w:right w:val="none" w:sz="0" w:space="0" w:color="auto"/>
      </w:divBdr>
    </w:div>
    <w:div w:id="1009258733">
      <w:bodyDiv w:val="1"/>
      <w:marLeft w:val="0"/>
      <w:marRight w:val="0"/>
      <w:marTop w:val="0"/>
      <w:marBottom w:val="0"/>
      <w:divBdr>
        <w:top w:val="none" w:sz="0" w:space="0" w:color="auto"/>
        <w:left w:val="none" w:sz="0" w:space="0" w:color="auto"/>
        <w:bottom w:val="none" w:sz="0" w:space="0" w:color="auto"/>
        <w:right w:val="none" w:sz="0" w:space="0" w:color="auto"/>
      </w:divBdr>
      <w:divsChild>
        <w:div w:id="1466700232">
          <w:marLeft w:val="0"/>
          <w:marRight w:val="0"/>
          <w:marTop w:val="0"/>
          <w:marBottom w:val="0"/>
          <w:divBdr>
            <w:top w:val="none" w:sz="0" w:space="0" w:color="auto"/>
            <w:left w:val="none" w:sz="0" w:space="0" w:color="auto"/>
            <w:bottom w:val="none" w:sz="0" w:space="0" w:color="auto"/>
            <w:right w:val="none" w:sz="0" w:space="0" w:color="auto"/>
          </w:divBdr>
          <w:divsChild>
            <w:div w:id="1964455245">
              <w:marLeft w:val="0"/>
              <w:marRight w:val="0"/>
              <w:marTop w:val="0"/>
              <w:marBottom w:val="0"/>
              <w:divBdr>
                <w:top w:val="none" w:sz="0" w:space="0" w:color="auto"/>
                <w:left w:val="none" w:sz="0" w:space="0" w:color="auto"/>
                <w:bottom w:val="none" w:sz="0" w:space="0" w:color="auto"/>
                <w:right w:val="none" w:sz="0" w:space="0" w:color="auto"/>
              </w:divBdr>
              <w:divsChild>
                <w:div w:id="1977567243">
                  <w:marLeft w:val="0"/>
                  <w:marRight w:val="0"/>
                  <w:marTop w:val="0"/>
                  <w:marBottom w:val="0"/>
                  <w:divBdr>
                    <w:top w:val="none" w:sz="0" w:space="0" w:color="auto"/>
                    <w:left w:val="none" w:sz="0" w:space="0" w:color="auto"/>
                    <w:bottom w:val="none" w:sz="0" w:space="0" w:color="auto"/>
                    <w:right w:val="none" w:sz="0" w:space="0" w:color="auto"/>
                  </w:divBdr>
                  <w:divsChild>
                    <w:div w:id="1703742528">
                      <w:marLeft w:val="0"/>
                      <w:marRight w:val="0"/>
                      <w:marTop w:val="0"/>
                      <w:marBottom w:val="0"/>
                      <w:divBdr>
                        <w:top w:val="none" w:sz="0" w:space="0" w:color="auto"/>
                        <w:left w:val="none" w:sz="0" w:space="0" w:color="auto"/>
                        <w:bottom w:val="none" w:sz="0" w:space="0" w:color="auto"/>
                        <w:right w:val="none" w:sz="0" w:space="0" w:color="auto"/>
                      </w:divBdr>
                      <w:divsChild>
                        <w:div w:id="328287560">
                          <w:marLeft w:val="0"/>
                          <w:marRight w:val="0"/>
                          <w:marTop w:val="0"/>
                          <w:marBottom w:val="0"/>
                          <w:divBdr>
                            <w:top w:val="none" w:sz="0" w:space="0" w:color="auto"/>
                            <w:left w:val="none" w:sz="0" w:space="0" w:color="auto"/>
                            <w:bottom w:val="none" w:sz="0" w:space="0" w:color="auto"/>
                            <w:right w:val="none" w:sz="0" w:space="0" w:color="auto"/>
                          </w:divBdr>
                          <w:divsChild>
                            <w:div w:id="1356736111">
                              <w:marLeft w:val="0"/>
                              <w:marRight w:val="0"/>
                              <w:marTop w:val="0"/>
                              <w:marBottom w:val="0"/>
                              <w:divBdr>
                                <w:top w:val="none" w:sz="0" w:space="0" w:color="auto"/>
                                <w:left w:val="none" w:sz="0" w:space="0" w:color="auto"/>
                                <w:bottom w:val="none" w:sz="0" w:space="0" w:color="auto"/>
                                <w:right w:val="none" w:sz="0" w:space="0" w:color="auto"/>
                              </w:divBdr>
                              <w:divsChild>
                                <w:div w:id="207886697">
                                  <w:marLeft w:val="0"/>
                                  <w:marRight w:val="0"/>
                                  <w:marTop w:val="0"/>
                                  <w:marBottom w:val="0"/>
                                  <w:divBdr>
                                    <w:top w:val="none" w:sz="0" w:space="0" w:color="auto"/>
                                    <w:left w:val="none" w:sz="0" w:space="0" w:color="auto"/>
                                    <w:bottom w:val="none" w:sz="0" w:space="0" w:color="auto"/>
                                    <w:right w:val="none" w:sz="0" w:space="0" w:color="auto"/>
                                  </w:divBdr>
                                  <w:divsChild>
                                    <w:div w:id="1333534002">
                                      <w:marLeft w:val="0"/>
                                      <w:marRight w:val="0"/>
                                      <w:marTop w:val="0"/>
                                      <w:marBottom w:val="0"/>
                                      <w:divBdr>
                                        <w:top w:val="none" w:sz="0" w:space="0" w:color="auto"/>
                                        <w:left w:val="none" w:sz="0" w:space="0" w:color="auto"/>
                                        <w:bottom w:val="none" w:sz="0" w:space="0" w:color="auto"/>
                                        <w:right w:val="none" w:sz="0" w:space="0" w:color="auto"/>
                                      </w:divBdr>
                                      <w:divsChild>
                                        <w:div w:id="858928107">
                                          <w:marLeft w:val="0"/>
                                          <w:marRight w:val="0"/>
                                          <w:marTop w:val="0"/>
                                          <w:marBottom w:val="0"/>
                                          <w:divBdr>
                                            <w:top w:val="none" w:sz="0" w:space="0" w:color="auto"/>
                                            <w:left w:val="none" w:sz="0" w:space="0" w:color="auto"/>
                                            <w:bottom w:val="none" w:sz="0" w:space="0" w:color="auto"/>
                                            <w:right w:val="none" w:sz="0" w:space="0" w:color="auto"/>
                                          </w:divBdr>
                                          <w:divsChild>
                                            <w:div w:id="3755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375332">
      <w:bodyDiv w:val="1"/>
      <w:marLeft w:val="0"/>
      <w:marRight w:val="0"/>
      <w:marTop w:val="0"/>
      <w:marBottom w:val="0"/>
      <w:divBdr>
        <w:top w:val="none" w:sz="0" w:space="0" w:color="auto"/>
        <w:left w:val="none" w:sz="0" w:space="0" w:color="auto"/>
        <w:bottom w:val="none" w:sz="0" w:space="0" w:color="auto"/>
        <w:right w:val="none" w:sz="0" w:space="0" w:color="auto"/>
      </w:divBdr>
    </w:div>
    <w:div w:id="1056663469">
      <w:bodyDiv w:val="1"/>
      <w:marLeft w:val="0"/>
      <w:marRight w:val="0"/>
      <w:marTop w:val="0"/>
      <w:marBottom w:val="0"/>
      <w:divBdr>
        <w:top w:val="none" w:sz="0" w:space="0" w:color="auto"/>
        <w:left w:val="none" w:sz="0" w:space="0" w:color="auto"/>
        <w:bottom w:val="none" w:sz="0" w:space="0" w:color="auto"/>
        <w:right w:val="none" w:sz="0" w:space="0" w:color="auto"/>
      </w:divBdr>
    </w:div>
    <w:div w:id="1068453599">
      <w:bodyDiv w:val="1"/>
      <w:marLeft w:val="0"/>
      <w:marRight w:val="0"/>
      <w:marTop w:val="0"/>
      <w:marBottom w:val="0"/>
      <w:divBdr>
        <w:top w:val="none" w:sz="0" w:space="0" w:color="auto"/>
        <w:left w:val="none" w:sz="0" w:space="0" w:color="auto"/>
        <w:bottom w:val="none" w:sz="0" w:space="0" w:color="auto"/>
        <w:right w:val="none" w:sz="0" w:space="0" w:color="auto"/>
      </w:divBdr>
    </w:div>
    <w:div w:id="1086613754">
      <w:bodyDiv w:val="1"/>
      <w:marLeft w:val="0"/>
      <w:marRight w:val="0"/>
      <w:marTop w:val="0"/>
      <w:marBottom w:val="0"/>
      <w:divBdr>
        <w:top w:val="none" w:sz="0" w:space="0" w:color="auto"/>
        <w:left w:val="none" w:sz="0" w:space="0" w:color="auto"/>
        <w:bottom w:val="none" w:sz="0" w:space="0" w:color="auto"/>
        <w:right w:val="none" w:sz="0" w:space="0" w:color="auto"/>
      </w:divBdr>
    </w:div>
    <w:div w:id="1086614570">
      <w:bodyDiv w:val="1"/>
      <w:marLeft w:val="0"/>
      <w:marRight w:val="0"/>
      <w:marTop w:val="0"/>
      <w:marBottom w:val="0"/>
      <w:divBdr>
        <w:top w:val="none" w:sz="0" w:space="0" w:color="auto"/>
        <w:left w:val="none" w:sz="0" w:space="0" w:color="auto"/>
        <w:bottom w:val="none" w:sz="0" w:space="0" w:color="auto"/>
        <w:right w:val="none" w:sz="0" w:space="0" w:color="auto"/>
      </w:divBdr>
    </w:div>
    <w:div w:id="1110393641">
      <w:bodyDiv w:val="1"/>
      <w:marLeft w:val="0"/>
      <w:marRight w:val="0"/>
      <w:marTop w:val="0"/>
      <w:marBottom w:val="0"/>
      <w:divBdr>
        <w:top w:val="none" w:sz="0" w:space="0" w:color="auto"/>
        <w:left w:val="none" w:sz="0" w:space="0" w:color="auto"/>
        <w:bottom w:val="none" w:sz="0" w:space="0" w:color="auto"/>
        <w:right w:val="none" w:sz="0" w:space="0" w:color="auto"/>
      </w:divBdr>
    </w:div>
    <w:div w:id="1113750056">
      <w:bodyDiv w:val="1"/>
      <w:marLeft w:val="0"/>
      <w:marRight w:val="0"/>
      <w:marTop w:val="0"/>
      <w:marBottom w:val="0"/>
      <w:divBdr>
        <w:top w:val="none" w:sz="0" w:space="0" w:color="auto"/>
        <w:left w:val="none" w:sz="0" w:space="0" w:color="auto"/>
        <w:bottom w:val="none" w:sz="0" w:space="0" w:color="auto"/>
        <w:right w:val="none" w:sz="0" w:space="0" w:color="auto"/>
      </w:divBdr>
      <w:divsChild>
        <w:div w:id="963511191">
          <w:marLeft w:val="0"/>
          <w:marRight w:val="0"/>
          <w:marTop w:val="0"/>
          <w:marBottom w:val="0"/>
          <w:divBdr>
            <w:top w:val="none" w:sz="0" w:space="0" w:color="auto"/>
            <w:left w:val="none" w:sz="0" w:space="0" w:color="auto"/>
            <w:bottom w:val="none" w:sz="0" w:space="0" w:color="auto"/>
            <w:right w:val="none" w:sz="0" w:space="0" w:color="auto"/>
          </w:divBdr>
        </w:div>
      </w:divsChild>
    </w:div>
    <w:div w:id="1114203556">
      <w:bodyDiv w:val="1"/>
      <w:marLeft w:val="0"/>
      <w:marRight w:val="0"/>
      <w:marTop w:val="0"/>
      <w:marBottom w:val="0"/>
      <w:divBdr>
        <w:top w:val="none" w:sz="0" w:space="0" w:color="auto"/>
        <w:left w:val="none" w:sz="0" w:space="0" w:color="auto"/>
        <w:bottom w:val="none" w:sz="0" w:space="0" w:color="auto"/>
        <w:right w:val="none" w:sz="0" w:space="0" w:color="auto"/>
      </w:divBdr>
      <w:divsChild>
        <w:div w:id="190805068">
          <w:marLeft w:val="0"/>
          <w:marRight w:val="0"/>
          <w:marTop w:val="86"/>
          <w:marBottom w:val="0"/>
          <w:divBdr>
            <w:top w:val="none" w:sz="0" w:space="0" w:color="auto"/>
            <w:left w:val="none" w:sz="0" w:space="0" w:color="auto"/>
            <w:bottom w:val="none" w:sz="0" w:space="0" w:color="auto"/>
            <w:right w:val="none" w:sz="0" w:space="0" w:color="auto"/>
          </w:divBdr>
        </w:div>
        <w:div w:id="404113763">
          <w:marLeft w:val="547"/>
          <w:marRight w:val="0"/>
          <w:marTop w:val="86"/>
          <w:marBottom w:val="0"/>
          <w:divBdr>
            <w:top w:val="none" w:sz="0" w:space="0" w:color="auto"/>
            <w:left w:val="none" w:sz="0" w:space="0" w:color="auto"/>
            <w:bottom w:val="none" w:sz="0" w:space="0" w:color="auto"/>
            <w:right w:val="none" w:sz="0" w:space="0" w:color="auto"/>
          </w:divBdr>
        </w:div>
        <w:div w:id="709840413">
          <w:marLeft w:val="547"/>
          <w:marRight w:val="0"/>
          <w:marTop w:val="86"/>
          <w:marBottom w:val="0"/>
          <w:divBdr>
            <w:top w:val="none" w:sz="0" w:space="0" w:color="auto"/>
            <w:left w:val="none" w:sz="0" w:space="0" w:color="auto"/>
            <w:bottom w:val="none" w:sz="0" w:space="0" w:color="auto"/>
            <w:right w:val="none" w:sz="0" w:space="0" w:color="auto"/>
          </w:divBdr>
        </w:div>
        <w:div w:id="846211641">
          <w:marLeft w:val="547"/>
          <w:marRight w:val="0"/>
          <w:marTop w:val="86"/>
          <w:marBottom w:val="0"/>
          <w:divBdr>
            <w:top w:val="none" w:sz="0" w:space="0" w:color="auto"/>
            <w:left w:val="none" w:sz="0" w:space="0" w:color="auto"/>
            <w:bottom w:val="none" w:sz="0" w:space="0" w:color="auto"/>
            <w:right w:val="none" w:sz="0" w:space="0" w:color="auto"/>
          </w:divBdr>
        </w:div>
        <w:div w:id="1325089557">
          <w:marLeft w:val="547"/>
          <w:marRight w:val="0"/>
          <w:marTop w:val="86"/>
          <w:marBottom w:val="0"/>
          <w:divBdr>
            <w:top w:val="none" w:sz="0" w:space="0" w:color="auto"/>
            <w:left w:val="none" w:sz="0" w:space="0" w:color="auto"/>
            <w:bottom w:val="none" w:sz="0" w:space="0" w:color="auto"/>
            <w:right w:val="none" w:sz="0" w:space="0" w:color="auto"/>
          </w:divBdr>
        </w:div>
        <w:div w:id="1447116725">
          <w:marLeft w:val="547"/>
          <w:marRight w:val="0"/>
          <w:marTop w:val="86"/>
          <w:marBottom w:val="0"/>
          <w:divBdr>
            <w:top w:val="none" w:sz="0" w:space="0" w:color="auto"/>
            <w:left w:val="none" w:sz="0" w:space="0" w:color="auto"/>
            <w:bottom w:val="none" w:sz="0" w:space="0" w:color="auto"/>
            <w:right w:val="none" w:sz="0" w:space="0" w:color="auto"/>
          </w:divBdr>
        </w:div>
        <w:div w:id="1516116026">
          <w:marLeft w:val="547"/>
          <w:marRight w:val="0"/>
          <w:marTop w:val="86"/>
          <w:marBottom w:val="0"/>
          <w:divBdr>
            <w:top w:val="none" w:sz="0" w:space="0" w:color="auto"/>
            <w:left w:val="none" w:sz="0" w:space="0" w:color="auto"/>
            <w:bottom w:val="none" w:sz="0" w:space="0" w:color="auto"/>
            <w:right w:val="none" w:sz="0" w:space="0" w:color="auto"/>
          </w:divBdr>
        </w:div>
      </w:divsChild>
    </w:div>
    <w:div w:id="1133716803">
      <w:bodyDiv w:val="1"/>
      <w:marLeft w:val="0"/>
      <w:marRight w:val="0"/>
      <w:marTop w:val="0"/>
      <w:marBottom w:val="0"/>
      <w:divBdr>
        <w:top w:val="none" w:sz="0" w:space="0" w:color="auto"/>
        <w:left w:val="none" w:sz="0" w:space="0" w:color="auto"/>
        <w:bottom w:val="none" w:sz="0" w:space="0" w:color="auto"/>
        <w:right w:val="none" w:sz="0" w:space="0" w:color="auto"/>
      </w:divBdr>
    </w:div>
    <w:div w:id="1210341413">
      <w:bodyDiv w:val="1"/>
      <w:marLeft w:val="0"/>
      <w:marRight w:val="0"/>
      <w:marTop w:val="0"/>
      <w:marBottom w:val="0"/>
      <w:divBdr>
        <w:top w:val="none" w:sz="0" w:space="0" w:color="auto"/>
        <w:left w:val="none" w:sz="0" w:space="0" w:color="auto"/>
        <w:bottom w:val="none" w:sz="0" w:space="0" w:color="auto"/>
        <w:right w:val="none" w:sz="0" w:space="0" w:color="auto"/>
      </w:divBdr>
      <w:divsChild>
        <w:div w:id="1295254303">
          <w:marLeft w:val="0"/>
          <w:marRight w:val="0"/>
          <w:marTop w:val="0"/>
          <w:marBottom w:val="0"/>
          <w:divBdr>
            <w:top w:val="none" w:sz="0" w:space="0" w:color="auto"/>
            <w:left w:val="none" w:sz="0" w:space="0" w:color="auto"/>
            <w:bottom w:val="none" w:sz="0" w:space="0" w:color="auto"/>
            <w:right w:val="none" w:sz="0" w:space="0" w:color="auto"/>
          </w:divBdr>
          <w:divsChild>
            <w:div w:id="406734301">
              <w:marLeft w:val="0"/>
              <w:marRight w:val="0"/>
              <w:marTop w:val="0"/>
              <w:marBottom w:val="0"/>
              <w:divBdr>
                <w:top w:val="none" w:sz="0" w:space="0" w:color="auto"/>
                <w:left w:val="none" w:sz="0" w:space="0" w:color="auto"/>
                <w:bottom w:val="none" w:sz="0" w:space="0" w:color="auto"/>
                <w:right w:val="none" w:sz="0" w:space="0" w:color="auto"/>
              </w:divBdr>
              <w:divsChild>
                <w:div w:id="1747145517">
                  <w:marLeft w:val="0"/>
                  <w:marRight w:val="0"/>
                  <w:marTop w:val="0"/>
                  <w:marBottom w:val="0"/>
                  <w:divBdr>
                    <w:top w:val="none" w:sz="0" w:space="0" w:color="auto"/>
                    <w:left w:val="none" w:sz="0" w:space="0" w:color="auto"/>
                    <w:bottom w:val="none" w:sz="0" w:space="0" w:color="auto"/>
                    <w:right w:val="none" w:sz="0" w:space="0" w:color="auto"/>
                  </w:divBdr>
                  <w:divsChild>
                    <w:div w:id="272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2296">
      <w:bodyDiv w:val="1"/>
      <w:marLeft w:val="0"/>
      <w:marRight w:val="0"/>
      <w:marTop w:val="0"/>
      <w:marBottom w:val="0"/>
      <w:divBdr>
        <w:top w:val="none" w:sz="0" w:space="0" w:color="auto"/>
        <w:left w:val="none" w:sz="0" w:space="0" w:color="auto"/>
        <w:bottom w:val="none" w:sz="0" w:space="0" w:color="auto"/>
        <w:right w:val="none" w:sz="0" w:space="0" w:color="auto"/>
      </w:divBdr>
    </w:div>
    <w:div w:id="1221332545">
      <w:bodyDiv w:val="1"/>
      <w:marLeft w:val="0"/>
      <w:marRight w:val="0"/>
      <w:marTop w:val="0"/>
      <w:marBottom w:val="0"/>
      <w:divBdr>
        <w:top w:val="none" w:sz="0" w:space="0" w:color="auto"/>
        <w:left w:val="none" w:sz="0" w:space="0" w:color="auto"/>
        <w:bottom w:val="none" w:sz="0" w:space="0" w:color="auto"/>
        <w:right w:val="none" w:sz="0" w:space="0" w:color="auto"/>
      </w:divBdr>
    </w:div>
    <w:div w:id="1246573684">
      <w:bodyDiv w:val="1"/>
      <w:marLeft w:val="0"/>
      <w:marRight w:val="0"/>
      <w:marTop w:val="0"/>
      <w:marBottom w:val="0"/>
      <w:divBdr>
        <w:top w:val="none" w:sz="0" w:space="0" w:color="auto"/>
        <w:left w:val="none" w:sz="0" w:space="0" w:color="auto"/>
        <w:bottom w:val="none" w:sz="0" w:space="0" w:color="auto"/>
        <w:right w:val="none" w:sz="0" w:space="0" w:color="auto"/>
      </w:divBdr>
    </w:div>
    <w:div w:id="1253780528">
      <w:bodyDiv w:val="1"/>
      <w:marLeft w:val="0"/>
      <w:marRight w:val="0"/>
      <w:marTop w:val="0"/>
      <w:marBottom w:val="0"/>
      <w:divBdr>
        <w:top w:val="none" w:sz="0" w:space="0" w:color="auto"/>
        <w:left w:val="none" w:sz="0" w:space="0" w:color="auto"/>
        <w:bottom w:val="none" w:sz="0" w:space="0" w:color="auto"/>
        <w:right w:val="none" w:sz="0" w:space="0" w:color="auto"/>
      </w:divBdr>
    </w:div>
    <w:div w:id="1254364106">
      <w:bodyDiv w:val="1"/>
      <w:marLeft w:val="0"/>
      <w:marRight w:val="0"/>
      <w:marTop w:val="0"/>
      <w:marBottom w:val="0"/>
      <w:divBdr>
        <w:top w:val="none" w:sz="0" w:space="0" w:color="auto"/>
        <w:left w:val="none" w:sz="0" w:space="0" w:color="auto"/>
        <w:bottom w:val="none" w:sz="0" w:space="0" w:color="auto"/>
        <w:right w:val="none" w:sz="0" w:space="0" w:color="auto"/>
      </w:divBdr>
    </w:div>
    <w:div w:id="1275595708">
      <w:bodyDiv w:val="1"/>
      <w:marLeft w:val="0"/>
      <w:marRight w:val="0"/>
      <w:marTop w:val="0"/>
      <w:marBottom w:val="0"/>
      <w:divBdr>
        <w:top w:val="none" w:sz="0" w:space="0" w:color="auto"/>
        <w:left w:val="none" w:sz="0" w:space="0" w:color="auto"/>
        <w:bottom w:val="none" w:sz="0" w:space="0" w:color="auto"/>
        <w:right w:val="none" w:sz="0" w:space="0" w:color="auto"/>
      </w:divBdr>
      <w:divsChild>
        <w:div w:id="1463494877">
          <w:marLeft w:val="0"/>
          <w:marRight w:val="0"/>
          <w:marTop w:val="0"/>
          <w:marBottom w:val="0"/>
          <w:divBdr>
            <w:top w:val="none" w:sz="0" w:space="0" w:color="auto"/>
            <w:left w:val="none" w:sz="0" w:space="0" w:color="auto"/>
            <w:bottom w:val="none" w:sz="0" w:space="0" w:color="auto"/>
            <w:right w:val="none" w:sz="0" w:space="0" w:color="auto"/>
          </w:divBdr>
          <w:divsChild>
            <w:div w:id="592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2650">
      <w:bodyDiv w:val="1"/>
      <w:marLeft w:val="0"/>
      <w:marRight w:val="0"/>
      <w:marTop w:val="0"/>
      <w:marBottom w:val="0"/>
      <w:divBdr>
        <w:top w:val="none" w:sz="0" w:space="0" w:color="auto"/>
        <w:left w:val="none" w:sz="0" w:space="0" w:color="auto"/>
        <w:bottom w:val="none" w:sz="0" w:space="0" w:color="auto"/>
        <w:right w:val="none" w:sz="0" w:space="0" w:color="auto"/>
      </w:divBdr>
      <w:divsChild>
        <w:div w:id="1367874667">
          <w:marLeft w:val="0"/>
          <w:marRight w:val="0"/>
          <w:marTop w:val="0"/>
          <w:marBottom w:val="0"/>
          <w:divBdr>
            <w:top w:val="none" w:sz="0" w:space="0" w:color="auto"/>
            <w:left w:val="none" w:sz="0" w:space="0" w:color="auto"/>
            <w:bottom w:val="none" w:sz="0" w:space="0" w:color="auto"/>
            <w:right w:val="none" w:sz="0" w:space="0" w:color="auto"/>
          </w:divBdr>
        </w:div>
      </w:divsChild>
    </w:div>
    <w:div w:id="1320843172">
      <w:bodyDiv w:val="1"/>
      <w:marLeft w:val="0"/>
      <w:marRight w:val="0"/>
      <w:marTop w:val="0"/>
      <w:marBottom w:val="0"/>
      <w:divBdr>
        <w:top w:val="none" w:sz="0" w:space="0" w:color="auto"/>
        <w:left w:val="none" w:sz="0" w:space="0" w:color="auto"/>
        <w:bottom w:val="none" w:sz="0" w:space="0" w:color="auto"/>
        <w:right w:val="none" w:sz="0" w:space="0" w:color="auto"/>
      </w:divBdr>
    </w:div>
    <w:div w:id="1363629202">
      <w:bodyDiv w:val="1"/>
      <w:marLeft w:val="0"/>
      <w:marRight w:val="0"/>
      <w:marTop w:val="0"/>
      <w:marBottom w:val="0"/>
      <w:divBdr>
        <w:top w:val="none" w:sz="0" w:space="0" w:color="auto"/>
        <w:left w:val="none" w:sz="0" w:space="0" w:color="auto"/>
        <w:bottom w:val="none" w:sz="0" w:space="0" w:color="auto"/>
        <w:right w:val="none" w:sz="0" w:space="0" w:color="auto"/>
      </w:divBdr>
      <w:divsChild>
        <w:div w:id="623803622">
          <w:marLeft w:val="547"/>
          <w:marRight w:val="0"/>
          <w:marTop w:val="86"/>
          <w:marBottom w:val="0"/>
          <w:divBdr>
            <w:top w:val="none" w:sz="0" w:space="0" w:color="auto"/>
            <w:left w:val="none" w:sz="0" w:space="0" w:color="auto"/>
            <w:bottom w:val="none" w:sz="0" w:space="0" w:color="auto"/>
            <w:right w:val="none" w:sz="0" w:space="0" w:color="auto"/>
          </w:divBdr>
        </w:div>
        <w:div w:id="879324818">
          <w:marLeft w:val="547"/>
          <w:marRight w:val="0"/>
          <w:marTop w:val="86"/>
          <w:marBottom w:val="0"/>
          <w:divBdr>
            <w:top w:val="none" w:sz="0" w:space="0" w:color="auto"/>
            <w:left w:val="none" w:sz="0" w:space="0" w:color="auto"/>
            <w:bottom w:val="none" w:sz="0" w:space="0" w:color="auto"/>
            <w:right w:val="none" w:sz="0" w:space="0" w:color="auto"/>
          </w:divBdr>
        </w:div>
        <w:div w:id="1299646242">
          <w:marLeft w:val="547"/>
          <w:marRight w:val="0"/>
          <w:marTop w:val="86"/>
          <w:marBottom w:val="0"/>
          <w:divBdr>
            <w:top w:val="none" w:sz="0" w:space="0" w:color="auto"/>
            <w:left w:val="none" w:sz="0" w:space="0" w:color="auto"/>
            <w:bottom w:val="none" w:sz="0" w:space="0" w:color="auto"/>
            <w:right w:val="none" w:sz="0" w:space="0" w:color="auto"/>
          </w:divBdr>
        </w:div>
        <w:div w:id="1868372589">
          <w:marLeft w:val="547"/>
          <w:marRight w:val="0"/>
          <w:marTop w:val="86"/>
          <w:marBottom w:val="0"/>
          <w:divBdr>
            <w:top w:val="none" w:sz="0" w:space="0" w:color="auto"/>
            <w:left w:val="none" w:sz="0" w:space="0" w:color="auto"/>
            <w:bottom w:val="none" w:sz="0" w:space="0" w:color="auto"/>
            <w:right w:val="none" w:sz="0" w:space="0" w:color="auto"/>
          </w:divBdr>
        </w:div>
        <w:div w:id="2104454113">
          <w:marLeft w:val="547"/>
          <w:marRight w:val="0"/>
          <w:marTop w:val="86"/>
          <w:marBottom w:val="0"/>
          <w:divBdr>
            <w:top w:val="none" w:sz="0" w:space="0" w:color="auto"/>
            <w:left w:val="none" w:sz="0" w:space="0" w:color="auto"/>
            <w:bottom w:val="none" w:sz="0" w:space="0" w:color="auto"/>
            <w:right w:val="none" w:sz="0" w:space="0" w:color="auto"/>
          </w:divBdr>
        </w:div>
      </w:divsChild>
    </w:div>
    <w:div w:id="1392388656">
      <w:bodyDiv w:val="1"/>
      <w:marLeft w:val="0"/>
      <w:marRight w:val="0"/>
      <w:marTop w:val="0"/>
      <w:marBottom w:val="0"/>
      <w:divBdr>
        <w:top w:val="none" w:sz="0" w:space="0" w:color="auto"/>
        <w:left w:val="none" w:sz="0" w:space="0" w:color="auto"/>
        <w:bottom w:val="none" w:sz="0" w:space="0" w:color="auto"/>
        <w:right w:val="none" w:sz="0" w:space="0" w:color="auto"/>
      </w:divBdr>
    </w:div>
    <w:div w:id="1416902505">
      <w:bodyDiv w:val="1"/>
      <w:marLeft w:val="0"/>
      <w:marRight w:val="0"/>
      <w:marTop w:val="0"/>
      <w:marBottom w:val="0"/>
      <w:divBdr>
        <w:top w:val="none" w:sz="0" w:space="0" w:color="auto"/>
        <w:left w:val="none" w:sz="0" w:space="0" w:color="auto"/>
        <w:bottom w:val="none" w:sz="0" w:space="0" w:color="auto"/>
        <w:right w:val="none" w:sz="0" w:space="0" w:color="auto"/>
      </w:divBdr>
    </w:div>
    <w:div w:id="1452019738">
      <w:bodyDiv w:val="1"/>
      <w:marLeft w:val="0"/>
      <w:marRight w:val="0"/>
      <w:marTop w:val="0"/>
      <w:marBottom w:val="0"/>
      <w:divBdr>
        <w:top w:val="none" w:sz="0" w:space="0" w:color="auto"/>
        <w:left w:val="none" w:sz="0" w:space="0" w:color="auto"/>
        <w:bottom w:val="none" w:sz="0" w:space="0" w:color="auto"/>
        <w:right w:val="none" w:sz="0" w:space="0" w:color="auto"/>
      </w:divBdr>
    </w:div>
    <w:div w:id="1462186533">
      <w:bodyDiv w:val="1"/>
      <w:marLeft w:val="0"/>
      <w:marRight w:val="0"/>
      <w:marTop w:val="0"/>
      <w:marBottom w:val="0"/>
      <w:divBdr>
        <w:top w:val="none" w:sz="0" w:space="0" w:color="auto"/>
        <w:left w:val="none" w:sz="0" w:space="0" w:color="auto"/>
        <w:bottom w:val="none" w:sz="0" w:space="0" w:color="auto"/>
        <w:right w:val="none" w:sz="0" w:space="0" w:color="auto"/>
      </w:divBdr>
    </w:div>
    <w:div w:id="1488086221">
      <w:bodyDiv w:val="1"/>
      <w:marLeft w:val="0"/>
      <w:marRight w:val="0"/>
      <w:marTop w:val="0"/>
      <w:marBottom w:val="0"/>
      <w:divBdr>
        <w:top w:val="none" w:sz="0" w:space="0" w:color="auto"/>
        <w:left w:val="none" w:sz="0" w:space="0" w:color="auto"/>
        <w:bottom w:val="none" w:sz="0" w:space="0" w:color="auto"/>
        <w:right w:val="none" w:sz="0" w:space="0" w:color="auto"/>
      </w:divBdr>
    </w:div>
    <w:div w:id="1517425395">
      <w:bodyDiv w:val="1"/>
      <w:marLeft w:val="0"/>
      <w:marRight w:val="0"/>
      <w:marTop w:val="0"/>
      <w:marBottom w:val="0"/>
      <w:divBdr>
        <w:top w:val="none" w:sz="0" w:space="0" w:color="auto"/>
        <w:left w:val="none" w:sz="0" w:space="0" w:color="auto"/>
        <w:bottom w:val="none" w:sz="0" w:space="0" w:color="auto"/>
        <w:right w:val="none" w:sz="0" w:space="0" w:color="auto"/>
      </w:divBdr>
    </w:div>
    <w:div w:id="1523394192">
      <w:bodyDiv w:val="1"/>
      <w:marLeft w:val="0"/>
      <w:marRight w:val="0"/>
      <w:marTop w:val="0"/>
      <w:marBottom w:val="0"/>
      <w:divBdr>
        <w:top w:val="none" w:sz="0" w:space="0" w:color="auto"/>
        <w:left w:val="none" w:sz="0" w:space="0" w:color="auto"/>
        <w:bottom w:val="none" w:sz="0" w:space="0" w:color="auto"/>
        <w:right w:val="none" w:sz="0" w:space="0" w:color="auto"/>
      </w:divBdr>
    </w:div>
    <w:div w:id="1526820908">
      <w:bodyDiv w:val="1"/>
      <w:marLeft w:val="0"/>
      <w:marRight w:val="0"/>
      <w:marTop w:val="0"/>
      <w:marBottom w:val="0"/>
      <w:divBdr>
        <w:top w:val="none" w:sz="0" w:space="0" w:color="auto"/>
        <w:left w:val="none" w:sz="0" w:space="0" w:color="auto"/>
        <w:bottom w:val="none" w:sz="0" w:space="0" w:color="auto"/>
        <w:right w:val="none" w:sz="0" w:space="0" w:color="auto"/>
      </w:divBdr>
    </w:div>
    <w:div w:id="1538621355">
      <w:bodyDiv w:val="1"/>
      <w:marLeft w:val="0"/>
      <w:marRight w:val="0"/>
      <w:marTop w:val="0"/>
      <w:marBottom w:val="0"/>
      <w:divBdr>
        <w:top w:val="none" w:sz="0" w:space="0" w:color="auto"/>
        <w:left w:val="none" w:sz="0" w:space="0" w:color="auto"/>
        <w:bottom w:val="none" w:sz="0" w:space="0" w:color="auto"/>
        <w:right w:val="none" w:sz="0" w:space="0" w:color="auto"/>
      </w:divBdr>
    </w:div>
    <w:div w:id="1565870212">
      <w:bodyDiv w:val="1"/>
      <w:marLeft w:val="0"/>
      <w:marRight w:val="0"/>
      <w:marTop w:val="0"/>
      <w:marBottom w:val="0"/>
      <w:divBdr>
        <w:top w:val="none" w:sz="0" w:space="0" w:color="auto"/>
        <w:left w:val="none" w:sz="0" w:space="0" w:color="auto"/>
        <w:bottom w:val="none" w:sz="0" w:space="0" w:color="auto"/>
        <w:right w:val="none" w:sz="0" w:space="0" w:color="auto"/>
      </w:divBdr>
      <w:divsChild>
        <w:div w:id="106437641">
          <w:marLeft w:val="0"/>
          <w:marRight w:val="0"/>
          <w:marTop w:val="0"/>
          <w:marBottom w:val="0"/>
          <w:divBdr>
            <w:top w:val="none" w:sz="0" w:space="0" w:color="auto"/>
            <w:left w:val="none" w:sz="0" w:space="0" w:color="auto"/>
            <w:bottom w:val="none" w:sz="0" w:space="0" w:color="auto"/>
            <w:right w:val="none" w:sz="0" w:space="0" w:color="auto"/>
          </w:divBdr>
        </w:div>
        <w:div w:id="148064703">
          <w:marLeft w:val="0"/>
          <w:marRight w:val="0"/>
          <w:marTop w:val="0"/>
          <w:marBottom w:val="0"/>
          <w:divBdr>
            <w:top w:val="none" w:sz="0" w:space="0" w:color="auto"/>
            <w:left w:val="none" w:sz="0" w:space="0" w:color="auto"/>
            <w:bottom w:val="none" w:sz="0" w:space="0" w:color="auto"/>
            <w:right w:val="none" w:sz="0" w:space="0" w:color="auto"/>
          </w:divBdr>
        </w:div>
        <w:div w:id="1212305445">
          <w:marLeft w:val="0"/>
          <w:marRight w:val="0"/>
          <w:marTop w:val="0"/>
          <w:marBottom w:val="0"/>
          <w:divBdr>
            <w:top w:val="none" w:sz="0" w:space="0" w:color="auto"/>
            <w:left w:val="none" w:sz="0" w:space="0" w:color="auto"/>
            <w:bottom w:val="none" w:sz="0" w:space="0" w:color="auto"/>
            <w:right w:val="none" w:sz="0" w:space="0" w:color="auto"/>
          </w:divBdr>
        </w:div>
        <w:div w:id="1291474806">
          <w:marLeft w:val="0"/>
          <w:marRight w:val="0"/>
          <w:marTop w:val="0"/>
          <w:marBottom w:val="0"/>
          <w:divBdr>
            <w:top w:val="none" w:sz="0" w:space="0" w:color="auto"/>
            <w:left w:val="none" w:sz="0" w:space="0" w:color="auto"/>
            <w:bottom w:val="none" w:sz="0" w:space="0" w:color="auto"/>
            <w:right w:val="none" w:sz="0" w:space="0" w:color="auto"/>
          </w:divBdr>
        </w:div>
        <w:div w:id="1697807217">
          <w:marLeft w:val="0"/>
          <w:marRight w:val="0"/>
          <w:marTop w:val="0"/>
          <w:marBottom w:val="0"/>
          <w:divBdr>
            <w:top w:val="none" w:sz="0" w:space="0" w:color="auto"/>
            <w:left w:val="none" w:sz="0" w:space="0" w:color="auto"/>
            <w:bottom w:val="none" w:sz="0" w:space="0" w:color="auto"/>
            <w:right w:val="none" w:sz="0" w:space="0" w:color="auto"/>
          </w:divBdr>
        </w:div>
      </w:divsChild>
    </w:div>
    <w:div w:id="1566646715">
      <w:bodyDiv w:val="1"/>
      <w:marLeft w:val="0"/>
      <w:marRight w:val="0"/>
      <w:marTop w:val="0"/>
      <w:marBottom w:val="0"/>
      <w:divBdr>
        <w:top w:val="none" w:sz="0" w:space="0" w:color="auto"/>
        <w:left w:val="none" w:sz="0" w:space="0" w:color="auto"/>
        <w:bottom w:val="none" w:sz="0" w:space="0" w:color="auto"/>
        <w:right w:val="none" w:sz="0" w:space="0" w:color="auto"/>
      </w:divBdr>
    </w:div>
    <w:div w:id="1572082230">
      <w:bodyDiv w:val="1"/>
      <w:marLeft w:val="0"/>
      <w:marRight w:val="0"/>
      <w:marTop w:val="0"/>
      <w:marBottom w:val="0"/>
      <w:divBdr>
        <w:top w:val="none" w:sz="0" w:space="0" w:color="auto"/>
        <w:left w:val="none" w:sz="0" w:space="0" w:color="auto"/>
        <w:bottom w:val="none" w:sz="0" w:space="0" w:color="auto"/>
        <w:right w:val="none" w:sz="0" w:space="0" w:color="auto"/>
      </w:divBdr>
      <w:divsChild>
        <w:div w:id="300892887">
          <w:marLeft w:val="0"/>
          <w:marRight w:val="0"/>
          <w:marTop w:val="0"/>
          <w:marBottom w:val="0"/>
          <w:divBdr>
            <w:top w:val="none" w:sz="0" w:space="0" w:color="auto"/>
            <w:left w:val="none" w:sz="0" w:space="0" w:color="auto"/>
            <w:bottom w:val="none" w:sz="0" w:space="0" w:color="auto"/>
            <w:right w:val="none" w:sz="0" w:space="0" w:color="auto"/>
          </w:divBdr>
          <w:divsChild>
            <w:div w:id="233393940">
              <w:marLeft w:val="0"/>
              <w:marRight w:val="0"/>
              <w:marTop w:val="0"/>
              <w:marBottom w:val="0"/>
              <w:divBdr>
                <w:top w:val="none" w:sz="0" w:space="0" w:color="auto"/>
                <w:left w:val="none" w:sz="0" w:space="0" w:color="auto"/>
                <w:bottom w:val="none" w:sz="0" w:space="0" w:color="auto"/>
                <w:right w:val="none" w:sz="0" w:space="0" w:color="auto"/>
              </w:divBdr>
            </w:div>
            <w:div w:id="343021356">
              <w:marLeft w:val="0"/>
              <w:marRight w:val="0"/>
              <w:marTop w:val="0"/>
              <w:marBottom w:val="0"/>
              <w:divBdr>
                <w:top w:val="none" w:sz="0" w:space="0" w:color="auto"/>
                <w:left w:val="none" w:sz="0" w:space="0" w:color="auto"/>
                <w:bottom w:val="none" w:sz="0" w:space="0" w:color="auto"/>
                <w:right w:val="none" w:sz="0" w:space="0" w:color="auto"/>
              </w:divBdr>
            </w:div>
            <w:div w:id="436826419">
              <w:marLeft w:val="0"/>
              <w:marRight w:val="0"/>
              <w:marTop w:val="0"/>
              <w:marBottom w:val="0"/>
              <w:divBdr>
                <w:top w:val="none" w:sz="0" w:space="0" w:color="auto"/>
                <w:left w:val="none" w:sz="0" w:space="0" w:color="auto"/>
                <w:bottom w:val="none" w:sz="0" w:space="0" w:color="auto"/>
                <w:right w:val="none" w:sz="0" w:space="0" w:color="auto"/>
              </w:divBdr>
            </w:div>
            <w:div w:id="443161855">
              <w:marLeft w:val="0"/>
              <w:marRight w:val="0"/>
              <w:marTop w:val="0"/>
              <w:marBottom w:val="0"/>
              <w:divBdr>
                <w:top w:val="none" w:sz="0" w:space="0" w:color="auto"/>
                <w:left w:val="none" w:sz="0" w:space="0" w:color="auto"/>
                <w:bottom w:val="none" w:sz="0" w:space="0" w:color="auto"/>
                <w:right w:val="none" w:sz="0" w:space="0" w:color="auto"/>
              </w:divBdr>
            </w:div>
            <w:div w:id="542055315">
              <w:marLeft w:val="0"/>
              <w:marRight w:val="0"/>
              <w:marTop w:val="0"/>
              <w:marBottom w:val="0"/>
              <w:divBdr>
                <w:top w:val="none" w:sz="0" w:space="0" w:color="auto"/>
                <w:left w:val="none" w:sz="0" w:space="0" w:color="auto"/>
                <w:bottom w:val="none" w:sz="0" w:space="0" w:color="auto"/>
                <w:right w:val="none" w:sz="0" w:space="0" w:color="auto"/>
              </w:divBdr>
            </w:div>
            <w:div w:id="574584631">
              <w:marLeft w:val="0"/>
              <w:marRight w:val="0"/>
              <w:marTop w:val="0"/>
              <w:marBottom w:val="0"/>
              <w:divBdr>
                <w:top w:val="none" w:sz="0" w:space="0" w:color="auto"/>
                <w:left w:val="none" w:sz="0" w:space="0" w:color="auto"/>
                <w:bottom w:val="none" w:sz="0" w:space="0" w:color="auto"/>
                <w:right w:val="none" w:sz="0" w:space="0" w:color="auto"/>
              </w:divBdr>
            </w:div>
            <w:div w:id="660157396">
              <w:marLeft w:val="0"/>
              <w:marRight w:val="0"/>
              <w:marTop w:val="0"/>
              <w:marBottom w:val="0"/>
              <w:divBdr>
                <w:top w:val="none" w:sz="0" w:space="0" w:color="auto"/>
                <w:left w:val="none" w:sz="0" w:space="0" w:color="auto"/>
                <w:bottom w:val="none" w:sz="0" w:space="0" w:color="auto"/>
                <w:right w:val="none" w:sz="0" w:space="0" w:color="auto"/>
              </w:divBdr>
            </w:div>
            <w:div w:id="726225029">
              <w:marLeft w:val="0"/>
              <w:marRight w:val="0"/>
              <w:marTop w:val="0"/>
              <w:marBottom w:val="0"/>
              <w:divBdr>
                <w:top w:val="none" w:sz="0" w:space="0" w:color="auto"/>
                <w:left w:val="none" w:sz="0" w:space="0" w:color="auto"/>
                <w:bottom w:val="none" w:sz="0" w:space="0" w:color="auto"/>
                <w:right w:val="none" w:sz="0" w:space="0" w:color="auto"/>
              </w:divBdr>
            </w:div>
            <w:div w:id="1079131304">
              <w:marLeft w:val="0"/>
              <w:marRight w:val="0"/>
              <w:marTop w:val="0"/>
              <w:marBottom w:val="0"/>
              <w:divBdr>
                <w:top w:val="none" w:sz="0" w:space="0" w:color="auto"/>
                <w:left w:val="none" w:sz="0" w:space="0" w:color="auto"/>
                <w:bottom w:val="none" w:sz="0" w:space="0" w:color="auto"/>
                <w:right w:val="none" w:sz="0" w:space="0" w:color="auto"/>
              </w:divBdr>
            </w:div>
            <w:div w:id="1504662551">
              <w:marLeft w:val="0"/>
              <w:marRight w:val="0"/>
              <w:marTop w:val="0"/>
              <w:marBottom w:val="0"/>
              <w:divBdr>
                <w:top w:val="none" w:sz="0" w:space="0" w:color="auto"/>
                <w:left w:val="none" w:sz="0" w:space="0" w:color="auto"/>
                <w:bottom w:val="none" w:sz="0" w:space="0" w:color="auto"/>
                <w:right w:val="none" w:sz="0" w:space="0" w:color="auto"/>
              </w:divBdr>
            </w:div>
            <w:div w:id="1602450422">
              <w:marLeft w:val="0"/>
              <w:marRight w:val="0"/>
              <w:marTop w:val="0"/>
              <w:marBottom w:val="0"/>
              <w:divBdr>
                <w:top w:val="none" w:sz="0" w:space="0" w:color="auto"/>
                <w:left w:val="none" w:sz="0" w:space="0" w:color="auto"/>
                <w:bottom w:val="none" w:sz="0" w:space="0" w:color="auto"/>
                <w:right w:val="none" w:sz="0" w:space="0" w:color="auto"/>
              </w:divBdr>
            </w:div>
            <w:div w:id="1711758311">
              <w:marLeft w:val="0"/>
              <w:marRight w:val="0"/>
              <w:marTop w:val="0"/>
              <w:marBottom w:val="0"/>
              <w:divBdr>
                <w:top w:val="none" w:sz="0" w:space="0" w:color="auto"/>
                <w:left w:val="none" w:sz="0" w:space="0" w:color="auto"/>
                <w:bottom w:val="none" w:sz="0" w:space="0" w:color="auto"/>
                <w:right w:val="none" w:sz="0" w:space="0" w:color="auto"/>
              </w:divBdr>
            </w:div>
            <w:div w:id="18545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6424">
      <w:bodyDiv w:val="1"/>
      <w:marLeft w:val="0"/>
      <w:marRight w:val="0"/>
      <w:marTop w:val="0"/>
      <w:marBottom w:val="0"/>
      <w:divBdr>
        <w:top w:val="none" w:sz="0" w:space="0" w:color="auto"/>
        <w:left w:val="none" w:sz="0" w:space="0" w:color="auto"/>
        <w:bottom w:val="none" w:sz="0" w:space="0" w:color="auto"/>
        <w:right w:val="none" w:sz="0" w:space="0" w:color="auto"/>
      </w:divBdr>
    </w:div>
    <w:div w:id="1642618543">
      <w:bodyDiv w:val="1"/>
      <w:marLeft w:val="0"/>
      <w:marRight w:val="0"/>
      <w:marTop w:val="0"/>
      <w:marBottom w:val="0"/>
      <w:divBdr>
        <w:top w:val="none" w:sz="0" w:space="0" w:color="auto"/>
        <w:left w:val="none" w:sz="0" w:space="0" w:color="auto"/>
        <w:bottom w:val="none" w:sz="0" w:space="0" w:color="auto"/>
        <w:right w:val="none" w:sz="0" w:space="0" w:color="auto"/>
      </w:divBdr>
    </w:div>
    <w:div w:id="1648051574">
      <w:bodyDiv w:val="1"/>
      <w:marLeft w:val="0"/>
      <w:marRight w:val="0"/>
      <w:marTop w:val="0"/>
      <w:marBottom w:val="0"/>
      <w:divBdr>
        <w:top w:val="none" w:sz="0" w:space="0" w:color="auto"/>
        <w:left w:val="none" w:sz="0" w:space="0" w:color="auto"/>
        <w:bottom w:val="none" w:sz="0" w:space="0" w:color="auto"/>
        <w:right w:val="none" w:sz="0" w:space="0" w:color="auto"/>
      </w:divBdr>
    </w:div>
    <w:div w:id="1696614328">
      <w:bodyDiv w:val="1"/>
      <w:marLeft w:val="0"/>
      <w:marRight w:val="0"/>
      <w:marTop w:val="0"/>
      <w:marBottom w:val="0"/>
      <w:divBdr>
        <w:top w:val="none" w:sz="0" w:space="0" w:color="auto"/>
        <w:left w:val="none" w:sz="0" w:space="0" w:color="auto"/>
        <w:bottom w:val="none" w:sz="0" w:space="0" w:color="auto"/>
        <w:right w:val="none" w:sz="0" w:space="0" w:color="auto"/>
      </w:divBdr>
    </w:div>
    <w:div w:id="1701398716">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26024699">
      <w:bodyDiv w:val="1"/>
      <w:marLeft w:val="0"/>
      <w:marRight w:val="0"/>
      <w:marTop w:val="0"/>
      <w:marBottom w:val="0"/>
      <w:divBdr>
        <w:top w:val="none" w:sz="0" w:space="0" w:color="auto"/>
        <w:left w:val="none" w:sz="0" w:space="0" w:color="auto"/>
        <w:bottom w:val="none" w:sz="0" w:space="0" w:color="auto"/>
        <w:right w:val="none" w:sz="0" w:space="0" w:color="auto"/>
      </w:divBdr>
    </w:div>
    <w:div w:id="1770539977">
      <w:bodyDiv w:val="1"/>
      <w:marLeft w:val="0"/>
      <w:marRight w:val="0"/>
      <w:marTop w:val="0"/>
      <w:marBottom w:val="0"/>
      <w:divBdr>
        <w:top w:val="none" w:sz="0" w:space="0" w:color="auto"/>
        <w:left w:val="none" w:sz="0" w:space="0" w:color="auto"/>
        <w:bottom w:val="none" w:sz="0" w:space="0" w:color="auto"/>
        <w:right w:val="none" w:sz="0" w:space="0" w:color="auto"/>
      </w:divBdr>
    </w:div>
    <w:div w:id="1790515663">
      <w:bodyDiv w:val="1"/>
      <w:marLeft w:val="0"/>
      <w:marRight w:val="0"/>
      <w:marTop w:val="0"/>
      <w:marBottom w:val="0"/>
      <w:divBdr>
        <w:top w:val="none" w:sz="0" w:space="0" w:color="auto"/>
        <w:left w:val="none" w:sz="0" w:space="0" w:color="auto"/>
        <w:bottom w:val="none" w:sz="0" w:space="0" w:color="auto"/>
        <w:right w:val="none" w:sz="0" w:space="0" w:color="auto"/>
      </w:divBdr>
      <w:divsChild>
        <w:div w:id="1966345900">
          <w:marLeft w:val="0"/>
          <w:marRight w:val="0"/>
          <w:marTop w:val="0"/>
          <w:marBottom w:val="0"/>
          <w:divBdr>
            <w:top w:val="none" w:sz="0" w:space="0" w:color="auto"/>
            <w:left w:val="none" w:sz="0" w:space="0" w:color="auto"/>
            <w:bottom w:val="none" w:sz="0" w:space="0" w:color="auto"/>
            <w:right w:val="none" w:sz="0" w:space="0" w:color="auto"/>
          </w:divBdr>
        </w:div>
      </w:divsChild>
    </w:div>
    <w:div w:id="1795438169">
      <w:bodyDiv w:val="1"/>
      <w:marLeft w:val="0"/>
      <w:marRight w:val="0"/>
      <w:marTop w:val="0"/>
      <w:marBottom w:val="0"/>
      <w:divBdr>
        <w:top w:val="none" w:sz="0" w:space="0" w:color="auto"/>
        <w:left w:val="none" w:sz="0" w:space="0" w:color="auto"/>
        <w:bottom w:val="none" w:sz="0" w:space="0" w:color="auto"/>
        <w:right w:val="none" w:sz="0" w:space="0" w:color="auto"/>
      </w:divBdr>
    </w:div>
    <w:div w:id="1806704365">
      <w:bodyDiv w:val="1"/>
      <w:marLeft w:val="0"/>
      <w:marRight w:val="0"/>
      <w:marTop w:val="0"/>
      <w:marBottom w:val="0"/>
      <w:divBdr>
        <w:top w:val="none" w:sz="0" w:space="0" w:color="auto"/>
        <w:left w:val="none" w:sz="0" w:space="0" w:color="auto"/>
        <w:bottom w:val="none" w:sz="0" w:space="0" w:color="auto"/>
        <w:right w:val="none" w:sz="0" w:space="0" w:color="auto"/>
      </w:divBdr>
    </w:div>
    <w:div w:id="1822848818">
      <w:bodyDiv w:val="1"/>
      <w:marLeft w:val="0"/>
      <w:marRight w:val="0"/>
      <w:marTop w:val="0"/>
      <w:marBottom w:val="0"/>
      <w:divBdr>
        <w:top w:val="none" w:sz="0" w:space="0" w:color="auto"/>
        <w:left w:val="none" w:sz="0" w:space="0" w:color="auto"/>
        <w:bottom w:val="none" w:sz="0" w:space="0" w:color="auto"/>
        <w:right w:val="none" w:sz="0" w:space="0" w:color="auto"/>
      </w:divBdr>
    </w:div>
    <w:div w:id="1823231165">
      <w:bodyDiv w:val="1"/>
      <w:marLeft w:val="0"/>
      <w:marRight w:val="0"/>
      <w:marTop w:val="0"/>
      <w:marBottom w:val="0"/>
      <w:divBdr>
        <w:top w:val="none" w:sz="0" w:space="0" w:color="auto"/>
        <w:left w:val="none" w:sz="0" w:space="0" w:color="auto"/>
        <w:bottom w:val="none" w:sz="0" w:space="0" w:color="auto"/>
        <w:right w:val="none" w:sz="0" w:space="0" w:color="auto"/>
      </w:divBdr>
    </w:div>
    <w:div w:id="1823691496">
      <w:bodyDiv w:val="1"/>
      <w:marLeft w:val="0"/>
      <w:marRight w:val="0"/>
      <w:marTop w:val="0"/>
      <w:marBottom w:val="0"/>
      <w:divBdr>
        <w:top w:val="none" w:sz="0" w:space="0" w:color="auto"/>
        <w:left w:val="none" w:sz="0" w:space="0" w:color="auto"/>
        <w:bottom w:val="none" w:sz="0" w:space="0" w:color="auto"/>
        <w:right w:val="none" w:sz="0" w:space="0" w:color="auto"/>
      </w:divBdr>
    </w:div>
    <w:div w:id="1827738946">
      <w:bodyDiv w:val="1"/>
      <w:marLeft w:val="0"/>
      <w:marRight w:val="0"/>
      <w:marTop w:val="0"/>
      <w:marBottom w:val="0"/>
      <w:divBdr>
        <w:top w:val="none" w:sz="0" w:space="0" w:color="auto"/>
        <w:left w:val="none" w:sz="0" w:space="0" w:color="auto"/>
        <w:bottom w:val="none" w:sz="0" w:space="0" w:color="auto"/>
        <w:right w:val="none" w:sz="0" w:space="0" w:color="auto"/>
      </w:divBdr>
    </w:div>
    <w:div w:id="1831745961">
      <w:bodyDiv w:val="1"/>
      <w:marLeft w:val="0"/>
      <w:marRight w:val="0"/>
      <w:marTop w:val="0"/>
      <w:marBottom w:val="0"/>
      <w:divBdr>
        <w:top w:val="none" w:sz="0" w:space="0" w:color="auto"/>
        <w:left w:val="none" w:sz="0" w:space="0" w:color="auto"/>
        <w:bottom w:val="none" w:sz="0" w:space="0" w:color="auto"/>
        <w:right w:val="none" w:sz="0" w:space="0" w:color="auto"/>
      </w:divBdr>
      <w:divsChild>
        <w:div w:id="1399403900">
          <w:marLeft w:val="0"/>
          <w:marRight w:val="0"/>
          <w:marTop w:val="0"/>
          <w:marBottom w:val="0"/>
          <w:divBdr>
            <w:top w:val="none" w:sz="0" w:space="0" w:color="auto"/>
            <w:left w:val="none" w:sz="0" w:space="0" w:color="auto"/>
            <w:bottom w:val="none" w:sz="0" w:space="0" w:color="auto"/>
            <w:right w:val="none" w:sz="0" w:space="0" w:color="auto"/>
          </w:divBdr>
          <w:divsChild>
            <w:div w:id="5942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459">
      <w:bodyDiv w:val="1"/>
      <w:marLeft w:val="0"/>
      <w:marRight w:val="0"/>
      <w:marTop w:val="0"/>
      <w:marBottom w:val="0"/>
      <w:divBdr>
        <w:top w:val="none" w:sz="0" w:space="0" w:color="auto"/>
        <w:left w:val="none" w:sz="0" w:space="0" w:color="auto"/>
        <w:bottom w:val="none" w:sz="0" w:space="0" w:color="auto"/>
        <w:right w:val="none" w:sz="0" w:space="0" w:color="auto"/>
      </w:divBdr>
    </w:div>
    <w:div w:id="1870102092">
      <w:bodyDiv w:val="1"/>
      <w:marLeft w:val="0"/>
      <w:marRight w:val="0"/>
      <w:marTop w:val="0"/>
      <w:marBottom w:val="0"/>
      <w:divBdr>
        <w:top w:val="none" w:sz="0" w:space="0" w:color="auto"/>
        <w:left w:val="none" w:sz="0" w:space="0" w:color="auto"/>
        <w:bottom w:val="none" w:sz="0" w:space="0" w:color="auto"/>
        <w:right w:val="none" w:sz="0" w:space="0" w:color="auto"/>
      </w:divBdr>
    </w:div>
    <w:div w:id="1871449954">
      <w:bodyDiv w:val="1"/>
      <w:marLeft w:val="0"/>
      <w:marRight w:val="0"/>
      <w:marTop w:val="0"/>
      <w:marBottom w:val="0"/>
      <w:divBdr>
        <w:top w:val="none" w:sz="0" w:space="0" w:color="auto"/>
        <w:left w:val="none" w:sz="0" w:space="0" w:color="auto"/>
        <w:bottom w:val="none" w:sz="0" w:space="0" w:color="auto"/>
        <w:right w:val="none" w:sz="0" w:space="0" w:color="auto"/>
      </w:divBdr>
    </w:div>
    <w:div w:id="1905991642">
      <w:bodyDiv w:val="1"/>
      <w:marLeft w:val="0"/>
      <w:marRight w:val="0"/>
      <w:marTop w:val="0"/>
      <w:marBottom w:val="0"/>
      <w:divBdr>
        <w:top w:val="none" w:sz="0" w:space="0" w:color="auto"/>
        <w:left w:val="none" w:sz="0" w:space="0" w:color="auto"/>
        <w:bottom w:val="none" w:sz="0" w:space="0" w:color="auto"/>
        <w:right w:val="none" w:sz="0" w:space="0" w:color="auto"/>
      </w:divBdr>
    </w:div>
    <w:div w:id="1948466392">
      <w:bodyDiv w:val="1"/>
      <w:marLeft w:val="0"/>
      <w:marRight w:val="0"/>
      <w:marTop w:val="0"/>
      <w:marBottom w:val="0"/>
      <w:divBdr>
        <w:top w:val="none" w:sz="0" w:space="0" w:color="auto"/>
        <w:left w:val="none" w:sz="0" w:space="0" w:color="auto"/>
        <w:bottom w:val="none" w:sz="0" w:space="0" w:color="auto"/>
        <w:right w:val="none" w:sz="0" w:space="0" w:color="auto"/>
      </w:divBdr>
      <w:divsChild>
        <w:div w:id="1877619398">
          <w:marLeft w:val="0"/>
          <w:marRight w:val="0"/>
          <w:marTop w:val="0"/>
          <w:marBottom w:val="0"/>
          <w:divBdr>
            <w:top w:val="none" w:sz="0" w:space="0" w:color="auto"/>
            <w:left w:val="none" w:sz="0" w:space="0" w:color="auto"/>
            <w:bottom w:val="none" w:sz="0" w:space="0" w:color="auto"/>
            <w:right w:val="none" w:sz="0" w:space="0" w:color="auto"/>
          </w:divBdr>
          <w:divsChild>
            <w:div w:id="2105301848">
              <w:marLeft w:val="0"/>
              <w:marRight w:val="0"/>
              <w:marTop w:val="0"/>
              <w:marBottom w:val="0"/>
              <w:divBdr>
                <w:top w:val="none" w:sz="0" w:space="0" w:color="auto"/>
                <w:left w:val="none" w:sz="0" w:space="0" w:color="auto"/>
                <w:bottom w:val="none" w:sz="0" w:space="0" w:color="auto"/>
                <w:right w:val="none" w:sz="0" w:space="0" w:color="auto"/>
              </w:divBdr>
              <w:divsChild>
                <w:div w:id="516623728">
                  <w:marLeft w:val="180"/>
                  <w:marRight w:val="0"/>
                  <w:marTop w:val="0"/>
                  <w:marBottom w:val="0"/>
                  <w:divBdr>
                    <w:top w:val="none" w:sz="0" w:space="0" w:color="auto"/>
                    <w:left w:val="none" w:sz="0" w:space="0" w:color="auto"/>
                    <w:bottom w:val="none" w:sz="0" w:space="0" w:color="auto"/>
                    <w:right w:val="none" w:sz="0" w:space="0" w:color="auto"/>
                  </w:divBdr>
                  <w:divsChild>
                    <w:div w:id="1299142086">
                      <w:marLeft w:val="2850"/>
                      <w:marRight w:val="0"/>
                      <w:marTop w:val="0"/>
                      <w:marBottom w:val="0"/>
                      <w:divBdr>
                        <w:top w:val="none" w:sz="0" w:space="0" w:color="auto"/>
                        <w:left w:val="none" w:sz="0" w:space="0" w:color="auto"/>
                        <w:bottom w:val="none" w:sz="0" w:space="0" w:color="auto"/>
                        <w:right w:val="none" w:sz="0" w:space="0" w:color="auto"/>
                      </w:divBdr>
                      <w:divsChild>
                        <w:div w:id="1779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48443">
      <w:bodyDiv w:val="1"/>
      <w:marLeft w:val="0"/>
      <w:marRight w:val="0"/>
      <w:marTop w:val="0"/>
      <w:marBottom w:val="0"/>
      <w:divBdr>
        <w:top w:val="none" w:sz="0" w:space="0" w:color="auto"/>
        <w:left w:val="none" w:sz="0" w:space="0" w:color="auto"/>
        <w:bottom w:val="none" w:sz="0" w:space="0" w:color="auto"/>
        <w:right w:val="none" w:sz="0" w:space="0" w:color="auto"/>
      </w:divBdr>
    </w:div>
    <w:div w:id="1974752708">
      <w:bodyDiv w:val="1"/>
      <w:marLeft w:val="0"/>
      <w:marRight w:val="0"/>
      <w:marTop w:val="0"/>
      <w:marBottom w:val="0"/>
      <w:divBdr>
        <w:top w:val="none" w:sz="0" w:space="0" w:color="auto"/>
        <w:left w:val="none" w:sz="0" w:space="0" w:color="auto"/>
        <w:bottom w:val="none" w:sz="0" w:space="0" w:color="auto"/>
        <w:right w:val="none" w:sz="0" w:space="0" w:color="auto"/>
      </w:divBdr>
    </w:div>
    <w:div w:id="197613476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18">
          <w:marLeft w:val="0"/>
          <w:marRight w:val="0"/>
          <w:marTop w:val="0"/>
          <w:marBottom w:val="0"/>
          <w:divBdr>
            <w:top w:val="none" w:sz="0" w:space="0" w:color="auto"/>
            <w:left w:val="none" w:sz="0" w:space="0" w:color="auto"/>
            <w:bottom w:val="none" w:sz="0" w:space="0" w:color="auto"/>
            <w:right w:val="none" w:sz="0" w:space="0" w:color="auto"/>
          </w:divBdr>
          <w:divsChild>
            <w:div w:id="1271666054">
              <w:marLeft w:val="0"/>
              <w:marRight w:val="0"/>
              <w:marTop w:val="0"/>
              <w:marBottom w:val="0"/>
              <w:divBdr>
                <w:top w:val="none" w:sz="0" w:space="0" w:color="auto"/>
                <w:left w:val="none" w:sz="0" w:space="0" w:color="auto"/>
                <w:bottom w:val="none" w:sz="0" w:space="0" w:color="auto"/>
                <w:right w:val="none" w:sz="0" w:space="0" w:color="auto"/>
              </w:divBdr>
              <w:divsChild>
                <w:div w:id="104007259">
                  <w:marLeft w:val="0"/>
                  <w:marRight w:val="0"/>
                  <w:marTop w:val="0"/>
                  <w:marBottom w:val="0"/>
                  <w:divBdr>
                    <w:top w:val="none" w:sz="0" w:space="0" w:color="auto"/>
                    <w:left w:val="none" w:sz="0" w:space="0" w:color="auto"/>
                    <w:bottom w:val="none" w:sz="0" w:space="0" w:color="auto"/>
                    <w:right w:val="none" w:sz="0" w:space="0" w:color="auto"/>
                  </w:divBdr>
                  <w:divsChild>
                    <w:div w:id="201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3566">
      <w:bodyDiv w:val="1"/>
      <w:marLeft w:val="0"/>
      <w:marRight w:val="0"/>
      <w:marTop w:val="0"/>
      <w:marBottom w:val="0"/>
      <w:divBdr>
        <w:top w:val="none" w:sz="0" w:space="0" w:color="auto"/>
        <w:left w:val="none" w:sz="0" w:space="0" w:color="auto"/>
        <w:bottom w:val="none" w:sz="0" w:space="0" w:color="auto"/>
        <w:right w:val="none" w:sz="0" w:space="0" w:color="auto"/>
      </w:divBdr>
      <w:divsChild>
        <w:div w:id="1850870948">
          <w:marLeft w:val="0"/>
          <w:marRight w:val="0"/>
          <w:marTop w:val="0"/>
          <w:marBottom w:val="0"/>
          <w:divBdr>
            <w:top w:val="none" w:sz="0" w:space="0" w:color="auto"/>
            <w:left w:val="none" w:sz="0" w:space="0" w:color="auto"/>
            <w:bottom w:val="none" w:sz="0" w:space="0" w:color="auto"/>
            <w:right w:val="none" w:sz="0" w:space="0" w:color="auto"/>
          </w:divBdr>
          <w:divsChild>
            <w:div w:id="1869373813">
              <w:marLeft w:val="0"/>
              <w:marRight w:val="0"/>
              <w:marTop w:val="0"/>
              <w:marBottom w:val="0"/>
              <w:divBdr>
                <w:top w:val="none" w:sz="0" w:space="0" w:color="auto"/>
                <w:left w:val="none" w:sz="0" w:space="0" w:color="auto"/>
                <w:bottom w:val="none" w:sz="0" w:space="0" w:color="auto"/>
                <w:right w:val="none" w:sz="0" w:space="0" w:color="auto"/>
              </w:divBdr>
              <w:divsChild>
                <w:div w:id="1784425094">
                  <w:marLeft w:val="180"/>
                  <w:marRight w:val="0"/>
                  <w:marTop w:val="0"/>
                  <w:marBottom w:val="0"/>
                  <w:divBdr>
                    <w:top w:val="none" w:sz="0" w:space="0" w:color="auto"/>
                    <w:left w:val="none" w:sz="0" w:space="0" w:color="auto"/>
                    <w:bottom w:val="none" w:sz="0" w:space="0" w:color="auto"/>
                    <w:right w:val="none" w:sz="0" w:space="0" w:color="auto"/>
                  </w:divBdr>
                  <w:divsChild>
                    <w:div w:id="90249584">
                      <w:marLeft w:val="2850"/>
                      <w:marRight w:val="0"/>
                      <w:marTop w:val="0"/>
                      <w:marBottom w:val="0"/>
                      <w:divBdr>
                        <w:top w:val="none" w:sz="0" w:space="0" w:color="auto"/>
                        <w:left w:val="none" w:sz="0" w:space="0" w:color="auto"/>
                        <w:bottom w:val="none" w:sz="0" w:space="0" w:color="auto"/>
                        <w:right w:val="none" w:sz="0" w:space="0" w:color="auto"/>
                      </w:divBdr>
                      <w:divsChild>
                        <w:div w:id="1743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6750">
      <w:bodyDiv w:val="1"/>
      <w:marLeft w:val="0"/>
      <w:marRight w:val="0"/>
      <w:marTop w:val="0"/>
      <w:marBottom w:val="0"/>
      <w:divBdr>
        <w:top w:val="none" w:sz="0" w:space="0" w:color="auto"/>
        <w:left w:val="none" w:sz="0" w:space="0" w:color="auto"/>
        <w:bottom w:val="none" w:sz="0" w:space="0" w:color="auto"/>
        <w:right w:val="none" w:sz="0" w:space="0" w:color="auto"/>
      </w:divBdr>
    </w:div>
    <w:div w:id="2085834063">
      <w:bodyDiv w:val="1"/>
      <w:marLeft w:val="0"/>
      <w:marRight w:val="0"/>
      <w:marTop w:val="0"/>
      <w:marBottom w:val="0"/>
      <w:divBdr>
        <w:top w:val="none" w:sz="0" w:space="0" w:color="auto"/>
        <w:left w:val="none" w:sz="0" w:space="0" w:color="auto"/>
        <w:bottom w:val="none" w:sz="0" w:space="0" w:color="auto"/>
        <w:right w:val="none" w:sz="0" w:space="0" w:color="auto"/>
      </w:divBdr>
    </w:div>
    <w:div w:id="2095086696">
      <w:bodyDiv w:val="1"/>
      <w:marLeft w:val="0"/>
      <w:marRight w:val="0"/>
      <w:marTop w:val="0"/>
      <w:marBottom w:val="0"/>
      <w:divBdr>
        <w:top w:val="none" w:sz="0" w:space="0" w:color="auto"/>
        <w:left w:val="none" w:sz="0" w:space="0" w:color="auto"/>
        <w:bottom w:val="none" w:sz="0" w:space="0" w:color="auto"/>
        <w:right w:val="none" w:sz="0" w:space="0" w:color="auto"/>
      </w:divBdr>
    </w:div>
    <w:div w:id="2097822994">
      <w:bodyDiv w:val="1"/>
      <w:marLeft w:val="0"/>
      <w:marRight w:val="0"/>
      <w:marTop w:val="0"/>
      <w:marBottom w:val="0"/>
      <w:divBdr>
        <w:top w:val="none" w:sz="0" w:space="0" w:color="auto"/>
        <w:left w:val="none" w:sz="0" w:space="0" w:color="auto"/>
        <w:bottom w:val="none" w:sz="0" w:space="0" w:color="auto"/>
        <w:right w:val="none" w:sz="0" w:space="0" w:color="auto"/>
      </w:divBdr>
      <w:divsChild>
        <w:div w:id="68232582">
          <w:marLeft w:val="547"/>
          <w:marRight w:val="0"/>
          <w:marTop w:val="134"/>
          <w:marBottom w:val="0"/>
          <w:divBdr>
            <w:top w:val="none" w:sz="0" w:space="0" w:color="auto"/>
            <w:left w:val="none" w:sz="0" w:space="0" w:color="auto"/>
            <w:bottom w:val="none" w:sz="0" w:space="0" w:color="auto"/>
            <w:right w:val="none" w:sz="0" w:space="0" w:color="auto"/>
          </w:divBdr>
        </w:div>
        <w:div w:id="78405661">
          <w:marLeft w:val="547"/>
          <w:marRight w:val="0"/>
          <w:marTop w:val="134"/>
          <w:marBottom w:val="0"/>
          <w:divBdr>
            <w:top w:val="none" w:sz="0" w:space="0" w:color="auto"/>
            <w:left w:val="none" w:sz="0" w:space="0" w:color="auto"/>
            <w:bottom w:val="none" w:sz="0" w:space="0" w:color="auto"/>
            <w:right w:val="none" w:sz="0" w:space="0" w:color="auto"/>
          </w:divBdr>
        </w:div>
        <w:div w:id="101918242">
          <w:marLeft w:val="547"/>
          <w:marRight w:val="0"/>
          <w:marTop w:val="134"/>
          <w:marBottom w:val="0"/>
          <w:divBdr>
            <w:top w:val="none" w:sz="0" w:space="0" w:color="auto"/>
            <w:left w:val="none" w:sz="0" w:space="0" w:color="auto"/>
            <w:bottom w:val="none" w:sz="0" w:space="0" w:color="auto"/>
            <w:right w:val="none" w:sz="0" w:space="0" w:color="auto"/>
          </w:divBdr>
        </w:div>
        <w:div w:id="177817545">
          <w:marLeft w:val="547"/>
          <w:marRight w:val="0"/>
          <w:marTop w:val="134"/>
          <w:marBottom w:val="0"/>
          <w:divBdr>
            <w:top w:val="none" w:sz="0" w:space="0" w:color="auto"/>
            <w:left w:val="none" w:sz="0" w:space="0" w:color="auto"/>
            <w:bottom w:val="none" w:sz="0" w:space="0" w:color="auto"/>
            <w:right w:val="none" w:sz="0" w:space="0" w:color="auto"/>
          </w:divBdr>
        </w:div>
        <w:div w:id="1549536707">
          <w:marLeft w:val="547"/>
          <w:marRight w:val="0"/>
          <w:marTop w:val="134"/>
          <w:marBottom w:val="0"/>
          <w:divBdr>
            <w:top w:val="none" w:sz="0" w:space="0" w:color="auto"/>
            <w:left w:val="none" w:sz="0" w:space="0" w:color="auto"/>
            <w:bottom w:val="none" w:sz="0" w:space="0" w:color="auto"/>
            <w:right w:val="none" w:sz="0" w:space="0" w:color="auto"/>
          </w:divBdr>
        </w:div>
      </w:divsChild>
    </w:div>
    <w:div w:id="2108185712">
      <w:bodyDiv w:val="1"/>
      <w:marLeft w:val="0"/>
      <w:marRight w:val="0"/>
      <w:marTop w:val="0"/>
      <w:marBottom w:val="0"/>
      <w:divBdr>
        <w:top w:val="none" w:sz="0" w:space="0" w:color="auto"/>
        <w:left w:val="none" w:sz="0" w:space="0" w:color="auto"/>
        <w:bottom w:val="none" w:sz="0" w:space="0" w:color="auto"/>
        <w:right w:val="none" w:sz="0" w:space="0" w:color="auto"/>
      </w:divBdr>
    </w:div>
    <w:div w:id="2114742326">
      <w:bodyDiv w:val="1"/>
      <w:marLeft w:val="0"/>
      <w:marRight w:val="0"/>
      <w:marTop w:val="0"/>
      <w:marBottom w:val="0"/>
      <w:divBdr>
        <w:top w:val="none" w:sz="0" w:space="0" w:color="auto"/>
        <w:left w:val="none" w:sz="0" w:space="0" w:color="auto"/>
        <w:bottom w:val="none" w:sz="0" w:space="0" w:color="auto"/>
        <w:right w:val="none" w:sz="0" w:space="0" w:color="auto"/>
      </w:divBdr>
    </w:div>
    <w:div w:id="21242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tastrolatino.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1.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CC47FE2DED6FD4E91B055AB31AACE70" ma:contentTypeVersion="0" ma:contentTypeDescription="A content type to manage public (operations) IDB documents" ma:contentTypeScope="" ma:versionID="2b1249e31e9691cf42c88753a10a5376">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38058932</IDBDocs_x0020_Number>
    <Document_x0020_Author xmlns="9c571b2f-e523-4ab2-ba2e-09e151a03ef4">Adler, Veronica</Document_x0020_Author>
    <Publication_x0020_Type xmlns="9c571b2f-e523-4ab2-ba2e-09e151a03ef4" xsi:nil="true"/>
    <Operation_x0020_Type xmlns="9c571b2f-e523-4ab2-ba2e-09e151a03ef4" xsi:nil="true"/>
    <TaxCatchAll xmlns="9c571b2f-e523-4ab2-ba2e-09e151a03ef4">
      <Value>11</Value>
      <Value>10</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UR-L1084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Proposal&lt;/USER_STAGE&gt;&lt;PD_OBJ_TYPE&gt;0&lt;/PD_OBJ_TYPE&gt;&lt;MAKERECORD&gt;N&lt;/MAKERECORD&gt;&lt;PD_FILEPT_NO&gt;PO-UR-L1084-Anl&lt;/PD_FILEPT_NO&gt;&lt;/Data&gt;</Migration_x0020_Info>
    <Approval_x0020_Number xmlns="9c571b2f-e523-4ab2-ba2e-09e151a03ef4">3097/OC-UR</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DU-DUR</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5CF1A010-0D8C-4937-A9F9-909C85E33023}"/>
</file>

<file path=customXml/itemProps2.xml><?xml version="1.0" encoding="utf-8"?>
<ds:datastoreItem xmlns:ds="http://schemas.openxmlformats.org/officeDocument/2006/customXml" ds:itemID="{3410A389-BFE9-45F7-9EDC-CF40759A987F}"/>
</file>

<file path=customXml/itemProps3.xml><?xml version="1.0" encoding="utf-8"?>
<ds:datastoreItem xmlns:ds="http://schemas.openxmlformats.org/officeDocument/2006/customXml" ds:itemID="{020229EC-AC03-47FD-BDD1-0BD47F6C1517}"/>
</file>

<file path=customXml/itemProps4.xml><?xml version="1.0" encoding="utf-8"?>
<ds:datastoreItem xmlns:ds="http://schemas.openxmlformats.org/officeDocument/2006/customXml" ds:itemID="{00E361B5-7779-41F2-89C6-DA1B515F9B53}"/>
</file>

<file path=customXml/itemProps5.xml><?xml version="1.0" encoding="utf-8"?>
<ds:datastoreItem xmlns:ds="http://schemas.openxmlformats.org/officeDocument/2006/customXml" ds:itemID="{3320EB17-94B0-4FE8-BC14-B3DB4AA143B5}"/>
</file>

<file path=customXml/itemProps6.xml><?xml version="1.0" encoding="utf-8"?>
<ds:datastoreItem xmlns:ds="http://schemas.openxmlformats.org/officeDocument/2006/customXml" ds:itemID="{2CA934ED-3DCC-469C-A3B5-85D69B2C58F6}"/>
</file>

<file path=docProps/app.xml><?xml version="1.0" encoding="utf-8"?>
<Properties xmlns="http://schemas.openxmlformats.org/officeDocument/2006/extended-properties" xmlns:vt="http://schemas.openxmlformats.org/officeDocument/2006/docPropsVTypes">
  <Template>Normal.dotm</Template>
  <TotalTime>0</TotalTime>
  <Pages>22</Pages>
  <Words>5695</Words>
  <Characters>32467</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 Toolkit</vt:lpstr>
      <vt:lpstr>CC Toolkit</vt:lpstr>
    </vt:vector>
  </TitlesOfParts>
  <Company>Inter-American Development Bank</Company>
  <LinksUpToDate>false</LinksUpToDate>
  <CharactersWithSpaces>38086</CharactersWithSpaces>
  <SharedDoc>false</SharedDoc>
  <HLinks>
    <vt:vector size="162" baseType="variant">
      <vt:variant>
        <vt:i4>2031678</vt:i4>
      </vt:variant>
      <vt:variant>
        <vt:i4>158</vt:i4>
      </vt:variant>
      <vt:variant>
        <vt:i4>0</vt:i4>
      </vt:variant>
      <vt:variant>
        <vt:i4>5</vt:i4>
      </vt:variant>
      <vt:variant>
        <vt:lpwstr/>
      </vt:variant>
      <vt:variant>
        <vt:lpwstr>_Toc298831783</vt:lpwstr>
      </vt:variant>
      <vt:variant>
        <vt:i4>2031678</vt:i4>
      </vt:variant>
      <vt:variant>
        <vt:i4>152</vt:i4>
      </vt:variant>
      <vt:variant>
        <vt:i4>0</vt:i4>
      </vt:variant>
      <vt:variant>
        <vt:i4>5</vt:i4>
      </vt:variant>
      <vt:variant>
        <vt:lpwstr/>
      </vt:variant>
      <vt:variant>
        <vt:lpwstr>_Toc298831782</vt:lpwstr>
      </vt:variant>
      <vt:variant>
        <vt:i4>2031678</vt:i4>
      </vt:variant>
      <vt:variant>
        <vt:i4>146</vt:i4>
      </vt:variant>
      <vt:variant>
        <vt:i4>0</vt:i4>
      </vt:variant>
      <vt:variant>
        <vt:i4>5</vt:i4>
      </vt:variant>
      <vt:variant>
        <vt:lpwstr/>
      </vt:variant>
      <vt:variant>
        <vt:lpwstr>_Toc298831781</vt:lpwstr>
      </vt:variant>
      <vt:variant>
        <vt:i4>2031678</vt:i4>
      </vt:variant>
      <vt:variant>
        <vt:i4>140</vt:i4>
      </vt:variant>
      <vt:variant>
        <vt:i4>0</vt:i4>
      </vt:variant>
      <vt:variant>
        <vt:i4>5</vt:i4>
      </vt:variant>
      <vt:variant>
        <vt:lpwstr/>
      </vt:variant>
      <vt:variant>
        <vt:lpwstr>_Toc298831780</vt:lpwstr>
      </vt:variant>
      <vt:variant>
        <vt:i4>1048638</vt:i4>
      </vt:variant>
      <vt:variant>
        <vt:i4>134</vt:i4>
      </vt:variant>
      <vt:variant>
        <vt:i4>0</vt:i4>
      </vt:variant>
      <vt:variant>
        <vt:i4>5</vt:i4>
      </vt:variant>
      <vt:variant>
        <vt:lpwstr/>
      </vt:variant>
      <vt:variant>
        <vt:lpwstr>_Toc298831779</vt:lpwstr>
      </vt:variant>
      <vt:variant>
        <vt:i4>1048638</vt:i4>
      </vt:variant>
      <vt:variant>
        <vt:i4>128</vt:i4>
      </vt:variant>
      <vt:variant>
        <vt:i4>0</vt:i4>
      </vt:variant>
      <vt:variant>
        <vt:i4>5</vt:i4>
      </vt:variant>
      <vt:variant>
        <vt:lpwstr/>
      </vt:variant>
      <vt:variant>
        <vt:lpwstr>_Toc298831778</vt:lpwstr>
      </vt:variant>
      <vt:variant>
        <vt:i4>1048638</vt:i4>
      </vt:variant>
      <vt:variant>
        <vt:i4>122</vt:i4>
      </vt:variant>
      <vt:variant>
        <vt:i4>0</vt:i4>
      </vt:variant>
      <vt:variant>
        <vt:i4>5</vt:i4>
      </vt:variant>
      <vt:variant>
        <vt:lpwstr/>
      </vt:variant>
      <vt:variant>
        <vt:lpwstr>_Toc298831777</vt:lpwstr>
      </vt:variant>
      <vt:variant>
        <vt:i4>1048638</vt:i4>
      </vt:variant>
      <vt:variant>
        <vt:i4>116</vt:i4>
      </vt:variant>
      <vt:variant>
        <vt:i4>0</vt:i4>
      </vt:variant>
      <vt:variant>
        <vt:i4>5</vt:i4>
      </vt:variant>
      <vt:variant>
        <vt:lpwstr/>
      </vt:variant>
      <vt:variant>
        <vt:lpwstr>_Toc298831776</vt:lpwstr>
      </vt:variant>
      <vt:variant>
        <vt:i4>1048638</vt:i4>
      </vt:variant>
      <vt:variant>
        <vt:i4>110</vt:i4>
      </vt:variant>
      <vt:variant>
        <vt:i4>0</vt:i4>
      </vt:variant>
      <vt:variant>
        <vt:i4>5</vt:i4>
      </vt:variant>
      <vt:variant>
        <vt:lpwstr/>
      </vt:variant>
      <vt:variant>
        <vt:lpwstr>_Toc298831775</vt:lpwstr>
      </vt:variant>
      <vt:variant>
        <vt:i4>1048638</vt:i4>
      </vt:variant>
      <vt:variant>
        <vt:i4>104</vt:i4>
      </vt:variant>
      <vt:variant>
        <vt:i4>0</vt:i4>
      </vt:variant>
      <vt:variant>
        <vt:i4>5</vt:i4>
      </vt:variant>
      <vt:variant>
        <vt:lpwstr/>
      </vt:variant>
      <vt:variant>
        <vt:lpwstr>_Toc298831774</vt:lpwstr>
      </vt:variant>
      <vt:variant>
        <vt:i4>1048638</vt:i4>
      </vt:variant>
      <vt:variant>
        <vt:i4>98</vt:i4>
      </vt:variant>
      <vt:variant>
        <vt:i4>0</vt:i4>
      </vt:variant>
      <vt:variant>
        <vt:i4>5</vt:i4>
      </vt:variant>
      <vt:variant>
        <vt:lpwstr/>
      </vt:variant>
      <vt:variant>
        <vt:lpwstr>_Toc298831773</vt:lpwstr>
      </vt:variant>
      <vt:variant>
        <vt:i4>1048638</vt:i4>
      </vt:variant>
      <vt:variant>
        <vt:i4>92</vt:i4>
      </vt:variant>
      <vt:variant>
        <vt:i4>0</vt:i4>
      </vt:variant>
      <vt:variant>
        <vt:i4>5</vt:i4>
      </vt:variant>
      <vt:variant>
        <vt:lpwstr/>
      </vt:variant>
      <vt:variant>
        <vt:lpwstr>_Toc298831772</vt:lpwstr>
      </vt:variant>
      <vt:variant>
        <vt:i4>1048638</vt:i4>
      </vt:variant>
      <vt:variant>
        <vt:i4>86</vt:i4>
      </vt:variant>
      <vt:variant>
        <vt:i4>0</vt:i4>
      </vt:variant>
      <vt:variant>
        <vt:i4>5</vt:i4>
      </vt:variant>
      <vt:variant>
        <vt:lpwstr/>
      </vt:variant>
      <vt:variant>
        <vt:lpwstr>_Toc298831771</vt:lpwstr>
      </vt:variant>
      <vt:variant>
        <vt:i4>1048638</vt:i4>
      </vt:variant>
      <vt:variant>
        <vt:i4>80</vt:i4>
      </vt:variant>
      <vt:variant>
        <vt:i4>0</vt:i4>
      </vt:variant>
      <vt:variant>
        <vt:i4>5</vt:i4>
      </vt:variant>
      <vt:variant>
        <vt:lpwstr/>
      </vt:variant>
      <vt:variant>
        <vt:lpwstr>_Toc298831770</vt:lpwstr>
      </vt:variant>
      <vt:variant>
        <vt:i4>1114174</vt:i4>
      </vt:variant>
      <vt:variant>
        <vt:i4>74</vt:i4>
      </vt:variant>
      <vt:variant>
        <vt:i4>0</vt:i4>
      </vt:variant>
      <vt:variant>
        <vt:i4>5</vt:i4>
      </vt:variant>
      <vt:variant>
        <vt:lpwstr/>
      </vt:variant>
      <vt:variant>
        <vt:lpwstr>_Toc298831769</vt:lpwstr>
      </vt:variant>
      <vt:variant>
        <vt:i4>1114174</vt:i4>
      </vt:variant>
      <vt:variant>
        <vt:i4>68</vt:i4>
      </vt:variant>
      <vt:variant>
        <vt:i4>0</vt:i4>
      </vt:variant>
      <vt:variant>
        <vt:i4>5</vt:i4>
      </vt:variant>
      <vt:variant>
        <vt:lpwstr/>
      </vt:variant>
      <vt:variant>
        <vt:lpwstr>_Toc298831768</vt:lpwstr>
      </vt:variant>
      <vt:variant>
        <vt:i4>1114174</vt:i4>
      </vt:variant>
      <vt:variant>
        <vt:i4>62</vt:i4>
      </vt:variant>
      <vt:variant>
        <vt:i4>0</vt:i4>
      </vt:variant>
      <vt:variant>
        <vt:i4>5</vt:i4>
      </vt:variant>
      <vt:variant>
        <vt:lpwstr/>
      </vt:variant>
      <vt:variant>
        <vt:lpwstr>_Toc298831767</vt:lpwstr>
      </vt:variant>
      <vt:variant>
        <vt:i4>1114174</vt:i4>
      </vt:variant>
      <vt:variant>
        <vt:i4>56</vt:i4>
      </vt:variant>
      <vt:variant>
        <vt:i4>0</vt:i4>
      </vt:variant>
      <vt:variant>
        <vt:i4>5</vt:i4>
      </vt:variant>
      <vt:variant>
        <vt:lpwstr/>
      </vt:variant>
      <vt:variant>
        <vt:lpwstr>_Toc298831766</vt:lpwstr>
      </vt:variant>
      <vt:variant>
        <vt:i4>1114174</vt:i4>
      </vt:variant>
      <vt:variant>
        <vt:i4>50</vt:i4>
      </vt:variant>
      <vt:variant>
        <vt:i4>0</vt:i4>
      </vt:variant>
      <vt:variant>
        <vt:i4>5</vt:i4>
      </vt:variant>
      <vt:variant>
        <vt:lpwstr/>
      </vt:variant>
      <vt:variant>
        <vt:lpwstr>_Toc298831765</vt:lpwstr>
      </vt:variant>
      <vt:variant>
        <vt:i4>1114174</vt:i4>
      </vt:variant>
      <vt:variant>
        <vt:i4>44</vt:i4>
      </vt:variant>
      <vt:variant>
        <vt:i4>0</vt:i4>
      </vt:variant>
      <vt:variant>
        <vt:i4>5</vt:i4>
      </vt:variant>
      <vt:variant>
        <vt:lpwstr/>
      </vt:variant>
      <vt:variant>
        <vt:lpwstr>_Toc298831764</vt:lpwstr>
      </vt:variant>
      <vt:variant>
        <vt:i4>1114174</vt:i4>
      </vt:variant>
      <vt:variant>
        <vt:i4>38</vt:i4>
      </vt:variant>
      <vt:variant>
        <vt:i4>0</vt:i4>
      </vt:variant>
      <vt:variant>
        <vt:i4>5</vt:i4>
      </vt:variant>
      <vt:variant>
        <vt:lpwstr/>
      </vt:variant>
      <vt:variant>
        <vt:lpwstr>_Toc298831763</vt:lpwstr>
      </vt:variant>
      <vt:variant>
        <vt:i4>1114174</vt:i4>
      </vt:variant>
      <vt:variant>
        <vt:i4>32</vt:i4>
      </vt:variant>
      <vt:variant>
        <vt:i4>0</vt:i4>
      </vt:variant>
      <vt:variant>
        <vt:i4>5</vt:i4>
      </vt:variant>
      <vt:variant>
        <vt:lpwstr/>
      </vt:variant>
      <vt:variant>
        <vt:lpwstr>_Toc298831762</vt:lpwstr>
      </vt:variant>
      <vt:variant>
        <vt:i4>1114174</vt:i4>
      </vt:variant>
      <vt:variant>
        <vt:i4>26</vt:i4>
      </vt:variant>
      <vt:variant>
        <vt:i4>0</vt:i4>
      </vt:variant>
      <vt:variant>
        <vt:i4>5</vt:i4>
      </vt:variant>
      <vt:variant>
        <vt:lpwstr/>
      </vt:variant>
      <vt:variant>
        <vt:lpwstr>_Toc298831761</vt:lpwstr>
      </vt:variant>
      <vt:variant>
        <vt:i4>1114174</vt:i4>
      </vt:variant>
      <vt:variant>
        <vt:i4>20</vt:i4>
      </vt:variant>
      <vt:variant>
        <vt:i4>0</vt:i4>
      </vt:variant>
      <vt:variant>
        <vt:i4>5</vt:i4>
      </vt:variant>
      <vt:variant>
        <vt:lpwstr/>
      </vt:variant>
      <vt:variant>
        <vt:lpwstr>_Toc298831760</vt:lpwstr>
      </vt:variant>
      <vt:variant>
        <vt:i4>1179710</vt:i4>
      </vt:variant>
      <vt:variant>
        <vt:i4>14</vt:i4>
      </vt:variant>
      <vt:variant>
        <vt:i4>0</vt:i4>
      </vt:variant>
      <vt:variant>
        <vt:i4>5</vt:i4>
      </vt:variant>
      <vt:variant>
        <vt:lpwstr/>
      </vt:variant>
      <vt:variant>
        <vt:lpwstr>_Toc298831759</vt:lpwstr>
      </vt:variant>
      <vt:variant>
        <vt:i4>1179710</vt:i4>
      </vt:variant>
      <vt:variant>
        <vt:i4>8</vt:i4>
      </vt:variant>
      <vt:variant>
        <vt:i4>0</vt:i4>
      </vt:variant>
      <vt:variant>
        <vt:i4>5</vt:i4>
      </vt:variant>
      <vt:variant>
        <vt:lpwstr/>
      </vt:variant>
      <vt:variant>
        <vt:lpwstr>_Toc298831758</vt:lpwstr>
      </vt:variant>
      <vt:variant>
        <vt:i4>1179710</vt:i4>
      </vt:variant>
      <vt:variant>
        <vt:i4>2</vt:i4>
      </vt:variant>
      <vt:variant>
        <vt:i4>0</vt:i4>
      </vt:variant>
      <vt:variant>
        <vt:i4>5</vt:i4>
      </vt:variant>
      <vt:variant>
        <vt:lpwstr/>
      </vt:variant>
      <vt:variant>
        <vt:lpwstr>_Toc298831757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Económico</dc:title>
  <dc:creator>JMENDOZA</dc:creator>
  <cp:lastModifiedBy>Test</cp:lastModifiedBy>
  <cp:revision>2</cp:revision>
  <cp:lastPrinted>2012-06-15T13:04:00Z</cp:lastPrinted>
  <dcterms:created xsi:type="dcterms:W3CDTF">2013-10-10T14:49:00Z</dcterms:created>
  <dcterms:modified xsi:type="dcterms:W3CDTF">2013-10-10T14:49:00Z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0x01010046CF21643EE8D14686A648AA6DAD0892008CC47FE2DED6FD4E91B055AB31AACE70</vt:lpwstr>
  </property>
  <property fmtid="{D5CDD505-2E9C-101B-9397-08002B2CF9AE}" pid="5" name="TaxKeywordTaxHTField">
    <vt:lpwstr/>
  </property>
  <property fmtid="{D5CDD505-2E9C-101B-9397-08002B2CF9AE}" pid="6" name="Series Operations IDB">
    <vt:lpwstr>10;#Loan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