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2F" w:rsidRDefault="0047412F" w:rsidP="0047412F">
      <w:pPr>
        <w:pStyle w:val="SubSubPar"/>
        <w:tabs>
          <w:tab w:val="clear" w:pos="1152"/>
        </w:tabs>
        <w:spacing w:after="0"/>
        <w:ind w:left="0" w:firstLine="0"/>
        <w:jc w:val="center"/>
        <w:rPr>
          <w:smallCaps/>
          <w:lang w:val="es-ES"/>
        </w:rPr>
      </w:pPr>
      <w:r>
        <w:rPr>
          <w:smallCaps/>
          <w:lang w:val="es-ES"/>
        </w:rPr>
        <w:t>Documento del Banco Interamericano de Desarrollo</w:t>
      </w:r>
    </w:p>
    <w:p w:rsidR="0047412F" w:rsidRPr="0047412F" w:rsidRDefault="0047412F" w:rsidP="0047412F">
      <w:pPr>
        <w:rPr>
          <w:lang w:val="es-BO"/>
        </w:rPr>
      </w:pPr>
    </w:p>
    <w:p w:rsidR="0047412F" w:rsidRPr="0047412F" w:rsidRDefault="0047412F" w:rsidP="0047412F">
      <w:pPr>
        <w:rPr>
          <w:lang w:val="es-BO"/>
        </w:rPr>
      </w:pPr>
    </w:p>
    <w:tbl>
      <w:tblPr>
        <w:tblW w:w="5000" w:type="pct"/>
        <w:jc w:val="center"/>
        <w:tblLook w:val="04A0" w:firstRow="1" w:lastRow="0" w:firstColumn="1" w:lastColumn="0" w:noHBand="0" w:noVBand="1"/>
      </w:tblPr>
      <w:tblGrid>
        <w:gridCol w:w="8856"/>
      </w:tblGrid>
      <w:tr w:rsidR="0047412F" w:rsidRPr="005552D8" w:rsidTr="00566D4F">
        <w:trPr>
          <w:trHeight w:val="6867"/>
          <w:jc w:val="center"/>
        </w:trPr>
        <w:tc>
          <w:tcPr>
            <w:tcW w:w="5000" w:type="pct"/>
          </w:tcPr>
          <w:p w:rsidR="0047412F" w:rsidRPr="0047412F" w:rsidRDefault="0047412F" w:rsidP="00566D4F">
            <w:pPr>
              <w:tabs>
                <w:tab w:val="left" w:pos="1440"/>
                <w:tab w:val="left" w:pos="3060"/>
              </w:tabs>
              <w:jc w:val="center"/>
              <w:rPr>
                <w:b/>
                <w:smallCaps/>
                <w:lang w:val="es-BO"/>
              </w:rPr>
            </w:pPr>
          </w:p>
          <w:p w:rsidR="0047412F" w:rsidRPr="0047412F" w:rsidRDefault="0047412F" w:rsidP="00566D4F">
            <w:pPr>
              <w:tabs>
                <w:tab w:val="left" w:pos="1440"/>
                <w:tab w:val="left" w:pos="3060"/>
              </w:tabs>
              <w:jc w:val="center"/>
              <w:rPr>
                <w:b/>
                <w:smallCaps/>
                <w:lang w:val="es-BO"/>
              </w:rPr>
            </w:pPr>
          </w:p>
          <w:p w:rsidR="0047412F" w:rsidRP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Default="0047412F" w:rsidP="00566D4F">
            <w:pPr>
              <w:tabs>
                <w:tab w:val="left" w:pos="1440"/>
                <w:tab w:val="left" w:pos="3060"/>
              </w:tabs>
              <w:jc w:val="center"/>
              <w:rPr>
                <w:b/>
                <w:smallCaps/>
                <w:lang w:val="es-BO"/>
              </w:rPr>
            </w:pPr>
          </w:p>
          <w:p w:rsidR="0047412F" w:rsidRPr="00FA65FA" w:rsidRDefault="001641BB" w:rsidP="00566D4F">
            <w:pPr>
              <w:tabs>
                <w:tab w:val="left" w:pos="1440"/>
                <w:tab w:val="left" w:pos="3060"/>
              </w:tabs>
              <w:jc w:val="center"/>
              <w:rPr>
                <w:b/>
                <w:smallCaps/>
                <w:lang w:val="es-ES"/>
              </w:rPr>
            </w:pPr>
            <w:r w:rsidRPr="0047412F">
              <w:rPr>
                <w:b/>
                <w:smallCaps/>
                <w:lang w:val="es-BO"/>
              </w:rPr>
              <w:t>BOL</w:t>
            </w:r>
            <w:r w:rsidRPr="00FA65FA">
              <w:rPr>
                <w:b/>
                <w:smallCaps/>
                <w:lang w:val="es-ES"/>
              </w:rPr>
              <w:t>IVIA</w:t>
            </w:r>
          </w:p>
          <w:p w:rsidR="0047412F" w:rsidRPr="00FA65FA" w:rsidRDefault="0047412F" w:rsidP="00566D4F">
            <w:pPr>
              <w:tabs>
                <w:tab w:val="left" w:pos="1440"/>
                <w:tab w:val="left" w:pos="3060"/>
              </w:tabs>
              <w:jc w:val="center"/>
              <w:rPr>
                <w:smallCaps/>
                <w:lang w:val="es-ES"/>
              </w:rPr>
            </w:pPr>
          </w:p>
          <w:p w:rsidR="0047412F" w:rsidRPr="00FA65FA" w:rsidRDefault="0047412F" w:rsidP="00566D4F">
            <w:pPr>
              <w:tabs>
                <w:tab w:val="left" w:pos="1440"/>
                <w:tab w:val="left" w:pos="3060"/>
              </w:tabs>
              <w:jc w:val="center"/>
              <w:rPr>
                <w:smallCaps/>
                <w:lang w:val="es-ES"/>
              </w:rPr>
            </w:pPr>
          </w:p>
          <w:p w:rsidR="0047412F" w:rsidRPr="00FA65FA" w:rsidRDefault="0047412F" w:rsidP="00566D4F">
            <w:pPr>
              <w:tabs>
                <w:tab w:val="left" w:pos="1440"/>
                <w:tab w:val="left" w:pos="3060"/>
              </w:tabs>
              <w:jc w:val="center"/>
              <w:rPr>
                <w:b/>
                <w:smallCaps/>
                <w:lang w:val="es-ES"/>
              </w:rPr>
            </w:pPr>
            <w:r w:rsidRPr="0047412F">
              <w:rPr>
                <w:b/>
                <w:smallCaps/>
                <w:lang w:val="es-BO"/>
              </w:rPr>
              <w:t>P</w:t>
            </w:r>
            <w:r w:rsidRPr="00FA65FA">
              <w:rPr>
                <w:b/>
                <w:smallCaps/>
                <w:lang w:val="es-ES"/>
              </w:rPr>
              <w:t>rograma de Apoyo a la efectividad del gasto público III</w:t>
            </w:r>
          </w:p>
          <w:p w:rsidR="0047412F" w:rsidRPr="00FA65FA" w:rsidRDefault="0047412F" w:rsidP="00566D4F">
            <w:pPr>
              <w:tabs>
                <w:tab w:val="left" w:pos="1440"/>
                <w:tab w:val="left" w:pos="3060"/>
              </w:tabs>
              <w:jc w:val="center"/>
              <w:rPr>
                <w:b/>
                <w:smallCaps/>
                <w:lang w:val="es-ES"/>
              </w:rPr>
            </w:pPr>
          </w:p>
          <w:p w:rsidR="0047412F" w:rsidRDefault="0047412F" w:rsidP="00566D4F">
            <w:pPr>
              <w:jc w:val="center"/>
              <w:rPr>
                <w:b/>
                <w:lang w:val="es-ES"/>
              </w:rPr>
            </w:pPr>
            <w:r w:rsidRPr="00FA65FA">
              <w:rPr>
                <w:b/>
                <w:lang w:val="es-ES"/>
              </w:rPr>
              <w:t>(BO-L1081)</w:t>
            </w:r>
          </w:p>
          <w:p w:rsidR="007E21E3" w:rsidRPr="0047412F" w:rsidRDefault="007E21E3" w:rsidP="00566D4F">
            <w:pPr>
              <w:jc w:val="center"/>
              <w:rPr>
                <w:b/>
                <w:lang w:val="es-BO"/>
              </w:rPr>
            </w:pPr>
          </w:p>
          <w:p w:rsidR="0047412F" w:rsidRPr="0047412F" w:rsidRDefault="0047412F" w:rsidP="00566D4F">
            <w:pPr>
              <w:jc w:val="center"/>
              <w:rPr>
                <w:b/>
                <w:bCs/>
                <w:sz w:val="22"/>
                <w:szCs w:val="22"/>
                <w:lang w:val="es-BO"/>
              </w:rPr>
            </w:pPr>
          </w:p>
          <w:p w:rsidR="0047412F" w:rsidRPr="0047412F" w:rsidRDefault="0047412F" w:rsidP="00566D4F">
            <w:pPr>
              <w:jc w:val="center"/>
              <w:rPr>
                <w:b/>
                <w:bCs/>
                <w:sz w:val="22"/>
                <w:szCs w:val="22"/>
                <w:lang w:val="es-BO"/>
              </w:rPr>
            </w:pPr>
            <w:r w:rsidRPr="00FA65FA">
              <w:rPr>
                <w:b/>
                <w:bCs/>
                <w:sz w:val="22"/>
                <w:szCs w:val="22"/>
                <w:lang w:val="es-ES"/>
              </w:rPr>
              <w:t>PLAN DE MONITOREO Y EVALUACIÓN</w:t>
            </w:r>
          </w:p>
          <w:p w:rsidR="0047412F" w:rsidRPr="0047412F" w:rsidRDefault="0047412F" w:rsidP="00566D4F">
            <w:pPr>
              <w:jc w:val="center"/>
              <w:rPr>
                <w:b/>
                <w:bCs/>
                <w:lang w:val="es-BO"/>
              </w:rPr>
            </w:pPr>
          </w:p>
          <w:p w:rsidR="0047412F" w:rsidRPr="00FA65FA" w:rsidRDefault="0047412F" w:rsidP="00566D4F">
            <w:pPr>
              <w:jc w:val="center"/>
              <w:rPr>
                <w:b/>
                <w:lang w:val="es-ES"/>
              </w:rPr>
            </w:pPr>
          </w:p>
          <w:p w:rsidR="0047412F" w:rsidRPr="00FE1FFA" w:rsidRDefault="0047412F" w:rsidP="00566D4F">
            <w:pPr>
              <w:tabs>
                <w:tab w:val="left" w:pos="405"/>
                <w:tab w:val="left" w:pos="1440"/>
                <w:tab w:val="left" w:pos="3060"/>
              </w:tabs>
              <w:jc w:val="center"/>
              <w:rPr>
                <w:smallCaps/>
                <w:lang w:val="es-ES"/>
              </w:rPr>
            </w:pPr>
          </w:p>
        </w:tc>
      </w:tr>
      <w:tr w:rsidR="0047412F" w:rsidRPr="005552D8" w:rsidTr="00566D4F">
        <w:trPr>
          <w:trHeight w:val="720"/>
          <w:jc w:val="center"/>
        </w:trPr>
        <w:tc>
          <w:tcPr>
            <w:tcW w:w="5000" w:type="pct"/>
          </w:tcPr>
          <w:p w:rsidR="0047412F" w:rsidRPr="00FE1FFA" w:rsidRDefault="0047412F" w:rsidP="00566D4F">
            <w:pPr>
              <w:tabs>
                <w:tab w:val="left" w:pos="1440"/>
                <w:tab w:val="left" w:pos="3060"/>
              </w:tabs>
              <w:jc w:val="center"/>
              <w:rPr>
                <w:smallCaps/>
                <w:lang w:val="es-ES"/>
              </w:rPr>
            </w:pPr>
            <w:bookmarkStart w:id="0" w:name="_GoBack"/>
            <w:bookmarkEnd w:id="0"/>
          </w:p>
        </w:tc>
      </w:tr>
      <w:tr w:rsidR="0047412F" w:rsidRPr="005552D8" w:rsidTr="00566D4F">
        <w:trPr>
          <w:trHeight w:val="360"/>
          <w:jc w:val="center"/>
        </w:trPr>
        <w:tc>
          <w:tcPr>
            <w:tcW w:w="5000" w:type="pct"/>
            <w:vAlign w:val="center"/>
          </w:tcPr>
          <w:p w:rsidR="0047412F" w:rsidRPr="00C30764" w:rsidRDefault="0047412F" w:rsidP="00566D4F">
            <w:pPr>
              <w:pStyle w:val="NoSpacing"/>
              <w:spacing w:line="276" w:lineRule="auto"/>
              <w:jc w:val="center"/>
              <w:rPr>
                <w:rFonts w:ascii="Times New Roman" w:hAnsi="Times New Roman"/>
                <w:lang w:val="es-ES"/>
              </w:rPr>
            </w:pPr>
          </w:p>
        </w:tc>
      </w:tr>
      <w:tr w:rsidR="0047412F" w:rsidRPr="005552D8" w:rsidTr="00566D4F">
        <w:trPr>
          <w:trHeight w:val="360"/>
          <w:jc w:val="center"/>
        </w:trPr>
        <w:tc>
          <w:tcPr>
            <w:tcW w:w="5000" w:type="pct"/>
            <w:vAlign w:val="center"/>
          </w:tcPr>
          <w:p w:rsidR="0047412F" w:rsidRPr="00C30764" w:rsidRDefault="0047412F" w:rsidP="00566D4F">
            <w:pPr>
              <w:pStyle w:val="NoSpacing"/>
              <w:spacing w:line="276" w:lineRule="auto"/>
              <w:rPr>
                <w:rFonts w:ascii="Times New Roman" w:hAnsi="Times New Roman"/>
                <w:b/>
                <w:bCs/>
                <w:sz w:val="24"/>
                <w:szCs w:val="24"/>
                <w:lang w:val="es-ES"/>
              </w:rPr>
            </w:pPr>
          </w:p>
        </w:tc>
      </w:tr>
      <w:tr w:rsidR="0047412F" w:rsidRPr="005552D8" w:rsidTr="00566D4F">
        <w:trPr>
          <w:trHeight w:val="360"/>
          <w:jc w:val="center"/>
        </w:trPr>
        <w:tc>
          <w:tcPr>
            <w:tcW w:w="5000" w:type="pct"/>
            <w:vAlign w:val="center"/>
          </w:tcPr>
          <w:p w:rsidR="0047412F" w:rsidRDefault="0047412F" w:rsidP="00566D4F">
            <w:pPr>
              <w:pStyle w:val="NoSpacing"/>
              <w:spacing w:line="276" w:lineRule="auto"/>
              <w:jc w:val="center"/>
              <w:rPr>
                <w:rFonts w:ascii="Times New Roman" w:hAnsi="Times New Roman"/>
                <w:b/>
                <w:bCs/>
                <w:sz w:val="24"/>
                <w:szCs w:val="24"/>
                <w:lang w:val="es-ES"/>
              </w:rPr>
            </w:pPr>
          </w:p>
          <w:p w:rsidR="0047412F" w:rsidRDefault="0047412F" w:rsidP="00566D4F">
            <w:pPr>
              <w:pStyle w:val="NoSpacing"/>
              <w:spacing w:line="276" w:lineRule="auto"/>
              <w:jc w:val="center"/>
              <w:rPr>
                <w:rFonts w:ascii="Times New Roman" w:hAnsi="Times New Roman"/>
                <w:b/>
                <w:bCs/>
                <w:sz w:val="24"/>
                <w:szCs w:val="24"/>
                <w:lang w:val="es-ES"/>
              </w:rPr>
            </w:pPr>
          </w:p>
          <w:p w:rsidR="0047412F" w:rsidRDefault="0047412F" w:rsidP="00566D4F">
            <w:pPr>
              <w:pStyle w:val="NoSpacing"/>
              <w:spacing w:line="276" w:lineRule="auto"/>
              <w:jc w:val="center"/>
              <w:rPr>
                <w:rFonts w:ascii="Times New Roman" w:hAnsi="Times New Roman"/>
                <w:b/>
                <w:bCs/>
                <w:sz w:val="24"/>
                <w:szCs w:val="24"/>
                <w:lang w:val="es-ES"/>
              </w:rPr>
            </w:pPr>
          </w:p>
          <w:p w:rsidR="0047412F" w:rsidRDefault="0047412F" w:rsidP="00566D4F">
            <w:pPr>
              <w:pStyle w:val="NoSpacing"/>
              <w:spacing w:line="276" w:lineRule="auto"/>
              <w:jc w:val="center"/>
              <w:rPr>
                <w:rFonts w:ascii="Times New Roman" w:hAnsi="Times New Roman"/>
                <w:b/>
                <w:bCs/>
                <w:sz w:val="24"/>
                <w:szCs w:val="24"/>
                <w:lang w:val="es-ES"/>
              </w:rPr>
            </w:pPr>
          </w:p>
          <w:p w:rsidR="0047412F" w:rsidRDefault="0047412F" w:rsidP="00566D4F">
            <w:pPr>
              <w:pStyle w:val="NoSpacing"/>
              <w:spacing w:line="276" w:lineRule="auto"/>
              <w:jc w:val="center"/>
              <w:rPr>
                <w:rFonts w:ascii="Times New Roman" w:hAnsi="Times New Roman"/>
                <w:b/>
                <w:bCs/>
                <w:sz w:val="24"/>
                <w:szCs w:val="24"/>
                <w:lang w:val="es-ES"/>
              </w:rPr>
            </w:pPr>
          </w:p>
          <w:p w:rsidR="0047412F" w:rsidRPr="00C30764" w:rsidRDefault="0047412F" w:rsidP="00566D4F">
            <w:pPr>
              <w:pStyle w:val="NoSpacing"/>
              <w:spacing w:line="276" w:lineRule="auto"/>
              <w:jc w:val="center"/>
              <w:rPr>
                <w:rFonts w:ascii="Times New Roman" w:hAnsi="Times New Roman"/>
                <w:b/>
                <w:bCs/>
                <w:sz w:val="24"/>
                <w:szCs w:val="24"/>
                <w:lang w:val="es-ES"/>
              </w:rPr>
            </w:pPr>
          </w:p>
        </w:tc>
      </w:tr>
    </w:tbl>
    <w:p w:rsidR="0047412F" w:rsidRPr="005552D8" w:rsidRDefault="0047412F" w:rsidP="0047412F">
      <w:pPr>
        <w:pStyle w:val="BodyText"/>
        <w:pBdr>
          <w:top w:val="single" w:sz="4" w:space="1" w:color="auto"/>
          <w:left w:val="single" w:sz="4" w:space="4" w:color="auto"/>
          <w:bottom w:val="single" w:sz="4" w:space="1" w:color="auto"/>
          <w:right w:val="single" w:sz="4" w:space="4" w:color="auto"/>
        </w:pBdr>
        <w:tabs>
          <w:tab w:val="left" w:pos="1440"/>
        </w:tabs>
        <w:jc w:val="both"/>
      </w:pPr>
      <w:r w:rsidRPr="005552D8">
        <w:t>Este documento fue preparado por el equipo de proyecto integrado por: Ramiro López Ghio (FMM/CCO), Jefe de Equipo; Pedro Farias (IFD/ICS), co-Jefe de Equipo; Oscar Lora (FMM/CBO); Sandra Bartels (FMM/CNI); Roberto Laguado (VPC/FMP); Leandro Andrián (CAN/CBO); Javier Jiménez (LEG/SGO); Jorge Cossío Viorel (CAN/CBO); Zoraida Arguello (PDP/CBO); Claudia Silva (Consultora) y Francy Dianela Avila (IFD/FMM).</w:t>
      </w:r>
    </w:p>
    <w:p w:rsidR="00A307FA" w:rsidRDefault="00A307FA" w:rsidP="0047412F">
      <w:pPr>
        <w:tabs>
          <w:tab w:val="left" w:pos="1440"/>
          <w:tab w:val="left" w:pos="3060"/>
        </w:tabs>
        <w:jc w:val="center"/>
        <w:rPr>
          <w:rFonts w:ascii="Times New Roman Bold" w:hAnsi="Times New Roman Bold"/>
          <w:b/>
          <w:bCs/>
          <w:smallCaps/>
          <w:sz w:val="22"/>
          <w:szCs w:val="22"/>
          <w:lang w:val="es-BO"/>
        </w:rPr>
      </w:pPr>
      <w:r>
        <w:rPr>
          <w:rFonts w:ascii="Times New Roman Bold" w:hAnsi="Times New Roman Bold"/>
          <w:b/>
          <w:bCs/>
          <w:smallCaps/>
          <w:sz w:val="22"/>
          <w:szCs w:val="22"/>
          <w:lang w:val="es-ES"/>
        </w:rPr>
        <w:lastRenderedPageBreak/>
        <w:t>P</w:t>
      </w:r>
      <w:r w:rsidRPr="00A307FA">
        <w:rPr>
          <w:rFonts w:ascii="Times New Roman Bold" w:hAnsi="Times New Roman Bold"/>
          <w:b/>
          <w:bCs/>
          <w:smallCaps/>
          <w:sz w:val="22"/>
          <w:szCs w:val="22"/>
          <w:lang w:val="es-BO"/>
        </w:rPr>
        <w:t>rograma de apoyo a la efectividad del gasto público iii</w:t>
      </w:r>
      <w:r w:rsidRPr="00A307FA" w:rsidDel="00086AEA">
        <w:rPr>
          <w:rFonts w:ascii="Times New Roman Bold" w:hAnsi="Times New Roman Bold"/>
          <w:b/>
          <w:bCs/>
          <w:smallCaps/>
          <w:sz w:val="22"/>
          <w:szCs w:val="22"/>
          <w:lang w:val="es-BO"/>
        </w:rPr>
        <w:t xml:space="preserve"> </w:t>
      </w:r>
    </w:p>
    <w:p w:rsidR="0047412F" w:rsidRPr="00A307FA" w:rsidRDefault="00A307FA" w:rsidP="0047412F">
      <w:pPr>
        <w:tabs>
          <w:tab w:val="left" w:pos="1440"/>
          <w:tab w:val="left" w:pos="3060"/>
        </w:tabs>
        <w:jc w:val="center"/>
        <w:rPr>
          <w:rFonts w:ascii="Times New Roman Bold" w:hAnsi="Times New Roman Bold"/>
          <w:b/>
          <w:bCs/>
          <w:smallCaps/>
          <w:sz w:val="22"/>
          <w:szCs w:val="22"/>
          <w:lang w:val="es-BO"/>
        </w:rPr>
      </w:pPr>
      <w:r w:rsidRPr="00A307FA">
        <w:rPr>
          <w:rFonts w:ascii="Times New Roman Bold" w:hAnsi="Times New Roman Bold"/>
          <w:b/>
          <w:bCs/>
          <w:smallCaps/>
          <w:sz w:val="22"/>
          <w:szCs w:val="22"/>
          <w:lang w:val="es-BO"/>
        </w:rPr>
        <w:t>(</w:t>
      </w:r>
      <w:r>
        <w:rPr>
          <w:rFonts w:ascii="Times New Roman Bold" w:hAnsi="Times New Roman Bold"/>
          <w:b/>
          <w:bCs/>
          <w:smallCaps/>
          <w:sz w:val="22"/>
          <w:szCs w:val="22"/>
          <w:lang w:val="es-BO"/>
        </w:rPr>
        <w:t>BO</w:t>
      </w:r>
      <w:r w:rsidRPr="00A307FA">
        <w:rPr>
          <w:rFonts w:ascii="Times New Roman Bold" w:hAnsi="Times New Roman Bold"/>
          <w:b/>
          <w:bCs/>
          <w:smallCaps/>
          <w:sz w:val="22"/>
          <w:szCs w:val="22"/>
          <w:lang w:val="es-BO"/>
        </w:rPr>
        <w:t>-</w:t>
      </w:r>
      <w:r>
        <w:rPr>
          <w:rFonts w:ascii="Times New Roman Bold" w:hAnsi="Times New Roman Bold"/>
          <w:b/>
          <w:bCs/>
          <w:smallCaps/>
          <w:sz w:val="22"/>
          <w:szCs w:val="22"/>
          <w:lang w:val="es-BO"/>
        </w:rPr>
        <w:t>L</w:t>
      </w:r>
      <w:r w:rsidRPr="00A307FA">
        <w:rPr>
          <w:rFonts w:ascii="Times New Roman Bold" w:hAnsi="Times New Roman Bold"/>
          <w:b/>
          <w:bCs/>
          <w:smallCaps/>
          <w:sz w:val="22"/>
          <w:szCs w:val="22"/>
          <w:lang w:val="es-BO"/>
        </w:rPr>
        <w:t>1081)</w:t>
      </w:r>
    </w:p>
    <w:p w:rsidR="007E21E3" w:rsidRPr="00A307FA" w:rsidRDefault="007E21E3" w:rsidP="0047412F">
      <w:pPr>
        <w:tabs>
          <w:tab w:val="left" w:pos="1440"/>
          <w:tab w:val="left" w:pos="3060"/>
        </w:tabs>
        <w:jc w:val="center"/>
        <w:rPr>
          <w:rFonts w:ascii="Times New Roman Bold" w:hAnsi="Times New Roman Bold"/>
          <w:b/>
          <w:bCs/>
          <w:smallCaps/>
          <w:sz w:val="22"/>
          <w:szCs w:val="22"/>
          <w:lang w:val="es-BO"/>
        </w:rPr>
      </w:pPr>
    </w:p>
    <w:p w:rsidR="0047412F" w:rsidRPr="00A307FA" w:rsidRDefault="00A307FA" w:rsidP="0047412F">
      <w:pPr>
        <w:jc w:val="center"/>
        <w:rPr>
          <w:rFonts w:ascii="Times New Roman Bold" w:hAnsi="Times New Roman Bold"/>
          <w:b/>
          <w:bCs/>
          <w:smallCaps/>
          <w:sz w:val="22"/>
          <w:szCs w:val="22"/>
          <w:lang w:val="es-ES_tradnl"/>
        </w:rPr>
      </w:pPr>
      <w:r>
        <w:rPr>
          <w:rFonts w:ascii="Times New Roman Bold" w:hAnsi="Times New Roman Bold"/>
          <w:b/>
          <w:bCs/>
          <w:smallCaps/>
          <w:sz w:val="22"/>
          <w:szCs w:val="22"/>
          <w:lang w:val="es-ES_tradnl"/>
        </w:rPr>
        <w:t>P</w:t>
      </w:r>
      <w:r w:rsidRPr="00A307FA">
        <w:rPr>
          <w:rFonts w:ascii="Times New Roman Bold" w:hAnsi="Times New Roman Bold"/>
          <w:b/>
          <w:bCs/>
          <w:smallCaps/>
          <w:sz w:val="22"/>
          <w:szCs w:val="22"/>
          <w:lang w:val="es-ES_tradnl"/>
        </w:rPr>
        <w:t>lan de monitoreo y evaluación</w:t>
      </w:r>
    </w:p>
    <w:p w:rsidR="0047412F" w:rsidRPr="007E21E3" w:rsidRDefault="0047412F" w:rsidP="0047412F">
      <w:pPr>
        <w:jc w:val="center"/>
        <w:rPr>
          <w:b/>
          <w:bCs/>
          <w:sz w:val="22"/>
          <w:szCs w:val="22"/>
          <w:lang w:val="es-ES_tradnl"/>
        </w:rPr>
      </w:pPr>
    </w:p>
    <w:p w:rsidR="0047412F" w:rsidRPr="0047412F" w:rsidRDefault="0047412F" w:rsidP="0047412F">
      <w:pPr>
        <w:pStyle w:val="FirstHeading"/>
        <w:keepNext w:val="0"/>
        <w:widowControl w:val="0"/>
        <w:ind w:hanging="630"/>
        <w:rPr>
          <w:sz w:val="22"/>
          <w:szCs w:val="22"/>
        </w:rPr>
      </w:pPr>
      <w:r w:rsidRPr="0047412F">
        <w:rPr>
          <w:sz w:val="22"/>
          <w:szCs w:val="22"/>
        </w:rPr>
        <w:tab/>
        <w:t>Introducción</w:t>
      </w:r>
    </w:p>
    <w:p w:rsidR="0047412F" w:rsidRPr="0047412F" w:rsidRDefault="0047412F" w:rsidP="0047412F">
      <w:pPr>
        <w:pStyle w:val="Title"/>
        <w:tabs>
          <w:tab w:val="clear" w:pos="1440"/>
          <w:tab w:val="clear" w:pos="3060"/>
        </w:tabs>
        <w:spacing w:before="120" w:after="120"/>
        <w:ind w:left="720"/>
        <w:jc w:val="both"/>
        <w:outlineLvl w:val="9"/>
        <w:rPr>
          <w:sz w:val="22"/>
          <w:szCs w:val="22"/>
        </w:rPr>
      </w:pPr>
      <w:r w:rsidRPr="0047412F">
        <w:rPr>
          <w:sz w:val="22"/>
          <w:szCs w:val="22"/>
        </w:rPr>
        <w:t>E</w:t>
      </w:r>
      <w:r w:rsidR="009B3935">
        <w:rPr>
          <w:sz w:val="22"/>
          <w:szCs w:val="22"/>
        </w:rPr>
        <w:t xml:space="preserve">ste </w:t>
      </w:r>
      <w:r w:rsidRPr="0047412F">
        <w:rPr>
          <w:sz w:val="22"/>
          <w:szCs w:val="22"/>
        </w:rPr>
        <w:t xml:space="preserve">documento describe </w:t>
      </w:r>
      <w:r w:rsidR="003B62A4">
        <w:rPr>
          <w:sz w:val="22"/>
          <w:szCs w:val="22"/>
        </w:rPr>
        <w:t>las tareas</w:t>
      </w:r>
      <w:r w:rsidRPr="0047412F">
        <w:rPr>
          <w:sz w:val="22"/>
          <w:szCs w:val="22"/>
        </w:rPr>
        <w:t xml:space="preserve"> de monitoreo y evaluación </w:t>
      </w:r>
      <w:r w:rsidR="003B62A4">
        <w:rPr>
          <w:sz w:val="22"/>
          <w:szCs w:val="22"/>
        </w:rPr>
        <w:t xml:space="preserve">que encarará el equipo de proyecto respecto a </w:t>
      </w:r>
      <w:r w:rsidRPr="0047412F">
        <w:rPr>
          <w:sz w:val="22"/>
          <w:szCs w:val="22"/>
        </w:rPr>
        <w:t>las actividades, compromisos de política y resultados del Programa de Apoyo a la Efectividad del Gasto Público III (BO-L1081).</w:t>
      </w:r>
    </w:p>
    <w:p w:rsidR="0047412F" w:rsidRPr="0047412F" w:rsidRDefault="0047412F" w:rsidP="0047412F">
      <w:pPr>
        <w:pStyle w:val="Title"/>
        <w:tabs>
          <w:tab w:val="clear" w:pos="1440"/>
          <w:tab w:val="clear" w:pos="3060"/>
        </w:tabs>
        <w:spacing w:before="120" w:after="120"/>
        <w:ind w:left="720"/>
        <w:jc w:val="both"/>
        <w:outlineLvl w:val="9"/>
        <w:rPr>
          <w:sz w:val="22"/>
          <w:szCs w:val="22"/>
        </w:rPr>
      </w:pPr>
      <w:r w:rsidRPr="0047412F">
        <w:rPr>
          <w:rFonts w:eastAsia="Arial Unicode MS"/>
          <w:bCs/>
          <w:sz w:val="22"/>
          <w:szCs w:val="22"/>
        </w:rPr>
        <w:t xml:space="preserve">El objetivo general del </w:t>
      </w:r>
      <w:r w:rsidR="00944E8E">
        <w:rPr>
          <w:rFonts w:eastAsia="Arial Unicode MS"/>
          <w:bCs/>
          <w:sz w:val="22"/>
          <w:szCs w:val="22"/>
        </w:rPr>
        <w:t>p</w:t>
      </w:r>
      <w:r w:rsidRPr="0047412F">
        <w:rPr>
          <w:rFonts w:eastAsia="Arial Unicode MS"/>
          <w:bCs/>
          <w:sz w:val="22"/>
          <w:szCs w:val="22"/>
        </w:rPr>
        <w:t>rograma es apoyar acciones de política para mejorar y consolidar mecanismos para la gestión eficaz, eficiente y transparente del gasto público basada en resultados</w:t>
      </w:r>
      <w:r w:rsidRPr="0047412F">
        <w:rPr>
          <w:b/>
          <w:sz w:val="22"/>
          <w:szCs w:val="22"/>
        </w:rPr>
        <w:t>.</w:t>
      </w:r>
      <w:r w:rsidRPr="0047412F">
        <w:rPr>
          <w:sz w:val="22"/>
          <w:szCs w:val="22"/>
        </w:rPr>
        <w:t xml:space="preserve"> El </w:t>
      </w:r>
      <w:r w:rsidRPr="0047412F">
        <w:rPr>
          <w:rFonts w:eastAsia="Arial Unicode MS"/>
          <w:bCs/>
          <w:sz w:val="22"/>
          <w:szCs w:val="22"/>
        </w:rPr>
        <w:t xml:space="preserve">objetivo específico es </w:t>
      </w:r>
      <w:r w:rsidRPr="0047412F">
        <w:rPr>
          <w:sz w:val="22"/>
          <w:szCs w:val="22"/>
        </w:rPr>
        <w:t>consolidar los resultados alcanzados en las primeras dos operaciones y alinear las acciones de política del programa a las nuevas prioridades de la gestión del gasto público y al nuevo contexto macro-fiscal.</w:t>
      </w:r>
    </w:p>
    <w:p w:rsidR="0047412F" w:rsidRPr="0047412F" w:rsidRDefault="0047412F" w:rsidP="0047412F">
      <w:pPr>
        <w:pStyle w:val="Title"/>
        <w:tabs>
          <w:tab w:val="clear" w:pos="1440"/>
          <w:tab w:val="clear" w:pos="3060"/>
        </w:tabs>
        <w:spacing w:before="120" w:after="120"/>
        <w:ind w:left="720"/>
        <w:jc w:val="both"/>
        <w:outlineLvl w:val="9"/>
        <w:rPr>
          <w:sz w:val="22"/>
          <w:szCs w:val="22"/>
        </w:rPr>
      </w:pPr>
      <w:r w:rsidRPr="0047412F">
        <w:rPr>
          <w:sz w:val="22"/>
          <w:szCs w:val="22"/>
        </w:rPr>
        <w:t>El programa propuesto es la tercera operación de una serie de tres préstamos programáticos de apoyo a reformas de política (</w:t>
      </w:r>
      <w:r w:rsidRPr="0047412F">
        <w:rPr>
          <w:i/>
          <w:sz w:val="22"/>
          <w:szCs w:val="22"/>
        </w:rPr>
        <w:t>Programmatic Policy Based Program</w:t>
      </w:r>
      <w:r w:rsidRPr="0047412F">
        <w:rPr>
          <w:sz w:val="22"/>
          <w:szCs w:val="22"/>
        </w:rPr>
        <w:t xml:space="preserve">-PBP) destinados a apoyar al Gobierno del Estado Plurinacional de Bolivia (GBO) en la implementación de un proceso de reformas para mejorar la efectividad del gasto público. El programa propone una financiación de US$106 millones con un único desembolso propuesto para 2013, una vez </w:t>
      </w:r>
      <w:r w:rsidR="004064E5">
        <w:rPr>
          <w:sz w:val="22"/>
          <w:szCs w:val="22"/>
        </w:rPr>
        <w:t xml:space="preserve">que se cumplan </w:t>
      </w:r>
      <w:r w:rsidRPr="0047412F">
        <w:rPr>
          <w:sz w:val="22"/>
          <w:szCs w:val="22"/>
        </w:rPr>
        <w:t xml:space="preserve">las metas acordadas en la Matriz de Políticas. </w:t>
      </w:r>
      <w:r w:rsidR="00CB1DA3">
        <w:rPr>
          <w:sz w:val="22"/>
          <w:szCs w:val="22"/>
        </w:rPr>
        <w:t>L</w:t>
      </w:r>
      <w:r w:rsidRPr="0047412F">
        <w:rPr>
          <w:sz w:val="22"/>
          <w:szCs w:val="22"/>
        </w:rPr>
        <w:t>a operación se complementa con un insumo operacional aprobado en diciembre de 2012.</w:t>
      </w:r>
    </w:p>
    <w:p w:rsidR="0047412F" w:rsidRPr="0047412F" w:rsidRDefault="0047412F" w:rsidP="0047412F">
      <w:pPr>
        <w:pStyle w:val="Title"/>
        <w:tabs>
          <w:tab w:val="clear" w:pos="1440"/>
          <w:tab w:val="clear" w:pos="3060"/>
        </w:tabs>
        <w:spacing w:before="120" w:after="120"/>
        <w:ind w:left="720"/>
        <w:jc w:val="both"/>
        <w:outlineLvl w:val="9"/>
        <w:rPr>
          <w:sz w:val="22"/>
          <w:szCs w:val="22"/>
        </w:rPr>
      </w:pPr>
      <w:r w:rsidRPr="0047412F">
        <w:rPr>
          <w:sz w:val="22"/>
          <w:szCs w:val="22"/>
        </w:rPr>
        <w:t xml:space="preserve">El </w:t>
      </w:r>
      <w:r w:rsidR="00944E8E">
        <w:rPr>
          <w:sz w:val="22"/>
          <w:szCs w:val="22"/>
        </w:rPr>
        <w:t xml:space="preserve">presente plan contempla </w:t>
      </w:r>
      <w:r w:rsidRPr="0047412F">
        <w:rPr>
          <w:sz w:val="22"/>
          <w:szCs w:val="22"/>
        </w:rPr>
        <w:t>dos actividades principales:</w:t>
      </w:r>
    </w:p>
    <w:p w:rsidR="0047412F" w:rsidRPr="0047412F" w:rsidRDefault="0047412F" w:rsidP="00CB1DA3">
      <w:pPr>
        <w:pStyle w:val="Paragraph"/>
        <w:widowControl w:val="0"/>
        <w:numPr>
          <w:ilvl w:val="0"/>
          <w:numId w:val="37"/>
        </w:numPr>
        <w:ind w:left="1701" w:hanging="450"/>
        <w:rPr>
          <w:sz w:val="22"/>
          <w:szCs w:val="22"/>
          <w:lang w:val="es-BO"/>
        </w:rPr>
      </w:pPr>
      <w:r w:rsidRPr="0047412F">
        <w:rPr>
          <w:sz w:val="22"/>
          <w:szCs w:val="22"/>
          <w:lang w:val="es-BO"/>
        </w:rPr>
        <w:t>Monitoreo de las actividades y compromisos de política, y</w:t>
      </w:r>
    </w:p>
    <w:p w:rsidR="0047412F" w:rsidRPr="0047412F" w:rsidRDefault="0047412F" w:rsidP="00CB1DA3">
      <w:pPr>
        <w:pStyle w:val="Paragraph"/>
        <w:widowControl w:val="0"/>
        <w:numPr>
          <w:ilvl w:val="0"/>
          <w:numId w:val="37"/>
        </w:numPr>
        <w:ind w:left="1701" w:hanging="450"/>
        <w:rPr>
          <w:sz w:val="22"/>
          <w:szCs w:val="22"/>
          <w:lang w:val="es-BO"/>
        </w:rPr>
      </w:pPr>
      <w:r w:rsidRPr="0047412F">
        <w:rPr>
          <w:sz w:val="22"/>
          <w:szCs w:val="22"/>
          <w:lang w:val="es-BO"/>
        </w:rPr>
        <w:t xml:space="preserve">Evaluación de los </w:t>
      </w:r>
      <w:r w:rsidR="00CB1DA3">
        <w:rPr>
          <w:sz w:val="22"/>
          <w:szCs w:val="22"/>
          <w:lang w:val="es-BO"/>
        </w:rPr>
        <w:t>r</w:t>
      </w:r>
      <w:r w:rsidRPr="0047412F">
        <w:rPr>
          <w:sz w:val="22"/>
          <w:szCs w:val="22"/>
          <w:lang w:val="es-BO"/>
        </w:rPr>
        <w:t xml:space="preserve">esultados e </w:t>
      </w:r>
      <w:r w:rsidR="00CB1DA3">
        <w:rPr>
          <w:sz w:val="22"/>
          <w:szCs w:val="22"/>
          <w:lang w:val="es-BO"/>
        </w:rPr>
        <w:t>i</w:t>
      </w:r>
      <w:r w:rsidRPr="0047412F">
        <w:rPr>
          <w:sz w:val="22"/>
          <w:szCs w:val="22"/>
          <w:lang w:val="es-BO"/>
        </w:rPr>
        <w:t xml:space="preserve">mpactos del </w:t>
      </w:r>
      <w:r w:rsidR="00CB1DA3">
        <w:rPr>
          <w:sz w:val="22"/>
          <w:szCs w:val="22"/>
          <w:lang w:val="es-BO"/>
        </w:rPr>
        <w:t>p</w:t>
      </w:r>
      <w:r w:rsidRPr="0047412F">
        <w:rPr>
          <w:sz w:val="22"/>
          <w:szCs w:val="22"/>
          <w:lang w:val="es-BO"/>
        </w:rPr>
        <w:t>rograma</w:t>
      </w:r>
    </w:p>
    <w:p w:rsidR="0047412F" w:rsidRPr="0047412F" w:rsidRDefault="0047412F" w:rsidP="0047412F">
      <w:pPr>
        <w:pStyle w:val="Title"/>
        <w:tabs>
          <w:tab w:val="clear" w:pos="1440"/>
          <w:tab w:val="clear" w:pos="3060"/>
        </w:tabs>
        <w:spacing w:before="120" w:after="120"/>
        <w:ind w:left="720"/>
        <w:jc w:val="both"/>
        <w:outlineLvl w:val="9"/>
        <w:rPr>
          <w:bCs/>
          <w:sz w:val="22"/>
          <w:szCs w:val="22"/>
        </w:rPr>
      </w:pPr>
      <w:r w:rsidRPr="0047412F">
        <w:rPr>
          <w:bCs/>
          <w:sz w:val="22"/>
          <w:szCs w:val="22"/>
        </w:rPr>
        <w:t xml:space="preserve">El Banco y el </w:t>
      </w:r>
      <w:r w:rsidR="00192BBB">
        <w:rPr>
          <w:bCs/>
          <w:sz w:val="22"/>
          <w:szCs w:val="22"/>
        </w:rPr>
        <w:t>GBO</w:t>
      </w:r>
      <w:r w:rsidRPr="0047412F">
        <w:rPr>
          <w:bCs/>
          <w:sz w:val="22"/>
          <w:szCs w:val="22"/>
        </w:rPr>
        <w:t xml:space="preserve"> acordaron utilizar la Matriz de Política y </w:t>
      </w:r>
      <w:r w:rsidR="004064E5">
        <w:rPr>
          <w:bCs/>
          <w:sz w:val="22"/>
          <w:szCs w:val="22"/>
        </w:rPr>
        <w:t>l</w:t>
      </w:r>
      <w:r w:rsidRPr="0047412F">
        <w:rPr>
          <w:bCs/>
          <w:sz w:val="22"/>
          <w:szCs w:val="22"/>
        </w:rPr>
        <w:t xml:space="preserve">a Matriz de Resultados como </w:t>
      </w:r>
      <w:r w:rsidR="00192BBB">
        <w:rPr>
          <w:bCs/>
          <w:sz w:val="22"/>
          <w:szCs w:val="22"/>
        </w:rPr>
        <w:t>herramientas para el seguimiento y evaluación de la o</w:t>
      </w:r>
      <w:r w:rsidRPr="0047412F">
        <w:rPr>
          <w:bCs/>
          <w:sz w:val="22"/>
          <w:szCs w:val="22"/>
        </w:rPr>
        <w:t>peración.</w:t>
      </w:r>
    </w:p>
    <w:p w:rsidR="0047412F" w:rsidRPr="0047412F" w:rsidRDefault="0047412F" w:rsidP="0047412F">
      <w:pPr>
        <w:pStyle w:val="FirstHeading"/>
        <w:keepNext w:val="0"/>
        <w:widowControl w:val="0"/>
        <w:ind w:hanging="630"/>
        <w:rPr>
          <w:sz w:val="22"/>
          <w:szCs w:val="22"/>
        </w:rPr>
      </w:pPr>
      <w:r w:rsidRPr="0047412F">
        <w:rPr>
          <w:sz w:val="22"/>
          <w:szCs w:val="22"/>
        </w:rPr>
        <w:tab/>
        <w:t xml:space="preserve">Monitoreo de las actividades y compromisos de política del </w:t>
      </w:r>
      <w:r w:rsidR="0073377D">
        <w:rPr>
          <w:sz w:val="22"/>
          <w:szCs w:val="22"/>
        </w:rPr>
        <w:t>p</w:t>
      </w:r>
      <w:r w:rsidRPr="0047412F">
        <w:rPr>
          <w:sz w:val="22"/>
          <w:szCs w:val="22"/>
        </w:rPr>
        <w:t>rograma</w:t>
      </w:r>
    </w:p>
    <w:p w:rsidR="0047412F" w:rsidRPr="0047412F" w:rsidRDefault="0047412F" w:rsidP="0047412F">
      <w:pPr>
        <w:pStyle w:val="Paragraph"/>
        <w:widowControl w:val="0"/>
        <w:numPr>
          <w:ilvl w:val="1"/>
          <w:numId w:val="38"/>
        </w:numPr>
        <w:ind w:left="720" w:hanging="720"/>
        <w:rPr>
          <w:b/>
          <w:spacing w:val="-3"/>
          <w:sz w:val="22"/>
          <w:szCs w:val="22"/>
        </w:rPr>
      </w:pPr>
      <w:r w:rsidRPr="0047412F">
        <w:rPr>
          <w:b/>
          <w:spacing w:val="-3"/>
          <w:sz w:val="22"/>
          <w:szCs w:val="22"/>
        </w:rPr>
        <w:t xml:space="preserve">Estructura del </w:t>
      </w:r>
      <w:r w:rsidR="0073377D">
        <w:rPr>
          <w:b/>
          <w:spacing w:val="-3"/>
          <w:sz w:val="22"/>
          <w:szCs w:val="22"/>
        </w:rPr>
        <w:t>m</w:t>
      </w:r>
      <w:r w:rsidRPr="0047412F">
        <w:rPr>
          <w:b/>
          <w:spacing w:val="-3"/>
          <w:sz w:val="22"/>
          <w:szCs w:val="22"/>
        </w:rPr>
        <w:t>onitoreo</w:t>
      </w:r>
    </w:p>
    <w:p w:rsidR="0047412F" w:rsidRPr="0047412F" w:rsidRDefault="0047412F" w:rsidP="0047412F">
      <w:pPr>
        <w:pStyle w:val="Paragraph"/>
        <w:widowControl w:val="0"/>
        <w:tabs>
          <w:tab w:val="clear" w:pos="1440"/>
        </w:tabs>
        <w:ind w:left="720" w:firstLine="0"/>
        <w:rPr>
          <w:rFonts w:eastAsia="Arial Unicode MS"/>
          <w:sz w:val="22"/>
          <w:szCs w:val="22"/>
          <w:lang w:val="es-BO"/>
        </w:rPr>
      </w:pPr>
      <w:r w:rsidRPr="0047412F">
        <w:rPr>
          <w:rFonts w:eastAsia="Arial Unicode MS"/>
          <w:sz w:val="22"/>
          <w:szCs w:val="22"/>
          <w:lang w:val="es-BO"/>
        </w:rPr>
        <w:t xml:space="preserve">El prestatario será el </w:t>
      </w:r>
      <w:r w:rsidRPr="0047412F">
        <w:rPr>
          <w:sz w:val="22"/>
          <w:szCs w:val="22"/>
          <w:lang w:val="es-BO"/>
        </w:rPr>
        <w:t>Estado Plurinacional de Bolivia</w:t>
      </w:r>
      <w:r w:rsidRPr="0047412F">
        <w:rPr>
          <w:rFonts w:eastAsia="Arial Unicode MS"/>
          <w:sz w:val="22"/>
          <w:szCs w:val="22"/>
          <w:lang w:val="es-BO"/>
        </w:rPr>
        <w:t xml:space="preserve">. La responsabilidad por el cumplimiento de las acciones consideradas en la Matriz de </w:t>
      </w:r>
      <w:r w:rsidRPr="0047412F">
        <w:rPr>
          <w:sz w:val="22"/>
          <w:szCs w:val="22"/>
          <w:lang w:val="es-BO"/>
        </w:rPr>
        <w:t>Políticas</w:t>
      </w:r>
      <w:r w:rsidRPr="0047412F">
        <w:rPr>
          <w:rFonts w:eastAsia="Arial Unicode MS"/>
          <w:sz w:val="22"/>
          <w:szCs w:val="22"/>
          <w:lang w:val="es-BO"/>
        </w:rPr>
        <w:t xml:space="preserve"> es del Ministerio de Economía y Finanzas Públicas (MEFP), </w:t>
      </w:r>
      <w:r w:rsidR="00C13FEB">
        <w:rPr>
          <w:rFonts w:eastAsia="Arial Unicode MS"/>
          <w:sz w:val="22"/>
          <w:szCs w:val="22"/>
          <w:lang w:val="es-BO"/>
        </w:rPr>
        <w:t>d</w:t>
      </w:r>
      <w:r w:rsidRPr="0047412F">
        <w:rPr>
          <w:rFonts w:eastAsia="Arial Unicode MS"/>
          <w:sz w:val="22"/>
          <w:szCs w:val="22"/>
          <w:lang w:val="es-BO"/>
        </w:rPr>
        <w:t xml:space="preserve">el Ministerio de Transparencia Institucional y Lucha Contra la Corrupción (MTILCC) y del Ministerio de Planificación de Desarrollo (MPD). </w:t>
      </w:r>
      <w:r w:rsidR="0073377D">
        <w:rPr>
          <w:rFonts w:eastAsia="Arial Unicode MS"/>
          <w:sz w:val="22"/>
          <w:szCs w:val="22"/>
          <w:lang w:val="es-BO"/>
        </w:rPr>
        <w:t xml:space="preserve">El MEFP, a través del Viceministerio de Presupuesto y Contabilidad Fiscal (VPCF), </w:t>
      </w:r>
      <w:r w:rsidRPr="0047412F">
        <w:rPr>
          <w:rFonts w:eastAsia="Arial Unicode MS"/>
          <w:sz w:val="22"/>
          <w:szCs w:val="22"/>
          <w:lang w:val="es-BO"/>
        </w:rPr>
        <w:t xml:space="preserve">será responsable de: </w:t>
      </w:r>
      <w:r w:rsidR="00EF1400">
        <w:rPr>
          <w:rFonts w:eastAsia="Arial Unicode MS"/>
          <w:sz w:val="22"/>
          <w:szCs w:val="22"/>
          <w:lang w:val="es-BO"/>
        </w:rPr>
        <w:t>(</w:t>
      </w:r>
      <w:r w:rsidRPr="0047412F">
        <w:rPr>
          <w:rFonts w:eastAsia="Arial Unicode MS"/>
          <w:sz w:val="22"/>
          <w:szCs w:val="22"/>
          <w:lang w:val="es-BO"/>
        </w:rPr>
        <w:t>i) realizar la coordinación con la</w:t>
      </w:r>
      <w:r w:rsidR="00BA0857">
        <w:rPr>
          <w:rFonts w:eastAsia="Arial Unicode MS"/>
          <w:sz w:val="22"/>
          <w:szCs w:val="22"/>
          <w:lang w:val="es-BO"/>
        </w:rPr>
        <w:t>s</w:t>
      </w:r>
      <w:r w:rsidRPr="0047412F">
        <w:rPr>
          <w:rFonts w:eastAsia="Arial Unicode MS"/>
          <w:sz w:val="22"/>
          <w:szCs w:val="22"/>
          <w:lang w:val="es-BO"/>
        </w:rPr>
        <w:t xml:space="preserve"> entidades involucradas en la operación, las cuales tienen a su cargo la adopción de medidas y la ejecución técnica de las actividades de todos los componentes; </w:t>
      </w:r>
      <w:r w:rsidR="00EF1400">
        <w:rPr>
          <w:rFonts w:eastAsia="Arial Unicode MS"/>
          <w:sz w:val="22"/>
          <w:szCs w:val="22"/>
          <w:lang w:val="es-BO"/>
        </w:rPr>
        <w:t>(</w:t>
      </w:r>
      <w:r w:rsidRPr="0047412F">
        <w:rPr>
          <w:rFonts w:eastAsia="Arial Unicode MS"/>
          <w:sz w:val="22"/>
          <w:szCs w:val="22"/>
          <w:lang w:val="es-BO"/>
        </w:rPr>
        <w:t xml:space="preserve">ii) efectuar el seguimiento e impulsar acciones para el logro de los objetivos de política definidos en el </w:t>
      </w:r>
      <w:r w:rsidR="00BA0857">
        <w:rPr>
          <w:rFonts w:eastAsia="Arial Unicode MS"/>
          <w:sz w:val="22"/>
          <w:szCs w:val="22"/>
          <w:lang w:val="es-BO"/>
        </w:rPr>
        <w:t>p</w:t>
      </w:r>
      <w:r w:rsidRPr="0047412F">
        <w:rPr>
          <w:rFonts w:eastAsia="Arial Unicode MS"/>
          <w:sz w:val="22"/>
          <w:szCs w:val="22"/>
          <w:lang w:val="es-BO"/>
        </w:rPr>
        <w:t xml:space="preserve">rograma y </w:t>
      </w:r>
      <w:r w:rsidR="00EF1400">
        <w:rPr>
          <w:rFonts w:eastAsia="Arial Unicode MS"/>
          <w:sz w:val="22"/>
          <w:szCs w:val="22"/>
          <w:lang w:val="es-BO"/>
        </w:rPr>
        <w:t>(</w:t>
      </w:r>
      <w:r w:rsidRPr="0047412F">
        <w:rPr>
          <w:rFonts w:eastAsia="Arial Unicode MS"/>
          <w:sz w:val="22"/>
          <w:szCs w:val="22"/>
          <w:lang w:val="es-BO"/>
        </w:rPr>
        <w:t>iii) elaborar y presentar los informes y las evidencias del cumplimiento de las condiciones de desembolso de los recursos del financiamiento de la operación, así como los demás informes que el Banco pueda requerir, en los plazos establecidos y acordados.</w:t>
      </w:r>
    </w:p>
    <w:p w:rsidR="0047412F" w:rsidRDefault="0047412F" w:rsidP="0047412F">
      <w:pPr>
        <w:pStyle w:val="Paragraph"/>
        <w:widowControl w:val="0"/>
        <w:tabs>
          <w:tab w:val="clear" w:pos="1440"/>
        </w:tabs>
        <w:ind w:left="720" w:firstLine="0"/>
        <w:rPr>
          <w:sz w:val="22"/>
          <w:szCs w:val="22"/>
          <w:lang w:val="es-BO"/>
        </w:rPr>
      </w:pPr>
      <w:r w:rsidRPr="0047412F">
        <w:rPr>
          <w:sz w:val="22"/>
          <w:szCs w:val="22"/>
          <w:lang w:val="es-BO"/>
        </w:rPr>
        <w:t>Por el lado del Banco</w:t>
      </w:r>
      <w:r w:rsidR="00BA0857">
        <w:rPr>
          <w:sz w:val="22"/>
          <w:szCs w:val="22"/>
          <w:lang w:val="es-BO"/>
        </w:rPr>
        <w:t>,</w:t>
      </w:r>
      <w:r w:rsidRPr="0047412F">
        <w:rPr>
          <w:sz w:val="22"/>
          <w:szCs w:val="22"/>
          <w:lang w:val="es-BO"/>
        </w:rPr>
        <w:t xml:space="preserve"> la responsabilidad de la supervisión técnica del </w:t>
      </w:r>
      <w:r w:rsidR="00BA0857">
        <w:rPr>
          <w:sz w:val="22"/>
          <w:szCs w:val="22"/>
          <w:lang w:val="es-BO"/>
        </w:rPr>
        <w:t>p</w:t>
      </w:r>
      <w:r w:rsidRPr="0047412F">
        <w:rPr>
          <w:sz w:val="22"/>
          <w:szCs w:val="22"/>
          <w:lang w:val="es-BO"/>
        </w:rPr>
        <w:t xml:space="preserve">rograma será </w:t>
      </w:r>
      <w:r w:rsidR="00BA0857">
        <w:rPr>
          <w:sz w:val="22"/>
          <w:szCs w:val="22"/>
          <w:lang w:val="es-BO"/>
        </w:rPr>
        <w:t xml:space="preserve">de </w:t>
      </w:r>
      <w:r w:rsidRPr="0047412F">
        <w:rPr>
          <w:sz w:val="22"/>
          <w:szCs w:val="22"/>
          <w:lang w:val="es-BO"/>
        </w:rPr>
        <w:t>la División de Gestión Fiscal y Municipal (</w:t>
      </w:r>
      <w:r w:rsidR="00192BBB">
        <w:rPr>
          <w:sz w:val="22"/>
          <w:szCs w:val="22"/>
          <w:lang w:val="es-BO"/>
        </w:rPr>
        <w:t>FMM</w:t>
      </w:r>
      <w:r w:rsidRPr="0047412F">
        <w:rPr>
          <w:sz w:val="22"/>
          <w:szCs w:val="22"/>
          <w:lang w:val="es-BO"/>
        </w:rPr>
        <w:t>/CBO).</w:t>
      </w:r>
    </w:p>
    <w:p w:rsidR="0047412F" w:rsidRPr="0047412F" w:rsidRDefault="0047412F" w:rsidP="0047412F">
      <w:pPr>
        <w:pStyle w:val="Paragraph"/>
        <w:widowControl w:val="0"/>
        <w:numPr>
          <w:ilvl w:val="1"/>
          <w:numId w:val="38"/>
        </w:numPr>
        <w:ind w:left="720" w:hanging="720"/>
        <w:rPr>
          <w:b/>
          <w:spacing w:val="-3"/>
          <w:sz w:val="22"/>
          <w:szCs w:val="22"/>
          <w:lang w:val="es-BO"/>
        </w:rPr>
      </w:pPr>
      <w:r w:rsidRPr="0047412F">
        <w:rPr>
          <w:b/>
          <w:spacing w:val="-3"/>
          <w:sz w:val="22"/>
          <w:szCs w:val="22"/>
          <w:lang w:val="es-BO"/>
        </w:rPr>
        <w:t xml:space="preserve">Indicadores y </w:t>
      </w:r>
      <w:r w:rsidR="000B186A">
        <w:rPr>
          <w:b/>
          <w:spacing w:val="-3"/>
          <w:sz w:val="22"/>
          <w:szCs w:val="22"/>
          <w:lang w:val="es-BO"/>
        </w:rPr>
        <w:t>medios para el monitoreo</w:t>
      </w:r>
    </w:p>
    <w:p w:rsidR="0047412F" w:rsidRPr="0047412F" w:rsidRDefault="0047412F" w:rsidP="0047412F">
      <w:pPr>
        <w:pStyle w:val="Paragraph"/>
        <w:widowControl w:val="0"/>
        <w:tabs>
          <w:tab w:val="clear" w:pos="1440"/>
        </w:tabs>
        <w:ind w:left="720" w:firstLine="0"/>
        <w:rPr>
          <w:b/>
          <w:spacing w:val="-3"/>
          <w:sz w:val="22"/>
          <w:szCs w:val="22"/>
          <w:lang w:val="es-BO"/>
        </w:rPr>
      </w:pPr>
      <w:r w:rsidRPr="0047412F">
        <w:rPr>
          <w:sz w:val="22"/>
          <w:szCs w:val="22"/>
          <w:lang w:val="es-BO"/>
        </w:rPr>
        <w:lastRenderedPageBreak/>
        <w:t xml:space="preserve">Para el monitoreo de la ejecución del </w:t>
      </w:r>
      <w:r w:rsidR="002949F4">
        <w:rPr>
          <w:sz w:val="22"/>
          <w:szCs w:val="22"/>
          <w:lang w:val="es-BO"/>
        </w:rPr>
        <w:t>p</w:t>
      </w:r>
      <w:r w:rsidRPr="0047412F">
        <w:rPr>
          <w:sz w:val="22"/>
          <w:szCs w:val="22"/>
          <w:lang w:val="es-BO"/>
        </w:rPr>
        <w:t>rograma se tomarán en consideración los compromisos de política y los medios de verificación e indicadores acordados con el G</w:t>
      </w:r>
      <w:r w:rsidR="002949F4">
        <w:rPr>
          <w:sz w:val="22"/>
          <w:szCs w:val="22"/>
          <w:lang w:val="es-BO"/>
        </w:rPr>
        <w:t>BO</w:t>
      </w:r>
      <w:r w:rsidR="004064E5">
        <w:rPr>
          <w:sz w:val="22"/>
          <w:szCs w:val="22"/>
          <w:lang w:val="es-BO"/>
        </w:rPr>
        <w:t>. Se realizarán</w:t>
      </w:r>
      <w:r w:rsidRPr="0047412F">
        <w:rPr>
          <w:sz w:val="22"/>
          <w:szCs w:val="22"/>
          <w:lang w:val="es-BO"/>
        </w:rPr>
        <w:t xml:space="preserve"> reuniones </w:t>
      </w:r>
      <w:r w:rsidR="002949F4">
        <w:rPr>
          <w:sz w:val="22"/>
          <w:szCs w:val="22"/>
          <w:lang w:val="es-BO"/>
        </w:rPr>
        <w:t xml:space="preserve">de seguimiento </w:t>
      </w:r>
      <w:r w:rsidR="00703794">
        <w:rPr>
          <w:sz w:val="22"/>
          <w:szCs w:val="22"/>
          <w:lang w:val="es-BO"/>
        </w:rPr>
        <w:t>quincenal</w:t>
      </w:r>
      <w:r w:rsidR="002949F4">
        <w:rPr>
          <w:sz w:val="22"/>
          <w:szCs w:val="22"/>
          <w:lang w:val="es-BO"/>
        </w:rPr>
        <w:t xml:space="preserve"> o de una periodicidad mayor </w:t>
      </w:r>
      <w:r w:rsidRPr="0047412F">
        <w:rPr>
          <w:sz w:val="22"/>
          <w:szCs w:val="22"/>
          <w:lang w:val="es-BO"/>
        </w:rPr>
        <w:t xml:space="preserve">en caso </w:t>
      </w:r>
      <w:r w:rsidR="00703794">
        <w:rPr>
          <w:sz w:val="22"/>
          <w:szCs w:val="22"/>
          <w:lang w:val="es-BO"/>
        </w:rPr>
        <w:t>de necesidad</w:t>
      </w:r>
      <w:r w:rsidRPr="0047412F">
        <w:rPr>
          <w:sz w:val="22"/>
          <w:szCs w:val="22"/>
          <w:lang w:val="es-BO"/>
        </w:rPr>
        <w:t xml:space="preserve">, entre el Banco y los </w:t>
      </w:r>
      <w:r w:rsidR="00703794">
        <w:rPr>
          <w:sz w:val="22"/>
          <w:szCs w:val="22"/>
          <w:lang w:val="es-BO"/>
        </w:rPr>
        <w:t>m</w:t>
      </w:r>
      <w:r w:rsidRPr="0047412F">
        <w:rPr>
          <w:sz w:val="22"/>
          <w:szCs w:val="22"/>
          <w:lang w:val="es-BO"/>
        </w:rPr>
        <w:t>inisterios antes mencionados</w:t>
      </w:r>
      <w:r w:rsidR="004064E5">
        <w:rPr>
          <w:sz w:val="22"/>
          <w:szCs w:val="22"/>
          <w:lang w:val="es-BO"/>
        </w:rPr>
        <w:t>,</w:t>
      </w:r>
      <w:r w:rsidRPr="0047412F">
        <w:rPr>
          <w:sz w:val="22"/>
          <w:szCs w:val="22"/>
          <w:lang w:val="es-BO"/>
        </w:rPr>
        <w:t xml:space="preserve"> para monitorear el avance en el cumplimiento de los compromisos de política acordados.</w:t>
      </w:r>
    </w:p>
    <w:p w:rsidR="0047412F" w:rsidRPr="0047412F" w:rsidRDefault="0047412F" w:rsidP="0047412F">
      <w:pPr>
        <w:pStyle w:val="Paragraph"/>
        <w:widowControl w:val="0"/>
        <w:tabs>
          <w:tab w:val="clear" w:pos="1440"/>
        </w:tabs>
        <w:ind w:left="720" w:firstLine="0"/>
        <w:rPr>
          <w:sz w:val="22"/>
          <w:szCs w:val="22"/>
          <w:lang w:val="es-BO"/>
        </w:rPr>
      </w:pPr>
      <w:r w:rsidRPr="0047412F">
        <w:rPr>
          <w:sz w:val="22"/>
          <w:szCs w:val="22"/>
          <w:lang w:val="es-BO"/>
        </w:rPr>
        <w:t>El monitoreo de las metas incluidas en la Matriz de Política será realizad</w:t>
      </w:r>
      <w:r w:rsidR="000B186A">
        <w:rPr>
          <w:sz w:val="22"/>
          <w:szCs w:val="22"/>
          <w:lang w:val="es-BO"/>
        </w:rPr>
        <w:t>o</w:t>
      </w:r>
      <w:r w:rsidRPr="0047412F">
        <w:rPr>
          <w:sz w:val="22"/>
          <w:szCs w:val="22"/>
          <w:lang w:val="es-BO"/>
        </w:rPr>
        <w:t xml:space="preserve"> por el equipo de </w:t>
      </w:r>
      <w:r w:rsidR="00703794">
        <w:rPr>
          <w:sz w:val="22"/>
          <w:szCs w:val="22"/>
          <w:lang w:val="es-BO"/>
        </w:rPr>
        <w:t>p</w:t>
      </w:r>
      <w:r w:rsidRPr="0047412F">
        <w:rPr>
          <w:sz w:val="22"/>
          <w:szCs w:val="22"/>
          <w:lang w:val="es-BO"/>
        </w:rPr>
        <w:t>royecto con el apoyo de un consultor  y</w:t>
      </w:r>
      <w:r w:rsidR="0051240D">
        <w:rPr>
          <w:sz w:val="22"/>
          <w:szCs w:val="22"/>
          <w:lang w:val="es-BO"/>
        </w:rPr>
        <w:t xml:space="preserve"> con base en</w:t>
      </w:r>
      <w:r w:rsidRPr="0047412F">
        <w:rPr>
          <w:sz w:val="22"/>
          <w:szCs w:val="22"/>
          <w:lang w:val="es-BO"/>
        </w:rPr>
        <w:t xml:space="preserve"> insumos prov</w:t>
      </w:r>
      <w:r w:rsidR="00703794">
        <w:rPr>
          <w:sz w:val="22"/>
          <w:szCs w:val="22"/>
          <w:lang w:val="es-BO"/>
        </w:rPr>
        <w:t>istos</w:t>
      </w:r>
      <w:r w:rsidRPr="0047412F">
        <w:rPr>
          <w:sz w:val="22"/>
          <w:szCs w:val="22"/>
          <w:lang w:val="es-BO"/>
        </w:rPr>
        <w:t xml:space="preserve"> por el MEFP, MPD y MTILCC. Los medios </w:t>
      </w:r>
      <w:r w:rsidR="0051240D">
        <w:rPr>
          <w:sz w:val="22"/>
          <w:szCs w:val="22"/>
          <w:lang w:val="es-BO"/>
        </w:rPr>
        <w:t>establecidos en la Matriz de Medios de Verificación</w:t>
      </w:r>
      <w:r w:rsidRPr="0047412F">
        <w:rPr>
          <w:sz w:val="22"/>
          <w:szCs w:val="22"/>
          <w:lang w:val="es-BO"/>
        </w:rPr>
        <w:t xml:space="preserve"> serán la fuente de información que determinará el cumplimiento de las metas de política. </w:t>
      </w:r>
      <w:r w:rsidR="00A266B9">
        <w:rPr>
          <w:sz w:val="22"/>
          <w:szCs w:val="22"/>
          <w:lang w:val="es-BO"/>
        </w:rPr>
        <w:t xml:space="preserve">El seguimiento </w:t>
      </w:r>
      <w:r w:rsidRPr="0047412F">
        <w:rPr>
          <w:sz w:val="22"/>
          <w:szCs w:val="22"/>
          <w:lang w:val="es-BO"/>
        </w:rPr>
        <w:t xml:space="preserve">del equipo de proyecto </w:t>
      </w:r>
      <w:r w:rsidR="00A266B9">
        <w:rPr>
          <w:sz w:val="22"/>
          <w:szCs w:val="22"/>
          <w:lang w:val="es-BO"/>
        </w:rPr>
        <w:t>a</w:t>
      </w:r>
      <w:r w:rsidRPr="0047412F">
        <w:rPr>
          <w:sz w:val="22"/>
          <w:szCs w:val="22"/>
          <w:lang w:val="es-BO"/>
        </w:rPr>
        <w:t xml:space="preserve">l cumplimiento de las acciones previstas para el desembolso tendrá inicio luego de la aprobación de la operación en el Directorio del Banco, con el objetivo de elaborar el </w:t>
      </w:r>
      <w:r w:rsidR="00A266B9">
        <w:rPr>
          <w:sz w:val="22"/>
          <w:szCs w:val="22"/>
          <w:lang w:val="es-BO"/>
        </w:rPr>
        <w:t xml:space="preserve">correspondiente </w:t>
      </w:r>
      <w:r w:rsidRPr="0047412F">
        <w:rPr>
          <w:sz w:val="22"/>
          <w:szCs w:val="22"/>
          <w:lang w:val="es-BO"/>
        </w:rPr>
        <w:t xml:space="preserve">Memorando de Desembolso. Asimismo, se contratará un consultor para apoyar al MEFP y al Banco en el seguimiento del avance de las tareas necesarias para el cumplimiento de las acciones de política </w:t>
      </w:r>
      <w:r w:rsidR="00A266B9">
        <w:rPr>
          <w:sz w:val="22"/>
          <w:szCs w:val="22"/>
          <w:lang w:val="es-BO"/>
        </w:rPr>
        <w:t xml:space="preserve">acordadas para la </w:t>
      </w:r>
      <w:r w:rsidRPr="0047412F">
        <w:rPr>
          <w:sz w:val="22"/>
          <w:szCs w:val="22"/>
          <w:lang w:val="es-BO"/>
        </w:rPr>
        <w:t>operación</w:t>
      </w:r>
      <w:r w:rsidRPr="009672BA">
        <w:rPr>
          <w:sz w:val="22"/>
          <w:szCs w:val="22"/>
          <w:lang w:val="es-BO"/>
        </w:rPr>
        <w:t>.</w:t>
      </w:r>
      <w:r w:rsidR="00223F4F" w:rsidRPr="009672BA">
        <w:rPr>
          <w:sz w:val="22"/>
          <w:szCs w:val="22"/>
          <w:lang w:val="es-BO"/>
        </w:rPr>
        <w:t xml:space="preserve"> En el cuadro 1 se detalla el plan de trabajo para el monitoreo de los indicadores de la matriz de políticas</w:t>
      </w:r>
      <w:r w:rsidR="009672BA">
        <w:rPr>
          <w:sz w:val="22"/>
          <w:szCs w:val="22"/>
          <w:lang w:val="es-BO"/>
        </w:rPr>
        <w:t>.</w:t>
      </w:r>
    </w:p>
    <w:p w:rsidR="0047412F" w:rsidRPr="0047412F" w:rsidRDefault="0047412F" w:rsidP="0047412F">
      <w:pPr>
        <w:autoSpaceDE w:val="0"/>
        <w:autoSpaceDN w:val="0"/>
        <w:adjustRightInd w:val="0"/>
        <w:ind w:left="720"/>
        <w:jc w:val="both"/>
        <w:rPr>
          <w:sz w:val="22"/>
          <w:szCs w:val="22"/>
          <w:lang w:val="es-BO" w:eastAsia="x-none"/>
        </w:rPr>
      </w:pPr>
      <w:r w:rsidRPr="0047412F">
        <w:rPr>
          <w:sz w:val="22"/>
          <w:szCs w:val="22"/>
          <w:lang w:val="es-BO" w:eastAsia="x-none"/>
        </w:rPr>
        <w:t>La consultoría mencionada</w:t>
      </w:r>
      <w:r w:rsidR="009E0CAB">
        <w:rPr>
          <w:sz w:val="22"/>
          <w:szCs w:val="22"/>
          <w:lang w:val="es-BO" w:eastAsia="x-none"/>
        </w:rPr>
        <w:t>, cuyos términos de referencia se presentan al final del documento,</w:t>
      </w:r>
      <w:r w:rsidR="005401BC">
        <w:rPr>
          <w:sz w:val="22"/>
          <w:szCs w:val="22"/>
          <w:lang w:val="es-BO" w:eastAsia="x-none"/>
        </w:rPr>
        <w:t xml:space="preserve"> </w:t>
      </w:r>
      <w:r w:rsidRPr="0047412F">
        <w:rPr>
          <w:sz w:val="22"/>
          <w:szCs w:val="22"/>
          <w:lang w:val="es-BO" w:eastAsia="x-none"/>
        </w:rPr>
        <w:t xml:space="preserve">será financiada con recursos de la Cooperación </w:t>
      </w:r>
      <w:r w:rsidR="00AD0A37">
        <w:rPr>
          <w:sz w:val="22"/>
          <w:szCs w:val="22"/>
          <w:lang w:val="es-BO" w:eastAsia="x-none"/>
        </w:rPr>
        <w:t>T</w:t>
      </w:r>
      <w:r w:rsidRPr="0047412F">
        <w:rPr>
          <w:sz w:val="22"/>
          <w:szCs w:val="22"/>
          <w:lang w:val="es-BO" w:eastAsia="x-none"/>
        </w:rPr>
        <w:t xml:space="preserve">écnica ATN/OC-13586-BO (BO-T1170), la cual </w:t>
      </w:r>
      <w:r w:rsidRPr="0047412F">
        <w:rPr>
          <w:sz w:val="22"/>
          <w:szCs w:val="22"/>
          <w:lang w:val="es-ES" w:eastAsia="x-none"/>
        </w:rPr>
        <w:t>tiene la finalidad de apoyar a una adecuada preparación y puesta en marcha</w:t>
      </w:r>
      <w:r w:rsidRPr="0047412F">
        <w:rPr>
          <w:sz w:val="22"/>
          <w:szCs w:val="22"/>
          <w:lang w:val="es-BO" w:eastAsia="x-none"/>
        </w:rPr>
        <w:t xml:space="preserve"> </w:t>
      </w:r>
      <w:r w:rsidRPr="0047412F">
        <w:rPr>
          <w:sz w:val="22"/>
          <w:szCs w:val="22"/>
          <w:lang w:val="es-BO"/>
        </w:rPr>
        <w:t>del Programa BO-L1081</w:t>
      </w:r>
      <w:r w:rsidR="00223F4F" w:rsidRPr="009672BA">
        <w:rPr>
          <w:sz w:val="22"/>
          <w:szCs w:val="22"/>
          <w:lang w:val="es-BO"/>
        </w:rPr>
        <w:t>.</w:t>
      </w:r>
    </w:p>
    <w:p w:rsidR="0047412F" w:rsidRPr="0047412F" w:rsidRDefault="0047412F" w:rsidP="0047412F">
      <w:pPr>
        <w:pStyle w:val="Paragraph"/>
        <w:widowControl w:val="0"/>
        <w:numPr>
          <w:ilvl w:val="1"/>
          <w:numId w:val="38"/>
        </w:numPr>
        <w:ind w:left="720" w:hanging="720"/>
        <w:rPr>
          <w:b/>
          <w:spacing w:val="-3"/>
          <w:sz w:val="22"/>
          <w:szCs w:val="22"/>
          <w:lang w:val="es-BO"/>
        </w:rPr>
      </w:pPr>
      <w:r w:rsidRPr="0047412F">
        <w:rPr>
          <w:b/>
          <w:sz w:val="22"/>
          <w:szCs w:val="22"/>
          <w:lang w:val="es-BO"/>
        </w:rPr>
        <w:t xml:space="preserve">Colección de </w:t>
      </w:r>
      <w:r w:rsidR="00AD0A37">
        <w:rPr>
          <w:b/>
          <w:sz w:val="22"/>
          <w:szCs w:val="22"/>
          <w:lang w:val="es-BO"/>
        </w:rPr>
        <w:t>d</w:t>
      </w:r>
      <w:r w:rsidRPr="0047412F">
        <w:rPr>
          <w:b/>
          <w:sz w:val="22"/>
          <w:szCs w:val="22"/>
          <w:lang w:val="es-BO"/>
        </w:rPr>
        <w:t xml:space="preserve">atos y </w:t>
      </w:r>
      <w:r w:rsidR="00AD0A37">
        <w:rPr>
          <w:b/>
          <w:sz w:val="22"/>
          <w:szCs w:val="22"/>
          <w:lang w:val="es-BO"/>
        </w:rPr>
        <w:t>r</w:t>
      </w:r>
      <w:r w:rsidRPr="0047412F">
        <w:rPr>
          <w:b/>
          <w:sz w:val="22"/>
          <w:szCs w:val="22"/>
          <w:lang w:val="es-BO"/>
        </w:rPr>
        <w:t xml:space="preserve">euniones </w:t>
      </w:r>
      <w:r w:rsidR="00AD0A37">
        <w:rPr>
          <w:b/>
          <w:sz w:val="22"/>
          <w:szCs w:val="22"/>
          <w:lang w:val="es-BO"/>
        </w:rPr>
        <w:t>quincenales</w:t>
      </w:r>
    </w:p>
    <w:p w:rsidR="0047412F" w:rsidRPr="0047412F" w:rsidRDefault="00EF1400" w:rsidP="0047412F">
      <w:pPr>
        <w:pStyle w:val="Paragraph"/>
        <w:widowControl w:val="0"/>
        <w:tabs>
          <w:tab w:val="clear" w:pos="1440"/>
        </w:tabs>
        <w:spacing w:after="0"/>
        <w:ind w:left="720" w:firstLine="0"/>
        <w:rPr>
          <w:sz w:val="22"/>
          <w:szCs w:val="22"/>
          <w:lang w:val="es-BO"/>
        </w:rPr>
      </w:pPr>
      <w:r>
        <w:rPr>
          <w:sz w:val="22"/>
          <w:szCs w:val="22"/>
          <w:lang w:val="es-BO"/>
        </w:rPr>
        <w:t xml:space="preserve">Reuniones quincenales de monitoreo. </w:t>
      </w:r>
      <w:r w:rsidR="0047412F" w:rsidRPr="0047412F">
        <w:rPr>
          <w:sz w:val="22"/>
          <w:szCs w:val="22"/>
          <w:lang w:val="es-BO"/>
        </w:rPr>
        <w:t xml:space="preserve">El </w:t>
      </w:r>
      <w:r w:rsidR="00A30CCE">
        <w:rPr>
          <w:sz w:val="22"/>
          <w:szCs w:val="22"/>
          <w:lang w:val="es-BO"/>
        </w:rPr>
        <w:t>VPCF</w:t>
      </w:r>
      <w:r w:rsidR="0047412F" w:rsidRPr="0047412F">
        <w:rPr>
          <w:sz w:val="22"/>
          <w:szCs w:val="22"/>
          <w:lang w:val="es-BO"/>
        </w:rPr>
        <w:t xml:space="preserve"> enviará al equipo de </w:t>
      </w:r>
      <w:r w:rsidR="00A30CCE">
        <w:rPr>
          <w:sz w:val="22"/>
          <w:szCs w:val="22"/>
          <w:lang w:val="es-BO"/>
        </w:rPr>
        <w:t>p</w:t>
      </w:r>
      <w:r w:rsidR="0047412F" w:rsidRPr="0047412F">
        <w:rPr>
          <w:sz w:val="22"/>
          <w:szCs w:val="22"/>
          <w:lang w:val="es-BO"/>
        </w:rPr>
        <w:t xml:space="preserve">royecto </w:t>
      </w:r>
      <w:r w:rsidR="00A30CCE" w:rsidRPr="0047412F">
        <w:rPr>
          <w:sz w:val="22"/>
          <w:szCs w:val="22"/>
          <w:lang w:val="es-BO"/>
        </w:rPr>
        <w:t>una actualización de la Matriz de Políticas</w:t>
      </w:r>
      <w:r w:rsidR="00A30CCE">
        <w:rPr>
          <w:sz w:val="22"/>
          <w:szCs w:val="22"/>
          <w:lang w:val="es-BO"/>
        </w:rPr>
        <w:t xml:space="preserve"> y de su cumplimiento, guiado por la Matriz de </w:t>
      </w:r>
      <w:r w:rsidR="00A30CCE" w:rsidRPr="0047412F">
        <w:rPr>
          <w:sz w:val="22"/>
          <w:szCs w:val="22"/>
          <w:lang w:val="es-BO"/>
        </w:rPr>
        <w:t>Medios de Verificación</w:t>
      </w:r>
      <w:r w:rsidR="00A30CCE">
        <w:rPr>
          <w:sz w:val="22"/>
          <w:szCs w:val="22"/>
          <w:lang w:val="es-BO"/>
        </w:rPr>
        <w:t>, como insumo necesario</w:t>
      </w:r>
      <w:r w:rsidR="00A30CCE" w:rsidRPr="0047412F">
        <w:rPr>
          <w:sz w:val="22"/>
          <w:szCs w:val="22"/>
          <w:lang w:val="es-BO"/>
        </w:rPr>
        <w:t xml:space="preserve"> </w:t>
      </w:r>
      <w:r w:rsidR="0047412F" w:rsidRPr="0047412F">
        <w:rPr>
          <w:sz w:val="22"/>
          <w:szCs w:val="22"/>
          <w:lang w:val="es-BO"/>
        </w:rPr>
        <w:t xml:space="preserve">para las reuniones </w:t>
      </w:r>
      <w:r w:rsidR="00A30CCE">
        <w:rPr>
          <w:sz w:val="22"/>
          <w:szCs w:val="22"/>
          <w:lang w:val="es-BO"/>
        </w:rPr>
        <w:t>quincenales de monitoreo. Esta información deberá incluir</w:t>
      </w:r>
      <w:r w:rsidR="0047412F" w:rsidRPr="0047412F">
        <w:rPr>
          <w:sz w:val="22"/>
          <w:szCs w:val="22"/>
          <w:lang w:val="es-BO"/>
        </w:rPr>
        <w:t xml:space="preserve"> una descripción detallada de las actividades realizadas para lograr el cumplimiento de l</w:t>
      </w:r>
      <w:r w:rsidR="00F24B5D">
        <w:rPr>
          <w:sz w:val="22"/>
          <w:szCs w:val="22"/>
          <w:lang w:val="es-BO"/>
        </w:rPr>
        <w:t>as acciones de política</w:t>
      </w:r>
      <w:r w:rsidR="0047412F" w:rsidRPr="0047412F">
        <w:rPr>
          <w:sz w:val="22"/>
          <w:szCs w:val="22"/>
          <w:lang w:val="es-BO"/>
        </w:rPr>
        <w:t xml:space="preserve">, las evidencias correspondientes y las actividades pendientes, además de las fechas actualizadas para el cumplimiento final de cada compromiso de política. La colección de datos será coordinada y </w:t>
      </w:r>
      <w:r w:rsidR="00E90BC0">
        <w:rPr>
          <w:sz w:val="22"/>
          <w:szCs w:val="22"/>
          <w:lang w:val="es-BO"/>
        </w:rPr>
        <w:t>realizada por el V</w:t>
      </w:r>
      <w:r>
        <w:rPr>
          <w:sz w:val="22"/>
          <w:szCs w:val="22"/>
          <w:lang w:val="es-BO"/>
        </w:rPr>
        <w:t>P</w:t>
      </w:r>
      <w:r w:rsidR="00E90BC0">
        <w:rPr>
          <w:sz w:val="22"/>
          <w:szCs w:val="22"/>
          <w:lang w:val="es-BO"/>
        </w:rPr>
        <w:t>CF, que ademá</w:t>
      </w:r>
      <w:r w:rsidR="009B7749">
        <w:rPr>
          <w:sz w:val="22"/>
          <w:szCs w:val="22"/>
          <w:lang w:val="es-BO"/>
        </w:rPr>
        <w:t>s</w:t>
      </w:r>
      <w:r w:rsidR="00E90BC0">
        <w:rPr>
          <w:sz w:val="22"/>
          <w:szCs w:val="22"/>
          <w:lang w:val="es-BO"/>
        </w:rPr>
        <w:t xml:space="preserve"> </w:t>
      </w:r>
      <w:r w:rsidR="009B7749">
        <w:rPr>
          <w:sz w:val="22"/>
          <w:szCs w:val="22"/>
          <w:lang w:val="es-BO"/>
        </w:rPr>
        <w:t>remitirá</w:t>
      </w:r>
      <w:r w:rsidR="0047412F" w:rsidRPr="0047412F">
        <w:rPr>
          <w:sz w:val="22"/>
          <w:szCs w:val="22"/>
          <w:lang w:val="es-BO"/>
        </w:rPr>
        <w:t xml:space="preserve"> </w:t>
      </w:r>
      <w:r w:rsidR="00E90BC0">
        <w:rPr>
          <w:sz w:val="22"/>
          <w:szCs w:val="22"/>
          <w:lang w:val="es-BO"/>
        </w:rPr>
        <w:t xml:space="preserve">los mismos </w:t>
      </w:r>
      <w:r w:rsidR="0047412F" w:rsidRPr="0047412F">
        <w:rPr>
          <w:sz w:val="22"/>
          <w:szCs w:val="22"/>
          <w:lang w:val="es-BO"/>
        </w:rPr>
        <w:t>al Banco.</w:t>
      </w:r>
    </w:p>
    <w:p w:rsidR="0047412F" w:rsidRPr="0047412F" w:rsidRDefault="0047412F" w:rsidP="0047412F">
      <w:pPr>
        <w:pStyle w:val="Paragraph"/>
        <w:widowControl w:val="0"/>
        <w:tabs>
          <w:tab w:val="clear" w:pos="1440"/>
        </w:tabs>
        <w:ind w:left="720" w:firstLine="0"/>
        <w:rPr>
          <w:sz w:val="22"/>
          <w:szCs w:val="22"/>
          <w:lang w:val="es-BO"/>
        </w:rPr>
      </w:pPr>
      <w:r w:rsidRPr="0047412F">
        <w:rPr>
          <w:b/>
          <w:sz w:val="22"/>
          <w:szCs w:val="22"/>
          <w:lang w:val="es-BO"/>
        </w:rPr>
        <w:t>Visitas de Inspección</w:t>
      </w:r>
      <w:r w:rsidRPr="0047412F">
        <w:rPr>
          <w:b/>
          <w:bCs/>
          <w:sz w:val="22"/>
          <w:szCs w:val="22"/>
          <w:lang w:val="es-BO"/>
        </w:rPr>
        <w:t>:</w:t>
      </w:r>
      <w:r w:rsidRPr="0047412F">
        <w:rPr>
          <w:sz w:val="22"/>
          <w:szCs w:val="22"/>
          <w:lang w:val="es-BO"/>
        </w:rPr>
        <w:t xml:space="preserve"> Serán programadas regularmente por el Banco para el monitoreo de la implantación de las actividades previstas en el </w:t>
      </w:r>
      <w:r w:rsidR="00E90BC0">
        <w:rPr>
          <w:sz w:val="22"/>
          <w:szCs w:val="22"/>
          <w:lang w:val="es-BO"/>
        </w:rPr>
        <w:t>p</w:t>
      </w:r>
      <w:r w:rsidRPr="0047412F">
        <w:rPr>
          <w:sz w:val="22"/>
          <w:szCs w:val="22"/>
          <w:lang w:val="es-BO"/>
        </w:rPr>
        <w:t>rograma, principalmente aquellas que no puedan comprobarse de forma remota, tales como la verificación de la operación de sistemas informáticos.</w:t>
      </w:r>
    </w:p>
    <w:p w:rsidR="0047412F" w:rsidRPr="0047412F" w:rsidRDefault="0047412F" w:rsidP="0047412F">
      <w:pPr>
        <w:pStyle w:val="Paragraph"/>
        <w:widowControl w:val="0"/>
        <w:tabs>
          <w:tab w:val="clear" w:pos="1440"/>
        </w:tabs>
        <w:ind w:left="720" w:firstLine="0"/>
        <w:rPr>
          <w:sz w:val="22"/>
          <w:szCs w:val="22"/>
          <w:lang w:val="es-BO"/>
        </w:rPr>
      </w:pPr>
      <w:r w:rsidRPr="0047412F">
        <w:rPr>
          <w:b/>
          <w:bCs/>
          <w:sz w:val="22"/>
          <w:szCs w:val="22"/>
          <w:lang w:val="es-BO"/>
        </w:rPr>
        <w:t>Misión de Administración:</w:t>
      </w:r>
      <w:r w:rsidRPr="0047412F">
        <w:rPr>
          <w:sz w:val="22"/>
          <w:szCs w:val="22"/>
          <w:lang w:val="es-BO"/>
        </w:rPr>
        <w:t xml:space="preserve"> El Banco podrá programar una Misión de Administración para revisar el avance en el cumplimiento de los compromisos de política y apoyar al G</w:t>
      </w:r>
      <w:r w:rsidR="002177B7">
        <w:rPr>
          <w:sz w:val="22"/>
          <w:szCs w:val="22"/>
          <w:lang w:val="es-BO"/>
        </w:rPr>
        <w:t>BO</w:t>
      </w:r>
      <w:r w:rsidRPr="0047412F">
        <w:rPr>
          <w:sz w:val="22"/>
          <w:szCs w:val="22"/>
          <w:lang w:val="es-BO"/>
        </w:rPr>
        <w:t xml:space="preserve"> con asistencias técnicas específicas.</w:t>
      </w:r>
    </w:p>
    <w:p w:rsidR="0047412F" w:rsidRPr="0047412F" w:rsidRDefault="0047412F" w:rsidP="0047412F">
      <w:pPr>
        <w:pStyle w:val="FirstHeading"/>
        <w:keepNext w:val="0"/>
        <w:widowControl w:val="0"/>
        <w:ind w:hanging="630"/>
        <w:rPr>
          <w:sz w:val="22"/>
          <w:szCs w:val="22"/>
        </w:rPr>
      </w:pPr>
      <w:r w:rsidRPr="0047412F">
        <w:rPr>
          <w:sz w:val="22"/>
          <w:szCs w:val="22"/>
        </w:rPr>
        <w:tab/>
        <w:t xml:space="preserve">Evaluación de los </w:t>
      </w:r>
      <w:r w:rsidR="00880CF0">
        <w:rPr>
          <w:sz w:val="22"/>
          <w:szCs w:val="22"/>
        </w:rPr>
        <w:t>r</w:t>
      </w:r>
      <w:r w:rsidRPr="0047412F">
        <w:rPr>
          <w:sz w:val="22"/>
          <w:szCs w:val="22"/>
        </w:rPr>
        <w:t xml:space="preserve">esultados </w:t>
      </w:r>
      <w:r w:rsidR="005408E3">
        <w:rPr>
          <w:sz w:val="22"/>
          <w:szCs w:val="22"/>
        </w:rPr>
        <w:t xml:space="preserve">e impactos </w:t>
      </w:r>
      <w:r w:rsidRPr="0047412F">
        <w:rPr>
          <w:sz w:val="22"/>
          <w:szCs w:val="22"/>
        </w:rPr>
        <w:t>del Programa</w:t>
      </w:r>
    </w:p>
    <w:p w:rsidR="0047412F" w:rsidRPr="005408E3" w:rsidRDefault="0047412F" w:rsidP="007E5C10">
      <w:pPr>
        <w:pStyle w:val="Paragraph"/>
        <w:widowControl w:val="0"/>
        <w:numPr>
          <w:ilvl w:val="0"/>
          <w:numId w:val="39"/>
        </w:numPr>
        <w:ind w:left="720" w:hanging="630"/>
        <w:rPr>
          <w:sz w:val="22"/>
          <w:szCs w:val="22"/>
          <w:lang w:val="es-BO"/>
        </w:rPr>
      </w:pPr>
      <w:r w:rsidRPr="005408E3">
        <w:rPr>
          <w:b/>
          <w:sz w:val="22"/>
          <w:szCs w:val="22"/>
          <w:lang w:val="es-BO"/>
        </w:rPr>
        <w:t>Metodología de Evaluación</w:t>
      </w:r>
      <w:r w:rsidRPr="005408E3">
        <w:rPr>
          <w:sz w:val="22"/>
          <w:szCs w:val="22"/>
          <w:lang w:val="es-BO"/>
        </w:rPr>
        <w:t xml:space="preserve">: El equipo evaluará la consecución de los objetivos del programa a través de una evaluación reflexiva, tomando como referencia las metas e indicadores establecidos en las matrices de política y de resultados del </w:t>
      </w:r>
      <w:r w:rsidR="00B43B25" w:rsidRPr="005408E3">
        <w:rPr>
          <w:sz w:val="22"/>
          <w:szCs w:val="22"/>
          <w:lang w:val="es-BO"/>
        </w:rPr>
        <w:t>p</w:t>
      </w:r>
      <w:r w:rsidRPr="005408E3">
        <w:rPr>
          <w:sz w:val="22"/>
          <w:szCs w:val="22"/>
          <w:lang w:val="es-BO"/>
        </w:rPr>
        <w:t xml:space="preserve">rograma. </w:t>
      </w:r>
      <w:r w:rsidR="005408E3" w:rsidRPr="007E5C10">
        <w:rPr>
          <w:sz w:val="22"/>
          <w:szCs w:val="22"/>
          <w:lang w:val="es-BO"/>
        </w:rPr>
        <w:t>Asimismo, se realizará un</w:t>
      </w:r>
      <w:r w:rsidR="005408E3" w:rsidRPr="005408E3">
        <w:rPr>
          <w:sz w:val="22"/>
          <w:szCs w:val="22"/>
          <w:lang w:val="es-BO"/>
        </w:rPr>
        <w:t xml:space="preserve">a evaluación de impacto del Programa bajo la metodología de costo – </w:t>
      </w:r>
      <w:r w:rsidR="007E5C10">
        <w:rPr>
          <w:sz w:val="22"/>
          <w:szCs w:val="22"/>
          <w:lang w:val="es-BO"/>
        </w:rPr>
        <w:t>beneficio</w:t>
      </w:r>
      <w:r w:rsidR="00427FF6">
        <w:rPr>
          <w:rStyle w:val="FootnoteReference"/>
          <w:sz w:val="22"/>
          <w:szCs w:val="22"/>
          <w:lang w:val="es-BO"/>
        </w:rPr>
        <w:footnoteReference w:id="1"/>
      </w:r>
      <w:r w:rsidR="005408E3">
        <w:rPr>
          <w:sz w:val="22"/>
          <w:szCs w:val="22"/>
          <w:lang w:val="es-BO"/>
        </w:rPr>
        <w:t>.</w:t>
      </w:r>
    </w:p>
    <w:p w:rsidR="006040FC" w:rsidRPr="0047412F" w:rsidRDefault="006040FC" w:rsidP="006040FC">
      <w:pPr>
        <w:spacing w:before="120" w:after="120"/>
        <w:ind w:left="720"/>
        <w:jc w:val="both"/>
        <w:rPr>
          <w:sz w:val="22"/>
          <w:szCs w:val="22"/>
          <w:lang w:val="es-ES_tradnl"/>
        </w:rPr>
      </w:pPr>
      <w:r w:rsidRPr="0047412F">
        <w:rPr>
          <w:sz w:val="22"/>
          <w:szCs w:val="22"/>
          <w:lang w:val="es-BO"/>
        </w:rPr>
        <w:t xml:space="preserve">La Evaluación </w:t>
      </w:r>
      <w:r w:rsidR="005408E3">
        <w:rPr>
          <w:sz w:val="22"/>
          <w:szCs w:val="22"/>
          <w:lang w:val="es-BO"/>
        </w:rPr>
        <w:t xml:space="preserve">de resultados e impacto </w:t>
      </w:r>
      <w:r w:rsidRPr="0047412F">
        <w:rPr>
          <w:sz w:val="22"/>
          <w:szCs w:val="22"/>
          <w:lang w:val="es-BO"/>
        </w:rPr>
        <w:t xml:space="preserve">del </w:t>
      </w:r>
      <w:r w:rsidR="00F24B5D">
        <w:rPr>
          <w:sz w:val="22"/>
          <w:szCs w:val="22"/>
          <w:lang w:val="es-BO"/>
        </w:rPr>
        <w:t>p</w:t>
      </w:r>
      <w:r w:rsidRPr="0047412F">
        <w:rPr>
          <w:sz w:val="22"/>
          <w:szCs w:val="22"/>
          <w:lang w:val="es-BO"/>
        </w:rPr>
        <w:t xml:space="preserve">rograma será realizada por un consultor independiente, cuyos servicios fueron presupuestados en la cooperación técnica </w:t>
      </w:r>
      <w:r w:rsidRPr="0047412F">
        <w:rPr>
          <w:sz w:val="22"/>
          <w:szCs w:val="22"/>
          <w:lang w:val="es-BO" w:eastAsia="x-none"/>
        </w:rPr>
        <w:lastRenderedPageBreak/>
        <w:t>ATN/OC-13586-BO</w:t>
      </w:r>
      <w:r w:rsidRPr="0047412F">
        <w:rPr>
          <w:sz w:val="22"/>
          <w:szCs w:val="22"/>
          <w:lang w:val="es-BO"/>
        </w:rPr>
        <w:t xml:space="preserve">. La consultoría de evaluación prevista en la CT </w:t>
      </w:r>
      <w:r w:rsidRPr="0047412F">
        <w:rPr>
          <w:sz w:val="22"/>
          <w:szCs w:val="22"/>
          <w:lang w:val="es-ES_tradnl"/>
        </w:rPr>
        <w:t>servirá para la oportuna evaluaci</w:t>
      </w:r>
      <w:r w:rsidRPr="006E1CBC">
        <w:rPr>
          <w:sz w:val="22"/>
          <w:szCs w:val="22"/>
          <w:lang w:val="es-ES_tradnl"/>
        </w:rPr>
        <w:t xml:space="preserve">ón del programa y de sus componentes. </w:t>
      </w:r>
      <w:r w:rsidR="00E02538" w:rsidRPr="006E1CBC">
        <w:rPr>
          <w:sz w:val="22"/>
          <w:szCs w:val="22"/>
          <w:lang w:val="es-BO"/>
        </w:rPr>
        <w:t>Al final de este plan se adjunta los términos de referencia a emplearse en la contratación de</w:t>
      </w:r>
      <w:r w:rsidR="006E1CBC" w:rsidRPr="006E1CBC">
        <w:rPr>
          <w:sz w:val="22"/>
          <w:szCs w:val="22"/>
          <w:lang w:val="es-BO"/>
        </w:rPr>
        <w:t>l consultor especialista en evaluación</w:t>
      </w:r>
      <w:r w:rsidR="00E02538" w:rsidRPr="006E1CBC">
        <w:rPr>
          <w:sz w:val="22"/>
          <w:szCs w:val="22"/>
          <w:lang w:val="es-BO"/>
        </w:rPr>
        <w:t>.</w:t>
      </w:r>
    </w:p>
    <w:p w:rsidR="0047412F" w:rsidRPr="0047412F" w:rsidRDefault="0047412F" w:rsidP="0047412F">
      <w:pPr>
        <w:pStyle w:val="Paragraph"/>
        <w:widowControl w:val="0"/>
        <w:tabs>
          <w:tab w:val="clear" w:pos="1440"/>
        </w:tabs>
        <w:ind w:left="720" w:firstLine="0"/>
        <w:rPr>
          <w:sz w:val="22"/>
          <w:szCs w:val="22"/>
          <w:lang w:val="es-BO"/>
        </w:rPr>
      </w:pPr>
      <w:r w:rsidRPr="0047412F">
        <w:rPr>
          <w:sz w:val="22"/>
          <w:szCs w:val="22"/>
          <w:lang w:val="es-BO"/>
        </w:rPr>
        <w:t xml:space="preserve">Las fuentes de información requeridas para el </w:t>
      </w:r>
      <w:r w:rsidR="00F24B5D">
        <w:rPr>
          <w:sz w:val="22"/>
          <w:szCs w:val="22"/>
          <w:lang w:val="es-BO"/>
        </w:rPr>
        <w:t>análisis</w:t>
      </w:r>
      <w:r w:rsidRPr="0047412F">
        <w:rPr>
          <w:sz w:val="22"/>
          <w:szCs w:val="22"/>
          <w:lang w:val="es-BO"/>
        </w:rPr>
        <w:t xml:space="preserve"> de las metas de resultados están establecidas en la Matriz de Resultados. En el caso de las metas de resultados que tienen una fecha de cumplimiento posterior al cierre de la operación, se hará una proyección para evaluar el cumplimiento de las </w:t>
      </w:r>
      <w:r w:rsidRPr="006E1CBC">
        <w:rPr>
          <w:sz w:val="22"/>
          <w:szCs w:val="22"/>
          <w:lang w:val="es-BO"/>
        </w:rPr>
        <w:t xml:space="preserve">mismas. La Evaluación del Programa será insumo del </w:t>
      </w:r>
      <w:r w:rsidR="006040FC" w:rsidRPr="006E1CBC">
        <w:rPr>
          <w:sz w:val="22"/>
          <w:szCs w:val="22"/>
          <w:lang w:val="es-BO"/>
        </w:rPr>
        <w:t xml:space="preserve">Informe </w:t>
      </w:r>
      <w:r w:rsidRPr="006E1CBC">
        <w:rPr>
          <w:sz w:val="22"/>
          <w:szCs w:val="22"/>
          <w:lang w:val="es-BO"/>
        </w:rPr>
        <w:t xml:space="preserve">de </w:t>
      </w:r>
      <w:r w:rsidR="006040FC" w:rsidRPr="006E1CBC">
        <w:rPr>
          <w:sz w:val="22"/>
          <w:szCs w:val="22"/>
          <w:lang w:val="es-BO"/>
        </w:rPr>
        <w:t xml:space="preserve">Terminación </w:t>
      </w:r>
      <w:r w:rsidRPr="006E1CBC">
        <w:rPr>
          <w:sz w:val="22"/>
          <w:szCs w:val="22"/>
          <w:lang w:val="es-BO"/>
        </w:rPr>
        <w:t>de</w:t>
      </w:r>
      <w:r w:rsidR="006040FC" w:rsidRPr="006E1CBC">
        <w:rPr>
          <w:sz w:val="22"/>
          <w:szCs w:val="22"/>
          <w:lang w:val="es-BO"/>
        </w:rPr>
        <w:t>l P</w:t>
      </w:r>
      <w:r w:rsidRPr="006E1CBC">
        <w:rPr>
          <w:sz w:val="22"/>
          <w:szCs w:val="22"/>
          <w:lang w:val="es-BO"/>
        </w:rPr>
        <w:t>royecto (</w:t>
      </w:r>
      <w:r w:rsidR="006040FC" w:rsidRPr="006E1CBC">
        <w:rPr>
          <w:sz w:val="22"/>
          <w:szCs w:val="22"/>
          <w:lang w:val="es-BO"/>
        </w:rPr>
        <w:t>ITP</w:t>
      </w:r>
      <w:r w:rsidRPr="006E1CBC">
        <w:rPr>
          <w:sz w:val="22"/>
          <w:szCs w:val="22"/>
          <w:lang w:val="es-BO"/>
        </w:rPr>
        <w:t>).</w:t>
      </w:r>
      <w:r w:rsidR="009B7749" w:rsidRPr="006E1CBC">
        <w:rPr>
          <w:sz w:val="22"/>
          <w:szCs w:val="22"/>
          <w:lang w:val="es-BO"/>
        </w:rPr>
        <w:t xml:space="preserve"> En el cuadro 2 se</w:t>
      </w:r>
      <w:r w:rsidR="00223F4F" w:rsidRPr="006E1CBC">
        <w:rPr>
          <w:sz w:val="22"/>
          <w:szCs w:val="22"/>
          <w:lang w:val="es-BO"/>
        </w:rPr>
        <w:t xml:space="preserve"> detalla el plan de trabajo para la evaluación de los indicadores de resultados.</w:t>
      </w:r>
    </w:p>
    <w:p w:rsidR="0047412F" w:rsidRDefault="0047412F" w:rsidP="0047412F">
      <w:pPr>
        <w:spacing w:before="120" w:after="120"/>
        <w:ind w:left="720"/>
        <w:jc w:val="both"/>
        <w:rPr>
          <w:sz w:val="22"/>
          <w:szCs w:val="22"/>
          <w:lang w:val="es-BO"/>
        </w:rPr>
      </w:pPr>
      <w:r w:rsidRPr="0047412F">
        <w:rPr>
          <w:sz w:val="22"/>
          <w:szCs w:val="22"/>
          <w:lang w:val="es-BO"/>
        </w:rPr>
        <w:t xml:space="preserve">El equipo de Proyecto, del cual participa el </w:t>
      </w:r>
      <w:r w:rsidR="0098318B">
        <w:rPr>
          <w:sz w:val="22"/>
          <w:szCs w:val="22"/>
          <w:lang w:val="es-BO"/>
        </w:rPr>
        <w:t>E</w:t>
      </w:r>
      <w:r w:rsidR="0098318B" w:rsidRPr="0047412F">
        <w:rPr>
          <w:sz w:val="22"/>
          <w:szCs w:val="22"/>
          <w:lang w:val="es-BO"/>
        </w:rPr>
        <w:t xml:space="preserve">conomista </w:t>
      </w:r>
      <w:r w:rsidRPr="0047412F">
        <w:rPr>
          <w:sz w:val="22"/>
          <w:szCs w:val="22"/>
          <w:lang w:val="es-BO"/>
        </w:rPr>
        <w:t xml:space="preserve">de </w:t>
      </w:r>
      <w:r w:rsidR="0098318B">
        <w:rPr>
          <w:sz w:val="22"/>
          <w:szCs w:val="22"/>
          <w:lang w:val="es-BO"/>
        </w:rPr>
        <w:t>P</w:t>
      </w:r>
      <w:r w:rsidRPr="0047412F">
        <w:rPr>
          <w:sz w:val="22"/>
          <w:szCs w:val="22"/>
          <w:lang w:val="es-BO"/>
        </w:rPr>
        <w:t xml:space="preserve">aís, viene trabajando en un estudio de evaluación de la sostenibilidad fiscal del </w:t>
      </w:r>
      <w:r w:rsidR="0098318B">
        <w:rPr>
          <w:sz w:val="22"/>
          <w:szCs w:val="22"/>
          <w:lang w:val="es-BO"/>
        </w:rPr>
        <w:t>p</w:t>
      </w:r>
      <w:r w:rsidRPr="0047412F">
        <w:rPr>
          <w:sz w:val="22"/>
          <w:szCs w:val="22"/>
          <w:lang w:val="es-BO"/>
        </w:rPr>
        <w:t>aís. Este estudio</w:t>
      </w:r>
      <w:r w:rsidR="0098318B">
        <w:rPr>
          <w:sz w:val="22"/>
          <w:szCs w:val="22"/>
          <w:lang w:val="es-BO"/>
        </w:rPr>
        <w:t>,</w:t>
      </w:r>
      <w:r w:rsidRPr="0047412F">
        <w:rPr>
          <w:sz w:val="22"/>
          <w:szCs w:val="22"/>
          <w:lang w:val="es-BO"/>
        </w:rPr>
        <w:t xml:space="preserve"> </w:t>
      </w:r>
      <w:r w:rsidR="00246FC9">
        <w:rPr>
          <w:sz w:val="22"/>
          <w:szCs w:val="22"/>
          <w:lang w:val="es-BO"/>
        </w:rPr>
        <w:t xml:space="preserve">que forma parte de </w:t>
      </w:r>
      <w:r w:rsidRPr="0047412F">
        <w:rPr>
          <w:sz w:val="22"/>
          <w:szCs w:val="22"/>
          <w:lang w:val="es-BO"/>
        </w:rPr>
        <w:t>la Evaluación Macroeconó</w:t>
      </w:r>
      <w:r w:rsidR="00246FC9">
        <w:rPr>
          <w:sz w:val="22"/>
          <w:szCs w:val="22"/>
          <w:lang w:val="es-BO"/>
        </w:rPr>
        <w:t>mica Independiente (IMA)</w:t>
      </w:r>
      <w:r w:rsidR="0098318B">
        <w:rPr>
          <w:sz w:val="22"/>
          <w:szCs w:val="22"/>
          <w:lang w:val="es-BO"/>
        </w:rPr>
        <w:t>,</w:t>
      </w:r>
      <w:r w:rsidR="00246FC9">
        <w:rPr>
          <w:sz w:val="22"/>
          <w:szCs w:val="22"/>
          <w:lang w:val="es-BO"/>
        </w:rPr>
        <w:t xml:space="preserve"> estará finalizado</w:t>
      </w:r>
      <w:r w:rsidRPr="0047412F">
        <w:rPr>
          <w:sz w:val="22"/>
          <w:szCs w:val="22"/>
          <w:lang w:val="es-BO"/>
        </w:rPr>
        <w:t xml:space="preserve"> antes de la aprobación del proy</w:t>
      </w:r>
      <w:r w:rsidR="00246FC9">
        <w:rPr>
          <w:sz w:val="22"/>
          <w:szCs w:val="22"/>
          <w:lang w:val="es-BO"/>
        </w:rPr>
        <w:t>ecto en el Directorio y servirá</w:t>
      </w:r>
      <w:r w:rsidRPr="0047412F">
        <w:rPr>
          <w:sz w:val="22"/>
          <w:szCs w:val="22"/>
          <w:lang w:val="es-BO"/>
        </w:rPr>
        <w:t xml:space="preserve"> de importante insumo para el trabajo de evaluación de los resultados del proyecto.</w:t>
      </w:r>
    </w:p>
    <w:p w:rsidR="007E71D7" w:rsidRDefault="007E71D7" w:rsidP="007E71D7">
      <w:pPr>
        <w:pStyle w:val="Paragraph"/>
        <w:widowControl w:val="0"/>
        <w:tabs>
          <w:tab w:val="clear" w:pos="1440"/>
        </w:tabs>
        <w:ind w:left="720" w:firstLine="0"/>
        <w:rPr>
          <w:bCs/>
          <w:sz w:val="22"/>
          <w:szCs w:val="22"/>
          <w:lang w:val="es-BO"/>
        </w:rPr>
      </w:pPr>
      <w:r w:rsidRPr="007E71D7">
        <w:rPr>
          <w:b/>
          <w:sz w:val="22"/>
          <w:szCs w:val="22"/>
          <w:lang w:val="es-BO"/>
        </w:rPr>
        <w:t>Informe de Terminación de Proyecto</w:t>
      </w:r>
      <w:r w:rsidRPr="007E71D7">
        <w:rPr>
          <w:sz w:val="22"/>
          <w:szCs w:val="22"/>
          <w:lang w:val="es-BO"/>
        </w:rPr>
        <w:t xml:space="preserve">: </w:t>
      </w:r>
      <w:r w:rsidR="006078F1">
        <w:rPr>
          <w:sz w:val="22"/>
          <w:szCs w:val="22"/>
          <w:lang w:val="es-BO"/>
        </w:rPr>
        <w:t>Un ITP será</w:t>
      </w:r>
      <w:r w:rsidRPr="007E71D7">
        <w:rPr>
          <w:sz w:val="22"/>
          <w:szCs w:val="22"/>
          <w:lang w:val="es-BO"/>
        </w:rPr>
        <w:t xml:space="preserve"> preparado </w:t>
      </w:r>
      <w:r w:rsidR="00DD7E83">
        <w:rPr>
          <w:sz w:val="22"/>
          <w:szCs w:val="22"/>
          <w:lang w:val="es-BO"/>
        </w:rPr>
        <w:t xml:space="preserve">y enviado a Revisión de Calidad y Riesgos (QRR por su sigla en inglés). La aprobación del reporte debe lograrse hasta </w:t>
      </w:r>
      <w:r w:rsidRPr="007E71D7">
        <w:rPr>
          <w:sz w:val="22"/>
          <w:szCs w:val="22"/>
          <w:lang w:val="es-BO"/>
        </w:rPr>
        <w:t xml:space="preserve">seis meses después de realizado el desembolso. </w:t>
      </w:r>
      <w:r w:rsidRPr="00D376BC">
        <w:rPr>
          <w:bCs/>
          <w:sz w:val="22"/>
          <w:szCs w:val="22"/>
          <w:lang w:val="es-BO"/>
        </w:rPr>
        <w:t>El MEFP colectará y mantendrá disponible al Banco toda la información necesaria para</w:t>
      </w:r>
      <w:r w:rsidRPr="0047412F">
        <w:rPr>
          <w:bCs/>
          <w:sz w:val="22"/>
          <w:szCs w:val="22"/>
          <w:lang w:val="es-BO"/>
        </w:rPr>
        <w:t xml:space="preserve"> la preparación de</w:t>
      </w:r>
      <w:r w:rsidR="006078F1">
        <w:rPr>
          <w:bCs/>
          <w:sz w:val="22"/>
          <w:szCs w:val="22"/>
          <w:lang w:val="es-BO"/>
        </w:rPr>
        <w:t xml:space="preserve"> dicho reporte</w:t>
      </w:r>
      <w:r w:rsidRPr="0047412F">
        <w:rPr>
          <w:bCs/>
          <w:sz w:val="22"/>
          <w:szCs w:val="22"/>
          <w:lang w:val="es-BO"/>
        </w:rPr>
        <w:t>.</w:t>
      </w:r>
    </w:p>
    <w:p w:rsidR="0061307E" w:rsidRDefault="0061307E" w:rsidP="007E71D7">
      <w:pPr>
        <w:pStyle w:val="Paragraph"/>
        <w:widowControl w:val="0"/>
        <w:tabs>
          <w:tab w:val="clear" w:pos="1440"/>
        </w:tabs>
        <w:ind w:left="720" w:firstLine="0"/>
        <w:rPr>
          <w:bCs/>
          <w:sz w:val="22"/>
          <w:szCs w:val="22"/>
          <w:lang w:val="es-BO"/>
        </w:rPr>
      </w:pPr>
      <w:r>
        <w:rPr>
          <w:bCs/>
          <w:sz w:val="22"/>
          <w:szCs w:val="22"/>
          <w:lang w:val="es-BO"/>
        </w:rPr>
        <w:t>El ITP abarcará las tres operaciones que componen el programa</w:t>
      </w:r>
      <w:r w:rsidR="00FB1D32">
        <w:rPr>
          <w:bCs/>
          <w:sz w:val="22"/>
          <w:szCs w:val="22"/>
          <w:lang w:val="es-BO"/>
        </w:rPr>
        <w:t>, vale decir las operaciones BO-L1005 (200</w:t>
      </w:r>
      <w:r w:rsidR="00EF1400">
        <w:rPr>
          <w:bCs/>
          <w:sz w:val="22"/>
          <w:szCs w:val="22"/>
          <w:lang w:val="es-BO"/>
        </w:rPr>
        <w:t>5</w:t>
      </w:r>
      <w:r w:rsidR="00FB1D32">
        <w:rPr>
          <w:bCs/>
          <w:sz w:val="22"/>
          <w:szCs w:val="22"/>
          <w:lang w:val="es-BO"/>
        </w:rPr>
        <w:t>), BO-L1010 (2010) y BO-</w:t>
      </w:r>
      <w:r w:rsidR="00FD7EFA">
        <w:rPr>
          <w:bCs/>
          <w:sz w:val="22"/>
          <w:szCs w:val="22"/>
          <w:lang w:val="es-BO"/>
        </w:rPr>
        <w:t>L</w:t>
      </w:r>
      <w:r w:rsidR="00FB1D32">
        <w:rPr>
          <w:bCs/>
          <w:sz w:val="22"/>
          <w:szCs w:val="22"/>
          <w:lang w:val="es-BO"/>
        </w:rPr>
        <w:t>1081 (2013)</w:t>
      </w:r>
      <w:r>
        <w:rPr>
          <w:bCs/>
          <w:sz w:val="22"/>
          <w:szCs w:val="22"/>
          <w:lang w:val="es-BO"/>
        </w:rPr>
        <w:t>.</w:t>
      </w:r>
    </w:p>
    <w:p w:rsidR="0061307E" w:rsidRPr="0047412F" w:rsidRDefault="0061307E" w:rsidP="007E71D7">
      <w:pPr>
        <w:pStyle w:val="Paragraph"/>
        <w:widowControl w:val="0"/>
        <w:tabs>
          <w:tab w:val="clear" w:pos="1440"/>
        </w:tabs>
        <w:ind w:left="720" w:firstLine="0"/>
        <w:rPr>
          <w:bCs/>
          <w:sz w:val="22"/>
          <w:szCs w:val="22"/>
          <w:lang w:val="es-BO"/>
        </w:rPr>
      </w:pPr>
    </w:p>
    <w:p w:rsidR="00736479" w:rsidRPr="0047412F" w:rsidRDefault="00736479" w:rsidP="00223F4F">
      <w:pPr>
        <w:pStyle w:val="Paragraph"/>
        <w:widowControl w:val="0"/>
        <w:tabs>
          <w:tab w:val="clear" w:pos="1440"/>
        </w:tabs>
        <w:ind w:left="720" w:firstLine="0"/>
        <w:rPr>
          <w:sz w:val="22"/>
          <w:szCs w:val="22"/>
          <w:lang w:val="es-BO"/>
        </w:rPr>
      </w:pPr>
    </w:p>
    <w:p w:rsidR="0047412F" w:rsidRPr="0047412F" w:rsidRDefault="0047412F" w:rsidP="0047412F">
      <w:pPr>
        <w:tabs>
          <w:tab w:val="center" w:pos="4680"/>
        </w:tabs>
        <w:spacing w:after="120"/>
        <w:jc w:val="center"/>
        <w:rPr>
          <w:b/>
          <w:sz w:val="22"/>
          <w:szCs w:val="22"/>
          <w:lang w:val="es-BO"/>
        </w:rPr>
      </w:pPr>
    </w:p>
    <w:p w:rsidR="0047412F" w:rsidRPr="0047412F" w:rsidRDefault="0047412F" w:rsidP="00396984">
      <w:pPr>
        <w:spacing w:after="200" w:line="276" w:lineRule="auto"/>
        <w:rPr>
          <w:smallCaps/>
          <w:lang w:val="es-BO"/>
        </w:rPr>
        <w:sectPr w:rsidR="0047412F" w:rsidRPr="0047412F" w:rsidSect="00550DB9">
          <w:footerReference w:type="default" r:id="rId9"/>
          <w:pgSz w:w="12240" w:h="15840"/>
          <w:pgMar w:top="1440" w:right="1800" w:bottom="1440" w:left="1800" w:header="720" w:footer="720" w:gutter="0"/>
          <w:cols w:space="720"/>
          <w:docGrid w:linePitch="360"/>
        </w:sectPr>
      </w:pPr>
    </w:p>
    <w:p w:rsidR="00CE4005" w:rsidRPr="007E213F" w:rsidRDefault="00396984">
      <w:pPr>
        <w:spacing w:after="200" w:line="276" w:lineRule="auto"/>
        <w:jc w:val="center"/>
        <w:rPr>
          <w:rFonts w:eastAsia="Calibri"/>
          <w:b/>
          <w:smallCaps/>
          <w:lang w:val="es-BO"/>
        </w:rPr>
      </w:pPr>
      <w:r w:rsidRPr="00634B20">
        <w:rPr>
          <w:b/>
          <w:smallCaps/>
          <w:lang w:val="es-ES_tradnl"/>
        </w:rPr>
        <w:lastRenderedPageBreak/>
        <w:t>Monitoreo</w:t>
      </w:r>
    </w:p>
    <w:tbl>
      <w:tblPr>
        <w:tblW w:w="12993"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6"/>
        <w:gridCol w:w="341"/>
        <w:gridCol w:w="306"/>
        <w:gridCol w:w="344"/>
        <w:gridCol w:w="360"/>
        <w:gridCol w:w="1526"/>
        <w:gridCol w:w="3404"/>
        <w:gridCol w:w="2446"/>
      </w:tblGrid>
      <w:tr w:rsidR="00FD7EFA" w:rsidRPr="005552D8" w:rsidTr="00A46F13">
        <w:trPr>
          <w:jc w:val="center"/>
        </w:trPr>
        <w:tc>
          <w:tcPr>
            <w:tcW w:w="12993" w:type="dxa"/>
            <w:gridSpan w:val="8"/>
            <w:vAlign w:val="center"/>
          </w:tcPr>
          <w:p w:rsidR="00FD7EFA" w:rsidRPr="00A46F13" w:rsidRDefault="00FD7EFA" w:rsidP="00A46F13">
            <w:pPr>
              <w:spacing w:before="120" w:after="120"/>
              <w:jc w:val="center"/>
              <w:rPr>
                <w:b/>
                <w:sz w:val="20"/>
                <w:szCs w:val="20"/>
                <w:lang w:val="es-ES_tradnl"/>
              </w:rPr>
            </w:pPr>
            <w:r w:rsidRPr="00634B20">
              <w:rPr>
                <w:b/>
                <w:smallCaps/>
                <w:lang w:val="es-ES_tradnl"/>
              </w:rPr>
              <w:t>Cuadro 1</w:t>
            </w:r>
            <w:r>
              <w:rPr>
                <w:b/>
                <w:smallCaps/>
                <w:lang w:val="es-ES_tradnl"/>
              </w:rPr>
              <w:t xml:space="preserve">. </w:t>
            </w:r>
            <w:r w:rsidRPr="00634B20">
              <w:rPr>
                <w:rFonts w:eastAsia="Calibri"/>
                <w:b/>
                <w:smallCaps/>
                <w:lang w:val="es-ES_tradnl"/>
              </w:rPr>
              <w:t>Plan de trabajo de seguimiento</w:t>
            </w:r>
          </w:p>
        </w:tc>
      </w:tr>
      <w:tr w:rsidR="00820CBF" w:rsidRPr="00B06A15" w:rsidTr="00820CBF">
        <w:trPr>
          <w:jc w:val="center"/>
        </w:trPr>
        <w:tc>
          <w:tcPr>
            <w:tcW w:w="4266" w:type="dxa"/>
            <w:vMerge w:val="restart"/>
            <w:vAlign w:val="center"/>
          </w:tcPr>
          <w:p w:rsidR="00246FC9" w:rsidRPr="003604CF" w:rsidRDefault="00246FC9" w:rsidP="00A46F13">
            <w:pPr>
              <w:spacing w:before="20" w:after="20"/>
              <w:jc w:val="center"/>
              <w:rPr>
                <w:b/>
                <w:sz w:val="20"/>
                <w:szCs w:val="20"/>
                <w:lang w:val="es-ES"/>
              </w:rPr>
            </w:pPr>
            <w:r w:rsidRPr="003604CF">
              <w:rPr>
                <w:b/>
                <w:sz w:val="20"/>
                <w:szCs w:val="20"/>
                <w:lang w:val="es-ES"/>
              </w:rPr>
              <w:t>Actividades de seguimiento/Productos por actividad</w:t>
            </w:r>
          </w:p>
        </w:tc>
        <w:tc>
          <w:tcPr>
            <w:tcW w:w="1351" w:type="dxa"/>
            <w:gridSpan w:val="4"/>
            <w:shd w:val="clear" w:color="auto" w:fill="auto"/>
            <w:vAlign w:val="center"/>
          </w:tcPr>
          <w:p w:rsidR="00246FC9" w:rsidRPr="003604CF" w:rsidRDefault="00246FC9" w:rsidP="00A46F13">
            <w:pPr>
              <w:spacing w:before="20" w:after="20"/>
              <w:jc w:val="center"/>
              <w:rPr>
                <w:b/>
                <w:sz w:val="20"/>
                <w:szCs w:val="20"/>
              </w:rPr>
            </w:pPr>
            <w:r w:rsidRPr="003604CF">
              <w:rPr>
                <w:b/>
                <w:sz w:val="20"/>
                <w:szCs w:val="20"/>
              </w:rPr>
              <w:t>Año 1</w:t>
            </w:r>
          </w:p>
        </w:tc>
        <w:tc>
          <w:tcPr>
            <w:tcW w:w="1526" w:type="dxa"/>
            <w:vMerge w:val="restart"/>
            <w:vAlign w:val="center"/>
          </w:tcPr>
          <w:p w:rsidR="00246FC9" w:rsidRPr="003604CF" w:rsidRDefault="00246FC9" w:rsidP="00A46F13">
            <w:pPr>
              <w:spacing w:before="20" w:after="20"/>
              <w:jc w:val="center"/>
              <w:rPr>
                <w:b/>
                <w:sz w:val="20"/>
                <w:szCs w:val="20"/>
              </w:rPr>
            </w:pPr>
            <w:r w:rsidRPr="003604CF">
              <w:rPr>
                <w:b/>
                <w:sz w:val="20"/>
                <w:szCs w:val="20"/>
              </w:rPr>
              <w:t>Responsable</w:t>
            </w:r>
          </w:p>
        </w:tc>
        <w:tc>
          <w:tcPr>
            <w:tcW w:w="3404" w:type="dxa"/>
            <w:vMerge w:val="restart"/>
            <w:vAlign w:val="center"/>
          </w:tcPr>
          <w:p w:rsidR="00246FC9" w:rsidRPr="003604CF" w:rsidRDefault="00246FC9" w:rsidP="00A46F13">
            <w:pPr>
              <w:spacing w:before="20" w:after="20"/>
              <w:jc w:val="center"/>
              <w:rPr>
                <w:b/>
                <w:sz w:val="20"/>
                <w:szCs w:val="20"/>
              </w:rPr>
            </w:pPr>
            <w:r w:rsidRPr="003604CF">
              <w:rPr>
                <w:b/>
                <w:sz w:val="20"/>
                <w:szCs w:val="20"/>
              </w:rPr>
              <w:t>Fuente de verificación</w:t>
            </w:r>
          </w:p>
        </w:tc>
        <w:tc>
          <w:tcPr>
            <w:tcW w:w="2446" w:type="dxa"/>
            <w:vMerge w:val="restart"/>
            <w:vAlign w:val="center"/>
          </w:tcPr>
          <w:p w:rsidR="00246FC9" w:rsidRPr="003604CF" w:rsidRDefault="00246FC9" w:rsidP="00A46F13">
            <w:pPr>
              <w:spacing w:before="20" w:after="20"/>
              <w:jc w:val="center"/>
              <w:rPr>
                <w:b/>
                <w:sz w:val="20"/>
                <w:szCs w:val="20"/>
              </w:rPr>
            </w:pPr>
            <w:r w:rsidRPr="003604CF">
              <w:rPr>
                <w:b/>
                <w:sz w:val="20"/>
                <w:szCs w:val="20"/>
              </w:rPr>
              <w:t>Costo</w:t>
            </w:r>
            <w:r w:rsidR="00FD7EFA">
              <w:rPr>
                <w:b/>
                <w:sz w:val="20"/>
                <w:szCs w:val="20"/>
              </w:rPr>
              <w:t xml:space="preserve"> </w:t>
            </w:r>
            <w:r w:rsidRPr="003604CF">
              <w:rPr>
                <w:b/>
                <w:sz w:val="20"/>
                <w:szCs w:val="20"/>
              </w:rPr>
              <w:t>(</w:t>
            </w:r>
            <w:r w:rsidR="0086131C">
              <w:rPr>
                <w:b/>
                <w:sz w:val="20"/>
                <w:szCs w:val="20"/>
              </w:rPr>
              <w:t>US$</w:t>
            </w:r>
            <w:r w:rsidRPr="003604CF">
              <w:rPr>
                <w:b/>
                <w:sz w:val="20"/>
                <w:szCs w:val="20"/>
              </w:rPr>
              <w:t>)</w:t>
            </w:r>
          </w:p>
        </w:tc>
      </w:tr>
      <w:tr w:rsidR="00820CBF" w:rsidRPr="00B06A15" w:rsidTr="00A46F13">
        <w:trPr>
          <w:trHeight w:val="395"/>
          <w:jc w:val="center"/>
        </w:trPr>
        <w:tc>
          <w:tcPr>
            <w:tcW w:w="4266" w:type="dxa"/>
            <w:vMerge/>
            <w:vAlign w:val="center"/>
          </w:tcPr>
          <w:p w:rsidR="00246FC9" w:rsidRPr="003604CF" w:rsidRDefault="00246FC9" w:rsidP="00A46F13">
            <w:pPr>
              <w:spacing w:before="20" w:after="20"/>
              <w:jc w:val="center"/>
              <w:rPr>
                <w:b/>
                <w:sz w:val="20"/>
                <w:szCs w:val="20"/>
              </w:rPr>
            </w:pPr>
          </w:p>
        </w:tc>
        <w:tc>
          <w:tcPr>
            <w:tcW w:w="341" w:type="dxa"/>
            <w:shd w:val="clear" w:color="auto" w:fill="auto"/>
            <w:vAlign w:val="center"/>
          </w:tcPr>
          <w:p w:rsidR="00246FC9" w:rsidRPr="003604CF" w:rsidRDefault="00246FC9" w:rsidP="00A46F13">
            <w:pPr>
              <w:spacing w:before="20" w:after="20"/>
              <w:jc w:val="center"/>
              <w:rPr>
                <w:b/>
                <w:sz w:val="20"/>
                <w:szCs w:val="20"/>
              </w:rPr>
            </w:pPr>
            <w:r w:rsidRPr="003604CF">
              <w:rPr>
                <w:b/>
                <w:sz w:val="20"/>
                <w:szCs w:val="20"/>
              </w:rPr>
              <w:t>1</w:t>
            </w:r>
          </w:p>
        </w:tc>
        <w:tc>
          <w:tcPr>
            <w:tcW w:w="306" w:type="dxa"/>
            <w:shd w:val="clear" w:color="auto" w:fill="auto"/>
            <w:vAlign w:val="center"/>
          </w:tcPr>
          <w:p w:rsidR="00246FC9" w:rsidRPr="003604CF" w:rsidRDefault="00246FC9" w:rsidP="00A46F13">
            <w:pPr>
              <w:spacing w:before="20" w:after="20"/>
              <w:jc w:val="center"/>
              <w:rPr>
                <w:b/>
                <w:sz w:val="20"/>
                <w:szCs w:val="20"/>
              </w:rPr>
            </w:pPr>
            <w:r w:rsidRPr="003604CF">
              <w:rPr>
                <w:b/>
                <w:sz w:val="20"/>
                <w:szCs w:val="20"/>
              </w:rPr>
              <w:t>2</w:t>
            </w:r>
          </w:p>
        </w:tc>
        <w:tc>
          <w:tcPr>
            <w:tcW w:w="344" w:type="dxa"/>
            <w:shd w:val="clear" w:color="auto" w:fill="auto"/>
            <w:vAlign w:val="center"/>
          </w:tcPr>
          <w:p w:rsidR="00246FC9" w:rsidRPr="003604CF" w:rsidRDefault="00246FC9" w:rsidP="00A46F13">
            <w:pPr>
              <w:spacing w:before="20" w:after="20"/>
              <w:jc w:val="center"/>
              <w:rPr>
                <w:b/>
                <w:sz w:val="20"/>
                <w:szCs w:val="20"/>
              </w:rPr>
            </w:pPr>
            <w:r w:rsidRPr="003604CF">
              <w:rPr>
                <w:b/>
                <w:sz w:val="20"/>
                <w:szCs w:val="20"/>
              </w:rPr>
              <w:t>3</w:t>
            </w:r>
          </w:p>
        </w:tc>
        <w:tc>
          <w:tcPr>
            <w:tcW w:w="360" w:type="dxa"/>
            <w:shd w:val="clear" w:color="auto" w:fill="auto"/>
            <w:vAlign w:val="center"/>
          </w:tcPr>
          <w:p w:rsidR="00246FC9" w:rsidRPr="003604CF" w:rsidRDefault="00246FC9" w:rsidP="00A46F13">
            <w:pPr>
              <w:spacing w:before="20" w:after="20"/>
              <w:jc w:val="center"/>
              <w:rPr>
                <w:b/>
                <w:sz w:val="20"/>
                <w:szCs w:val="20"/>
              </w:rPr>
            </w:pPr>
            <w:r w:rsidRPr="003604CF">
              <w:rPr>
                <w:b/>
                <w:sz w:val="20"/>
                <w:szCs w:val="20"/>
              </w:rPr>
              <w:t>4</w:t>
            </w:r>
          </w:p>
        </w:tc>
        <w:tc>
          <w:tcPr>
            <w:tcW w:w="1526" w:type="dxa"/>
            <w:vMerge/>
            <w:vAlign w:val="center"/>
          </w:tcPr>
          <w:p w:rsidR="00246FC9" w:rsidRPr="003604CF" w:rsidRDefault="00246FC9" w:rsidP="00A46F13">
            <w:pPr>
              <w:spacing w:before="20" w:after="20"/>
              <w:jc w:val="center"/>
              <w:rPr>
                <w:b/>
                <w:sz w:val="20"/>
                <w:szCs w:val="20"/>
              </w:rPr>
            </w:pPr>
          </w:p>
        </w:tc>
        <w:tc>
          <w:tcPr>
            <w:tcW w:w="3404" w:type="dxa"/>
            <w:vMerge/>
            <w:vAlign w:val="center"/>
          </w:tcPr>
          <w:p w:rsidR="00246FC9" w:rsidRPr="003604CF" w:rsidRDefault="00246FC9" w:rsidP="00A46F13">
            <w:pPr>
              <w:spacing w:before="20" w:after="20"/>
              <w:jc w:val="center"/>
              <w:rPr>
                <w:b/>
                <w:sz w:val="20"/>
                <w:szCs w:val="20"/>
              </w:rPr>
            </w:pPr>
          </w:p>
        </w:tc>
        <w:tc>
          <w:tcPr>
            <w:tcW w:w="2446" w:type="dxa"/>
            <w:vMerge/>
            <w:tcBorders>
              <w:bottom w:val="single" w:sz="4" w:space="0" w:color="000000"/>
            </w:tcBorders>
            <w:vAlign w:val="center"/>
          </w:tcPr>
          <w:p w:rsidR="00246FC9" w:rsidRPr="003604CF" w:rsidRDefault="00246FC9" w:rsidP="00A46F13">
            <w:pPr>
              <w:spacing w:before="20" w:after="20"/>
              <w:jc w:val="center"/>
              <w:rPr>
                <w:b/>
                <w:sz w:val="20"/>
                <w:szCs w:val="20"/>
              </w:rPr>
            </w:pPr>
          </w:p>
        </w:tc>
      </w:tr>
      <w:tr w:rsidR="00820CBF" w:rsidRPr="005552D8" w:rsidTr="00A46F13">
        <w:trPr>
          <w:trHeight w:val="1097"/>
          <w:jc w:val="center"/>
        </w:trPr>
        <w:tc>
          <w:tcPr>
            <w:tcW w:w="4266" w:type="dxa"/>
            <w:vAlign w:val="center"/>
          </w:tcPr>
          <w:p w:rsidR="00246FC9" w:rsidRDefault="00246FC9" w:rsidP="00A46F13">
            <w:pPr>
              <w:pStyle w:val="FootnoteText"/>
              <w:numPr>
                <w:ilvl w:val="1"/>
                <w:numId w:val="28"/>
              </w:numPr>
              <w:spacing w:before="20" w:after="20"/>
              <w:ind w:left="359"/>
              <w:jc w:val="both"/>
              <w:rPr>
                <w:lang w:val="es-ES_tradnl"/>
              </w:rPr>
            </w:pPr>
            <w:r w:rsidRPr="00E238D2">
              <w:rPr>
                <w:color w:val="000000" w:themeColor="text1"/>
                <w:lang w:val="es-BO"/>
              </w:rPr>
              <w:t>Mantenimiento de un marco de políticas apropiado y consistente con los objetivos del Programa</w:t>
            </w:r>
          </w:p>
        </w:tc>
        <w:tc>
          <w:tcPr>
            <w:tcW w:w="341" w:type="dxa"/>
            <w:shd w:val="clear" w:color="auto" w:fill="auto"/>
            <w:vAlign w:val="center"/>
          </w:tcPr>
          <w:p w:rsidR="00246FC9" w:rsidRPr="00E238D2" w:rsidRDefault="00246FC9" w:rsidP="00A46F13">
            <w:pPr>
              <w:spacing w:before="20" w:after="20"/>
              <w:jc w:val="center"/>
              <w:rPr>
                <w:sz w:val="20"/>
                <w:szCs w:val="20"/>
                <w:lang w:val="es-BO"/>
              </w:rPr>
            </w:pPr>
          </w:p>
        </w:tc>
        <w:tc>
          <w:tcPr>
            <w:tcW w:w="306" w:type="dxa"/>
            <w:shd w:val="clear" w:color="auto" w:fill="auto"/>
            <w:vAlign w:val="center"/>
          </w:tcPr>
          <w:p w:rsidR="00246FC9" w:rsidRPr="00E238D2" w:rsidRDefault="00246FC9" w:rsidP="00A46F13">
            <w:pPr>
              <w:spacing w:before="20" w:after="20"/>
              <w:jc w:val="center"/>
              <w:rPr>
                <w:sz w:val="20"/>
                <w:szCs w:val="20"/>
                <w:lang w:val="es-BO"/>
              </w:rPr>
            </w:pPr>
          </w:p>
        </w:tc>
        <w:tc>
          <w:tcPr>
            <w:tcW w:w="344" w:type="dxa"/>
            <w:shd w:val="clear" w:color="auto" w:fill="auto"/>
            <w:vAlign w:val="center"/>
          </w:tcPr>
          <w:p w:rsidR="00246FC9" w:rsidRPr="0047412F" w:rsidRDefault="00246FC9" w:rsidP="00A46F13">
            <w:pPr>
              <w:spacing w:before="20" w:after="20"/>
              <w:jc w:val="center"/>
              <w:rPr>
                <w:sz w:val="20"/>
                <w:szCs w:val="20"/>
                <w:lang w:val="es-BO"/>
              </w:rPr>
            </w:pPr>
          </w:p>
        </w:tc>
        <w:tc>
          <w:tcPr>
            <w:tcW w:w="360" w:type="dxa"/>
            <w:shd w:val="clear" w:color="auto" w:fill="auto"/>
            <w:vAlign w:val="center"/>
          </w:tcPr>
          <w:p w:rsidR="00246FC9" w:rsidRDefault="00246FC9" w:rsidP="00A46F13">
            <w:pPr>
              <w:spacing w:before="20" w:after="20"/>
              <w:jc w:val="center"/>
              <w:rPr>
                <w:sz w:val="20"/>
                <w:szCs w:val="20"/>
              </w:rPr>
            </w:pPr>
            <w:r>
              <w:rPr>
                <w:sz w:val="20"/>
                <w:szCs w:val="20"/>
              </w:rPr>
              <w:t>X</w:t>
            </w:r>
          </w:p>
        </w:tc>
        <w:tc>
          <w:tcPr>
            <w:tcW w:w="1526" w:type="dxa"/>
            <w:vAlign w:val="center"/>
          </w:tcPr>
          <w:p w:rsidR="00246FC9" w:rsidRPr="003750FA" w:rsidRDefault="00246FC9" w:rsidP="00A46F13">
            <w:pPr>
              <w:spacing w:before="20" w:after="20"/>
              <w:jc w:val="center"/>
              <w:rPr>
                <w:sz w:val="20"/>
                <w:szCs w:val="20"/>
                <w:lang w:val="es-BO"/>
              </w:rPr>
            </w:pPr>
            <w:r w:rsidRPr="00E238D2">
              <w:rPr>
                <w:sz w:val="20"/>
                <w:szCs w:val="20"/>
                <w:lang w:val="es-BO"/>
              </w:rPr>
              <w:t>Ministerio de Economía y Finanzas</w:t>
            </w:r>
            <w:r>
              <w:rPr>
                <w:sz w:val="20"/>
                <w:szCs w:val="20"/>
                <w:lang w:val="es-BO"/>
              </w:rPr>
              <w:t xml:space="preserve"> Públicas.</w:t>
            </w:r>
          </w:p>
        </w:tc>
        <w:tc>
          <w:tcPr>
            <w:tcW w:w="3404" w:type="dxa"/>
            <w:vAlign w:val="center"/>
          </w:tcPr>
          <w:p w:rsidR="00246FC9" w:rsidRPr="0047412F" w:rsidRDefault="0086131C" w:rsidP="00A46F13">
            <w:pPr>
              <w:spacing w:before="20" w:after="20"/>
              <w:jc w:val="both"/>
              <w:rPr>
                <w:sz w:val="20"/>
                <w:szCs w:val="20"/>
                <w:lang w:val="es-BO"/>
              </w:rPr>
            </w:pPr>
            <w:r>
              <w:rPr>
                <w:sz w:val="20"/>
                <w:szCs w:val="20"/>
                <w:lang w:val="es-BO"/>
              </w:rPr>
              <w:t>Estadísticas oficiales del MEFP.</w:t>
            </w:r>
          </w:p>
        </w:tc>
        <w:tc>
          <w:tcPr>
            <w:tcW w:w="2446" w:type="dxa"/>
            <w:vMerge w:val="restart"/>
            <w:tcBorders>
              <w:bottom w:val="single" w:sz="4" w:space="0" w:color="auto"/>
            </w:tcBorders>
            <w:vAlign w:val="center"/>
          </w:tcPr>
          <w:p w:rsidR="00246FC9" w:rsidRPr="00246FC9" w:rsidRDefault="00246FC9" w:rsidP="00A46F13">
            <w:pPr>
              <w:spacing w:before="20" w:after="20"/>
              <w:jc w:val="center"/>
              <w:rPr>
                <w:sz w:val="20"/>
                <w:szCs w:val="20"/>
                <w:lang w:val="es-BO"/>
              </w:rPr>
            </w:pPr>
            <w:r w:rsidRPr="00246FC9">
              <w:rPr>
                <w:sz w:val="20"/>
                <w:szCs w:val="20"/>
                <w:lang w:val="es-BO"/>
              </w:rPr>
              <w:t>La</w:t>
            </w:r>
            <w:r>
              <w:rPr>
                <w:sz w:val="20"/>
                <w:szCs w:val="20"/>
                <w:lang w:val="es-BO"/>
              </w:rPr>
              <w:t>s</w:t>
            </w:r>
            <w:r w:rsidRPr="00246FC9">
              <w:rPr>
                <w:sz w:val="20"/>
                <w:szCs w:val="20"/>
                <w:lang w:val="es-BO"/>
              </w:rPr>
              <w:t xml:space="preserve"> consultoría</w:t>
            </w:r>
            <w:r>
              <w:rPr>
                <w:sz w:val="20"/>
                <w:szCs w:val="20"/>
                <w:lang w:val="es-BO"/>
              </w:rPr>
              <w:t>s</w:t>
            </w:r>
            <w:r w:rsidRPr="00246FC9">
              <w:rPr>
                <w:sz w:val="20"/>
                <w:szCs w:val="20"/>
                <w:lang w:val="es-BO"/>
              </w:rPr>
              <w:t xml:space="preserve"> de apoyo al equipo de proyecto tendrá un costo de </w:t>
            </w:r>
            <w:r w:rsidR="0086131C" w:rsidRPr="00246FC9">
              <w:rPr>
                <w:sz w:val="20"/>
                <w:szCs w:val="20"/>
                <w:lang w:val="es-BO"/>
              </w:rPr>
              <w:t>US</w:t>
            </w:r>
            <w:r w:rsidR="00820CBF">
              <w:rPr>
                <w:sz w:val="20"/>
                <w:szCs w:val="20"/>
                <w:lang w:val="es-BO"/>
              </w:rPr>
              <w:t>$</w:t>
            </w:r>
            <w:r>
              <w:rPr>
                <w:sz w:val="20"/>
                <w:szCs w:val="20"/>
                <w:lang w:val="es-BO"/>
              </w:rPr>
              <w:t>20</w:t>
            </w:r>
            <w:r w:rsidR="00FD7EFA">
              <w:rPr>
                <w:sz w:val="20"/>
                <w:szCs w:val="20"/>
                <w:lang w:val="es-BO"/>
              </w:rPr>
              <w:t>.</w:t>
            </w:r>
            <w:r w:rsidRPr="00246FC9">
              <w:rPr>
                <w:sz w:val="20"/>
                <w:szCs w:val="20"/>
                <w:lang w:val="es-BO"/>
              </w:rPr>
              <w:t>000</w:t>
            </w:r>
            <w:r>
              <w:rPr>
                <w:sz w:val="20"/>
                <w:szCs w:val="20"/>
                <w:lang w:val="es-BO"/>
              </w:rPr>
              <w:t xml:space="preserve"> y serán financiadas con recursos de la CT ATN/OC-13586-BO</w:t>
            </w:r>
          </w:p>
        </w:tc>
      </w:tr>
      <w:tr w:rsidR="00820CBF" w:rsidRPr="005552D8" w:rsidTr="00A46F13">
        <w:trPr>
          <w:trHeight w:val="1583"/>
          <w:jc w:val="center"/>
        </w:trPr>
        <w:tc>
          <w:tcPr>
            <w:tcW w:w="4266" w:type="dxa"/>
            <w:vAlign w:val="center"/>
          </w:tcPr>
          <w:p w:rsidR="00246FC9" w:rsidRPr="00E238D2" w:rsidRDefault="00246FC9" w:rsidP="00A46F13">
            <w:pPr>
              <w:pStyle w:val="FootnoteText"/>
              <w:numPr>
                <w:ilvl w:val="1"/>
                <w:numId w:val="29"/>
              </w:numPr>
              <w:tabs>
                <w:tab w:val="left" w:pos="72"/>
                <w:tab w:val="left" w:pos="342"/>
              </w:tabs>
              <w:spacing w:before="20" w:after="20"/>
              <w:ind w:left="359"/>
              <w:jc w:val="both"/>
              <w:rPr>
                <w:lang w:val="es-BO"/>
              </w:rPr>
            </w:pPr>
            <w:r w:rsidRPr="00E238D2">
              <w:rPr>
                <w:color w:val="000000" w:themeColor="text1"/>
                <w:lang w:val="es-BO"/>
              </w:rPr>
              <w:t xml:space="preserve">Formulación del presupuesto plurianual en 10 </w:t>
            </w:r>
            <w:r w:rsidR="004064E5">
              <w:rPr>
                <w:color w:val="000000" w:themeColor="text1"/>
                <w:lang w:val="es-BO"/>
              </w:rPr>
              <w:t>e</w:t>
            </w:r>
            <w:r w:rsidRPr="00E238D2">
              <w:rPr>
                <w:color w:val="000000" w:themeColor="text1"/>
                <w:lang w:val="es-BO"/>
              </w:rPr>
              <w:t xml:space="preserve">mpresas </w:t>
            </w:r>
            <w:r w:rsidR="004064E5">
              <w:rPr>
                <w:color w:val="000000" w:themeColor="text1"/>
                <w:lang w:val="es-BO"/>
              </w:rPr>
              <w:t>p</w:t>
            </w:r>
            <w:r w:rsidRPr="00E238D2">
              <w:rPr>
                <w:color w:val="000000" w:themeColor="text1"/>
                <w:lang w:val="es-BO"/>
              </w:rPr>
              <w:t xml:space="preserve">úblicas </w:t>
            </w:r>
            <w:r w:rsidR="004064E5">
              <w:rPr>
                <w:color w:val="000000" w:themeColor="text1"/>
                <w:lang w:val="es-BO"/>
              </w:rPr>
              <w:t>n</w:t>
            </w:r>
            <w:r w:rsidRPr="00E238D2">
              <w:rPr>
                <w:color w:val="000000" w:themeColor="text1"/>
                <w:lang w:val="es-BO"/>
              </w:rPr>
              <w:t>acionales que comprenden, al menos, el 60% del presupuesto de la Administración Central.</w:t>
            </w:r>
          </w:p>
        </w:tc>
        <w:tc>
          <w:tcPr>
            <w:tcW w:w="341" w:type="dxa"/>
            <w:shd w:val="clear" w:color="auto" w:fill="auto"/>
            <w:vAlign w:val="center"/>
          </w:tcPr>
          <w:p w:rsidR="00246FC9" w:rsidRPr="00246FC9" w:rsidRDefault="00246FC9" w:rsidP="00A46F13">
            <w:pPr>
              <w:spacing w:before="20" w:after="20"/>
              <w:jc w:val="center"/>
              <w:rPr>
                <w:sz w:val="20"/>
                <w:szCs w:val="20"/>
                <w:lang w:val="es-BO"/>
              </w:rPr>
            </w:pPr>
          </w:p>
        </w:tc>
        <w:tc>
          <w:tcPr>
            <w:tcW w:w="306" w:type="dxa"/>
            <w:shd w:val="clear" w:color="auto" w:fill="auto"/>
            <w:vAlign w:val="center"/>
          </w:tcPr>
          <w:p w:rsidR="00246FC9" w:rsidRPr="00246FC9" w:rsidRDefault="00246FC9" w:rsidP="00A46F13">
            <w:pPr>
              <w:spacing w:before="20" w:after="20"/>
              <w:jc w:val="center"/>
              <w:rPr>
                <w:sz w:val="20"/>
                <w:szCs w:val="20"/>
                <w:lang w:val="es-BO"/>
              </w:rPr>
            </w:pPr>
          </w:p>
        </w:tc>
        <w:tc>
          <w:tcPr>
            <w:tcW w:w="344" w:type="dxa"/>
            <w:shd w:val="clear" w:color="auto" w:fill="auto"/>
            <w:vAlign w:val="center"/>
          </w:tcPr>
          <w:p w:rsidR="00246FC9" w:rsidRPr="00246FC9" w:rsidRDefault="00246FC9" w:rsidP="00A46F13">
            <w:pPr>
              <w:spacing w:before="20" w:after="20"/>
              <w:jc w:val="center"/>
              <w:rPr>
                <w:sz w:val="20"/>
                <w:szCs w:val="20"/>
                <w:lang w:val="es-BO"/>
              </w:rPr>
            </w:pPr>
          </w:p>
        </w:tc>
        <w:tc>
          <w:tcPr>
            <w:tcW w:w="360" w:type="dxa"/>
            <w:shd w:val="clear" w:color="auto" w:fill="auto"/>
            <w:vAlign w:val="center"/>
          </w:tcPr>
          <w:p w:rsidR="00246FC9" w:rsidRDefault="00246FC9" w:rsidP="00A46F13">
            <w:pPr>
              <w:spacing w:before="20" w:after="20"/>
              <w:jc w:val="center"/>
              <w:rPr>
                <w:sz w:val="20"/>
                <w:szCs w:val="20"/>
              </w:rPr>
            </w:pPr>
            <w:r w:rsidRPr="00B30A1C">
              <w:rPr>
                <w:sz w:val="20"/>
                <w:szCs w:val="20"/>
              </w:rPr>
              <w:t>X</w:t>
            </w:r>
          </w:p>
        </w:tc>
        <w:tc>
          <w:tcPr>
            <w:tcW w:w="1526" w:type="dxa"/>
            <w:vAlign w:val="center"/>
          </w:tcPr>
          <w:p w:rsidR="00246FC9" w:rsidRPr="00E238D2" w:rsidRDefault="00246FC9" w:rsidP="00A46F13">
            <w:pPr>
              <w:spacing w:before="20" w:after="20"/>
              <w:jc w:val="center"/>
              <w:rPr>
                <w:sz w:val="20"/>
                <w:szCs w:val="20"/>
                <w:lang w:val="es-BO"/>
              </w:rPr>
            </w:pPr>
            <w:r w:rsidRPr="00E238D2">
              <w:rPr>
                <w:sz w:val="20"/>
                <w:szCs w:val="20"/>
                <w:lang w:val="es-BO"/>
              </w:rPr>
              <w:t>Ministerio de Economía y Finanzas</w:t>
            </w:r>
            <w:r>
              <w:rPr>
                <w:sz w:val="20"/>
                <w:szCs w:val="20"/>
                <w:lang w:val="es-BO"/>
              </w:rPr>
              <w:t xml:space="preserve"> Públicas.</w:t>
            </w:r>
          </w:p>
        </w:tc>
        <w:tc>
          <w:tcPr>
            <w:tcW w:w="3404" w:type="dxa"/>
            <w:vAlign w:val="center"/>
          </w:tcPr>
          <w:p w:rsidR="00246FC9" w:rsidRPr="00E238D2" w:rsidRDefault="00246FC9" w:rsidP="00A46F13">
            <w:pPr>
              <w:spacing w:before="20" w:after="20"/>
              <w:jc w:val="both"/>
              <w:rPr>
                <w:sz w:val="20"/>
                <w:szCs w:val="20"/>
                <w:lang w:val="es-BO"/>
              </w:rPr>
            </w:pPr>
            <w:r w:rsidRPr="00E238D2">
              <w:rPr>
                <w:color w:val="000000" w:themeColor="text1"/>
                <w:sz w:val="20"/>
                <w:lang w:val="es-BO"/>
              </w:rPr>
              <w:t xml:space="preserve">Informe del VPCF que evidencie la formulación del presupuesto plurianual en 10 </w:t>
            </w:r>
            <w:r w:rsidR="00917B5A">
              <w:rPr>
                <w:color w:val="000000" w:themeColor="text1"/>
                <w:sz w:val="20"/>
                <w:lang w:val="es-BO"/>
              </w:rPr>
              <w:t>e</w:t>
            </w:r>
            <w:r w:rsidRPr="00E238D2">
              <w:rPr>
                <w:color w:val="000000" w:themeColor="text1"/>
                <w:sz w:val="20"/>
                <w:lang w:val="es-BO"/>
              </w:rPr>
              <w:t xml:space="preserve">mpresas </w:t>
            </w:r>
            <w:r w:rsidR="00917B5A">
              <w:rPr>
                <w:color w:val="000000" w:themeColor="text1"/>
                <w:sz w:val="20"/>
                <w:lang w:val="es-BO"/>
              </w:rPr>
              <w:t>p</w:t>
            </w:r>
            <w:r w:rsidRPr="00E238D2">
              <w:rPr>
                <w:color w:val="000000" w:themeColor="text1"/>
                <w:sz w:val="20"/>
                <w:lang w:val="es-BO"/>
              </w:rPr>
              <w:t xml:space="preserve">úblicas </w:t>
            </w:r>
            <w:r w:rsidR="00917B5A">
              <w:rPr>
                <w:color w:val="000000" w:themeColor="text1"/>
                <w:sz w:val="20"/>
                <w:lang w:val="es-BO"/>
              </w:rPr>
              <w:t>n</w:t>
            </w:r>
            <w:r w:rsidRPr="00E238D2">
              <w:rPr>
                <w:color w:val="000000" w:themeColor="text1"/>
                <w:sz w:val="20"/>
                <w:lang w:val="es-BO"/>
              </w:rPr>
              <w:t>acionales que comprenden, al menos, el 60% del presupuesto de la Administración Central.</w:t>
            </w:r>
          </w:p>
        </w:tc>
        <w:tc>
          <w:tcPr>
            <w:tcW w:w="2446" w:type="dxa"/>
            <w:vMerge/>
            <w:tcBorders>
              <w:bottom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1763"/>
          <w:jc w:val="center"/>
        </w:trPr>
        <w:tc>
          <w:tcPr>
            <w:tcW w:w="4266" w:type="dxa"/>
            <w:vAlign w:val="center"/>
          </w:tcPr>
          <w:p w:rsidR="00246FC9" w:rsidRPr="00E238D2" w:rsidRDefault="00246FC9" w:rsidP="00A46F13">
            <w:pPr>
              <w:pStyle w:val="FootnoteText"/>
              <w:spacing w:before="20" w:after="20"/>
              <w:ind w:left="359" w:hanging="360"/>
              <w:jc w:val="both"/>
              <w:rPr>
                <w:lang w:val="es-BO"/>
              </w:rPr>
            </w:pPr>
            <w:r>
              <w:rPr>
                <w:lang w:val="es-ES"/>
              </w:rPr>
              <w:t xml:space="preserve">2.2 </w:t>
            </w:r>
            <w:r w:rsidRPr="00E238D2">
              <w:rPr>
                <w:color w:val="000000" w:themeColor="text1"/>
                <w:lang w:val="es-BO"/>
              </w:rPr>
              <w:t>Formulación del presupuesto plurianual en, al menos 5 entidades públicas, del Gobierno Central, cuyo presupuesto conjunto sea equivalente, al menos, al 5% del Presupuesto de la Administración Central.</w:t>
            </w:r>
          </w:p>
        </w:tc>
        <w:tc>
          <w:tcPr>
            <w:tcW w:w="341" w:type="dxa"/>
            <w:shd w:val="clear" w:color="auto" w:fill="auto"/>
            <w:vAlign w:val="center"/>
          </w:tcPr>
          <w:p w:rsidR="00246FC9" w:rsidRPr="00E238D2" w:rsidRDefault="00246FC9" w:rsidP="00A46F13">
            <w:pPr>
              <w:spacing w:before="20" w:after="20"/>
              <w:jc w:val="center"/>
              <w:rPr>
                <w:sz w:val="20"/>
                <w:szCs w:val="20"/>
                <w:lang w:val="es-BO"/>
              </w:rPr>
            </w:pPr>
          </w:p>
        </w:tc>
        <w:tc>
          <w:tcPr>
            <w:tcW w:w="306" w:type="dxa"/>
            <w:shd w:val="clear" w:color="auto" w:fill="auto"/>
            <w:vAlign w:val="center"/>
          </w:tcPr>
          <w:p w:rsidR="00246FC9" w:rsidRPr="00E238D2" w:rsidRDefault="00246FC9" w:rsidP="00A46F13">
            <w:pPr>
              <w:spacing w:before="20" w:after="20"/>
              <w:jc w:val="center"/>
              <w:rPr>
                <w:sz w:val="20"/>
                <w:szCs w:val="20"/>
                <w:lang w:val="es-BO"/>
              </w:rPr>
            </w:pPr>
          </w:p>
        </w:tc>
        <w:tc>
          <w:tcPr>
            <w:tcW w:w="344" w:type="dxa"/>
            <w:shd w:val="clear" w:color="auto" w:fill="auto"/>
            <w:vAlign w:val="center"/>
          </w:tcPr>
          <w:p w:rsidR="00246FC9" w:rsidRPr="00E238D2" w:rsidRDefault="00246FC9" w:rsidP="00A46F13">
            <w:pPr>
              <w:spacing w:before="20" w:after="20"/>
              <w:jc w:val="center"/>
              <w:rPr>
                <w:sz w:val="20"/>
                <w:szCs w:val="20"/>
                <w:lang w:val="es-BO"/>
              </w:rPr>
            </w:pPr>
          </w:p>
        </w:tc>
        <w:tc>
          <w:tcPr>
            <w:tcW w:w="360" w:type="dxa"/>
            <w:shd w:val="clear" w:color="auto" w:fill="auto"/>
            <w:vAlign w:val="center"/>
          </w:tcPr>
          <w:p w:rsidR="00246FC9" w:rsidRPr="00E238D2" w:rsidRDefault="00246FC9" w:rsidP="00A46F13">
            <w:pPr>
              <w:spacing w:before="20" w:after="20"/>
              <w:jc w:val="center"/>
              <w:rPr>
                <w:sz w:val="20"/>
                <w:szCs w:val="20"/>
                <w:lang w:val="es-BO"/>
              </w:rPr>
            </w:pPr>
            <w:r>
              <w:rPr>
                <w:sz w:val="20"/>
                <w:szCs w:val="20"/>
                <w:lang w:val="es-BO"/>
              </w:rPr>
              <w:t>X</w:t>
            </w:r>
          </w:p>
        </w:tc>
        <w:tc>
          <w:tcPr>
            <w:tcW w:w="1526" w:type="dxa"/>
            <w:vAlign w:val="center"/>
          </w:tcPr>
          <w:p w:rsidR="00246FC9" w:rsidRPr="00E238D2" w:rsidRDefault="00246FC9" w:rsidP="00A46F13">
            <w:pPr>
              <w:spacing w:before="20" w:after="20"/>
              <w:jc w:val="center"/>
              <w:rPr>
                <w:sz w:val="20"/>
                <w:szCs w:val="20"/>
                <w:lang w:val="es-BO"/>
              </w:rPr>
            </w:pPr>
            <w:r w:rsidRPr="00E238D2">
              <w:rPr>
                <w:sz w:val="20"/>
                <w:szCs w:val="20"/>
                <w:lang w:val="es-BO"/>
              </w:rPr>
              <w:t>Ministerio de Economía y Finanzas</w:t>
            </w:r>
            <w:r>
              <w:rPr>
                <w:sz w:val="20"/>
                <w:szCs w:val="20"/>
                <w:lang w:val="es-BO"/>
              </w:rPr>
              <w:t xml:space="preserve"> Públicas.</w:t>
            </w:r>
          </w:p>
        </w:tc>
        <w:tc>
          <w:tcPr>
            <w:tcW w:w="3404" w:type="dxa"/>
            <w:vAlign w:val="center"/>
          </w:tcPr>
          <w:p w:rsidR="00246FC9" w:rsidRPr="00E238D2" w:rsidRDefault="00246FC9">
            <w:pPr>
              <w:pStyle w:val="Paragraph"/>
              <w:tabs>
                <w:tab w:val="clear" w:pos="1440"/>
              </w:tabs>
              <w:spacing w:before="20" w:after="20"/>
              <w:ind w:left="0" w:firstLine="0"/>
              <w:rPr>
                <w:sz w:val="20"/>
                <w:lang w:val="es-BO"/>
              </w:rPr>
            </w:pPr>
            <w:r w:rsidRPr="00E238D2">
              <w:rPr>
                <w:color w:val="000000" w:themeColor="text1"/>
                <w:sz w:val="20"/>
                <w:lang w:val="es-BO"/>
              </w:rPr>
              <w:t>Informe del VPCF que evidencie la formulación del  presupuesto plurianual de al menos 5 entidades públicas de la Administración</w:t>
            </w:r>
            <w:r w:rsidR="00917B5A">
              <w:rPr>
                <w:color w:val="000000" w:themeColor="text1"/>
                <w:sz w:val="20"/>
                <w:lang w:val="es-BO"/>
              </w:rPr>
              <w:t xml:space="preserve"> </w:t>
            </w:r>
            <w:r w:rsidRPr="00E238D2">
              <w:rPr>
                <w:color w:val="000000" w:themeColor="text1"/>
                <w:sz w:val="20"/>
                <w:lang w:val="es-BO"/>
              </w:rPr>
              <w:t xml:space="preserve">Central, cuyo presupuesto conjunto sea equivalente, al menos, al 5% del Presupuesto de la Administración </w:t>
            </w:r>
            <w:r w:rsidRPr="00863EF0">
              <w:rPr>
                <w:color w:val="000000" w:themeColor="text1"/>
                <w:sz w:val="20"/>
                <w:lang w:val="es-BO"/>
              </w:rPr>
              <w:t>Central</w:t>
            </w:r>
            <w:r w:rsidRPr="00917B5A">
              <w:rPr>
                <w:color w:val="000000" w:themeColor="text1"/>
                <w:sz w:val="20"/>
                <w:lang w:val="es-BO"/>
              </w:rPr>
              <w:t>.</w:t>
            </w:r>
          </w:p>
        </w:tc>
        <w:tc>
          <w:tcPr>
            <w:tcW w:w="2446" w:type="dxa"/>
            <w:vMerge/>
            <w:tcBorders>
              <w:bottom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1097"/>
          <w:jc w:val="center"/>
        </w:trPr>
        <w:tc>
          <w:tcPr>
            <w:tcW w:w="4266" w:type="dxa"/>
            <w:vAlign w:val="center"/>
          </w:tcPr>
          <w:p w:rsidR="00246FC9" w:rsidRPr="00E238D2" w:rsidRDefault="00246FC9" w:rsidP="00A46F13">
            <w:pPr>
              <w:pStyle w:val="FootnoteText"/>
              <w:spacing w:before="20" w:after="20"/>
              <w:ind w:left="359" w:hanging="360"/>
              <w:jc w:val="both"/>
              <w:rPr>
                <w:lang w:val="es-BO"/>
              </w:rPr>
            </w:pPr>
            <w:r>
              <w:rPr>
                <w:lang w:val="es-ES"/>
              </w:rPr>
              <w:t xml:space="preserve">2.3 </w:t>
            </w:r>
            <w:r w:rsidRPr="00E238D2">
              <w:rPr>
                <w:color w:val="000000" w:themeColor="text1"/>
                <w:lang w:val="es-BO"/>
              </w:rPr>
              <w:t>Elaboración y distribución a las entidades del sector público del Manual de Modificaciones y Compendio de Normas Presupuestarias</w:t>
            </w:r>
          </w:p>
        </w:tc>
        <w:tc>
          <w:tcPr>
            <w:tcW w:w="341" w:type="dxa"/>
            <w:shd w:val="clear" w:color="auto" w:fill="auto"/>
            <w:vAlign w:val="center"/>
          </w:tcPr>
          <w:p w:rsidR="00246FC9" w:rsidRPr="00E238D2" w:rsidRDefault="00246FC9" w:rsidP="00A46F13">
            <w:pPr>
              <w:spacing w:before="20" w:after="20"/>
              <w:jc w:val="center"/>
              <w:rPr>
                <w:sz w:val="20"/>
                <w:szCs w:val="20"/>
                <w:lang w:val="es-BO"/>
              </w:rPr>
            </w:pPr>
          </w:p>
        </w:tc>
        <w:tc>
          <w:tcPr>
            <w:tcW w:w="306" w:type="dxa"/>
            <w:shd w:val="clear" w:color="auto" w:fill="auto"/>
            <w:vAlign w:val="center"/>
          </w:tcPr>
          <w:p w:rsidR="00246FC9" w:rsidRPr="00E238D2" w:rsidRDefault="00246FC9" w:rsidP="00A46F13">
            <w:pPr>
              <w:spacing w:before="20" w:after="20"/>
              <w:jc w:val="center"/>
              <w:rPr>
                <w:sz w:val="20"/>
                <w:szCs w:val="20"/>
                <w:lang w:val="es-BO"/>
              </w:rPr>
            </w:pPr>
          </w:p>
        </w:tc>
        <w:tc>
          <w:tcPr>
            <w:tcW w:w="344" w:type="dxa"/>
            <w:shd w:val="clear" w:color="auto" w:fill="auto"/>
            <w:vAlign w:val="center"/>
          </w:tcPr>
          <w:p w:rsidR="00246FC9" w:rsidRDefault="00246FC9" w:rsidP="00A46F13">
            <w:pPr>
              <w:spacing w:before="20" w:after="20"/>
              <w:jc w:val="center"/>
              <w:rPr>
                <w:sz w:val="20"/>
                <w:szCs w:val="20"/>
                <w:lang w:val="es-BO"/>
              </w:rPr>
            </w:pPr>
          </w:p>
        </w:tc>
        <w:tc>
          <w:tcPr>
            <w:tcW w:w="360" w:type="dxa"/>
            <w:shd w:val="clear" w:color="auto" w:fill="auto"/>
            <w:vAlign w:val="center"/>
          </w:tcPr>
          <w:p w:rsidR="00246FC9" w:rsidRDefault="00246FC9" w:rsidP="00A46F13">
            <w:pPr>
              <w:spacing w:before="20" w:after="20"/>
              <w:jc w:val="center"/>
              <w:rPr>
                <w:sz w:val="20"/>
                <w:szCs w:val="20"/>
                <w:lang w:val="es-BO"/>
              </w:rPr>
            </w:pPr>
            <w:r>
              <w:rPr>
                <w:sz w:val="20"/>
                <w:szCs w:val="20"/>
                <w:lang w:val="es-BO"/>
              </w:rPr>
              <w:t>X</w:t>
            </w:r>
          </w:p>
        </w:tc>
        <w:tc>
          <w:tcPr>
            <w:tcW w:w="1526" w:type="dxa"/>
            <w:vAlign w:val="center"/>
          </w:tcPr>
          <w:p w:rsidR="00246FC9" w:rsidRPr="00E238D2" w:rsidRDefault="00246FC9" w:rsidP="00A46F13">
            <w:pPr>
              <w:spacing w:before="20" w:after="20"/>
              <w:jc w:val="center"/>
              <w:rPr>
                <w:sz w:val="20"/>
                <w:szCs w:val="20"/>
                <w:lang w:val="es-BO"/>
              </w:rPr>
            </w:pPr>
            <w:r w:rsidRPr="00E238D2">
              <w:rPr>
                <w:sz w:val="20"/>
                <w:szCs w:val="20"/>
                <w:lang w:val="es-BO"/>
              </w:rPr>
              <w:t>Ministerio de Economía y Finanzas</w:t>
            </w:r>
            <w:r>
              <w:rPr>
                <w:sz w:val="20"/>
                <w:szCs w:val="20"/>
                <w:lang w:val="es-BO"/>
              </w:rPr>
              <w:t xml:space="preserve"> Públicas.</w:t>
            </w:r>
          </w:p>
        </w:tc>
        <w:tc>
          <w:tcPr>
            <w:tcW w:w="3404" w:type="dxa"/>
            <w:vAlign w:val="center"/>
          </w:tcPr>
          <w:p w:rsidR="00246FC9" w:rsidRPr="00E238D2" w:rsidRDefault="00246FC9">
            <w:pPr>
              <w:pStyle w:val="Paragraph"/>
              <w:tabs>
                <w:tab w:val="clear" w:pos="1440"/>
              </w:tabs>
              <w:spacing w:before="20" w:after="20"/>
              <w:ind w:left="0" w:firstLine="0"/>
              <w:rPr>
                <w:color w:val="000000" w:themeColor="text1"/>
                <w:sz w:val="20"/>
                <w:lang w:val="es-BO"/>
              </w:rPr>
            </w:pPr>
            <w:r w:rsidRPr="00E238D2">
              <w:rPr>
                <w:color w:val="000000" w:themeColor="text1"/>
                <w:sz w:val="20"/>
                <w:lang w:val="es-BO"/>
              </w:rPr>
              <w:t>Manual de Modificaciones y Compendio de Normas Presupuestarias publicado e informe del VPCF sobre la distribución del Manual.</w:t>
            </w:r>
          </w:p>
        </w:tc>
        <w:tc>
          <w:tcPr>
            <w:tcW w:w="2446" w:type="dxa"/>
            <w:vMerge/>
            <w:tcBorders>
              <w:bottom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1583"/>
          <w:jc w:val="center"/>
        </w:trPr>
        <w:tc>
          <w:tcPr>
            <w:tcW w:w="4266" w:type="dxa"/>
            <w:vAlign w:val="center"/>
          </w:tcPr>
          <w:p w:rsidR="00246FC9" w:rsidRPr="00E238D2" w:rsidRDefault="00246FC9" w:rsidP="00A46F13">
            <w:pPr>
              <w:pStyle w:val="FootnoteText"/>
              <w:tabs>
                <w:tab w:val="left" w:pos="72"/>
                <w:tab w:val="left" w:pos="304"/>
              </w:tabs>
              <w:spacing w:before="20" w:after="20"/>
              <w:ind w:left="394" w:hanging="394"/>
              <w:jc w:val="both"/>
              <w:rPr>
                <w:lang w:val="es-BO"/>
              </w:rPr>
            </w:pPr>
            <w:r>
              <w:rPr>
                <w:lang w:val="es-ES"/>
              </w:rPr>
              <w:t xml:space="preserve">2.4 </w:t>
            </w:r>
            <w:r w:rsidRPr="00E238D2">
              <w:rPr>
                <w:color w:val="000000" w:themeColor="text1"/>
                <w:lang w:val="es-BO"/>
              </w:rPr>
              <w:t>La formulación presupuestaria para la gestión 2014 incorpora las variables macroeconómicas establecidas a partir del marco macro-fiscal.</w:t>
            </w:r>
          </w:p>
        </w:tc>
        <w:tc>
          <w:tcPr>
            <w:tcW w:w="341" w:type="dxa"/>
            <w:shd w:val="clear" w:color="auto" w:fill="auto"/>
            <w:vAlign w:val="center"/>
          </w:tcPr>
          <w:p w:rsidR="00246FC9" w:rsidRPr="00E238D2" w:rsidRDefault="00246FC9" w:rsidP="00A46F13">
            <w:pPr>
              <w:spacing w:before="20" w:after="20"/>
              <w:jc w:val="center"/>
              <w:rPr>
                <w:sz w:val="20"/>
                <w:szCs w:val="20"/>
                <w:lang w:val="es-BO"/>
              </w:rPr>
            </w:pPr>
          </w:p>
        </w:tc>
        <w:tc>
          <w:tcPr>
            <w:tcW w:w="306" w:type="dxa"/>
            <w:shd w:val="clear" w:color="auto" w:fill="auto"/>
            <w:vAlign w:val="center"/>
          </w:tcPr>
          <w:p w:rsidR="00246FC9" w:rsidRPr="00E238D2" w:rsidRDefault="00246FC9" w:rsidP="00A46F13">
            <w:pPr>
              <w:spacing w:before="20" w:after="20"/>
              <w:jc w:val="center"/>
              <w:rPr>
                <w:sz w:val="20"/>
                <w:szCs w:val="20"/>
                <w:lang w:val="es-BO"/>
              </w:rPr>
            </w:pPr>
          </w:p>
        </w:tc>
        <w:tc>
          <w:tcPr>
            <w:tcW w:w="344" w:type="dxa"/>
            <w:shd w:val="clear" w:color="auto" w:fill="auto"/>
            <w:vAlign w:val="center"/>
          </w:tcPr>
          <w:p w:rsidR="00246FC9" w:rsidRPr="00246FC9" w:rsidRDefault="00246FC9" w:rsidP="00A46F13">
            <w:pPr>
              <w:spacing w:before="20" w:after="20"/>
              <w:jc w:val="center"/>
              <w:rPr>
                <w:sz w:val="20"/>
                <w:szCs w:val="20"/>
                <w:lang w:val="es-BO"/>
              </w:rPr>
            </w:pPr>
          </w:p>
        </w:tc>
        <w:tc>
          <w:tcPr>
            <w:tcW w:w="360" w:type="dxa"/>
            <w:shd w:val="clear" w:color="auto" w:fill="auto"/>
            <w:vAlign w:val="center"/>
          </w:tcPr>
          <w:p w:rsidR="00246FC9" w:rsidRDefault="00246FC9" w:rsidP="00A46F13">
            <w:pPr>
              <w:spacing w:before="20" w:after="20"/>
              <w:jc w:val="center"/>
              <w:rPr>
                <w:sz w:val="20"/>
                <w:szCs w:val="20"/>
              </w:rPr>
            </w:pPr>
            <w:r w:rsidRPr="00B30A1C">
              <w:rPr>
                <w:sz w:val="20"/>
                <w:szCs w:val="20"/>
              </w:rPr>
              <w:t>X</w:t>
            </w:r>
          </w:p>
        </w:tc>
        <w:tc>
          <w:tcPr>
            <w:tcW w:w="1526" w:type="dxa"/>
            <w:vAlign w:val="center"/>
          </w:tcPr>
          <w:p w:rsidR="00246FC9" w:rsidRPr="00E238D2" w:rsidRDefault="00246FC9" w:rsidP="00A46F13">
            <w:pPr>
              <w:spacing w:before="20" w:after="20"/>
              <w:jc w:val="center"/>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vAlign w:val="center"/>
          </w:tcPr>
          <w:p w:rsidR="00246FC9" w:rsidRPr="00E238D2" w:rsidRDefault="00246FC9" w:rsidP="00A46F13">
            <w:pPr>
              <w:spacing w:before="20" w:after="20"/>
              <w:jc w:val="both"/>
              <w:rPr>
                <w:sz w:val="20"/>
                <w:szCs w:val="20"/>
                <w:lang w:val="es-BO"/>
              </w:rPr>
            </w:pPr>
            <w:r w:rsidRPr="00E238D2">
              <w:rPr>
                <w:color w:val="000000" w:themeColor="text1"/>
                <w:sz w:val="20"/>
                <w:lang w:val="es-BO"/>
              </w:rPr>
              <w:t>La exposición de motivos considerada en el Anteproyecto de Presupuesto General del Estado 2014 hace referencia a las variables macroeconómicas establecidas a partir del marco macro fiscal.</w:t>
            </w:r>
          </w:p>
        </w:tc>
        <w:tc>
          <w:tcPr>
            <w:tcW w:w="2446" w:type="dxa"/>
            <w:vMerge/>
            <w:tcBorders>
              <w:bottom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440"/>
          <w:jc w:val="center"/>
        </w:trPr>
        <w:tc>
          <w:tcPr>
            <w:tcW w:w="4266" w:type="dxa"/>
            <w:vAlign w:val="center"/>
          </w:tcPr>
          <w:p w:rsidR="00246FC9" w:rsidRPr="00E238D2" w:rsidRDefault="00246FC9" w:rsidP="00A46F13">
            <w:pPr>
              <w:pStyle w:val="ListParagraph"/>
              <w:numPr>
                <w:ilvl w:val="1"/>
                <w:numId w:val="31"/>
              </w:numPr>
              <w:spacing w:before="20" w:after="20"/>
              <w:ind w:left="394"/>
              <w:jc w:val="both"/>
              <w:rPr>
                <w:sz w:val="20"/>
                <w:szCs w:val="20"/>
                <w:lang w:val="es-ES"/>
              </w:rPr>
            </w:pPr>
            <w:r w:rsidRPr="00E238D2">
              <w:rPr>
                <w:color w:val="000000" w:themeColor="text1"/>
                <w:sz w:val="20"/>
                <w:szCs w:val="20"/>
                <w:lang w:val="es-BO"/>
              </w:rPr>
              <w:lastRenderedPageBreak/>
              <w:t>Incorporación de las variables macroeconómicas establecidas en el marco macro fiscal al presupuesto plurianual de 10 empresas públicas nacionales nacionales, a partir del ciclo presupuestario 2013.</w:t>
            </w:r>
          </w:p>
        </w:tc>
        <w:tc>
          <w:tcPr>
            <w:tcW w:w="341" w:type="dxa"/>
            <w:shd w:val="clear" w:color="auto" w:fill="auto"/>
            <w:vAlign w:val="center"/>
          </w:tcPr>
          <w:p w:rsidR="00246FC9" w:rsidRPr="0047412F" w:rsidRDefault="00246FC9" w:rsidP="00A46F13">
            <w:pPr>
              <w:spacing w:before="20" w:after="20"/>
              <w:jc w:val="center"/>
              <w:rPr>
                <w:sz w:val="20"/>
                <w:szCs w:val="20"/>
                <w:lang w:val="es-BO"/>
              </w:rPr>
            </w:pPr>
          </w:p>
        </w:tc>
        <w:tc>
          <w:tcPr>
            <w:tcW w:w="306" w:type="dxa"/>
            <w:shd w:val="clear" w:color="auto" w:fill="auto"/>
            <w:vAlign w:val="center"/>
          </w:tcPr>
          <w:p w:rsidR="00246FC9" w:rsidRPr="0047412F" w:rsidRDefault="00246FC9" w:rsidP="00A46F13">
            <w:pPr>
              <w:spacing w:before="20" w:after="20"/>
              <w:jc w:val="center"/>
              <w:rPr>
                <w:sz w:val="20"/>
                <w:szCs w:val="20"/>
                <w:lang w:val="es-BO"/>
              </w:rPr>
            </w:pPr>
          </w:p>
        </w:tc>
        <w:tc>
          <w:tcPr>
            <w:tcW w:w="344" w:type="dxa"/>
            <w:shd w:val="clear" w:color="auto" w:fill="auto"/>
            <w:vAlign w:val="center"/>
          </w:tcPr>
          <w:p w:rsidR="00246FC9" w:rsidRPr="0047412F" w:rsidRDefault="00246FC9" w:rsidP="00A46F13">
            <w:pPr>
              <w:spacing w:before="20" w:after="20"/>
              <w:jc w:val="center"/>
              <w:rPr>
                <w:sz w:val="20"/>
                <w:szCs w:val="20"/>
                <w:lang w:val="es-BO"/>
              </w:rPr>
            </w:pPr>
          </w:p>
        </w:tc>
        <w:tc>
          <w:tcPr>
            <w:tcW w:w="360" w:type="dxa"/>
            <w:shd w:val="clear" w:color="auto" w:fill="auto"/>
            <w:vAlign w:val="center"/>
          </w:tcPr>
          <w:p w:rsidR="00246FC9" w:rsidRDefault="00246FC9" w:rsidP="00A46F13">
            <w:pPr>
              <w:spacing w:before="20" w:after="20"/>
              <w:jc w:val="center"/>
              <w:rPr>
                <w:sz w:val="20"/>
                <w:szCs w:val="20"/>
              </w:rPr>
            </w:pPr>
            <w:r w:rsidRPr="00B30A1C">
              <w:rPr>
                <w:sz w:val="20"/>
                <w:szCs w:val="20"/>
              </w:rPr>
              <w:t>X</w:t>
            </w:r>
          </w:p>
        </w:tc>
        <w:tc>
          <w:tcPr>
            <w:tcW w:w="1526" w:type="dxa"/>
            <w:vAlign w:val="center"/>
          </w:tcPr>
          <w:p w:rsidR="00246FC9" w:rsidRPr="00E238D2" w:rsidRDefault="00246FC9" w:rsidP="00A46F13">
            <w:pPr>
              <w:spacing w:before="20" w:after="20"/>
              <w:jc w:val="center"/>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vAlign w:val="center"/>
          </w:tcPr>
          <w:p w:rsidR="00246FC9" w:rsidRPr="00E238D2" w:rsidRDefault="00246FC9" w:rsidP="00A46F13">
            <w:pPr>
              <w:spacing w:before="20" w:after="20"/>
              <w:jc w:val="both"/>
              <w:rPr>
                <w:sz w:val="20"/>
                <w:szCs w:val="20"/>
                <w:lang w:val="es-BO"/>
              </w:rPr>
            </w:pPr>
            <w:r w:rsidRPr="00E238D2">
              <w:rPr>
                <w:color w:val="000000" w:themeColor="text1"/>
                <w:sz w:val="20"/>
                <w:lang w:val="es-BO"/>
              </w:rPr>
              <w:t>Informe del VPCF que evidencie que el presupuesto plurianual de 10 empresas públicas nacionales, incorpora, a partir del ciclo presupuestario 2013, las variables macroeconómicas establecidas en el marco macro fiscal.</w:t>
            </w:r>
          </w:p>
        </w:tc>
        <w:tc>
          <w:tcPr>
            <w:tcW w:w="2446" w:type="dxa"/>
            <w:vMerge w:val="restart"/>
            <w:tcBorders>
              <w:top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1538"/>
          <w:jc w:val="center"/>
        </w:trPr>
        <w:tc>
          <w:tcPr>
            <w:tcW w:w="4266" w:type="dxa"/>
            <w:vAlign w:val="center"/>
          </w:tcPr>
          <w:p w:rsidR="00246FC9" w:rsidRPr="00E238D2" w:rsidRDefault="00246FC9" w:rsidP="00A46F13">
            <w:pPr>
              <w:pStyle w:val="subpar"/>
              <w:tabs>
                <w:tab w:val="clear" w:pos="1152"/>
              </w:tabs>
              <w:spacing w:before="20" w:after="20"/>
              <w:ind w:left="394" w:hanging="360"/>
              <w:rPr>
                <w:sz w:val="20"/>
                <w:lang w:val="es-BO"/>
              </w:rPr>
            </w:pPr>
            <w:r>
              <w:rPr>
                <w:color w:val="000000" w:themeColor="text1"/>
                <w:sz w:val="20"/>
                <w:lang w:val="es-BO"/>
              </w:rPr>
              <w:t xml:space="preserve">2.6 </w:t>
            </w:r>
            <w:r w:rsidRPr="00E238D2">
              <w:rPr>
                <w:color w:val="000000" w:themeColor="text1"/>
                <w:sz w:val="20"/>
                <w:lang w:val="es-BO"/>
              </w:rPr>
              <w:t xml:space="preserve">Firma de Convenios de Gestión con 7 entidades públicas de la </w:t>
            </w:r>
            <w:r w:rsidR="004064E5">
              <w:rPr>
                <w:color w:val="000000" w:themeColor="text1"/>
                <w:sz w:val="20"/>
                <w:lang w:val="es-BO"/>
              </w:rPr>
              <w:t>A</w:t>
            </w:r>
            <w:r w:rsidRPr="00E238D2">
              <w:rPr>
                <w:color w:val="000000" w:themeColor="text1"/>
                <w:sz w:val="20"/>
                <w:lang w:val="es-BO"/>
              </w:rPr>
              <w:t xml:space="preserve">dministración </w:t>
            </w:r>
            <w:r w:rsidR="004064E5">
              <w:rPr>
                <w:color w:val="000000" w:themeColor="text1"/>
                <w:sz w:val="20"/>
                <w:lang w:val="es-BO"/>
              </w:rPr>
              <w:t>C</w:t>
            </w:r>
            <w:r w:rsidRPr="00E238D2">
              <w:rPr>
                <w:color w:val="000000" w:themeColor="text1"/>
                <w:sz w:val="20"/>
                <w:lang w:val="es-BO"/>
              </w:rPr>
              <w:t>entral y avance sustancial en la ejecución.</w:t>
            </w:r>
          </w:p>
        </w:tc>
        <w:tc>
          <w:tcPr>
            <w:tcW w:w="341" w:type="dxa"/>
            <w:shd w:val="clear" w:color="auto" w:fill="auto"/>
            <w:vAlign w:val="center"/>
          </w:tcPr>
          <w:p w:rsidR="00246FC9" w:rsidRPr="00E238D2" w:rsidRDefault="00246FC9" w:rsidP="00A46F13">
            <w:pPr>
              <w:spacing w:before="20" w:after="20"/>
              <w:jc w:val="center"/>
              <w:rPr>
                <w:sz w:val="20"/>
                <w:szCs w:val="20"/>
                <w:lang w:val="es-BO"/>
              </w:rPr>
            </w:pPr>
          </w:p>
        </w:tc>
        <w:tc>
          <w:tcPr>
            <w:tcW w:w="306" w:type="dxa"/>
            <w:shd w:val="clear" w:color="auto" w:fill="auto"/>
            <w:vAlign w:val="center"/>
          </w:tcPr>
          <w:p w:rsidR="00246FC9" w:rsidRPr="00E238D2" w:rsidRDefault="00246FC9" w:rsidP="00A46F13">
            <w:pPr>
              <w:spacing w:before="20" w:after="20"/>
              <w:jc w:val="center"/>
              <w:rPr>
                <w:sz w:val="20"/>
                <w:szCs w:val="20"/>
                <w:lang w:val="es-BO"/>
              </w:rPr>
            </w:pPr>
          </w:p>
        </w:tc>
        <w:tc>
          <w:tcPr>
            <w:tcW w:w="344" w:type="dxa"/>
            <w:shd w:val="clear" w:color="auto" w:fill="auto"/>
            <w:vAlign w:val="center"/>
          </w:tcPr>
          <w:p w:rsidR="00246FC9" w:rsidRPr="00246FC9" w:rsidRDefault="00246FC9" w:rsidP="00A46F13">
            <w:pPr>
              <w:spacing w:before="20" w:after="20"/>
              <w:jc w:val="center"/>
              <w:rPr>
                <w:sz w:val="20"/>
                <w:szCs w:val="20"/>
                <w:lang w:val="es-BO"/>
              </w:rPr>
            </w:pPr>
          </w:p>
        </w:tc>
        <w:tc>
          <w:tcPr>
            <w:tcW w:w="360" w:type="dxa"/>
            <w:shd w:val="clear" w:color="auto" w:fill="auto"/>
            <w:vAlign w:val="center"/>
          </w:tcPr>
          <w:p w:rsidR="00246FC9" w:rsidRDefault="00246FC9" w:rsidP="00A46F13">
            <w:pPr>
              <w:spacing w:before="20" w:after="20"/>
              <w:jc w:val="center"/>
              <w:rPr>
                <w:sz w:val="20"/>
                <w:szCs w:val="20"/>
              </w:rPr>
            </w:pPr>
            <w:r w:rsidRPr="00B30A1C">
              <w:rPr>
                <w:sz w:val="20"/>
                <w:szCs w:val="20"/>
              </w:rPr>
              <w:t>X</w:t>
            </w:r>
          </w:p>
        </w:tc>
        <w:tc>
          <w:tcPr>
            <w:tcW w:w="1526" w:type="dxa"/>
            <w:vAlign w:val="center"/>
          </w:tcPr>
          <w:p w:rsidR="00246FC9" w:rsidRPr="00E238D2"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E238D2" w:rsidRDefault="00246FC9" w:rsidP="00A46F13">
            <w:pPr>
              <w:spacing w:before="20" w:after="20"/>
              <w:jc w:val="both"/>
              <w:rPr>
                <w:sz w:val="20"/>
                <w:szCs w:val="20"/>
                <w:lang w:val="es-BO"/>
              </w:rPr>
            </w:pPr>
            <w:r w:rsidRPr="00E238D2">
              <w:rPr>
                <w:color w:val="000000" w:themeColor="text1"/>
                <w:sz w:val="20"/>
                <w:lang w:val="es-BO"/>
              </w:rPr>
              <w:t>Convenios firmados entre el MEFP y el SIN, ANB, SENASIR, ASPB, RUAT, AIT y AJ, e informe de los Viceministerios que correspondan respecto del cumplimiento de las metas de los convenios.</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1988"/>
          <w:jc w:val="center"/>
        </w:trPr>
        <w:tc>
          <w:tcPr>
            <w:tcW w:w="4266" w:type="dxa"/>
            <w:vAlign w:val="center"/>
          </w:tcPr>
          <w:p w:rsidR="00246FC9" w:rsidRPr="00E238D2" w:rsidRDefault="00246FC9" w:rsidP="00A46F13">
            <w:pPr>
              <w:pStyle w:val="subpar"/>
              <w:tabs>
                <w:tab w:val="clear" w:pos="1152"/>
              </w:tabs>
              <w:spacing w:before="20" w:after="20"/>
              <w:ind w:left="394" w:hanging="360"/>
              <w:rPr>
                <w:sz w:val="20"/>
                <w:lang w:val="es-BO"/>
              </w:rPr>
            </w:pPr>
            <w:r>
              <w:rPr>
                <w:color w:val="000000" w:themeColor="text1"/>
                <w:sz w:val="20"/>
                <w:lang w:val="es-BO"/>
              </w:rPr>
              <w:t xml:space="preserve">2.7 </w:t>
            </w:r>
            <w:r w:rsidRPr="00E238D2">
              <w:rPr>
                <w:color w:val="000000" w:themeColor="text1"/>
                <w:sz w:val="20"/>
                <w:lang w:val="es-BO"/>
              </w:rPr>
              <w:t>Las Directrices Presupuestarias para el Presupuesto 2014, integran los objetivos de gestión institucional de las entidades públicas con la programación presupuestaria para la formulación del Presupuesto General del Estado</w:t>
            </w:r>
            <w:r w:rsidR="00CA34DF">
              <w:rPr>
                <w:color w:val="000000" w:themeColor="text1"/>
                <w:sz w:val="20"/>
                <w:lang w:val="es-BO"/>
              </w:rPr>
              <w:t>.</w:t>
            </w:r>
          </w:p>
        </w:tc>
        <w:tc>
          <w:tcPr>
            <w:tcW w:w="341" w:type="dxa"/>
            <w:shd w:val="clear" w:color="auto" w:fill="auto"/>
            <w:vAlign w:val="center"/>
          </w:tcPr>
          <w:p w:rsidR="00246FC9"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sidRPr="00B30A1C">
              <w:rPr>
                <w:sz w:val="20"/>
                <w:szCs w:val="20"/>
                <w:lang w:val="es-ES_tradnl"/>
              </w:rPr>
              <w:t>X</w:t>
            </w:r>
          </w:p>
        </w:tc>
        <w:tc>
          <w:tcPr>
            <w:tcW w:w="1526" w:type="dxa"/>
            <w:vAlign w:val="center"/>
          </w:tcPr>
          <w:p w:rsidR="00246FC9" w:rsidRPr="00B06A15" w:rsidRDefault="00246FC9" w:rsidP="00A46F13">
            <w:pPr>
              <w:spacing w:before="20" w:after="20"/>
              <w:rPr>
                <w:sz w:val="20"/>
                <w:szCs w:val="20"/>
                <w:lang w:val="es-ES_tradnl"/>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CD6C31" w:rsidRDefault="00246FC9" w:rsidP="00A46F13">
            <w:pPr>
              <w:spacing w:before="20" w:after="20"/>
              <w:jc w:val="both"/>
              <w:rPr>
                <w:sz w:val="20"/>
                <w:szCs w:val="20"/>
                <w:lang w:val="es-BO"/>
              </w:rPr>
            </w:pPr>
            <w:r w:rsidRPr="00CD6C31">
              <w:rPr>
                <w:color w:val="000000" w:themeColor="text1"/>
                <w:spacing w:val="-2"/>
                <w:sz w:val="20"/>
                <w:lang w:val="es-BO"/>
              </w:rPr>
              <w:t xml:space="preserve">Resolución Ministerial del MEFP que aprueba las Directrices Presupuestarias para el presupuesto 2014 que </w:t>
            </w:r>
            <w:r w:rsidRPr="00CD6C31">
              <w:rPr>
                <w:color w:val="000000" w:themeColor="text1"/>
                <w:sz w:val="20"/>
                <w:lang w:val="es-BO"/>
              </w:rPr>
              <w:t>integran los objetivos de gestión institucional de las entidades públicas con la programación presupuestaria para la formulación del Presupuesto General del Estado</w:t>
            </w:r>
            <w:r w:rsidR="009516C2">
              <w:rPr>
                <w:color w:val="000000" w:themeColor="text1"/>
                <w:sz w:val="20"/>
                <w:lang w:val="es-BO"/>
              </w:rPr>
              <w:t>.</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3338"/>
          <w:jc w:val="center"/>
        </w:trPr>
        <w:tc>
          <w:tcPr>
            <w:tcW w:w="4266" w:type="dxa"/>
            <w:vAlign w:val="center"/>
          </w:tcPr>
          <w:p w:rsidR="00246FC9" w:rsidRPr="003750FA" w:rsidRDefault="00246FC9" w:rsidP="00A46F13">
            <w:pPr>
              <w:pStyle w:val="subpar"/>
              <w:tabs>
                <w:tab w:val="clear" w:pos="1152"/>
              </w:tabs>
              <w:spacing w:before="20" w:after="20"/>
              <w:ind w:left="381" w:hanging="360"/>
              <w:rPr>
                <w:color w:val="000000" w:themeColor="text1"/>
                <w:sz w:val="20"/>
                <w:lang w:val="es-BO"/>
              </w:rPr>
            </w:pPr>
            <w:r w:rsidRPr="003750FA">
              <w:rPr>
                <w:color w:val="000000" w:themeColor="text1"/>
                <w:spacing w:val="-2"/>
                <w:sz w:val="20"/>
                <w:lang w:val="es-BO"/>
              </w:rPr>
              <w:t>2.8</w:t>
            </w:r>
            <w:r w:rsidR="00CA34DF">
              <w:rPr>
                <w:color w:val="000000" w:themeColor="text1"/>
                <w:spacing w:val="-2"/>
                <w:sz w:val="20"/>
                <w:lang w:val="es-BO"/>
              </w:rPr>
              <w:t xml:space="preserve"> </w:t>
            </w:r>
            <w:r w:rsidRPr="003750FA">
              <w:rPr>
                <w:color w:val="000000" w:themeColor="text1"/>
                <w:spacing w:val="-2"/>
                <w:sz w:val="20"/>
                <w:lang w:val="es-BO"/>
              </w:rPr>
              <w:t>Directrices</w:t>
            </w:r>
            <w:r w:rsidR="00CA34DF">
              <w:rPr>
                <w:color w:val="000000" w:themeColor="text1"/>
                <w:spacing w:val="-2"/>
                <w:sz w:val="20"/>
                <w:lang w:val="es-BO"/>
              </w:rPr>
              <w:t xml:space="preserve"> de</w:t>
            </w:r>
            <w:r w:rsidRPr="003750FA">
              <w:rPr>
                <w:color w:val="000000" w:themeColor="text1"/>
                <w:spacing w:val="-2"/>
                <w:sz w:val="20"/>
                <w:lang w:val="es-BO"/>
              </w:rPr>
              <w:t xml:space="preserve"> Inversión Pública para la Formulación del</w:t>
            </w:r>
            <w:r w:rsidR="00CA34DF">
              <w:rPr>
                <w:color w:val="000000" w:themeColor="text1"/>
                <w:spacing w:val="-2"/>
                <w:sz w:val="20"/>
                <w:lang w:val="es-BO"/>
              </w:rPr>
              <w:t xml:space="preserve"> </w:t>
            </w:r>
            <w:r w:rsidRPr="003750FA">
              <w:rPr>
                <w:color w:val="000000" w:themeColor="text1"/>
                <w:spacing w:val="-2"/>
                <w:sz w:val="20"/>
                <w:lang w:val="es-BO"/>
              </w:rPr>
              <w:t>Presupuesto</w:t>
            </w:r>
            <w:r w:rsidR="00CA34DF">
              <w:rPr>
                <w:color w:val="000000" w:themeColor="text1"/>
                <w:spacing w:val="-2"/>
                <w:sz w:val="20"/>
                <w:lang w:val="es-BO"/>
              </w:rPr>
              <w:t xml:space="preserve"> </w:t>
            </w:r>
            <w:r w:rsidRPr="003750FA">
              <w:rPr>
                <w:color w:val="000000" w:themeColor="text1"/>
                <w:spacing w:val="-2"/>
                <w:sz w:val="20"/>
                <w:lang w:val="es-BO"/>
              </w:rPr>
              <w:t xml:space="preserve">2014 que incluyan </w:t>
            </w:r>
            <w:r w:rsidRPr="003750FA">
              <w:rPr>
                <w:lang w:val="es-BO"/>
              </w:rPr>
              <w:t xml:space="preserve"> </w:t>
            </w:r>
            <w:r w:rsidRPr="003750FA">
              <w:rPr>
                <w:color w:val="000000" w:themeColor="text1"/>
                <w:spacing w:val="-2"/>
                <w:sz w:val="20"/>
                <w:lang w:val="es-BO"/>
              </w:rPr>
              <w:t xml:space="preserve">lineamientos y procedimientos para: (i) la formulación del presupuesto de inversión para las diferentes entidades del nivel central, las empresas públicas, </w:t>
            </w:r>
            <w:r w:rsidR="00CA34DF">
              <w:rPr>
                <w:color w:val="000000" w:themeColor="text1"/>
                <w:spacing w:val="-2"/>
                <w:sz w:val="20"/>
                <w:lang w:val="es-BO"/>
              </w:rPr>
              <w:t>u</w:t>
            </w:r>
            <w:r w:rsidRPr="003750FA">
              <w:rPr>
                <w:color w:val="000000" w:themeColor="text1"/>
                <w:spacing w:val="-2"/>
                <w:sz w:val="20"/>
                <w:lang w:val="es-BO"/>
              </w:rPr>
              <w:t>niversidades y del nivel territorial; (ii) elaboración y registro de los presupuestos anuales de las entidades; (iii</w:t>
            </w:r>
            <w:r w:rsidR="00FD7EFA" w:rsidRPr="003750FA">
              <w:rPr>
                <w:color w:val="000000" w:themeColor="text1"/>
                <w:spacing w:val="-2"/>
                <w:sz w:val="20"/>
                <w:lang w:val="es-BO"/>
              </w:rPr>
              <w:t>)</w:t>
            </w:r>
            <w:r w:rsidR="00FD7EFA">
              <w:rPr>
                <w:color w:val="000000" w:themeColor="text1"/>
                <w:spacing w:val="-2"/>
                <w:sz w:val="20"/>
                <w:lang w:val="es-BO"/>
              </w:rPr>
              <w:t> </w:t>
            </w:r>
            <w:r w:rsidRPr="003750FA">
              <w:rPr>
                <w:color w:val="000000" w:themeColor="text1"/>
                <w:spacing w:val="-2"/>
                <w:sz w:val="20"/>
                <w:lang w:val="es-BO"/>
              </w:rPr>
              <w:t>inversión capitalizable y no capitalizable; y (iv) revisión y adecuación de las partidas de gasto asociadas a proyectos de inversión.</w:t>
            </w:r>
          </w:p>
        </w:tc>
        <w:tc>
          <w:tcPr>
            <w:tcW w:w="341" w:type="dxa"/>
            <w:shd w:val="clear" w:color="auto" w:fill="auto"/>
            <w:vAlign w:val="center"/>
          </w:tcPr>
          <w:p w:rsidR="00246FC9" w:rsidRPr="003750FA" w:rsidRDefault="00246FC9" w:rsidP="00A46F13">
            <w:pPr>
              <w:spacing w:before="20" w:after="20"/>
              <w:jc w:val="center"/>
              <w:rPr>
                <w:sz w:val="20"/>
                <w:szCs w:val="20"/>
                <w:lang w:val="es-ES_tradnl"/>
              </w:rPr>
            </w:pPr>
          </w:p>
        </w:tc>
        <w:tc>
          <w:tcPr>
            <w:tcW w:w="306" w:type="dxa"/>
            <w:shd w:val="clear" w:color="auto" w:fill="auto"/>
            <w:vAlign w:val="center"/>
          </w:tcPr>
          <w:p w:rsidR="00246FC9" w:rsidRPr="003750FA" w:rsidRDefault="00246FC9" w:rsidP="00A46F13">
            <w:pPr>
              <w:spacing w:before="20" w:after="20"/>
              <w:jc w:val="center"/>
              <w:rPr>
                <w:sz w:val="20"/>
                <w:szCs w:val="20"/>
                <w:lang w:val="es-ES_tradnl"/>
              </w:rPr>
            </w:pPr>
          </w:p>
        </w:tc>
        <w:tc>
          <w:tcPr>
            <w:tcW w:w="344" w:type="dxa"/>
            <w:shd w:val="clear" w:color="auto" w:fill="auto"/>
            <w:vAlign w:val="center"/>
          </w:tcPr>
          <w:p w:rsidR="00246FC9" w:rsidRPr="003750FA" w:rsidRDefault="00246FC9" w:rsidP="00A46F13">
            <w:pPr>
              <w:spacing w:before="20" w:after="20"/>
              <w:jc w:val="center"/>
              <w:rPr>
                <w:sz w:val="20"/>
                <w:szCs w:val="20"/>
                <w:lang w:val="es-ES_tradnl"/>
              </w:rPr>
            </w:pPr>
          </w:p>
        </w:tc>
        <w:tc>
          <w:tcPr>
            <w:tcW w:w="360" w:type="dxa"/>
            <w:shd w:val="clear" w:color="auto" w:fill="auto"/>
            <w:vAlign w:val="center"/>
          </w:tcPr>
          <w:p w:rsidR="00246FC9" w:rsidRPr="003750FA" w:rsidRDefault="00246FC9" w:rsidP="00A46F13">
            <w:pPr>
              <w:spacing w:before="20" w:after="20"/>
              <w:jc w:val="center"/>
              <w:rPr>
                <w:sz w:val="20"/>
                <w:szCs w:val="20"/>
                <w:lang w:val="es-ES_tradnl"/>
              </w:rPr>
            </w:pPr>
            <w:r w:rsidRPr="003750FA">
              <w:rPr>
                <w:sz w:val="20"/>
                <w:szCs w:val="20"/>
                <w:lang w:val="es-ES_tradnl"/>
              </w:rPr>
              <w:t>X</w:t>
            </w:r>
          </w:p>
        </w:tc>
        <w:tc>
          <w:tcPr>
            <w:tcW w:w="1526" w:type="dxa"/>
            <w:vAlign w:val="center"/>
          </w:tcPr>
          <w:p w:rsidR="00246FC9" w:rsidRPr="003750FA" w:rsidRDefault="00246FC9" w:rsidP="00A46F13">
            <w:pPr>
              <w:spacing w:before="20" w:after="20"/>
              <w:rPr>
                <w:sz w:val="20"/>
                <w:szCs w:val="20"/>
                <w:lang w:val="es-ES_tradnl"/>
              </w:rPr>
            </w:pPr>
            <w:r w:rsidRPr="003750FA">
              <w:rPr>
                <w:sz w:val="20"/>
                <w:szCs w:val="20"/>
                <w:lang w:val="es-BO"/>
              </w:rPr>
              <w:t>Ministerio de Planificación del Desarrollo.</w:t>
            </w:r>
          </w:p>
        </w:tc>
        <w:tc>
          <w:tcPr>
            <w:tcW w:w="3404" w:type="dxa"/>
          </w:tcPr>
          <w:p w:rsidR="00246FC9" w:rsidRPr="003750FA" w:rsidRDefault="009516C2" w:rsidP="00A46F13">
            <w:pPr>
              <w:spacing w:before="20" w:after="20"/>
              <w:jc w:val="both"/>
              <w:rPr>
                <w:sz w:val="20"/>
                <w:szCs w:val="20"/>
                <w:lang w:val="es-BO"/>
              </w:rPr>
            </w:pPr>
            <w:r>
              <w:rPr>
                <w:color w:val="000000" w:themeColor="text1"/>
                <w:spacing w:val="-2"/>
                <w:sz w:val="20"/>
                <w:lang w:val="es-BO"/>
              </w:rPr>
              <w:t>Resolución Ministerial d</w:t>
            </w:r>
            <w:r w:rsidR="00246FC9" w:rsidRPr="003750FA">
              <w:rPr>
                <w:color w:val="000000" w:themeColor="text1"/>
                <w:spacing w:val="-2"/>
                <w:sz w:val="20"/>
                <w:lang w:val="es-BO"/>
              </w:rPr>
              <w:t xml:space="preserve">el MPD que aprueba las Directrices de Inversión Pública que incluyan  lineamientos y procedimientos para: (i) la formulación del presupuesto de inversión para las diferentes entidades del nivel central, las empresas públicas, </w:t>
            </w:r>
            <w:r>
              <w:rPr>
                <w:color w:val="000000" w:themeColor="text1"/>
                <w:spacing w:val="-2"/>
                <w:sz w:val="20"/>
                <w:lang w:val="es-BO"/>
              </w:rPr>
              <w:t>u</w:t>
            </w:r>
            <w:r w:rsidR="00246FC9" w:rsidRPr="003750FA">
              <w:rPr>
                <w:color w:val="000000" w:themeColor="text1"/>
                <w:spacing w:val="-2"/>
                <w:sz w:val="20"/>
                <w:lang w:val="es-BO"/>
              </w:rPr>
              <w:t>niversidades y del nivel territorial; (ii) elaboración y registro de los presupuestos anuales de las entidades; (iii) inversión capitalizable y no capitalizable; y (iv</w:t>
            </w:r>
            <w:r w:rsidR="00820CBF" w:rsidRPr="003750FA">
              <w:rPr>
                <w:color w:val="000000" w:themeColor="text1"/>
                <w:spacing w:val="-2"/>
                <w:sz w:val="20"/>
                <w:lang w:val="es-BO"/>
              </w:rPr>
              <w:t>)</w:t>
            </w:r>
            <w:r w:rsidR="00820CBF">
              <w:rPr>
                <w:color w:val="000000" w:themeColor="text1"/>
                <w:spacing w:val="-2"/>
                <w:sz w:val="20"/>
                <w:lang w:val="es-BO"/>
              </w:rPr>
              <w:t> </w:t>
            </w:r>
            <w:r w:rsidR="00246FC9" w:rsidRPr="003750FA">
              <w:rPr>
                <w:color w:val="000000" w:themeColor="text1"/>
                <w:spacing w:val="-2"/>
                <w:sz w:val="20"/>
                <w:lang w:val="es-BO"/>
              </w:rPr>
              <w:t>revisión y adecuación de las partidas de gasto asociadas a proyectos de inversión.</w:t>
            </w:r>
          </w:p>
        </w:tc>
        <w:tc>
          <w:tcPr>
            <w:tcW w:w="2446" w:type="dxa"/>
            <w:vMerge/>
            <w:tcBorders>
              <w:bottom w:val="single" w:sz="4" w:space="0" w:color="000000"/>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1772"/>
          <w:jc w:val="center"/>
        </w:trPr>
        <w:tc>
          <w:tcPr>
            <w:tcW w:w="4266" w:type="dxa"/>
            <w:tcBorders>
              <w:bottom w:val="single" w:sz="4" w:space="0" w:color="auto"/>
            </w:tcBorders>
            <w:vAlign w:val="center"/>
          </w:tcPr>
          <w:p w:rsidR="00FD7EFA" w:rsidRPr="00A46F13" w:rsidRDefault="00246FC9" w:rsidP="00A46F13">
            <w:pPr>
              <w:pStyle w:val="Paragraph"/>
              <w:tabs>
                <w:tab w:val="clear" w:pos="1440"/>
              </w:tabs>
              <w:spacing w:before="20" w:after="20"/>
              <w:ind w:left="381" w:hanging="360"/>
              <w:rPr>
                <w:color w:val="000000" w:themeColor="text1"/>
                <w:sz w:val="20"/>
                <w:lang w:val="es-BO"/>
              </w:rPr>
            </w:pPr>
            <w:r w:rsidRPr="00A46F13">
              <w:rPr>
                <w:color w:val="000000" w:themeColor="text1"/>
                <w:sz w:val="20"/>
                <w:lang w:val="es-BO"/>
              </w:rPr>
              <w:lastRenderedPageBreak/>
              <w:t>3.1 Avance en la política de expansión de la cobertura de los sistemas de gestión fiscal:</w:t>
            </w:r>
          </w:p>
          <w:p w:rsidR="00FD7EFA" w:rsidRPr="00A46F13" w:rsidRDefault="00246FC9" w:rsidP="00A46F13">
            <w:pPr>
              <w:pStyle w:val="Paragraph"/>
              <w:numPr>
                <w:ilvl w:val="0"/>
                <w:numId w:val="48"/>
              </w:numPr>
              <w:spacing w:before="20" w:after="20"/>
              <w:rPr>
                <w:color w:val="000000" w:themeColor="text1"/>
                <w:sz w:val="20"/>
                <w:lang w:val="es-BO"/>
              </w:rPr>
            </w:pPr>
            <w:r w:rsidRPr="00A46F13">
              <w:rPr>
                <w:color w:val="000000" w:themeColor="text1"/>
                <w:sz w:val="20"/>
                <w:lang w:val="es-BO"/>
              </w:rPr>
              <w:t>SIGEP en línea implantado y operando con los módulos de presupuesto, tesorería y contabilidad en 110 entidades sub nacionales.</w:t>
            </w:r>
          </w:p>
          <w:p w:rsidR="00246FC9" w:rsidRPr="00A46F13" w:rsidRDefault="00246FC9" w:rsidP="00A46F13">
            <w:pPr>
              <w:pStyle w:val="Paragraph"/>
              <w:numPr>
                <w:ilvl w:val="0"/>
                <w:numId w:val="48"/>
              </w:numPr>
              <w:spacing w:before="20" w:after="20"/>
              <w:rPr>
                <w:color w:val="000000" w:themeColor="text1"/>
                <w:sz w:val="20"/>
                <w:lang w:val="es-BO"/>
              </w:rPr>
            </w:pPr>
            <w:r w:rsidRPr="00A46F13">
              <w:rPr>
                <w:color w:val="000000" w:themeColor="text1"/>
                <w:sz w:val="20"/>
                <w:lang w:val="es-BO"/>
              </w:rPr>
              <w:t>SIGEP móvil implantado y operando en 150 entidades sub nacionales.</w:t>
            </w:r>
          </w:p>
        </w:tc>
        <w:tc>
          <w:tcPr>
            <w:tcW w:w="341" w:type="dxa"/>
            <w:tcBorders>
              <w:bottom w:val="single" w:sz="4" w:space="0" w:color="auto"/>
            </w:tcBorders>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tcBorders>
              <w:bottom w:val="single" w:sz="4" w:space="0" w:color="auto"/>
            </w:tcBorders>
            <w:shd w:val="clear" w:color="auto" w:fill="auto"/>
            <w:vAlign w:val="center"/>
          </w:tcPr>
          <w:p w:rsidR="00246FC9" w:rsidRDefault="00246FC9" w:rsidP="00A46F13">
            <w:pPr>
              <w:spacing w:before="20" w:after="20"/>
              <w:jc w:val="center"/>
              <w:rPr>
                <w:sz w:val="20"/>
                <w:szCs w:val="20"/>
                <w:lang w:val="es-ES_tradnl"/>
              </w:rPr>
            </w:pPr>
          </w:p>
        </w:tc>
        <w:tc>
          <w:tcPr>
            <w:tcW w:w="344" w:type="dxa"/>
            <w:tcBorders>
              <w:bottom w:val="single" w:sz="4" w:space="0" w:color="auto"/>
            </w:tcBorders>
            <w:shd w:val="clear" w:color="auto" w:fill="auto"/>
            <w:vAlign w:val="center"/>
          </w:tcPr>
          <w:p w:rsidR="00246FC9" w:rsidRDefault="00246FC9" w:rsidP="00A46F13">
            <w:pPr>
              <w:spacing w:before="20" w:after="20"/>
              <w:jc w:val="center"/>
              <w:rPr>
                <w:sz w:val="20"/>
                <w:szCs w:val="20"/>
                <w:lang w:val="es-ES_tradnl"/>
              </w:rPr>
            </w:pPr>
          </w:p>
        </w:tc>
        <w:tc>
          <w:tcPr>
            <w:tcW w:w="360" w:type="dxa"/>
            <w:tcBorders>
              <w:bottom w:val="single" w:sz="4" w:space="0" w:color="auto"/>
            </w:tcBorders>
            <w:shd w:val="clear" w:color="auto" w:fill="auto"/>
            <w:vAlign w:val="center"/>
          </w:tcPr>
          <w:p w:rsidR="00246FC9" w:rsidRDefault="00246FC9" w:rsidP="00A46F13">
            <w:pPr>
              <w:spacing w:before="20" w:after="20"/>
              <w:jc w:val="center"/>
              <w:rPr>
                <w:sz w:val="20"/>
                <w:szCs w:val="20"/>
                <w:lang w:val="es-ES_tradnl"/>
              </w:rPr>
            </w:pPr>
            <w:r w:rsidRPr="00B30A1C">
              <w:rPr>
                <w:sz w:val="20"/>
                <w:szCs w:val="20"/>
                <w:lang w:val="es-ES_tradnl"/>
              </w:rPr>
              <w:t>X</w:t>
            </w:r>
          </w:p>
        </w:tc>
        <w:tc>
          <w:tcPr>
            <w:tcW w:w="1526" w:type="dxa"/>
            <w:tcBorders>
              <w:bottom w:val="single" w:sz="4" w:space="0" w:color="auto"/>
            </w:tcBorders>
            <w:vAlign w:val="center"/>
          </w:tcPr>
          <w:p w:rsidR="00246FC9" w:rsidRPr="00B06A15" w:rsidRDefault="00246FC9" w:rsidP="00A46F13">
            <w:pPr>
              <w:spacing w:before="20" w:after="20"/>
              <w:rPr>
                <w:sz w:val="20"/>
                <w:szCs w:val="20"/>
                <w:lang w:val="es-ES_tradnl"/>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Borders>
              <w:bottom w:val="single" w:sz="4" w:space="0" w:color="auto"/>
            </w:tcBorders>
          </w:tcPr>
          <w:p w:rsidR="00246FC9" w:rsidRPr="00CD6C31" w:rsidRDefault="00246FC9" w:rsidP="00A46F13">
            <w:pPr>
              <w:spacing w:before="20" w:after="20"/>
              <w:jc w:val="both"/>
              <w:rPr>
                <w:sz w:val="20"/>
                <w:szCs w:val="20"/>
                <w:lang w:val="es-BO"/>
              </w:rPr>
            </w:pPr>
            <w:r>
              <w:rPr>
                <w:color w:val="000000" w:themeColor="text1"/>
                <w:sz w:val="20"/>
                <w:lang w:val="es-BO"/>
              </w:rPr>
              <w:t>Informe de consultoría independiente que acredite el cumplimiento de la meta en base a los reportes del SIGEP (para entidades en línea) y del sistema centralizador de recursos y gastos para entidades con SIGEP móvil.</w:t>
            </w:r>
          </w:p>
        </w:tc>
        <w:tc>
          <w:tcPr>
            <w:tcW w:w="2446" w:type="dxa"/>
            <w:vMerge w:val="restart"/>
            <w:tcBorders>
              <w:bottom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tcBorders>
              <w:top w:val="single" w:sz="4" w:space="0" w:color="auto"/>
              <w:left w:val="single" w:sz="4" w:space="0" w:color="auto"/>
              <w:bottom w:val="single" w:sz="4" w:space="0" w:color="auto"/>
            </w:tcBorders>
            <w:vAlign w:val="center"/>
          </w:tcPr>
          <w:p w:rsidR="00246FC9" w:rsidRDefault="00246FC9" w:rsidP="00A46F13">
            <w:pPr>
              <w:pStyle w:val="subpar"/>
              <w:tabs>
                <w:tab w:val="clear" w:pos="1152"/>
              </w:tabs>
              <w:spacing w:before="20" w:after="20"/>
              <w:ind w:left="304" w:hanging="360"/>
              <w:rPr>
                <w:color w:val="000000" w:themeColor="text1"/>
                <w:sz w:val="20"/>
                <w:lang w:val="es-BO"/>
              </w:rPr>
            </w:pPr>
            <w:r>
              <w:rPr>
                <w:color w:val="000000" w:themeColor="text1"/>
                <w:sz w:val="20"/>
                <w:lang w:val="es-ES_tradnl"/>
              </w:rPr>
              <w:t>3.2 Consolidación de la política de estandarización y centralización de la  información fiscal de la administración pública central y subnacional, mediante el uso de formatos estandarizados para el envío de información al MEFP.</w:t>
            </w:r>
          </w:p>
        </w:tc>
        <w:tc>
          <w:tcPr>
            <w:tcW w:w="341" w:type="dxa"/>
            <w:tcBorders>
              <w:top w:val="single" w:sz="4" w:space="0" w:color="auto"/>
              <w:bottom w:val="single" w:sz="4" w:space="0" w:color="auto"/>
            </w:tcBorders>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tcBorders>
              <w:top w:val="single" w:sz="4" w:space="0" w:color="auto"/>
              <w:bottom w:val="single" w:sz="4" w:space="0" w:color="auto"/>
            </w:tcBorders>
            <w:shd w:val="clear" w:color="auto" w:fill="auto"/>
            <w:vAlign w:val="center"/>
          </w:tcPr>
          <w:p w:rsidR="00246FC9" w:rsidRDefault="00246FC9" w:rsidP="00A46F13">
            <w:pPr>
              <w:spacing w:before="20" w:after="20"/>
              <w:jc w:val="center"/>
              <w:rPr>
                <w:sz w:val="20"/>
                <w:szCs w:val="20"/>
                <w:lang w:val="es-ES_tradnl"/>
              </w:rPr>
            </w:pPr>
          </w:p>
        </w:tc>
        <w:tc>
          <w:tcPr>
            <w:tcW w:w="344" w:type="dxa"/>
            <w:tcBorders>
              <w:top w:val="single" w:sz="4" w:space="0" w:color="auto"/>
              <w:bottom w:val="single" w:sz="4" w:space="0" w:color="auto"/>
            </w:tcBorders>
            <w:shd w:val="clear" w:color="auto" w:fill="auto"/>
            <w:vAlign w:val="center"/>
          </w:tcPr>
          <w:p w:rsidR="00246FC9" w:rsidRDefault="00246FC9" w:rsidP="00A46F13">
            <w:pPr>
              <w:spacing w:before="20" w:after="20"/>
              <w:jc w:val="center"/>
              <w:rPr>
                <w:sz w:val="20"/>
                <w:szCs w:val="20"/>
                <w:lang w:val="es-ES_tradnl"/>
              </w:rPr>
            </w:pPr>
          </w:p>
        </w:tc>
        <w:tc>
          <w:tcPr>
            <w:tcW w:w="360" w:type="dxa"/>
            <w:tcBorders>
              <w:top w:val="single" w:sz="4" w:space="0" w:color="auto"/>
              <w:bottom w:val="single" w:sz="4" w:space="0" w:color="auto"/>
            </w:tcBorders>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tcBorders>
              <w:top w:val="single" w:sz="4" w:space="0" w:color="auto"/>
              <w:bottom w:val="single" w:sz="4" w:space="0" w:color="auto"/>
            </w:tcBorders>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Borders>
              <w:top w:val="single" w:sz="4" w:space="0" w:color="auto"/>
              <w:bottom w:val="single" w:sz="4" w:space="0" w:color="auto"/>
            </w:tcBorders>
          </w:tcPr>
          <w:p w:rsidR="00246FC9" w:rsidRPr="00CD6C31" w:rsidRDefault="00246FC9" w:rsidP="00A46F13">
            <w:pPr>
              <w:spacing w:before="20" w:after="20"/>
              <w:jc w:val="both"/>
              <w:rPr>
                <w:sz w:val="20"/>
                <w:szCs w:val="20"/>
                <w:lang w:val="es-BO"/>
              </w:rPr>
            </w:pPr>
            <w:r>
              <w:rPr>
                <w:color w:val="000000" w:themeColor="text1"/>
                <w:sz w:val="20"/>
                <w:lang w:val="es-BO"/>
              </w:rPr>
              <w:t xml:space="preserve">Informe de consultoría independiente para la verificación </w:t>
            </w:r>
            <w:r w:rsidRPr="00CD6C31">
              <w:rPr>
                <w:color w:val="000000" w:themeColor="text1"/>
                <w:sz w:val="20"/>
                <w:lang w:val="es-BO"/>
              </w:rPr>
              <w:t>de que al menos el 90% de la administración pública central y subnacional</w:t>
            </w:r>
            <w:r w:rsidR="009516C2">
              <w:rPr>
                <w:color w:val="000000" w:themeColor="text1"/>
                <w:sz w:val="20"/>
                <w:lang w:val="es-BO"/>
              </w:rPr>
              <w:t xml:space="preserve"> </w:t>
            </w:r>
            <w:r w:rsidRPr="00CD6C31">
              <w:rPr>
                <w:color w:val="000000" w:themeColor="text1"/>
                <w:sz w:val="20"/>
                <w:lang w:val="es-BO"/>
              </w:rPr>
              <w:t>envían información al MEFP en los formatos estandarizados.</w:t>
            </w:r>
          </w:p>
        </w:tc>
        <w:tc>
          <w:tcPr>
            <w:tcW w:w="2446" w:type="dxa"/>
            <w:vMerge/>
            <w:tcBorders>
              <w:top w:val="single" w:sz="4" w:space="0" w:color="auto"/>
              <w:bottom w:val="single" w:sz="4" w:space="0" w:color="auto"/>
              <w:right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tcBorders>
              <w:top w:val="single" w:sz="4" w:space="0" w:color="auto"/>
            </w:tcBorders>
            <w:vAlign w:val="center"/>
          </w:tcPr>
          <w:p w:rsidR="00246FC9" w:rsidRPr="00CD6C31" w:rsidRDefault="00246FC9" w:rsidP="00A46F13">
            <w:pPr>
              <w:pStyle w:val="subpar"/>
              <w:tabs>
                <w:tab w:val="clear" w:pos="1152"/>
              </w:tabs>
              <w:spacing w:before="20" w:after="20"/>
              <w:ind w:left="304" w:hanging="360"/>
              <w:rPr>
                <w:color w:val="000000" w:themeColor="text1"/>
                <w:sz w:val="20"/>
                <w:lang w:val="es-BO"/>
              </w:rPr>
            </w:pPr>
            <w:r>
              <w:rPr>
                <w:color w:val="000000" w:themeColor="text1"/>
                <w:sz w:val="20"/>
                <w:lang w:val="es-BO"/>
              </w:rPr>
              <w:t xml:space="preserve">3.3 </w:t>
            </w:r>
            <w:r w:rsidRPr="00CD6C31">
              <w:rPr>
                <w:color w:val="000000" w:themeColor="text1"/>
                <w:sz w:val="20"/>
                <w:lang w:val="es-BO"/>
              </w:rPr>
              <w:t>Avance de la política de intercambio de información, en cumplimiento de la Resolución Biministerial 002 de 19 de agosto de 2011,</w:t>
            </w:r>
            <w:r w:rsidRPr="00CD6C31" w:rsidDel="00E0553D">
              <w:rPr>
                <w:color w:val="000000" w:themeColor="text1"/>
                <w:sz w:val="20"/>
                <w:lang w:val="es-BO"/>
              </w:rPr>
              <w:t xml:space="preserve"> </w:t>
            </w:r>
            <w:r w:rsidRPr="00CD6C31">
              <w:rPr>
                <w:color w:val="000000" w:themeColor="text1"/>
                <w:sz w:val="20"/>
                <w:lang w:val="es-BO"/>
              </w:rPr>
              <w:t xml:space="preserve"> mediante la definición de protocolos de intercambio automático de información entre el SISIN y SIGEP</w:t>
            </w:r>
            <w:r>
              <w:rPr>
                <w:color w:val="000000" w:themeColor="text1"/>
                <w:sz w:val="20"/>
                <w:lang w:val="es-BO"/>
              </w:rPr>
              <w:t>.</w:t>
            </w:r>
          </w:p>
        </w:tc>
        <w:tc>
          <w:tcPr>
            <w:tcW w:w="341" w:type="dxa"/>
            <w:tcBorders>
              <w:top w:val="single" w:sz="4" w:space="0" w:color="auto"/>
            </w:tcBorders>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tcBorders>
              <w:top w:val="single" w:sz="4" w:space="0" w:color="auto"/>
            </w:tcBorders>
            <w:shd w:val="clear" w:color="auto" w:fill="auto"/>
            <w:vAlign w:val="center"/>
          </w:tcPr>
          <w:p w:rsidR="00246FC9" w:rsidRDefault="00246FC9" w:rsidP="00A46F13">
            <w:pPr>
              <w:spacing w:before="20" w:after="20"/>
              <w:jc w:val="center"/>
              <w:rPr>
                <w:sz w:val="20"/>
                <w:szCs w:val="20"/>
                <w:lang w:val="es-ES_tradnl"/>
              </w:rPr>
            </w:pPr>
          </w:p>
        </w:tc>
        <w:tc>
          <w:tcPr>
            <w:tcW w:w="344" w:type="dxa"/>
            <w:tcBorders>
              <w:top w:val="single" w:sz="4" w:space="0" w:color="auto"/>
            </w:tcBorders>
            <w:shd w:val="clear" w:color="auto" w:fill="auto"/>
            <w:vAlign w:val="center"/>
          </w:tcPr>
          <w:p w:rsidR="00246FC9" w:rsidRDefault="00246FC9" w:rsidP="00A46F13">
            <w:pPr>
              <w:spacing w:before="20" w:after="20"/>
              <w:jc w:val="center"/>
              <w:rPr>
                <w:sz w:val="20"/>
                <w:szCs w:val="20"/>
                <w:lang w:val="es-ES_tradnl"/>
              </w:rPr>
            </w:pPr>
          </w:p>
        </w:tc>
        <w:tc>
          <w:tcPr>
            <w:tcW w:w="360" w:type="dxa"/>
            <w:tcBorders>
              <w:top w:val="single" w:sz="4" w:space="0" w:color="auto"/>
            </w:tcBorders>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tcBorders>
              <w:top w:val="single" w:sz="4" w:space="0" w:color="auto"/>
            </w:tcBorders>
            <w:vAlign w:val="center"/>
          </w:tcPr>
          <w:p w:rsidR="00246FC9" w:rsidRPr="00CD6C31" w:rsidRDefault="00246FC9" w:rsidP="00A46F13">
            <w:pPr>
              <w:spacing w:before="20" w:after="20"/>
              <w:rPr>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 y Ministerio de Planificación del Desarrollo.</w:t>
            </w:r>
          </w:p>
        </w:tc>
        <w:tc>
          <w:tcPr>
            <w:tcW w:w="3404" w:type="dxa"/>
            <w:tcBorders>
              <w:top w:val="single" w:sz="4" w:space="0" w:color="auto"/>
            </w:tcBorders>
          </w:tcPr>
          <w:p w:rsidR="00246FC9" w:rsidRPr="00CD6C31" w:rsidRDefault="00246FC9" w:rsidP="00A46F13">
            <w:pPr>
              <w:spacing w:before="20" w:after="20"/>
              <w:jc w:val="both"/>
              <w:rPr>
                <w:sz w:val="20"/>
                <w:szCs w:val="20"/>
                <w:lang w:val="es-BO"/>
              </w:rPr>
            </w:pPr>
            <w:r w:rsidRPr="00CD6C31">
              <w:rPr>
                <w:color w:val="000000" w:themeColor="text1"/>
                <w:sz w:val="20"/>
                <w:lang w:val="es-BO"/>
              </w:rPr>
              <w:t>Documento técnico aprobado por las direcciones o unidades de sistemas, según corresponda, que administran el SISIN y el SIGEP.</w:t>
            </w:r>
          </w:p>
        </w:tc>
        <w:tc>
          <w:tcPr>
            <w:tcW w:w="2446" w:type="dxa"/>
            <w:vMerge/>
            <w:tcBorders>
              <w:top w:val="single" w:sz="4" w:space="0" w:color="auto"/>
              <w:bottom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Pr="006124F6" w:rsidRDefault="00246FC9">
            <w:pPr>
              <w:pStyle w:val="Paragraph"/>
              <w:tabs>
                <w:tab w:val="clear" w:pos="1440"/>
              </w:tabs>
              <w:spacing w:before="20" w:after="20"/>
              <w:ind w:left="291" w:hanging="360"/>
              <w:rPr>
                <w:color w:val="000000" w:themeColor="text1"/>
                <w:sz w:val="20"/>
                <w:lang w:val="es-BO"/>
              </w:rPr>
            </w:pPr>
            <w:r w:rsidRPr="006124F6">
              <w:rPr>
                <w:color w:val="000000" w:themeColor="text1"/>
                <w:sz w:val="20"/>
                <w:lang w:val="es-BO"/>
              </w:rPr>
              <w:t>3.4</w:t>
            </w:r>
            <w:r>
              <w:rPr>
                <w:color w:val="000000" w:themeColor="text1"/>
                <w:sz w:val="20"/>
                <w:lang w:val="es-BO"/>
              </w:rPr>
              <w:t xml:space="preserve"> </w:t>
            </w:r>
            <w:r w:rsidRPr="006124F6">
              <w:rPr>
                <w:color w:val="000000" w:themeColor="text1"/>
                <w:sz w:val="20"/>
                <w:lang w:val="es-BO"/>
              </w:rPr>
              <w:t>Plan de Acción para el desarrollo e implantación de los siguientes módulos del SIGEP que incluya recursos financieros y cronograma:</w:t>
            </w:r>
          </w:p>
          <w:p w:rsidR="00246FC9" w:rsidRDefault="00246FC9" w:rsidP="00A46F13">
            <w:pPr>
              <w:pStyle w:val="subpar"/>
              <w:numPr>
                <w:ilvl w:val="0"/>
                <w:numId w:val="34"/>
              </w:numPr>
              <w:spacing w:before="20" w:after="20"/>
              <w:ind w:left="389"/>
              <w:rPr>
                <w:color w:val="000000" w:themeColor="text1"/>
                <w:sz w:val="20"/>
                <w:lang w:val="es-BO"/>
              </w:rPr>
            </w:pPr>
            <w:r w:rsidRPr="006124F6">
              <w:rPr>
                <w:color w:val="000000" w:themeColor="text1"/>
                <w:sz w:val="20"/>
                <w:lang w:val="es-BO"/>
              </w:rPr>
              <w:t>Módulo web de administración de deuda para entidades subnacionales (SAIDS) integrado con el SIGEP.</w:t>
            </w:r>
          </w:p>
          <w:p w:rsidR="00246FC9" w:rsidRDefault="00246FC9" w:rsidP="00A46F13">
            <w:pPr>
              <w:pStyle w:val="Paragraph"/>
              <w:numPr>
                <w:ilvl w:val="0"/>
                <w:numId w:val="34"/>
              </w:numPr>
              <w:spacing w:before="20" w:after="20"/>
              <w:ind w:left="389"/>
              <w:rPr>
                <w:color w:val="000000" w:themeColor="text1"/>
                <w:sz w:val="20"/>
              </w:rPr>
            </w:pPr>
            <w:r w:rsidRPr="00520787">
              <w:rPr>
                <w:color w:val="000000" w:themeColor="text1"/>
                <w:sz w:val="20"/>
              </w:rPr>
              <w:t>Módulo de contrataciones electrónicas</w:t>
            </w:r>
            <w:r>
              <w:rPr>
                <w:color w:val="000000" w:themeColor="text1"/>
                <w:sz w:val="20"/>
              </w:rPr>
              <w:t>.</w:t>
            </w:r>
          </w:p>
          <w:p w:rsidR="00246FC9" w:rsidRPr="006124F6" w:rsidRDefault="00246FC9" w:rsidP="00A46F13">
            <w:pPr>
              <w:pStyle w:val="Paragraph"/>
              <w:numPr>
                <w:ilvl w:val="0"/>
                <w:numId w:val="34"/>
              </w:numPr>
              <w:spacing w:before="20" w:after="20"/>
              <w:ind w:left="389"/>
              <w:rPr>
                <w:color w:val="000000" w:themeColor="text1"/>
                <w:sz w:val="20"/>
                <w:lang w:val="es-BO"/>
              </w:rPr>
            </w:pPr>
            <w:r w:rsidRPr="006124F6">
              <w:rPr>
                <w:color w:val="000000" w:themeColor="text1"/>
                <w:sz w:val="20"/>
                <w:lang w:val="es-BO"/>
              </w:rPr>
              <w:t xml:space="preserve">Módulo de </w:t>
            </w:r>
            <w:r w:rsidR="00CA34DF">
              <w:rPr>
                <w:color w:val="000000" w:themeColor="text1"/>
                <w:sz w:val="20"/>
                <w:lang w:val="es-BO"/>
              </w:rPr>
              <w:t>a</w:t>
            </w:r>
            <w:r w:rsidRPr="006124F6">
              <w:rPr>
                <w:color w:val="000000" w:themeColor="text1"/>
                <w:sz w:val="20"/>
                <w:lang w:val="es-BO"/>
              </w:rPr>
              <w:t xml:space="preserve">dministración de </w:t>
            </w:r>
            <w:r w:rsidR="00CA34DF">
              <w:rPr>
                <w:color w:val="000000" w:themeColor="text1"/>
                <w:sz w:val="20"/>
                <w:lang w:val="es-BO"/>
              </w:rPr>
              <w:t>p</w:t>
            </w:r>
            <w:r w:rsidRPr="006124F6">
              <w:rPr>
                <w:color w:val="000000" w:themeColor="text1"/>
                <w:sz w:val="20"/>
                <w:lang w:val="es-BO"/>
              </w:rPr>
              <w:t>ersonal.</w:t>
            </w:r>
          </w:p>
          <w:p w:rsidR="00246FC9" w:rsidRPr="006124F6" w:rsidRDefault="00246FC9" w:rsidP="00A46F13">
            <w:pPr>
              <w:pStyle w:val="Paragraph"/>
              <w:numPr>
                <w:ilvl w:val="0"/>
                <w:numId w:val="34"/>
              </w:numPr>
              <w:spacing w:before="20" w:after="20"/>
              <w:ind w:left="389"/>
              <w:rPr>
                <w:color w:val="000000" w:themeColor="text1"/>
                <w:sz w:val="20"/>
                <w:lang w:val="es-BO"/>
              </w:rPr>
            </w:pPr>
            <w:r w:rsidRPr="006124F6">
              <w:rPr>
                <w:color w:val="000000" w:themeColor="text1"/>
                <w:sz w:val="20"/>
                <w:lang w:val="es-BO"/>
              </w:rPr>
              <w:t>Módulo de administración de cuentas fiscales</w:t>
            </w:r>
            <w:r>
              <w:rPr>
                <w:color w:val="000000" w:themeColor="text1"/>
                <w:sz w:val="20"/>
                <w:lang w:val="es-BO"/>
              </w:rPr>
              <w:t>.</w:t>
            </w:r>
          </w:p>
          <w:p w:rsidR="00246FC9" w:rsidRPr="006124F6" w:rsidRDefault="00246FC9" w:rsidP="00A46F13">
            <w:pPr>
              <w:pStyle w:val="Paragraph"/>
              <w:numPr>
                <w:ilvl w:val="0"/>
                <w:numId w:val="34"/>
              </w:numPr>
              <w:spacing w:before="20" w:after="20"/>
              <w:rPr>
                <w:color w:val="000000" w:themeColor="text1"/>
                <w:sz w:val="20"/>
                <w:lang w:val="es-BO"/>
              </w:rPr>
            </w:pPr>
            <w:r w:rsidRPr="009B7749">
              <w:rPr>
                <w:color w:val="000000" w:themeColor="text1"/>
                <w:sz w:val="20"/>
                <w:lang w:val="es-BO"/>
              </w:rPr>
              <w:t>Módulo de pago electrónico subnacional.</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6124F6" w:rsidRDefault="00246FC9" w:rsidP="00A46F13">
            <w:pPr>
              <w:spacing w:before="20" w:after="20"/>
              <w:jc w:val="both"/>
              <w:rPr>
                <w:sz w:val="20"/>
                <w:szCs w:val="20"/>
                <w:lang w:val="es-BO"/>
              </w:rPr>
            </w:pPr>
            <w:r w:rsidRPr="006124F6">
              <w:rPr>
                <w:color w:val="000000" w:themeColor="text1"/>
                <w:sz w:val="20"/>
                <w:lang w:val="es-BO"/>
              </w:rPr>
              <w:t>Plan de Acción aprobado con</w:t>
            </w:r>
            <w:r w:rsidR="009516C2">
              <w:rPr>
                <w:color w:val="000000" w:themeColor="text1"/>
                <w:sz w:val="20"/>
                <w:lang w:val="es-BO"/>
              </w:rPr>
              <w:t xml:space="preserve"> </w:t>
            </w:r>
            <w:r w:rsidRPr="006124F6">
              <w:rPr>
                <w:color w:val="000000" w:themeColor="text1"/>
                <w:sz w:val="20"/>
                <w:lang w:val="es-BO"/>
              </w:rPr>
              <w:t>Resolución Ministerial del MEFP.</w:t>
            </w:r>
          </w:p>
        </w:tc>
        <w:tc>
          <w:tcPr>
            <w:tcW w:w="2446" w:type="dxa"/>
            <w:vMerge/>
            <w:tcBorders>
              <w:bottom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Default="00246FC9" w:rsidP="00A46F13">
            <w:pPr>
              <w:pStyle w:val="subpar"/>
              <w:tabs>
                <w:tab w:val="clear" w:pos="1152"/>
              </w:tabs>
              <w:spacing w:before="20" w:after="20"/>
              <w:ind w:left="394" w:hanging="360"/>
              <w:rPr>
                <w:color w:val="000000" w:themeColor="text1"/>
                <w:sz w:val="20"/>
                <w:lang w:val="es-BO"/>
              </w:rPr>
            </w:pPr>
            <w:r>
              <w:rPr>
                <w:color w:val="000000" w:themeColor="text1"/>
                <w:sz w:val="20"/>
                <w:lang w:val="es-BO"/>
              </w:rPr>
              <w:t xml:space="preserve">3.5 </w:t>
            </w:r>
            <w:r w:rsidRPr="006124F6">
              <w:rPr>
                <w:color w:val="000000" w:themeColor="text1"/>
                <w:sz w:val="20"/>
                <w:lang w:val="es-BO"/>
              </w:rPr>
              <w:t>Pruebas de funcionamiento de la publicación de convocatorias para contrataciones estatales con la correspondiente afectación presupuestaria en el Módulo de Contrataciones del SIGEP</w:t>
            </w:r>
            <w:r>
              <w:rPr>
                <w:color w:val="000000" w:themeColor="text1"/>
                <w:sz w:val="20"/>
                <w:lang w:val="es-BO"/>
              </w:rPr>
              <w:t>.</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BE07FC" w:rsidRDefault="00246FC9" w:rsidP="00A46F13">
            <w:pPr>
              <w:spacing w:before="20" w:after="20"/>
              <w:rPr>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pPr>
              <w:pStyle w:val="Paragraph"/>
              <w:tabs>
                <w:tab w:val="clear" w:pos="1440"/>
              </w:tabs>
              <w:spacing w:before="20" w:after="20"/>
              <w:ind w:left="0" w:firstLine="0"/>
              <w:rPr>
                <w:sz w:val="20"/>
                <w:lang w:val="es-BO"/>
              </w:rPr>
            </w:pPr>
            <w:r w:rsidRPr="00BE07FC">
              <w:rPr>
                <w:color w:val="000000" w:themeColor="text1"/>
                <w:sz w:val="20"/>
                <w:lang w:val="es-BO"/>
              </w:rPr>
              <w:t>Informe de consultoría independiente que verifique el desarrollo de las pruebas</w:t>
            </w:r>
            <w:r w:rsidR="009516C2">
              <w:rPr>
                <w:color w:val="000000" w:themeColor="text1"/>
                <w:sz w:val="20"/>
                <w:lang w:val="es-BO"/>
              </w:rPr>
              <w:t xml:space="preserve"> de </w:t>
            </w:r>
            <w:r w:rsidRPr="00BE07FC">
              <w:rPr>
                <w:color w:val="000000" w:themeColor="text1"/>
                <w:sz w:val="20"/>
                <w:lang w:val="es-BO"/>
              </w:rPr>
              <w:t xml:space="preserve">funcionamiento de la publicación de convocatorias para contrataciones estatales con la </w:t>
            </w:r>
            <w:r w:rsidRPr="00BE07FC">
              <w:rPr>
                <w:color w:val="000000" w:themeColor="text1"/>
                <w:sz w:val="20"/>
                <w:lang w:val="es-BO"/>
              </w:rPr>
              <w:lastRenderedPageBreak/>
              <w:t>correspondiente</w:t>
            </w:r>
            <w:r w:rsidR="009516C2">
              <w:rPr>
                <w:color w:val="000000" w:themeColor="text1"/>
                <w:sz w:val="20"/>
                <w:lang w:val="es-BO"/>
              </w:rPr>
              <w:t xml:space="preserve"> </w:t>
            </w:r>
            <w:r w:rsidRPr="00BE07FC">
              <w:rPr>
                <w:color w:val="000000" w:themeColor="text1"/>
                <w:sz w:val="20"/>
                <w:lang w:val="es-BO"/>
              </w:rPr>
              <w:t>afectación presupuestaria en el Módulo de Contrataciones del SIGEP.</w:t>
            </w:r>
          </w:p>
        </w:tc>
        <w:tc>
          <w:tcPr>
            <w:tcW w:w="2446" w:type="dxa"/>
            <w:vMerge w:val="restart"/>
            <w:tcBorders>
              <w:top w:val="single" w:sz="4" w:space="0" w:color="auto"/>
            </w:tcBorders>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Default="00246FC9" w:rsidP="00A46F13">
            <w:pPr>
              <w:pStyle w:val="Paragraph"/>
              <w:tabs>
                <w:tab w:val="clear" w:pos="1440"/>
              </w:tabs>
              <w:spacing w:before="20" w:after="20"/>
              <w:ind w:left="296" w:hanging="296"/>
              <w:rPr>
                <w:color w:val="000000" w:themeColor="text1"/>
                <w:sz w:val="20"/>
                <w:lang w:val="es-BO"/>
              </w:rPr>
            </w:pPr>
            <w:r>
              <w:rPr>
                <w:color w:val="000000" w:themeColor="text1"/>
                <w:sz w:val="20"/>
                <w:lang w:val="es-BO"/>
              </w:rPr>
              <w:lastRenderedPageBreak/>
              <w:t xml:space="preserve">3.6 </w:t>
            </w:r>
            <w:r w:rsidRPr="00BE07FC">
              <w:rPr>
                <w:color w:val="000000" w:themeColor="text1"/>
                <w:sz w:val="20"/>
                <w:lang w:val="es-BO"/>
              </w:rPr>
              <w:t xml:space="preserve">Prueba de funcionamiento del Módulo de </w:t>
            </w:r>
            <w:r w:rsidR="00CA34DF">
              <w:rPr>
                <w:color w:val="000000" w:themeColor="text1"/>
                <w:sz w:val="20"/>
                <w:lang w:val="es-BO"/>
              </w:rPr>
              <w:t>p</w:t>
            </w:r>
            <w:r w:rsidRPr="00BE07FC">
              <w:rPr>
                <w:color w:val="000000" w:themeColor="text1"/>
                <w:sz w:val="20"/>
                <w:lang w:val="es-BO"/>
              </w:rPr>
              <w:t xml:space="preserve">ago </w:t>
            </w:r>
            <w:r w:rsidR="00CA34DF">
              <w:rPr>
                <w:color w:val="000000" w:themeColor="text1"/>
                <w:sz w:val="20"/>
                <w:lang w:val="es-BO"/>
              </w:rPr>
              <w:t>e</w:t>
            </w:r>
            <w:r w:rsidRPr="00BE07FC">
              <w:rPr>
                <w:color w:val="000000" w:themeColor="text1"/>
                <w:sz w:val="20"/>
                <w:lang w:val="es-BO"/>
              </w:rPr>
              <w:t>lectrónico subnacional del SIGEP en una entidad territorial</w:t>
            </w:r>
            <w:r>
              <w:rPr>
                <w:color w:val="000000" w:themeColor="text1"/>
                <w:sz w:val="20"/>
                <w:lang w:val="es-BO"/>
              </w:rPr>
              <w:t>.</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BE07FC" w:rsidRDefault="00246FC9" w:rsidP="00A46F13">
            <w:pPr>
              <w:spacing w:before="20" w:after="20"/>
              <w:rPr>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rsidP="00A46F13">
            <w:pPr>
              <w:spacing w:before="20" w:after="20"/>
              <w:jc w:val="both"/>
              <w:rPr>
                <w:sz w:val="20"/>
                <w:szCs w:val="20"/>
                <w:lang w:val="es-BO"/>
              </w:rPr>
            </w:pPr>
            <w:r w:rsidRPr="00BE07FC">
              <w:rPr>
                <w:color w:val="000000" w:themeColor="text1"/>
                <w:sz w:val="20"/>
                <w:lang w:val="es-BO"/>
              </w:rPr>
              <w:t xml:space="preserve">Informe de consultoría independiente que verifique el desarrollo de la prueba de funcionamiento del Módulo de </w:t>
            </w:r>
            <w:r w:rsidR="009516C2">
              <w:rPr>
                <w:color w:val="000000" w:themeColor="text1"/>
                <w:sz w:val="20"/>
                <w:lang w:val="es-BO"/>
              </w:rPr>
              <w:t>p</w:t>
            </w:r>
            <w:r w:rsidRPr="00BE07FC">
              <w:rPr>
                <w:color w:val="000000" w:themeColor="text1"/>
                <w:sz w:val="20"/>
                <w:lang w:val="es-BO"/>
              </w:rPr>
              <w:t xml:space="preserve">ago </w:t>
            </w:r>
            <w:r w:rsidR="009516C2">
              <w:rPr>
                <w:color w:val="000000" w:themeColor="text1"/>
                <w:sz w:val="20"/>
                <w:lang w:val="es-BO"/>
              </w:rPr>
              <w:t>e</w:t>
            </w:r>
            <w:r w:rsidRPr="00BE07FC">
              <w:rPr>
                <w:color w:val="000000" w:themeColor="text1"/>
                <w:sz w:val="20"/>
                <w:lang w:val="es-BO"/>
              </w:rPr>
              <w:t>lectrónico subnacional del SIGEP en una entidad territorial</w:t>
            </w:r>
            <w:r w:rsidR="009516C2">
              <w:rPr>
                <w:color w:val="000000" w:themeColor="text1"/>
                <w:sz w:val="20"/>
                <w:lang w:val="es-BO"/>
              </w:rPr>
              <w:t>.</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Default="00246FC9" w:rsidP="00A46F13">
            <w:pPr>
              <w:pStyle w:val="subpar"/>
              <w:tabs>
                <w:tab w:val="clear" w:pos="1152"/>
              </w:tabs>
              <w:spacing w:before="20" w:after="20"/>
              <w:ind w:left="296" w:hanging="296"/>
              <w:rPr>
                <w:color w:val="000000" w:themeColor="text1"/>
                <w:sz w:val="20"/>
                <w:lang w:val="es-BO"/>
              </w:rPr>
            </w:pPr>
            <w:r>
              <w:rPr>
                <w:sz w:val="20"/>
                <w:lang w:val="es-ES"/>
              </w:rPr>
              <w:t xml:space="preserve">3.7 </w:t>
            </w:r>
            <w:r w:rsidRPr="000C2039">
              <w:rPr>
                <w:sz w:val="20"/>
                <w:lang w:val="es-ES"/>
              </w:rPr>
              <w:t>Implementación de la nueva plataforma informática de recopilación de información financiera para la generación de cifras fiscales (SIET)</w:t>
            </w:r>
            <w:r>
              <w:rPr>
                <w:rStyle w:val="FootnoteReference"/>
                <w:sz w:val="20"/>
                <w:lang w:val="es-ES"/>
              </w:rPr>
              <w:footnoteReference w:id="2"/>
            </w:r>
            <w:r w:rsidRPr="000C2039">
              <w:rPr>
                <w:sz w:val="20"/>
                <w:lang w:val="es-ES"/>
              </w:rPr>
              <w:t xml:space="preserve"> en al menos 80 entidades públicas</w:t>
            </w:r>
            <w:r>
              <w:rPr>
                <w:sz w:val="20"/>
                <w:lang w:val="es-ES"/>
              </w:rPr>
              <w:t xml:space="preserve"> subnacionales</w:t>
            </w:r>
            <w:r w:rsidRPr="000C2039">
              <w:rPr>
                <w:sz w:val="20"/>
                <w:lang w:val="es-ES"/>
              </w:rPr>
              <w:t>.</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rsidP="00A46F13">
            <w:pPr>
              <w:spacing w:before="20" w:after="20"/>
              <w:jc w:val="both"/>
              <w:rPr>
                <w:lang w:val="es-BO"/>
              </w:rPr>
            </w:pPr>
            <w:r w:rsidRPr="00BE07FC">
              <w:rPr>
                <w:color w:val="000000" w:themeColor="text1"/>
                <w:spacing w:val="-2"/>
                <w:sz w:val="20"/>
                <w:lang w:val="es-BO"/>
              </w:rPr>
              <w:t xml:space="preserve">Informe de consultoría independiente que verifique, a partir de reportes del SIET, </w:t>
            </w:r>
            <w:r w:rsidRPr="000C2039">
              <w:rPr>
                <w:sz w:val="20"/>
                <w:lang w:val="es-ES"/>
              </w:rPr>
              <w:t xml:space="preserve"> </w:t>
            </w:r>
            <w:r w:rsidR="009516C2">
              <w:rPr>
                <w:sz w:val="20"/>
                <w:lang w:val="es-ES"/>
              </w:rPr>
              <w:t>la i</w:t>
            </w:r>
            <w:r w:rsidRPr="000C2039">
              <w:rPr>
                <w:sz w:val="20"/>
                <w:lang w:val="es-ES"/>
              </w:rPr>
              <w:t>mplementación de la nueva plataforma informática de recopilación de información financiera para la generación de cifras fiscales</w:t>
            </w:r>
            <w:r>
              <w:rPr>
                <w:sz w:val="20"/>
                <w:lang w:val="es-ES"/>
              </w:rPr>
              <w:t xml:space="preserve"> </w:t>
            </w:r>
            <w:r w:rsidRPr="000C2039">
              <w:rPr>
                <w:sz w:val="20"/>
                <w:lang w:val="es-ES"/>
              </w:rPr>
              <w:t xml:space="preserve"> en al menos 80 entidades públicas</w:t>
            </w:r>
            <w:r>
              <w:rPr>
                <w:sz w:val="20"/>
                <w:lang w:val="es-ES"/>
              </w:rPr>
              <w:t xml:space="preserve"> subnacionales</w:t>
            </w:r>
            <w:r w:rsidRPr="000C2039">
              <w:rPr>
                <w:sz w:val="20"/>
                <w:lang w:val="es-ES"/>
              </w:rPr>
              <w:t>.</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Pr="00BE07FC" w:rsidRDefault="00246FC9" w:rsidP="00A46F13">
            <w:pPr>
              <w:pStyle w:val="subpar"/>
              <w:tabs>
                <w:tab w:val="clear" w:pos="1152"/>
              </w:tabs>
              <w:spacing w:before="20" w:after="20"/>
              <w:ind w:left="394" w:hanging="360"/>
              <w:rPr>
                <w:color w:val="000000" w:themeColor="text1"/>
                <w:sz w:val="20"/>
                <w:lang w:val="es-BO"/>
              </w:rPr>
            </w:pPr>
            <w:r>
              <w:rPr>
                <w:color w:val="000000" w:themeColor="text1"/>
                <w:sz w:val="20"/>
                <w:lang w:val="es-BO"/>
              </w:rPr>
              <w:t xml:space="preserve">4.1 </w:t>
            </w:r>
            <w:r w:rsidRPr="00BE07FC">
              <w:rPr>
                <w:color w:val="000000" w:themeColor="text1"/>
                <w:sz w:val="20"/>
                <w:lang w:val="es-BO"/>
              </w:rPr>
              <w:t xml:space="preserve">Implementación en todos los ministerios de la AC y en 5 </w:t>
            </w:r>
            <w:r w:rsidR="00CA34DF">
              <w:rPr>
                <w:color w:val="000000" w:themeColor="text1"/>
                <w:sz w:val="20"/>
                <w:lang w:val="es-BO"/>
              </w:rPr>
              <w:t>e</w:t>
            </w:r>
            <w:r w:rsidRPr="00BE07FC">
              <w:rPr>
                <w:color w:val="000000" w:themeColor="text1"/>
                <w:sz w:val="20"/>
                <w:lang w:val="es-BO"/>
              </w:rPr>
              <w:t xml:space="preserve">mpresas </w:t>
            </w:r>
            <w:r w:rsidR="00CA34DF">
              <w:rPr>
                <w:color w:val="000000" w:themeColor="text1"/>
                <w:sz w:val="20"/>
                <w:lang w:val="es-BO"/>
              </w:rPr>
              <w:t>p</w:t>
            </w:r>
            <w:r w:rsidRPr="00BE07FC">
              <w:rPr>
                <w:color w:val="000000" w:themeColor="text1"/>
                <w:sz w:val="20"/>
                <w:lang w:val="es-BO"/>
              </w:rPr>
              <w:t xml:space="preserve">úblicas </w:t>
            </w:r>
            <w:r w:rsidR="00CA34DF">
              <w:rPr>
                <w:color w:val="000000" w:themeColor="text1"/>
                <w:sz w:val="20"/>
                <w:lang w:val="es-BO"/>
              </w:rPr>
              <w:t>n</w:t>
            </w:r>
            <w:r w:rsidRPr="00BE07FC">
              <w:rPr>
                <w:color w:val="000000" w:themeColor="text1"/>
                <w:sz w:val="20"/>
                <w:lang w:val="es-BO"/>
              </w:rPr>
              <w:t>acionales de la herramienta de apoyo para la generación de información gerencial, que contenga información sobre ejecución presupuestaria del gobierno central, entidades territoriales y empresas públicas.</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rsidP="00A46F13">
            <w:pPr>
              <w:spacing w:before="20" w:after="20"/>
              <w:jc w:val="both"/>
              <w:rPr>
                <w:lang w:val="es-BO"/>
              </w:rPr>
            </w:pPr>
            <w:r w:rsidRPr="00BE07FC">
              <w:rPr>
                <w:color w:val="000000" w:themeColor="text1"/>
                <w:sz w:val="20"/>
                <w:lang w:val="es-BO"/>
              </w:rPr>
              <w:t xml:space="preserve">Informe de consultoría independiente que verifique la implementación en todos los ministerios de la AC y en 5 </w:t>
            </w:r>
            <w:r w:rsidR="009516C2">
              <w:rPr>
                <w:color w:val="000000" w:themeColor="text1"/>
                <w:sz w:val="20"/>
                <w:lang w:val="es-BO"/>
              </w:rPr>
              <w:t>e</w:t>
            </w:r>
            <w:r w:rsidRPr="00BE07FC">
              <w:rPr>
                <w:color w:val="000000" w:themeColor="text1"/>
                <w:sz w:val="20"/>
                <w:lang w:val="es-BO"/>
              </w:rPr>
              <w:t xml:space="preserve">mpresas </w:t>
            </w:r>
            <w:r w:rsidR="009516C2">
              <w:rPr>
                <w:color w:val="000000" w:themeColor="text1"/>
                <w:sz w:val="20"/>
                <w:lang w:val="es-BO"/>
              </w:rPr>
              <w:t>p</w:t>
            </w:r>
            <w:r w:rsidRPr="00BE07FC">
              <w:rPr>
                <w:color w:val="000000" w:themeColor="text1"/>
                <w:sz w:val="20"/>
                <w:lang w:val="es-BO"/>
              </w:rPr>
              <w:t xml:space="preserve">úblicas </w:t>
            </w:r>
            <w:r w:rsidR="009516C2">
              <w:rPr>
                <w:color w:val="000000" w:themeColor="text1"/>
                <w:sz w:val="20"/>
                <w:lang w:val="es-BO"/>
              </w:rPr>
              <w:t>n</w:t>
            </w:r>
            <w:r w:rsidRPr="00BE07FC">
              <w:rPr>
                <w:color w:val="000000" w:themeColor="text1"/>
                <w:sz w:val="20"/>
                <w:lang w:val="es-BO"/>
              </w:rPr>
              <w:t>acionales de la herramienta de apoyo para la generación de información gerencial, que contenga información sobre ejecución presupuestaria del gobierno central, entidades territoriales y empresas públicas.</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Pr="00BE07FC" w:rsidRDefault="00246FC9" w:rsidP="00A46F13">
            <w:pPr>
              <w:pStyle w:val="subpar"/>
              <w:tabs>
                <w:tab w:val="clear" w:pos="1152"/>
              </w:tabs>
              <w:spacing w:before="20" w:after="20"/>
              <w:ind w:left="296" w:hanging="296"/>
              <w:rPr>
                <w:color w:val="000000" w:themeColor="text1"/>
                <w:sz w:val="20"/>
                <w:lang w:val="es-BO"/>
              </w:rPr>
            </w:pPr>
            <w:r>
              <w:rPr>
                <w:color w:val="000000" w:themeColor="text1"/>
                <w:sz w:val="20"/>
                <w:lang w:val="es-BO"/>
              </w:rPr>
              <w:t xml:space="preserve">4.2 </w:t>
            </w:r>
            <w:r w:rsidRPr="00BE07FC">
              <w:rPr>
                <w:color w:val="000000" w:themeColor="text1"/>
                <w:sz w:val="20"/>
                <w:lang w:val="es-BO"/>
              </w:rPr>
              <w:t>Módulo de gestión contable de proyectos financiados con recursos externos del SIGEP para prueba de funcionamiento en una entidad pública.</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rsidP="00A46F13">
            <w:pPr>
              <w:spacing w:before="20" w:after="20"/>
              <w:jc w:val="both"/>
              <w:rPr>
                <w:lang w:val="es-BO"/>
              </w:rPr>
            </w:pPr>
            <w:r w:rsidRPr="00BE07FC">
              <w:rPr>
                <w:color w:val="000000" w:themeColor="text1"/>
                <w:sz w:val="20"/>
                <w:lang w:val="es-BO"/>
              </w:rPr>
              <w:t>Informe de consultoría independiente que verifique el desarrollo de la prueba piloto del Módulo de gestión contable de proyectos financiados con recursos externos del SIGEP</w:t>
            </w:r>
            <w:r w:rsidR="009516C2">
              <w:rPr>
                <w:color w:val="000000" w:themeColor="text1"/>
                <w:sz w:val="20"/>
                <w:lang w:val="es-BO"/>
              </w:rPr>
              <w:t xml:space="preserve"> </w:t>
            </w:r>
            <w:r w:rsidRPr="00BE07FC">
              <w:rPr>
                <w:color w:val="000000" w:themeColor="text1"/>
                <w:sz w:val="20"/>
                <w:lang w:val="es-BO"/>
              </w:rPr>
              <w:t>en una entidad pública.</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440"/>
          <w:jc w:val="center"/>
        </w:trPr>
        <w:tc>
          <w:tcPr>
            <w:tcW w:w="4266" w:type="dxa"/>
            <w:vAlign w:val="center"/>
          </w:tcPr>
          <w:p w:rsidR="00246FC9" w:rsidRDefault="00246FC9" w:rsidP="00A46F13">
            <w:pPr>
              <w:pStyle w:val="subpar"/>
              <w:tabs>
                <w:tab w:val="clear" w:pos="1152"/>
              </w:tabs>
              <w:spacing w:before="20" w:after="20"/>
              <w:ind w:left="296" w:hanging="296"/>
              <w:rPr>
                <w:color w:val="000000" w:themeColor="text1"/>
                <w:sz w:val="20"/>
                <w:lang w:val="es-BO"/>
              </w:rPr>
            </w:pPr>
            <w:r>
              <w:rPr>
                <w:color w:val="000000" w:themeColor="text1"/>
                <w:sz w:val="20"/>
                <w:lang w:val="es-AR"/>
              </w:rPr>
              <w:t>4.3 Creación</w:t>
            </w:r>
            <w:r w:rsidRPr="00520787">
              <w:rPr>
                <w:color w:val="000000" w:themeColor="text1"/>
                <w:sz w:val="20"/>
                <w:lang w:val="es-AR"/>
              </w:rPr>
              <w:t xml:space="preserve"> del Registro Único de Proveedores del Estado que acredita a los proveedores del Estado a nivel nacional</w:t>
            </w:r>
            <w:r>
              <w:rPr>
                <w:color w:val="000000" w:themeColor="text1"/>
                <w:sz w:val="20"/>
                <w:lang w:val="es-AR"/>
              </w:rPr>
              <w:t>.</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Pr="0047412F" w:rsidRDefault="00246FC9" w:rsidP="00A46F13">
            <w:pPr>
              <w:spacing w:before="20" w:after="20"/>
              <w:rPr>
                <w:sz w:val="20"/>
                <w:szCs w:val="20"/>
                <w:lang w:val="es-ES_tradnl"/>
              </w:rPr>
            </w:pPr>
          </w:p>
        </w:tc>
        <w:tc>
          <w:tcPr>
            <w:tcW w:w="360" w:type="dxa"/>
            <w:shd w:val="clear" w:color="auto" w:fill="auto"/>
            <w:vAlign w:val="center"/>
          </w:tcPr>
          <w:p w:rsidR="00246FC9" w:rsidRPr="0047412F" w:rsidRDefault="00246FC9" w:rsidP="00A46F13">
            <w:pPr>
              <w:spacing w:before="20" w:after="20"/>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30A1C" w:rsidRDefault="00246FC9" w:rsidP="00A46F13">
            <w:pPr>
              <w:spacing w:before="20" w:after="20"/>
              <w:jc w:val="both"/>
              <w:rPr>
                <w:sz w:val="20"/>
                <w:szCs w:val="20"/>
                <w:lang w:val="es-ES_tradnl"/>
              </w:rPr>
            </w:pPr>
            <w:r w:rsidRPr="00BE07FC">
              <w:rPr>
                <w:color w:val="000000" w:themeColor="text1"/>
                <w:sz w:val="20"/>
                <w:lang w:val="es-BO"/>
              </w:rPr>
              <w:t xml:space="preserve">Decreto Supremo de </w:t>
            </w:r>
            <w:r>
              <w:rPr>
                <w:color w:val="000000" w:themeColor="text1"/>
                <w:sz w:val="20"/>
                <w:lang w:val="es-AR"/>
              </w:rPr>
              <w:t>Creación</w:t>
            </w:r>
            <w:r w:rsidRPr="00520787">
              <w:rPr>
                <w:color w:val="000000" w:themeColor="text1"/>
                <w:sz w:val="20"/>
                <w:lang w:val="es-AR"/>
              </w:rPr>
              <w:t xml:space="preserve"> del Registro Único de Proveedores del Estado que acredita a los proveedores del Estado a nivel nacional</w:t>
            </w:r>
            <w:r>
              <w:rPr>
                <w:color w:val="000000" w:themeColor="text1"/>
                <w:sz w:val="20"/>
                <w:lang w:val="es-AR"/>
              </w:rPr>
              <w:t xml:space="preserve">, </w:t>
            </w:r>
            <w:r>
              <w:rPr>
                <w:color w:val="000000" w:themeColor="text1"/>
                <w:sz w:val="20"/>
                <w:lang w:val="es-AR"/>
              </w:rPr>
              <w:lastRenderedPageBreak/>
              <w:t>promulgado.</w:t>
            </w:r>
          </w:p>
        </w:tc>
        <w:tc>
          <w:tcPr>
            <w:tcW w:w="2446" w:type="dxa"/>
            <w:vMerge w:val="restart"/>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Default="00246FC9">
            <w:pPr>
              <w:pStyle w:val="Paragraph"/>
              <w:tabs>
                <w:tab w:val="clear" w:pos="1440"/>
              </w:tabs>
              <w:spacing w:before="20" w:after="20"/>
              <w:ind w:left="386" w:hanging="450"/>
              <w:rPr>
                <w:color w:val="000000" w:themeColor="text1"/>
                <w:sz w:val="20"/>
                <w:lang w:val="es-BO"/>
              </w:rPr>
            </w:pPr>
            <w:r>
              <w:rPr>
                <w:color w:val="000000" w:themeColor="text1"/>
                <w:sz w:val="20"/>
                <w:lang w:val="es-BO"/>
              </w:rPr>
              <w:lastRenderedPageBreak/>
              <w:t xml:space="preserve">4.4 </w:t>
            </w:r>
            <w:r w:rsidR="00CA34DF">
              <w:rPr>
                <w:color w:val="000000" w:themeColor="text1"/>
                <w:sz w:val="20"/>
                <w:lang w:val="es-BO"/>
              </w:rPr>
              <w:t xml:space="preserve"> </w:t>
            </w:r>
            <w:r w:rsidRPr="00BE07FC">
              <w:rPr>
                <w:color w:val="000000" w:themeColor="text1"/>
                <w:sz w:val="20"/>
                <w:lang w:val="es-BO"/>
              </w:rPr>
              <w:t>Mejora en la política de  contrataciones estatales, a través de la inclusión en los Documentos Base de  Contratación. de reglas</w:t>
            </w:r>
            <w:r>
              <w:rPr>
                <w:color w:val="000000" w:themeColor="text1"/>
                <w:sz w:val="20"/>
                <w:lang w:val="es-BO"/>
              </w:rPr>
              <w:t xml:space="preserve"> </w:t>
            </w:r>
            <w:r w:rsidRPr="00BE07FC">
              <w:rPr>
                <w:color w:val="000000" w:themeColor="text1"/>
                <w:sz w:val="20"/>
                <w:lang w:val="es-BO"/>
              </w:rPr>
              <w:t>sobre: (i) criterios</w:t>
            </w:r>
            <w:r w:rsidR="00CA34DF">
              <w:rPr>
                <w:color w:val="000000" w:themeColor="text1"/>
                <w:sz w:val="20"/>
                <w:lang w:val="es-BO"/>
              </w:rPr>
              <w:t xml:space="preserve"> de </w:t>
            </w:r>
            <w:r w:rsidRPr="00BE07FC">
              <w:rPr>
                <w:color w:val="000000" w:themeColor="text1"/>
                <w:sz w:val="20"/>
                <w:lang w:val="es-BO"/>
              </w:rPr>
              <w:t>subsanabilidad; (ii</w:t>
            </w:r>
            <w:r w:rsidR="00820CBF" w:rsidRPr="00BE07FC">
              <w:rPr>
                <w:color w:val="000000" w:themeColor="text1"/>
                <w:sz w:val="20"/>
                <w:lang w:val="es-BO"/>
              </w:rPr>
              <w:t>)</w:t>
            </w:r>
            <w:r w:rsidR="00820CBF">
              <w:rPr>
                <w:color w:val="000000" w:themeColor="text1"/>
                <w:sz w:val="20"/>
                <w:lang w:val="es-BO"/>
              </w:rPr>
              <w:t> </w:t>
            </w:r>
            <w:r w:rsidRPr="00BE07FC">
              <w:rPr>
                <w:color w:val="000000" w:themeColor="text1"/>
                <w:sz w:val="20"/>
                <w:lang w:val="es-BO"/>
              </w:rPr>
              <w:t>aclaración de métodos de selección; (iii</w:t>
            </w:r>
            <w:r w:rsidR="00820CBF" w:rsidRPr="00BE07FC">
              <w:rPr>
                <w:color w:val="000000" w:themeColor="text1"/>
                <w:sz w:val="20"/>
                <w:lang w:val="es-BO"/>
              </w:rPr>
              <w:t>)</w:t>
            </w:r>
            <w:r w:rsidR="00820CBF">
              <w:rPr>
                <w:color w:val="000000" w:themeColor="text1"/>
                <w:sz w:val="20"/>
                <w:lang w:val="es-BO"/>
              </w:rPr>
              <w:t> </w:t>
            </w:r>
            <w:r w:rsidRPr="00BE07FC">
              <w:rPr>
                <w:color w:val="000000" w:themeColor="text1"/>
                <w:sz w:val="20"/>
                <w:lang w:val="es-BO"/>
              </w:rPr>
              <w:t>uso de garantías y (iv) utilización del Registro Único de Proveedores del Estado</w:t>
            </w:r>
            <w:r>
              <w:rPr>
                <w:color w:val="000000" w:themeColor="text1"/>
                <w:sz w:val="20"/>
                <w:lang w:val="es-BO"/>
              </w:rPr>
              <w:t>.</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rsidP="00A46F13">
            <w:pPr>
              <w:spacing w:before="20" w:after="20"/>
              <w:jc w:val="both"/>
              <w:rPr>
                <w:sz w:val="20"/>
                <w:szCs w:val="20"/>
                <w:lang w:val="es-BO"/>
              </w:rPr>
            </w:pPr>
            <w:r w:rsidRPr="00BE07FC">
              <w:rPr>
                <w:color w:val="000000" w:themeColor="text1"/>
                <w:sz w:val="20"/>
                <w:lang w:val="es-BO"/>
              </w:rPr>
              <w:t>Resolución Ministerial del MEFP que apruebe los Documentos Base de Contratación.</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Default="00246FC9" w:rsidP="00A46F13">
            <w:pPr>
              <w:pStyle w:val="subpar"/>
              <w:tabs>
                <w:tab w:val="clear" w:pos="1152"/>
              </w:tabs>
              <w:spacing w:before="20" w:after="20"/>
              <w:ind w:left="296" w:hanging="360"/>
              <w:rPr>
                <w:color w:val="000000" w:themeColor="text1"/>
                <w:sz w:val="20"/>
                <w:lang w:val="es-BO"/>
              </w:rPr>
            </w:pPr>
            <w:r>
              <w:rPr>
                <w:color w:val="000000" w:themeColor="text1"/>
                <w:sz w:val="20"/>
                <w:lang w:val="es-ES_tradnl"/>
              </w:rPr>
              <w:t xml:space="preserve">4.5 Política de difusión de buenas prácticas en adquisiciones, a través de la publicación y difusión </w:t>
            </w:r>
            <w:r w:rsidRPr="00520787">
              <w:rPr>
                <w:color w:val="000000" w:themeColor="text1"/>
                <w:sz w:val="20"/>
                <w:lang w:val="es-ES_tradnl"/>
              </w:rPr>
              <w:t xml:space="preserve"> de </w:t>
            </w:r>
            <w:r w:rsidR="00CA34DF">
              <w:rPr>
                <w:color w:val="000000" w:themeColor="text1"/>
                <w:sz w:val="20"/>
                <w:lang w:val="es-ES_tradnl"/>
              </w:rPr>
              <w:t>c</w:t>
            </w:r>
            <w:r>
              <w:rPr>
                <w:color w:val="000000" w:themeColor="text1"/>
                <w:sz w:val="20"/>
                <w:lang w:val="es-ES_tradnl"/>
              </w:rPr>
              <w:t xml:space="preserve">artillas con pautas sobre: </w:t>
            </w:r>
            <w:r w:rsidR="00FD7EFA">
              <w:rPr>
                <w:color w:val="000000" w:themeColor="text1"/>
                <w:sz w:val="20"/>
                <w:lang w:val="es-ES_tradnl"/>
              </w:rPr>
              <w:t>(</w:t>
            </w:r>
            <w:r>
              <w:rPr>
                <w:color w:val="000000" w:themeColor="text1"/>
                <w:sz w:val="20"/>
                <w:lang w:val="es-ES_tradnl"/>
              </w:rPr>
              <w:t>i</w:t>
            </w:r>
            <w:r w:rsidR="00820CBF">
              <w:rPr>
                <w:color w:val="000000" w:themeColor="text1"/>
                <w:sz w:val="20"/>
                <w:lang w:val="es-ES_tradnl"/>
              </w:rPr>
              <w:t>) </w:t>
            </w:r>
            <w:r w:rsidR="00CA34DF">
              <w:rPr>
                <w:color w:val="000000" w:themeColor="text1"/>
                <w:sz w:val="20"/>
                <w:lang w:val="es-ES_tradnl"/>
              </w:rPr>
              <w:t>c</w:t>
            </w:r>
            <w:r w:rsidRPr="00520787">
              <w:rPr>
                <w:color w:val="000000" w:themeColor="text1"/>
                <w:sz w:val="20"/>
                <w:lang w:val="es-ES_tradnl"/>
              </w:rPr>
              <w:t>riterios de subsanabilidad</w:t>
            </w:r>
            <w:r w:rsidR="00FD7EFA">
              <w:rPr>
                <w:color w:val="000000" w:themeColor="text1"/>
                <w:sz w:val="20"/>
                <w:lang w:val="es-ES_tradnl"/>
              </w:rPr>
              <w:t>;</w:t>
            </w:r>
            <w:r>
              <w:rPr>
                <w:color w:val="000000" w:themeColor="text1"/>
                <w:sz w:val="20"/>
                <w:lang w:val="es-ES_tradnl"/>
              </w:rPr>
              <w:t xml:space="preserve"> </w:t>
            </w:r>
            <w:r w:rsidR="00FD7EFA">
              <w:rPr>
                <w:color w:val="000000" w:themeColor="text1"/>
                <w:sz w:val="20"/>
                <w:lang w:val="es-ES_tradnl"/>
              </w:rPr>
              <w:t>(</w:t>
            </w:r>
            <w:r>
              <w:rPr>
                <w:color w:val="000000" w:themeColor="text1"/>
                <w:sz w:val="20"/>
                <w:lang w:val="es-ES_tradnl"/>
              </w:rPr>
              <w:t>ii)</w:t>
            </w:r>
            <w:r w:rsidRPr="00520787">
              <w:rPr>
                <w:color w:val="000000" w:themeColor="text1"/>
                <w:sz w:val="20"/>
                <w:lang w:val="es-ES_tradnl"/>
              </w:rPr>
              <w:t xml:space="preserve"> garantías</w:t>
            </w:r>
            <w:r w:rsidR="00FD7EFA">
              <w:rPr>
                <w:color w:val="000000" w:themeColor="text1"/>
                <w:sz w:val="20"/>
                <w:lang w:val="es-ES_tradnl"/>
              </w:rPr>
              <w:t>;</w:t>
            </w:r>
            <w:r w:rsidRPr="00520787">
              <w:rPr>
                <w:color w:val="000000" w:themeColor="text1"/>
                <w:sz w:val="20"/>
                <w:lang w:val="es-ES_tradnl"/>
              </w:rPr>
              <w:t xml:space="preserve"> </w:t>
            </w:r>
            <w:r w:rsidR="00FD7EFA">
              <w:rPr>
                <w:color w:val="000000" w:themeColor="text1"/>
                <w:sz w:val="20"/>
                <w:lang w:val="es-ES_tradnl"/>
              </w:rPr>
              <w:t>(</w:t>
            </w:r>
            <w:r>
              <w:rPr>
                <w:color w:val="000000" w:themeColor="text1"/>
                <w:sz w:val="20"/>
                <w:lang w:val="es-ES_tradnl"/>
              </w:rPr>
              <w:t>iii</w:t>
            </w:r>
            <w:r w:rsidR="00820CBF">
              <w:rPr>
                <w:color w:val="000000" w:themeColor="text1"/>
                <w:sz w:val="20"/>
                <w:lang w:val="es-ES_tradnl"/>
              </w:rPr>
              <w:t>) </w:t>
            </w:r>
            <w:r w:rsidRPr="00520787">
              <w:rPr>
                <w:color w:val="000000" w:themeColor="text1"/>
                <w:sz w:val="20"/>
                <w:lang w:val="es-ES_tradnl"/>
              </w:rPr>
              <w:t xml:space="preserve">criterios de selección y </w:t>
            </w:r>
            <w:r w:rsidR="00FD7EFA">
              <w:rPr>
                <w:color w:val="000000" w:themeColor="text1"/>
                <w:sz w:val="20"/>
                <w:lang w:val="es-ES_tradnl"/>
              </w:rPr>
              <w:t>(</w:t>
            </w:r>
            <w:r>
              <w:rPr>
                <w:color w:val="000000" w:themeColor="text1"/>
                <w:sz w:val="20"/>
                <w:lang w:val="es-ES_tradnl"/>
              </w:rPr>
              <w:t xml:space="preserve">iv) correcto registro en el SICOES de </w:t>
            </w:r>
            <w:r w:rsidRPr="00520787">
              <w:rPr>
                <w:color w:val="000000" w:themeColor="text1"/>
                <w:sz w:val="20"/>
                <w:lang w:val="es-ES_tradnl"/>
              </w:rPr>
              <w:t>impedidos</w:t>
            </w:r>
            <w:r>
              <w:rPr>
                <w:color w:val="000000" w:themeColor="text1"/>
                <w:sz w:val="20"/>
                <w:lang w:val="es-ES_tradnl"/>
              </w:rPr>
              <w:t xml:space="preserve"> para participar</w:t>
            </w:r>
            <w:r w:rsidRPr="00520787">
              <w:rPr>
                <w:color w:val="000000" w:themeColor="text1"/>
                <w:sz w:val="20"/>
                <w:lang w:val="es-ES_tradnl"/>
              </w:rPr>
              <w:t xml:space="preserve"> en las adquisiciones públicas</w:t>
            </w:r>
            <w:r>
              <w:rPr>
                <w:color w:val="000000" w:themeColor="text1"/>
                <w:sz w:val="20"/>
                <w:lang w:val="es-ES_tradnl"/>
              </w:rPr>
              <w:t xml:space="preserve"> del Estado.</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vAlign w:val="center"/>
          </w:tcPr>
          <w:p w:rsidR="00246FC9" w:rsidRPr="00BE07FC" w:rsidRDefault="00246FC9" w:rsidP="00A46F13">
            <w:pPr>
              <w:spacing w:before="20" w:after="20"/>
              <w:jc w:val="both"/>
              <w:rPr>
                <w:sz w:val="20"/>
                <w:szCs w:val="20"/>
                <w:lang w:val="es-BO"/>
              </w:rPr>
            </w:pPr>
            <w:r>
              <w:rPr>
                <w:color w:val="000000" w:themeColor="text1"/>
                <w:sz w:val="20"/>
                <w:lang w:val="es-BO"/>
              </w:rPr>
              <w:t>I</w:t>
            </w:r>
            <w:r w:rsidRPr="00BE07FC">
              <w:rPr>
                <w:color w:val="000000" w:themeColor="text1"/>
                <w:sz w:val="20"/>
                <w:lang w:val="es-BO"/>
              </w:rPr>
              <w:t xml:space="preserve">nforme del VPCF sobre la distribución de 500 </w:t>
            </w:r>
            <w:r w:rsidR="009516C2">
              <w:rPr>
                <w:color w:val="000000" w:themeColor="text1"/>
                <w:sz w:val="20"/>
                <w:lang w:val="es-BO"/>
              </w:rPr>
              <w:t>c</w:t>
            </w:r>
            <w:r w:rsidRPr="00BE07FC">
              <w:rPr>
                <w:color w:val="000000" w:themeColor="text1"/>
                <w:sz w:val="20"/>
                <w:lang w:val="es-BO"/>
              </w:rPr>
              <w:t>artillas a entidades de la administración pública central y subnacional.</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Pr="00BE07FC" w:rsidRDefault="00246FC9" w:rsidP="00A46F13">
            <w:pPr>
              <w:pStyle w:val="subpar"/>
              <w:tabs>
                <w:tab w:val="clear" w:pos="1152"/>
              </w:tabs>
              <w:spacing w:before="20" w:after="20"/>
              <w:ind w:left="296" w:hanging="360"/>
              <w:rPr>
                <w:color w:val="000000" w:themeColor="text1"/>
                <w:sz w:val="20"/>
                <w:lang w:val="es-BO"/>
              </w:rPr>
            </w:pPr>
            <w:r>
              <w:rPr>
                <w:color w:val="000000" w:themeColor="text1"/>
                <w:sz w:val="20"/>
                <w:lang w:val="es-BO"/>
              </w:rPr>
              <w:t xml:space="preserve">4.6 </w:t>
            </w:r>
            <w:r w:rsidRPr="00BE07FC">
              <w:rPr>
                <w:color w:val="000000" w:themeColor="text1"/>
                <w:sz w:val="20"/>
                <w:lang w:val="es-BO"/>
              </w:rPr>
              <w:t>Módulo de contabilidad del SIGEP adaptado para el registro del plan de cuentas armonizado para las empresas públicas.</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rsidP="00A46F13">
            <w:pPr>
              <w:spacing w:before="20" w:after="20"/>
              <w:jc w:val="both"/>
              <w:rPr>
                <w:sz w:val="20"/>
                <w:szCs w:val="20"/>
                <w:lang w:val="es-BO"/>
              </w:rPr>
            </w:pPr>
            <w:r w:rsidRPr="00BE07FC">
              <w:rPr>
                <w:color w:val="000000" w:themeColor="text1"/>
                <w:sz w:val="20"/>
                <w:lang w:val="es-BO"/>
              </w:rPr>
              <w:t>Informe de consultoría independiente que verifique la adaptación del módulo de contabilidad del SIGEP para el registro del plan de cuentas armonizado para las empresas públicas.</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Pr="00BE07FC" w:rsidRDefault="00246FC9" w:rsidP="00A46F13">
            <w:pPr>
              <w:pStyle w:val="subpar"/>
              <w:tabs>
                <w:tab w:val="clear" w:pos="1152"/>
              </w:tabs>
              <w:spacing w:before="20" w:after="20"/>
              <w:ind w:left="394" w:hanging="458"/>
              <w:rPr>
                <w:color w:val="000000" w:themeColor="text1"/>
                <w:sz w:val="20"/>
                <w:lang w:val="es-BO"/>
              </w:rPr>
            </w:pPr>
            <w:r>
              <w:rPr>
                <w:color w:val="000000" w:themeColor="text1"/>
                <w:sz w:val="20"/>
                <w:lang w:val="es-BO"/>
              </w:rPr>
              <w:t xml:space="preserve">4.7 </w:t>
            </w:r>
            <w:r w:rsidRPr="00BE07FC">
              <w:rPr>
                <w:color w:val="000000" w:themeColor="text1"/>
                <w:sz w:val="20"/>
                <w:lang w:val="es-BO"/>
              </w:rPr>
              <w:t xml:space="preserve">Evaluación semestral de las actividades económicas, financieras y de gestión de las </w:t>
            </w:r>
            <w:r w:rsidR="00CA34DF">
              <w:rPr>
                <w:color w:val="000000" w:themeColor="text1"/>
                <w:sz w:val="20"/>
                <w:lang w:val="es-BO"/>
              </w:rPr>
              <w:t>e</w:t>
            </w:r>
            <w:r w:rsidRPr="00BE07FC">
              <w:rPr>
                <w:color w:val="000000" w:themeColor="text1"/>
                <w:sz w:val="20"/>
                <w:lang w:val="es-BO"/>
              </w:rPr>
              <w:t xml:space="preserve">mpresas </w:t>
            </w:r>
            <w:r w:rsidR="00CA34DF">
              <w:rPr>
                <w:color w:val="000000" w:themeColor="text1"/>
                <w:sz w:val="20"/>
                <w:lang w:val="es-BO"/>
              </w:rPr>
              <w:t>p</w:t>
            </w:r>
            <w:r w:rsidRPr="00BE07FC">
              <w:rPr>
                <w:color w:val="000000" w:themeColor="text1"/>
                <w:sz w:val="20"/>
                <w:lang w:val="es-BO"/>
              </w:rPr>
              <w:t xml:space="preserve">úblicas </w:t>
            </w:r>
            <w:r w:rsidR="00CA34DF">
              <w:rPr>
                <w:color w:val="000000" w:themeColor="text1"/>
                <w:sz w:val="20"/>
                <w:lang w:val="es-BO"/>
              </w:rPr>
              <w:t>n</w:t>
            </w:r>
            <w:r w:rsidRPr="00BE07FC">
              <w:rPr>
                <w:color w:val="000000" w:themeColor="text1"/>
                <w:sz w:val="20"/>
                <w:lang w:val="es-BO"/>
              </w:rPr>
              <w:t>acionales.</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E07FC" w:rsidRDefault="00246FC9" w:rsidP="00A46F13">
            <w:pPr>
              <w:pStyle w:val="Paragraph"/>
              <w:tabs>
                <w:tab w:val="clear" w:pos="1440"/>
              </w:tabs>
              <w:spacing w:before="20" w:after="20"/>
              <w:ind w:left="0" w:firstLine="0"/>
              <w:rPr>
                <w:sz w:val="20"/>
                <w:lang w:val="es-BO"/>
              </w:rPr>
            </w:pPr>
            <w:r>
              <w:rPr>
                <w:color w:val="000000" w:themeColor="text1"/>
                <w:sz w:val="20"/>
                <w:lang w:val="es-BO"/>
              </w:rPr>
              <w:t xml:space="preserve">Informe de </w:t>
            </w:r>
            <w:r w:rsidRPr="00BE07FC">
              <w:rPr>
                <w:color w:val="000000" w:themeColor="text1"/>
                <w:sz w:val="20"/>
                <w:lang w:val="es-BO"/>
              </w:rPr>
              <w:t>evaluación de las actividades económicas, financieras y de gestión de EPN al primer semestre de 2013, en cumplimiento de la Resolución Bi</w:t>
            </w:r>
            <w:r w:rsidR="009516C2">
              <w:rPr>
                <w:color w:val="000000" w:themeColor="text1"/>
                <w:sz w:val="20"/>
                <w:lang w:val="es-BO"/>
              </w:rPr>
              <w:t>mi</w:t>
            </w:r>
            <w:r w:rsidRPr="00BE07FC">
              <w:rPr>
                <w:color w:val="000000" w:themeColor="text1"/>
                <w:sz w:val="20"/>
                <w:lang w:val="es-BO"/>
              </w:rPr>
              <w:t>nisterial 001 de 8 de abril de 2009.</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629"/>
          <w:jc w:val="center"/>
        </w:trPr>
        <w:tc>
          <w:tcPr>
            <w:tcW w:w="4266" w:type="dxa"/>
            <w:vAlign w:val="center"/>
          </w:tcPr>
          <w:p w:rsidR="00246FC9" w:rsidRPr="00836BA8" w:rsidRDefault="00246FC9" w:rsidP="00A46F13">
            <w:pPr>
              <w:pStyle w:val="subpar"/>
              <w:tabs>
                <w:tab w:val="clear" w:pos="1152"/>
              </w:tabs>
              <w:spacing w:before="20" w:after="20"/>
              <w:ind w:left="296" w:hanging="360"/>
              <w:rPr>
                <w:color w:val="000000" w:themeColor="text1"/>
                <w:sz w:val="20"/>
                <w:lang w:val="es-BO"/>
              </w:rPr>
            </w:pPr>
            <w:r>
              <w:rPr>
                <w:color w:val="000000" w:themeColor="text1"/>
                <w:sz w:val="20"/>
                <w:lang w:val="es-BO"/>
              </w:rPr>
              <w:t xml:space="preserve">4.8 </w:t>
            </w:r>
            <w:r w:rsidRPr="00836BA8">
              <w:rPr>
                <w:color w:val="000000" w:themeColor="text1"/>
                <w:sz w:val="20"/>
                <w:lang w:val="es-BO"/>
              </w:rPr>
              <w:t>Avance en la política de control de pagos indebidos de beneficios, mediante el cruce de información de las bases de datos de SENASIR, APS y SEGIP</w:t>
            </w:r>
            <w:r w:rsidR="00CA34DF">
              <w:rPr>
                <w:color w:val="000000" w:themeColor="text1"/>
                <w:sz w:val="20"/>
                <w:lang w:val="es-BO"/>
              </w:rPr>
              <w:t xml:space="preserve">, </w:t>
            </w:r>
            <w:r w:rsidRPr="00836BA8">
              <w:rPr>
                <w:color w:val="000000" w:themeColor="text1"/>
                <w:sz w:val="20"/>
                <w:lang w:val="es-BO"/>
              </w:rPr>
              <w:t>con el objetivo de identificar en los registros la duplicidad de beneficiarios, fallecidos</w:t>
            </w:r>
            <w:r w:rsidR="00CA34DF">
              <w:rPr>
                <w:color w:val="000000" w:themeColor="text1"/>
                <w:sz w:val="20"/>
                <w:lang w:val="es-BO"/>
              </w:rPr>
              <w:t xml:space="preserve"> </w:t>
            </w:r>
            <w:r w:rsidRPr="00836BA8">
              <w:rPr>
                <w:color w:val="000000" w:themeColor="text1"/>
                <w:sz w:val="20"/>
                <w:lang w:val="es-BO"/>
              </w:rPr>
              <w:t>y nombres erróneos.</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SENASIR.</w:t>
            </w:r>
          </w:p>
        </w:tc>
        <w:tc>
          <w:tcPr>
            <w:tcW w:w="3404" w:type="dxa"/>
          </w:tcPr>
          <w:p w:rsidR="00246FC9" w:rsidRPr="00836BA8" w:rsidRDefault="00246FC9">
            <w:pPr>
              <w:pStyle w:val="Paragraph"/>
              <w:tabs>
                <w:tab w:val="clear" w:pos="1440"/>
              </w:tabs>
              <w:spacing w:before="20" w:after="20"/>
              <w:ind w:left="0" w:firstLine="0"/>
              <w:rPr>
                <w:sz w:val="20"/>
                <w:lang w:val="es-BO"/>
              </w:rPr>
            </w:pPr>
            <w:r w:rsidRPr="00836BA8">
              <w:rPr>
                <w:color w:val="000000" w:themeColor="text1"/>
                <w:sz w:val="20"/>
                <w:lang w:val="es-BO"/>
              </w:rPr>
              <w:t xml:space="preserve"> Informe del SENASIR sobre el control de pagos indebidos de beneficios, mediante el cruce de información de las bases de datos de SENASIR,</w:t>
            </w:r>
            <w:r w:rsidR="009516C2">
              <w:rPr>
                <w:color w:val="000000" w:themeColor="text1"/>
                <w:sz w:val="20"/>
                <w:lang w:val="es-BO"/>
              </w:rPr>
              <w:t xml:space="preserve"> </w:t>
            </w:r>
            <w:r w:rsidRPr="00836BA8">
              <w:rPr>
                <w:color w:val="000000" w:themeColor="text1"/>
                <w:sz w:val="20"/>
                <w:lang w:val="es-BO"/>
              </w:rPr>
              <w:t xml:space="preserve">APS y SEGIP con el objetivo de identificar en los registros la duplicidad de beneficiarios, fallecidos y nombres erróneos, aprobado por el VPSF. </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2690"/>
          <w:jc w:val="center"/>
        </w:trPr>
        <w:tc>
          <w:tcPr>
            <w:tcW w:w="4266" w:type="dxa"/>
            <w:vAlign w:val="center"/>
          </w:tcPr>
          <w:p w:rsidR="00246FC9" w:rsidRPr="00836BA8" w:rsidRDefault="00246FC9" w:rsidP="00A46F13">
            <w:pPr>
              <w:shd w:val="clear" w:color="auto" w:fill="FFFFFF"/>
              <w:spacing w:before="20" w:after="20"/>
              <w:ind w:left="296" w:hanging="360"/>
              <w:jc w:val="both"/>
              <w:rPr>
                <w:color w:val="000000" w:themeColor="text1"/>
                <w:sz w:val="20"/>
                <w:lang w:val="es-ES_tradnl"/>
              </w:rPr>
            </w:pPr>
            <w:r>
              <w:rPr>
                <w:color w:val="000000" w:themeColor="text1"/>
                <w:sz w:val="20"/>
                <w:lang w:val="es-ES_tradnl"/>
              </w:rPr>
              <w:lastRenderedPageBreak/>
              <w:t xml:space="preserve">4.9 </w:t>
            </w:r>
            <w:r w:rsidRPr="000D32DE">
              <w:rPr>
                <w:color w:val="000000" w:themeColor="text1"/>
                <w:sz w:val="20"/>
                <w:lang w:val="es-ES_tradnl"/>
              </w:rPr>
              <w:t xml:space="preserve">Expansión de la política de intercambio de información sobre beneficiarios del sistema de reparto mediante la firma de </w:t>
            </w:r>
            <w:r>
              <w:rPr>
                <w:color w:val="000000" w:themeColor="text1"/>
                <w:sz w:val="20"/>
                <w:lang w:val="es-ES_tradnl"/>
              </w:rPr>
              <w:t xml:space="preserve"> un c</w:t>
            </w:r>
            <w:r w:rsidRPr="000D32DE">
              <w:rPr>
                <w:color w:val="000000" w:themeColor="text1"/>
                <w:sz w:val="20"/>
                <w:lang w:val="es-ES_tradnl"/>
              </w:rPr>
              <w:t>onvenio de cooperación interinstitucional entre el T</w:t>
            </w:r>
            <w:r>
              <w:rPr>
                <w:color w:val="000000" w:themeColor="text1"/>
                <w:sz w:val="20"/>
                <w:lang w:val="es-ES_tradnl"/>
              </w:rPr>
              <w:t>SE, el MEFP, el VPSF, la APS y el SENASIR,</w:t>
            </w:r>
            <w:r w:rsidRPr="000D32DE">
              <w:rPr>
                <w:color w:val="000000" w:themeColor="text1"/>
                <w:sz w:val="20"/>
                <w:lang w:val="es-ES_tradnl"/>
              </w:rPr>
              <w:t xml:space="preserve"> que admita el acceso a la información del Servicio de Registro Cívico (SERECI), para la verificación de los datos de identidad de personas naturales, con el objetivo de realizar la actualización continua de datos personales de los Beneficiarios y Asegurados del Sistema Integral de Pensiones y de los rentistas del Sistema de Reparto, y de este modo</w:t>
            </w:r>
            <w:r w:rsidR="00CA34DF">
              <w:rPr>
                <w:color w:val="000000" w:themeColor="text1"/>
                <w:sz w:val="20"/>
                <w:lang w:val="es-ES_tradnl"/>
              </w:rPr>
              <w:t>,</w:t>
            </w:r>
            <w:r w:rsidRPr="000D32DE">
              <w:rPr>
                <w:color w:val="000000" w:themeColor="text1"/>
                <w:sz w:val="20"/>
                <w:lang w:val="es-ES_tradnl"/>
              </w:rPr>
              <w:t xml:space="preserve"> reducir los costos fiscales en el pago de rentas.</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B30A1C" w:rsidRDefault="00246FC9" w:rsidP="00A46F13">
            <w:pPr>
              <w:shd w:val="clear" w:color="auto" w:fill="FFFFFF"/>
              <w:spacing w:before="20" w:after="20"/>
              <w:jc w:val="both"/>
              <w:rPr>
                <w:sz w:val="20"/>
                <w:szCs w:val="20"/>
                <w:lang w:val="es-ES_tradnl"/>
              </w:rPr>
            </w:pPr>
            <w:r w:rsidRPr="000D32DE">
              <w:rPr>
                <w:color w:val="000000" w:themeColor="text1"/>
                <w:sz w:val="20"/>
                <w:lang w:val="es-ES_tradnl"/>
              </w:rPr>
              <w:t>Convenio de Cooperación Interinstitucional suscrito entre  las máximas autoridades del TSE, el MEFP, el VPSF</w:t>
            </w:r>
            <w:r>
              <w:rPr>
                <w:color w:val="000000" w:themeColor="text1"/>
                <w:sz w:val="20"/>
                <w:lang w:val="es-ES_tradnl"/>
              </w:rPr>
              <w:t xml:space="preserve">, la </w:t>
            </w:r>
            <w:r w:rsidRPr="000D32DE">
              <w:rPr>
                <w:color w:val="000000" w:themeColor="text1"/>
                <w:sz w:val="20"/>
                <w:lang w:val="es-ES_tradnl"/>
              </w:rPr>
              <w:t>APS</w:t>
            </w:r>
            <w:r>
              <w:rPr>
                <w:color w:val="000000" w:themeColor="text1"/>
                <w:sz w:val="20"/>
                <w:lang w:val="es-ES_tradnl"/>
              </w:rPr>
              <w:t xml:space="preserve"> y el </w:t>
            </w:r>
            <w:r w:rsidRPr="000D32DE">
              <w:rPr>
                <w:color w:val="000000" w:themeColor="text1"/>
                <w:sz w:val="20"/>
                <w:lang w:val="es-ES_tradnl"/>
              </w:rPr>
              <w:t>SENASIR</w:t>
            </w:r>
            <w:r>
              <w:rPr>
                <w:color w:val="000000" w:themeColor="text1"/>
                <w:sz w:val="20"/>
                <w:lang w:val="es-ES_tradnl"/>
              </w:rPr>
              <w:t>;</w:t>
            </w:r>
            <w:r w:rsidRPr="003014FB">
              <w:rPr>
                <w:color w:val="000000" w:themeColor="text1"/>
                <w:sz w:val="20"/>
                <w:lang w:val="es-ES_tradnl"/>
              </w:rPr>
              <w:t xml:space="preserve"> que admita el acceso a la información del SERECI, para la verificación de los datos de identidad de personas naturales, con el objetivo de realizar la actualización continua de datos personales de los Beneficiarios y Asegurados del Sistema Integral de Pensiones y de los rentistas del Sistema de Reparto</w:t>
            </w:r>
            <w:r>
              <w:rPr>
                <w:color w:val="000000" w:themeColor="text1"/>
                <w:sz w:val="20"/>
                <w:lang w:val="es-ES_tradnl"/>
              </w:rPr>
              <w:t>.</w:t>
            </w:r>
          </w:p>
        </w:tc>
        <w:tc>
          <w:tcPr>
            <w:tcW w:w="2446" w:type="dxa"/>
            <w:vMerge w:val="restart"/>
            <w:vAlign w:val="center"/>
          </w:tcPr>
          <w:p w:rsidR="00246FC9" w:rsidRDefault="00246FC9" w:rsidP="00A46F13">
            <w:pPr>
              <w:spacing w:before="20" w:after="20"/>
              <w:jc w:val="center"/>
              <w:rPr>
                <w:sz w:val="20"/>
                <w:szCs w:val="20"/>
                <w:lang w:val="es-ES_tradnl"/>
              </w:rPr>
            </w:pPr>
          </w:p>
        </w:tc>
      </w:tr>
      <w:tr w:rsidR="00820CBF" w:rsidRPr="005552D8" w:rsidTr="00A46F13">
        <w:trPr>
          <w:trHeight w:val="1943"/>
          <w:jc w:val="center"/>
        </w:trPr>
        <w:tc>
          <w:tcPr>
            <w:tcW w:w="4266" w:type="dxa"/>
            <w:vAlign w:val="center"/>
          </w:tcPr>
          <w:p w:rsidR="00246FC9" w:rsidRPr="00836BA8" w:rsidRDefault="00246FC9" w:rsidP="00A46F13">
            <w:pPr>
              <w:pStyle w:val="subpar"/>
              <w:tabs>
                <w:tab w:val="clear" w:pos="1152"/>
              </w:tabs>
              <w:spacing w:before="20" w:after="20"/>
              <w:ind w:left="394" w:hanging="458"/>
              <w:rPr>
                <w:color w:val="000000" w:themeColor="text1"/>
                <w:sz w:val="20"/>
                <w:lang w:val="es-BO"/>
              </w:rPr>
            </w:pPr>
            <w:r>
              <w:rPr>
                <w:color w:val="000000" w:themeColor="text1"/>
                <w:sz w:val="20"/>
                <w:lang w:val="es-BO"/>
              </w:rPr>
              <w:t xml:space="preserve">4.10 </w:t>
            </w:r>
            <w:r w:rsidRPr="00836BA8">
              <w:rPr>
                <w:color w:val="000000" w:themeColor="text1"/>
                <w:sz w:val="20"/>
                <w:lang w:val="es-BO"/>
              </w:rPr>
              <w:t>Efectuar al menos el registro biométrico de un 10% de la población de Rentistas (Titulares y derechohabientes) y Beneficiarios de Pensiones Vitalicias (Beneméritos, Viudas de Beneméritos e Inválidos de Guerra).</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SENASIR</w:t>
            </w:r>
          </w:p>
        </w:tc>
        <w:tc>
          <w:tcPr>
            <w:tcW w:w="3404" w:type="dxa"/>
          </w:tcPr>
          <w:p w:rsidR="00246FC9" w:rsidRPr="00836BA8" w:rsidRDefault="00246FC9" w:rsidP="00A46F13">
            <w:pPr>
              <w:spacing w:before="20" w:after="20"/>
              <w:jc w:val="both"/>
              <w:rPr>
                <w:sz w:val="20"/>
                <w:szCs w:val="20"/>
                <w:lang w:val="es-BO"/>
              </w:rPr>
            </w:pPr>
            <w:r w:rsidRPr="00836BA8">
              <w:rPr>
                <w:color w:val="000000" w:themeColor="text1"/>
                <w:sz w:val="20"/>
                <w:lang w:val="es-BO"/>
              </w:rPr>
              <w:t>Informe del SENASIR que verifique el registro biométrico de al menos un 10% de la población de Rentistas (Titulares y derechohabientes) y Beneficiarios de Pensiones Vitalicias (Beneméritos, Viudas de Beneméritos e Inválidos de Guerra),  aprobado por el VPSF.</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1520"/>
          <w:jc w:val="center"/>
        </w:trPr>
        <w:tc>
          <w:tcPr>
            <w:tcW w:w="4266" w:type="dxa"/>
            <w:vAlign w:val="center"/>
          </w:tcPr>
          <w:p w:rsidR="00246FC9" w:rsidRPr="00836BA8" w:rsidRDefault="00246FC9" w:rsidP="00A46F13">
            <w:pPr>
              <w:pStyle w:val="subpar"/>
              <w:tabs>
                <w:tab w:val="clear" w:pos="1152"/>
              </w:tabs>
              <w:spacing w:before="20" w:after="20"/>
              <w:ind w:left="394" w:hanging="458"/>
              <w:rPr>
                <w:color w:val="000000" w:themeColor="text1"/>
                <w:sz w:val="20"/>
                <w:lang w:val="es-BO"/>
              </w:rPr>
            </w:pPr>
            <w:r>
              <w:rPr>
                <w:color w:val="000000" w:themeColor="text1"/>
                <w:sz w:val="20"/>
                <w:lang w:val="es-BO"/>
              </w:rPr>
              <w:t xml:space="preserve">4.11 </w:t>
            </w:r>
            <w:r w:rsidRPr="00836BA8">
              <w:rPr>
                <w:color w:val="000000" w:themeColor="text1"/>
                <w:sz w:val="20"/>
                <w:lang w:val="es-BO"/>
              </w:rPr>
              <w:t>Efectuar el registro biométrico de las personas que no son rentistas y sean beneficiarias de la Renta Dignidad de al menos un 85% del grupo al 2012</w:t>
            </w:r>
            <w:r w:rsidR="00CA34DF">
              <w:rPr>
                <w:color w:val="000000" w:themeColor="text1"/>
                <w:sz w:val="20"/>
                <w:lang w:val="es-BO"/>
              </w:rPr>
              <w:t>.</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APS</w:t>
            </w:r>
          </w:p>
        </w:tc>
        <w:tc>
          <w:tcPr>
            <w:tcW w:w="3404" w:type="dxa"/>
          </w:tcPr>
          <w:p w:rsidR="00246FC9" w:rsidRPr="00836BA8" w:rsidRDefault="00246FC9" w:rsidP="00A46F13">
            <w:pPr>
              <w:spacing w:before="20" w:after="20"/>
              <w:jc w:val="both"/>
              <w:rPr>
                <w:sz w:val="20"/>
                <w:szCs w:val="20"/>
                <w:lang w:val="es-BO"/>
              </w:rPr>
            </w:pPr>
            <w:r w:rsidRPr="00836BA8">
              <w:rPr>
                <w:color w:val="000000" w:themeColor="text1"/>
                <w:sz w:val="20"/>
                <w:lang w:val="es-BO"/>
              </w:rPr>
              <w:t>Informe de la APS que verifique el registro biométrico de las personas que no son rentistas y sean beneficiarias de la Renta Dignidad de al menos un 85% del grupo al 2012,  aprobado por el VPSF.</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5552D8" w:rsidTr="00A46F13">
        <w:trPr>
          <w:trHeight w:val="1520"/>
          <w:jc w:val="center"/>
        </w:trPr>
        <w:tc>
          <w:tcPr>
            <w:tcW w:w="4266" w:type="dxa"/>
            <w:vAlign w:val="center"/>
          </w:tcPr>
          <w:p w:rsidR="00246FC9" w:rsidRPr="00836BA8" w:rsidRDefault="00246FC9">
            <w:pPr>
              <w:pStyle w:val="Paragraph"/>
              <w:tabs>
                <w:tab w:val="clear" w:pos="1440"/>
              </w:tabs>
              <w:spacing w:before="20" w:after="20"/>
              <w:ind w:left="386" w:hanging="450"/>
              <w:rPr>
                <w:color w:val="000000" w:themeColor="text1"/>
                <w:sz w:val="20"/>
                <w:lang w:val="es-BO"/>
              </w:rPr>
            </w:pPr>
            <w:r>
              <w:rPr>
                <w:color w:val="000000" w:themeColor="text1"/>
                <w:sz w:val="20"/>
                <w:lang w:val="es-BO"/>
              </w:rPr>
              <w:t xml:space="preserve">5.1 </w:t>
            </w:r>
            <w:r w:rsidR="00BF2D78" w:rsidRPr="00836BA8">
              <w:rPr>
                <w:color w:val="000000" w:themeColor="text1"/>
                <w:sz w:val="20"/>
                <w:lang w:val="es-BO"/>
              </w:rPr>
              <w:t>Implementación de la política de transparencia en las adquisiciones estatales, con</w:t>
            </w:r>
            <w:r w:rsidR="00BF2D78">
              <w:rPr>
                <w:color w:val="000000" w:themeColor="text1"/>
                <w:sz w:val="20"/>
                <w:lang w:val="es-BO"/>
              </w:rPr>
              <w:t xml:space="preserve"> la publicación en línea de un catálogo de p</w:t>
            </w:r>
            <w:r w:rsidR="00BF2D78" w:rsidRPr="00836BA8">
              <w:rPr>
                <w:color w:val="000000" w:themeColor="text1"/>
                <w:sz w:val="20"/>
                <w:lang w:val="es-BO"/>
              </w:rPr>
              <w:t>roveedores a nivel nacional, con la información de la oferta de bienes y servicios.</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Ministerio de Transparencia Institucional y Lucha Contra la Corrupción.</w:t>
            </w:r>
          </w:p>
        </w:tc>
        <w:tc>
          <w:tcPr>
            <w:tcW w:w="3404" w:type="dxa"/>
          </w:tcPr>
          <w:p w:rsidR="00BF2D78" w:rsidRPr="00836BA8" w:rsidRDefault="00BF2D78" w:rsidP="00A46F13">
            <w:pPr>
              <w:spacing w:before="20" w:after="20"/>
              <w:jc w:val="both"/>
              <w:rPr>
                <w:sz w:val="20"/>
                <w:szCs w:val="20"/>
                <w:lang w:val="es-BO"/>
              </w:rPr>
            </w:pPr>
            <w:r w:rsidRPr="00836BA8">
              <w:rPr>
                <w:color w:val="000000" w:themeColor="text1"/>
                <w:sz w:val="20"/>
                <w:lang w:val="es-BO"/>
              </w:rPr>
              <w:t>Informe de consultoría independiente que verifique  la publicación en línea de un Catálogo de Proveedores a nivel nacional, con la información de la oferta de bienes y servicios.</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EF1400" w:rsidTr="00A46F13">
        <w:trPr>
          <w:trHeight w:val="629"/>
          <w:jc w:val="center"/>
        </w:trPr>
        <w:tc>
          <w:tcPr>
            <w:tcW w:w="4266" w:type="dxa"/>
            <w:vAlign w:val="center"/>
          </w:tcPr>
          <w:p w:rsidR="00BF2D78" w:rsidRPr="00836BA8" w:rsidRDefault="00246FC9">
            <w:pPr>
              <w:pStyle w:val="Paragraph"/>
              <w:tabs>
                <w:tab w:val="clear" w:pos="1440"/>
              </w:tabs>
              <w:spacing w:before="20" w:after="20"/>
              <w:ind w:left="291" w:hanging="355"/>
              <w:rPr>
                <w:color w:val="000000" w:themeColor="text1"/>
                <w:sz w:val="20"/>
                <w:lang w:val="es-BO"/>
              </w:rPr>
            </w:pPr>
            <w:r>
              <w:rPr>
                <w:color w:val="000000" w:themeColor="text1"/>
                <w:sz w:val="20"/>
                <w:lang w:val="es-BO"/>
              </w:rPr>
              <w:t xml:space="preserve">5.2 </w:t>
            </w:r>
            <w:r w:rsidR="00BF2D78" w:rsidRPr="00836BA8">
              <w:rPr>
                <w:color w:val="000000" w:themeColor="text1"/>
                <w:sz w:val="20"/>
                <w:lang w:val="es-BO"/>
              </w:rPr>
              <w:t>Expansión de la cobertura de entidades que realizan procesos anuales de rendición pública de cuentas:</w:t>
            </w:r>
          </w:p>
          <w:p w:rsidR="00BF2D78" w:rsidRDefault="00BF2D78" w:rsidP="00A46F13">
            <w:pPr>
              <w:pStyle w:val="Paragraph"/>
              <w:numPr>
                <w:ilvl w:val="0"/>
                <w:numId w:val="48"/>
              </w:numPr>
              <w:spacing w:before="20" w:after="20"/>
              <w:rPr>
                <w:color w:val="000000" w:themeColor="text1"/>
                <w:sz w:val="20"/>
                <w:lang w:val="es-BO"/>
              </w:rPr>
            </w:pPr>
            <w:r w:rsidRPr="00836BA8">
              <w:rPr>
                <w:color w:val="000000" w:themeColor="text1"/>
                <w:sz w:val="20"/>
                <w:lang w:val="es-BO"/>
              </w:rPr>
              <w:t xml:space="preserve">Se incorporan al programa de rendición </w:t>
            </w:r>
            <w:r w:rsidRPr="00836BA8">
              <w:rPr>
                <w:color w:val="000000" w:themeColor="text1"/>
                <w:sz w:val="20"/>
                <w:lang w:val="es-BO"/>
              </w:rPr>
              <w:lastRenderedPageBreak/>
              <w:t xml:space="preserve">pública de cuentas 50 municipios y 5 </w:t>
            </w:r>
            <w:r>
              <w:rPr>
                <w:color w:val="000000" w:themeColor="text1"/>
                <w:sz w:val="20"/>
                <w:lang w:val="es-BO"/>
              </w:rPr>
              <w:t>gobernaciones.</w:t>
            </w:r>
          </w:p>
          <w:p w:rsidR="00BF2D78" w:rsidRPr="00836BA8" w:rsidRDefault="00BF2D78" w:rsidP="00A46F13">
            <w:pPr>
              <w:pStyle w:val="subpar"/>
              <w:numPr>
                <w:ilvl w:val="0"/>
                <w:numId w:val="48"/>
              </w:numPr>
              <w:spacing w:before="20" w:after="20"/>
              <w:rPr>
                <w:color w:val="000000" w:themeColor="text1"/>
                <w:sz w:val="20"/>
                <w:lang w:val="es-BO"/>
              </w:rPr>
            </w:pPr>
            <w:r w:rsidRPr="00836BA8">
              <w:rPr>
                <w:color w:val="000000" w:themeColor="text1"/>
                <w:sz w:val="20"/>
                <w:lang w:val="es-BO"/>
              </w:rPr>
              <w:t>Se realiza una rendición pública de cuentas para 5 entidades del Gobierno Central (incluyendo sus entidades descentralizadas y desconcentradas)</w:t>
            </w:r>
            <w:r>
              <w:rPr>
                <w:color w:val="000000" w:themeColor="text1"/>
                <w:sz w:val="20"/>
                <w:lang w:val="es-BO"/>
              </w:rPr>
              <w:t>.</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 xml:space="preserve">Ministerio de </w:t>
            </w:r>
            <w:r w:rsidRPr="00E238D2">
              <w:rPr>
                <w:sz w:val="20"/>
                <w:szCs w:val="20"/>
                <w:lang w:val="es-BO"/>
              </w:rPr>
              <w:t>Economía y Finanzas</w:t>
            </w:r>
            <w:r>
              <w:rPr>
                <w:sz w:val="20"/>
                <w:szCs w:val="20"/>
                <w:lang w:val="es-BO"/>
              </w:rPr>
              <w:t xml:space="preserve"> Públicas.</w:t>
            </w:r>
          </w:p>
        </w:tc>
        <w:tc>
          <w:tcPr>
            <w:tcW w:w="3404" w:type="dxa"/>
          </w:tcPr>
          <w:p w:rsidR="00246FC9" w:rsidRPr="00836BA8" w:rsidRDefault="00BF2D78" w:rsidP="00A46F13">
            <w:pPr>
              <w:spacing w:before="20" w:after="20"/>
              <w:jc w:val="both"/>
              <w:rPr>
                <w:sz w:val="20"/>
                <w:szCs w:val="20"/>
                <w:lang w:val="es-BO"/>
              </w:rPr>
            </w:pPr>
            <w:r w:rsidRPr="00836BA8">
              <w:rPr>
                <w:color w:val="000000" w:themeColor="text1"/>
                <w:sz w:val="20"/>
                <w:lang w:val="es-BO"/>
              </w:rPr>
              <w:t xml:space="preserve">Informe del Ministerio de Transparencia Institucional y Lucha Contra la Corrupción que evidencie la  rendición pública de cuentas 50 </w:t>
            </w:r>
            <w:r w:rsidRPr="00836BA8">
              <w:rPr>
                <w:color w:val="000000" w:themeColor="text1"/>
                <w:sz w:val="20"/>
                <w:lang w:val="es-BO"/>
              </w:rPr>
              <w:lastRenderedPageBreak/>
              <w:t>municipios, 5 gobernaciones y 5 entidades del Gobierno Central (incluyendo sus entidades descentralizadas y desconcentradas)</w:t>
            </w:r>
            <w:r>
              <w:rPr>
                <w:color w:val="000000" w:themeColor="text1"/>
                <w:sz w:val="20"/>
                <w:lang w:val="es-BO"/>
              </w:rPr>
              <w:t>.</w:t>
            </w:r>
          </w:p>
        </w:tc>
        <w:tc>
          <w:tcPr>
            <w:tcW w:w="2446" w:type="dxa"/>
            <w:vMerge w:val="restart"/>
            <w:vAlign w:val="center"/>
          </w:tcPr>
          <w:p w:rsidR="00246FC9" w:rsidRDefault="00246FC9" w:rsidP="00A46F13">
            <w:pPr>
              <w:spacing w:before="20" w:after="20"/>
              <w:jc w:val="center"/>
              <w:rPr>
                <w:sz w:val="20"/>
                <w:szCs w:val="20"/>
                <w:lang w:val="es-ES_tradnl"/>
              </w:rPr>
            </w:pPr>
            <w:r>
              <w:rPr>
                <w:sz w:val="20"/>
                <w:szCs w:val="20"/>
                <w:lang w:val="es-BO"/>
              </w:rPr>
              <w:lastRenderedPageBreak/>
              <w:t xml:space="preserve">s </w:t>
            </w:r>
          </w:p>
        </w:tc>
      </w:tr>
      <w:tr w:rsidR="00820CBF" w:rsidRPr="005552D8" w:rsidTr="00A46F13">
        <w:trPr>
          <w:trHeight w:val="629"/>
          <w:jc w:val="center"/>
        </w:trPr>
        <w:tc>
          <w:tcPr>
            <w:tcW w:w="4266" w:type="dxa"/>
            <w:vAlign w:val="center"/>
          </w:tcPr>
          <w:p w:rsidR="00246FC9" w:rsidRPr="00836BA8" w:rsidRDefault="00246FC9" w:rsidP="00A46F13">
            <w:pPr>
              <w:pStyle w:val="subpar"/>
              <w:tabs>
                <w:tab w:val="clear" w:pos="1152"/>
              </w:tabs>
              <w:spacing w:before="20" w:after="20"/>
              <w:ind w:left="296" w:hanging="360"/>
              <w:rPr>
                <w:color w:val="000000" w:themeColor="text1"/>
                <w:sz w:val="20"/>
                <w:lang w:val="es-BO"/>
              </w:rPr>
            </w:pPr>
            <w:r>
              <w:rPr>
                <w:color w:val="000000" w:themeColor="text1"/>
                <w:sz w:val="20"/>
                <w:lang w:val="es-BO"/>
              </w:rPr>
              <w:lastRenderedPageBreak/>
              <w:t>5.3</w:t>
            </w:r>
            <w:r w:rsidR="00BF2D78">
              <w:rPr>
                <w:color w:val="000000" w:themeColor="text1"/>
                <w:sz w:val="20"/>
                <w:lang w:val="es-BO"/>
              </w:rPr>
              <w:t xml:space="preserve"> </w:t>
            </w:r>
            <w:r w:rsidRPr="00836BA8">
              <w:rPr>
                <w:color w:val="000000" w:themeColor="text1"/>
                <w:sz w:val="20"/>
                <w:lang w:val="es-BO"/>
              </w:rPr>
              <w:t>Presentación a la Asamblea Legislativa Plurinacional del Proyecto de Ley</w:t>
            </w:r>
            <w:r w:rsidR="00BF2D78">
              <w:rPr>
                <w:color w:val="000000" w:themeColor="text1"/>
                <w:sz w:val="20"/>
                <w:lang w:val="es-BO"/>
              </w:rPr>
              <w:t xml:space="preserve"> </w:t>
            </w:r>
            <w:r w:rsidRPr="00836BA8">
              <w:rPr>
                <w:color w:val="000000" w:themeColor="text1"/>
                <w:sz w:val="20"/>
                <w:lang w:val="es-BO"/>
              </w:rPr>
              <w:t>que regulará el ejercicio del control social acorde con la nueva Constitución.</w:t>
            </w:r>
          </w:p>
        </w:tc>
        <w:tc>
          <w:tcPr>
            <w:tcW w:w="341" w:type="dxa"/>
            <w:shd w:val="clear" w:color="auto" w:fill="auto"/>
            <w:vAlign w:val="center"/>
          </w:tcPr>
          <w:p w:rsidR="00246FC9" w:rsidRPr="00B30A1C" w:rsidRDefault="00246FC9" w:rsidP="00A46F13">
            <w:pPr>
              <w:spacing w:before="20" w:after="20"/>
              <w:jc w:val="center"/>
              <w:rPr>
                <w:sz w:val="20"/>
                <w:szCs w:val="20"/>
                <w:lang w:val="es-ES_tradnl"/>
              </w:rPr>
            </w:pPr>
          </w:p>
        </w:tc>
        <w:tc>
          <w:tcPr>
            <w:tcW w:w="306" w:type="dxa"/>
            <w:shd w:val="clear" w:color="auto" w:fill="auto"/>
            <w:vAlign w:val="center"/>
          </w:tcPr>
          <w:p w:rsidR="00246FC9" w:rsidRDefault="00246FC9" w:rsidP="00A46F13">
            <w:pPr>
              <w:spacing w:before="20" w:after="20"/>
              <w:jc w:val="center"/>
              <w:rPr>
                <w:sz w:val="20"/>
                <w:szCs w:val="20"/>
                <w:lang w:val="es-ES_tradnl"/>
              </w:rPr>
            </w:pPr>
          </w:p>
        </w:tc>
        <w:tc>
          <w:tcPr>
            <w:tcW w:w="344" w:type="dxa"/>
            <w:shd w:val="clear" w:color="auto" w:fill="auto"/>
            <w:vAlign w:val="center"/>
          </w:tcPr>
          <w:p w:rsidR="00246FC9" w:rsidRDefault="00246FC9" w:rsidP="00A46F13">
            <w:pPr>
              <w:spacing w:before="20" w:after="20"/>
              <w:jc w:val="center"/>
              <w:rPr>
                <w:sz w:val="20"/>
                <w:szCs w:val="20"/>
                <w:lang w:val="es-ES_tradnl"/>
              </w:rPr>
            </w:pPr>
          </w:p>
        </w:tc>
        <w:tc>
          <w:tcPr>
            <w:tcW w:w="360" w:type="dxa"/>
            <w:shd w:val="clear" w:color="auto" w:fill="auto"/>
            <w:vAlign w:val="center"/>
          </w:tcPr>
          <w:p w:rsidR="00246FC9" w:rsidRDefault="00246FC9" w:rsidP="00A46F13">
            <w:pPr>
              <w:spacing w:before="20" w:after="20"/>
              <w:jc w:val="center"/>
              <w:rPr>
                <w:sz w:val="20"/>
                <w:szCs w:val="20"/>
                <w:lang w:val="es-ES_tradnl"/>
              </w:rPr>
            </w:pPr>
            <w:r>
              <w:rPr>
                <w:sz w:val="20"/>
                <w:szCs w:val="20"/>
                <w:lang w:val="es-ES_tradnl"/>
              </w:rPr>
              <w:t>X</w:t>
            </w:r>
          </w:p>
        </w:tc>
        <w:tc>
          <w:tcPr>
            <w:tcW w:w="1526" w:type="dxa"/>
            <w:vAlign w:val="center"/>
          </w:tcPr>
          <w:p w:rsidR="00246FC9" w:rsidRPr="00CD6C31" w:rsidRDefault="00246FC9" w:rsidP="00A46F13">
            <w:pPr>
              <w:spacing w:before="20" w:after="20"/>
              <w:rPr>
                <w:sz w:val="20"/>
                <w:szCs w:val="20"/>
                <w:lang w:val="es-BO"/>
              </w:rPr>
            </w:pPr>
            <w:r>
              <w:rPr>
                <w:sz w:val="20"/>
                <w:szCs w:val="20"/>
                <w:lang w:val="es-BO"/>
              </w:rPr>
              <w:t>Ministerio de Transparencia Institucional y Lucha Contra la Corrupción.</w:t>
            </w:r>
          </w:p>
        </w:tc>
        <w:tc>
          <w:tcPr>
            <w:tcW w:w="3404" w:type="dxa"/>
          </w:tcPr>
          <w:p w:rsidR="00246FC9" w:rsidRPr="00836BA8" w:rsidRDefault="00246FC9" w:rsidP="00A46F13">
            <w:pPr>
              <w:spacing w:before="20" w:after="20"/>
              <w:jc w:val="both"/>
              <w:rPr>
                <w:sz w:val="20"/>
                <w:szCs w:val="20"/>
                <w:lang w:val="es-BO"/>
              </w:rPr>
            </w:pPr>
            <w:r w:rsidRPr="00836BA8">
              <w:rPr>
                <w:color w:val="000000" w:themeColor="text1"/>
                <w:sz w:val="20"/>
                <w:lang w:val="es-BO"/>
              </w:rPr>
              <w:t>Constancia de la Promulgación en la Gaceta Oficial de la Ley que regula el ejercicio del control social, acorde con la nueva Constitución</w:t>
            </w:r>
            <w:r w:rsidR="009516C2">
              <w:rPr>
                <w:color w:val="000000" w:themeColor="text1"/>
                <w:sz w:val="20"/>
                <w:lang w:val="es-BO"/>
              </w:rPr>
              <w:t>.</w:t>
            </w:r>
          </w:p>
        </w:tc>
        <w:tc>
          <w:tcPr>
            <w:tcW w:w="2446" w:type="dxa"/>
            <w:vMerge/>
            <w:vAlign w:val="center"/>
          </w:tcPr>
          <w:p w:rsidR="00246FC9" w:rsidRDefault="00246FC9" w:rsidP="00A46F13">
            <w:pPr>
              <w:spacing w:before="20" w:after="20"/>
              <w:jc w:val="center"/>
              <w:rPr>
                <w:sz w:val="20"/>
                <w:szCs w:val="20"/>
                <w:lang w:val="es-ES_tradnl"/>
              </w:rPr>
            </w:pPr>
          </w:p>
        </w:tc>
      </w:tr>
      <w:tr w:rsidR="00820CBF" w:rsidRPr="0047412F" w:rsidTr="00820CBF">
        <w:trPr>
          <w:trHeight w:val="275"/>
          <w:jc w:val="center"/>
        </w:trPr>
        <w:tc>
          <w:tcPr>
            <w:tcW w:w="7143" w:type="dxa"/>
            <w:gridSpan w:val="6"/>
          </w:tcPr>
          <w:p w:rsidR="00246FC9" w:rsidRDefault="00246FC9" w:rsidP="00A46F13">
            <w:pPr>
              <w:spacing w:before="20" w:after="20"/>
              <w:rPr>
                <w:sz w:val="20"/>
                <w:szCs w:val="20"/>
                <w:lang w:val="es-BO"/>
              </w:rPr>
            </w:pPr>
          </w:p>
        </w:tc>
        <w:tc>
          <w:tcPr>
            <w:tcW w:w="3404" w:type="dxa"/>
          </w:tcPr>
          <w:p w:rsidR="00246FC9" w:rsidRPr="00246FC9" w:rsidRDefault="00246FC9" w:rsidP="00A46F13">
            <w:pPr>
              <w:spacing w:before="20" w:after="20"/>
              <w:jc w:val="right"/>
              <w:rPr>
                <w:b/>
                <w:color w:val="000000" w:themeColor="text1"/>
                <w:sz w:val="20"/>
                <w:lang w:val="es-BO"/>
              </w:rPr>
            </w:pPr>
            <w:r w:rsidRPr="00246FC9">
              <w:rPr>
                <w:b/>
                <w:color w:val="000000" w:themeColor="text1"/>
                <w:sz w:val="20"/>
                <w:lang w:val="es-BO"/>
              </w:rPr>
              <w:t xml:space="preserve"> Costo total:</w:t>
            </w:r>
          </w:p>
        </w:tc>
        <w:tc>
          <w:tcPr>
            <w:tcW w:w="2446" w:type="dxa"/>
            <w:vAlign w:val="center"/>
          </w:tcPr>
          <w:p w:rsidR="00246FC9" w:rsidRPr="00246FC9" w:rsidRDefault="00246FC9" w:rsidP="00A46F13">
            <w:pPr>
              <w:spacing w:before="20" w:after="20"/>
              <w:jc w:val="center"/>
              <w:rPr>
                <w:b/>
                <w:sz w:val="20"/>
                <w:szCs w:val="20"/>
                <w:lang w:val="es-ES_tradnl"/>
              </w:rPr>
            </w:pPr>
            <w:r w:rsidRPr="00EF1400">
              <w:rPr>
                <w:b/>
                <w:sz w:val="20"/>
                <w:szCs w:val="20"/>
                <w:lang w:val="es-ES_tradnl"/>
              </w:rPr>
              <w:t>US$20</w:t>
            </w:r>
            <w:r w:rsidR="00FD7EFA" w:rsidRPr="00EF1400">
              <w:rPr>
                <w:b/>
                <w:sz w:val="20"/>
                <w:szCs w:val="20"/>
                <w:lang w:val="es-ES_tradnl"/>
              </w:rPr>
              <w:t>.</w:t>
            </w:r>
            <w:r w:rsidRPr="00EF1400">
              <w:rPr>
                <w:b/>
                <w:sz w:val="20"/>
                <w:szCs w:val="20"/>
                <w:lang w:val="es-ES_tradnl"/>
              </w:rPr>
              <w:t>000</w:t>
            </w:r>
          </w:p>
        </w:tc>
      </w:tr>
    </w:tbl>
    <w:p w:rsidR="00CE4005" w:rsidRDefault="00396984">
      <w:pPr>
        <w:spacing w:after="200" w:line="276" w:lineRule="auto"/>
        <w:rPr>
          <w:b/>
          <w:bCs/>
          <w:lang w:val="es-ES_tradnl"/>
        </w:rPr>
      </w:pPr>
      <w:r>
        <w:rPr>
          <w:b/>
          <w:bCs/>
          <w:lang w:val="es-ES_tradnl"/>
        </w:rPr>
        <w:br w:type="page"/>
      </w:r>
    </w:p>
    <w:p w:rsidR="0038441B" w:rsidRPr="003604CF" w:rsidRDefault="0038441B" w:rsidP="0038441B">
      <w:pPr>
        <w:spacing w:after="200" w:line="276" w:lineRule="auto"/>
        <w:jc w:val="center"/>
        <w:rPr>
          <w:rFonts w:eastAsia="Calibri"/>
          <w:b/>
          <w:smallCaps/>
          <w:lang w:val="es-ES_tradnl"/>
        </w:rPr>
      </w:pPr>
      <w:r w:rsidRPr="003604CF">
        <w:rPr>
          <w:b/>
          <w:smallCaps/>
          <w:lang w:val="es-ES_tradnl"/>
        </w:rPr>
        <w:lastRenderedPageBreak/>
        <w:t>Evaluación</w:t>
      </w:r>
    </w:p>
    <w:tbl>
      <w:tblPr>
        <w:tblW w:w="11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5"/>
        <w:gridCol w:w="360"/>
        <w:gridCol w:w="360"/>
        <w:gridCol w:w="360"/>
        <w:gridCol w:w="360"/>
        <w:gridCol w:w="2368"/>
        <w:gridCol w:w="2020"/>
      </w:tblGrid>
      <w:tr w:rsidR="00FD7EFA" w:rsidRPr="005552D8" w:rsidTr="00A40DDA">
        <w:trPr>
          <w:jc w:val="center"/>
        </w:trPr>
        <w:tc>
          <w:tcPr>
            <w:tcW w:w="11543" w:type="dxa"/>
            <w:gridSpan w:val="7"/>
            <w:vAlign w:val="center"/>
          </w:tcPr>
          <w:p w:rsidR="00FD7EFA" w:rsidRPr="00A46F13" w:rsidRDefault="00FD7EFA" w:rsidP="003604CF">
            <w:pPr>
              <w:jc w:val="center"/>
              <w:rPr>
                <w:b/>
                <w:sz w:val="20"/>
                <w:szCs w:val="20"/>
                <w:lang w:val="es-ES_tradnl"/>
              </w:rPr>
            </w:pPr>
            <w:r w:rsidRPr="003604CF">
              <w:rPr>
                <w:b/>
                <w:smallCaps/>
                <w:lang w:val="es-ES_tradnl"/>
              </w:rPr>
              <w:t>Cuadro 2</w:t>
            </w:r>
            <w:r>
              <w:rPr>
                <w:b/>
                <w:smallCaps/>
                <w:lang w:val="es-ES_tradnl"/>
              </w:rPr>
              <w:t xml:space="preserve">. </w:t>
            </w:r>
            <w:r w:rsidRPr="003604CF">
              <w:rPr>
                <w:rFonts w:eastAsia="Calibri"/>
                <w:b/>
                <w:smallCaps/>
                <w:lang w:val="es-ES_tradnl"/>
              </w:rPr>
              <w:t>Plan de trabajo de la evaluación</w:t>
            </w:r>
          </w:p>
        </w:tc>
      </w:tr>
      <w:tr w:rsidR="00223F4F" w:rsidRPr="00B06A15" w:rsidTr="00A46F13">
        <w:trPr>
          <w:jc w:val="center"/>
        </w:trPr>
        <w:tc>
          <w:tcPr>
            <w:tcW w:w="5715" w:type="dxa"/>
            <w:vMerge w:val="restart"/>
            <w:vAlign w:val="center"/>
          </w:tcPr>
          <w:p w:rsidR="00223F4F" w:rsidRPr="003604CF" w:rsidRDefault="00223F4F" w:rsidP="003604CF">
            <w:pPr>
              <w:jc w:val="center"/>
              <w:rPr>
                <w:b/>
                <w:sz w:val="20"/>
                <w:szCs w:val="20"/>
                <w:lang w:val="es-ES"/>
              </w:rPr>
            </w:pPr>
            <w:r w:rsidRPr="003604CF">
              <w:rPr>
                <w:b/>
              </w:rPr>
              <w:t>Indicador</w:t>
            </w:r>
          </w:p>
        </w:tc>
        <w:tc>
          <w:tcPr>
            <w:tcW w:w="1440" w:type="dxa"/>
            <w:gridSpan w:val="4"/>
            <w:shd w:val="clear" w:color="auto" w:fill="auto"/>
            <w:vAlign w:val="center"/>
          </w:tcPr>
          <w:p w:rsidR="00223F4F" w:rsidRPr="003604CF" w:rsidRDefault="00223F4F" w:rsidP="003604CF">
            <w:pPr>
              <w:jc w:val="center"/>
              <w:rPr>
                <w:b/>
                <w:sz w:val="20"/>
                <w:szCs w:val="20"/>
              </w:rPr>
            </w:pPr>
            <w:r w:rsidRPr="003604CF">
              <w:rPr>
                <w:b/>
                <w:sz w:val="20"/>
                <w:szCs w:val="20"/>
              </w:rPr>
              <w:t>Año 1</w:t>
            </w:r>
          </w:p>
        </w:tc>
        <w:tc>
          <w:tcPr>
            <w:tcW w:w="2368" w:type="dxa"/>
            <w:vAlign w:val="center"/>
          </w:tcPr>
          <w:p w:rsidR="00223F4F" w:rsidRPr="003604CF" w:rsidRDefault="00223F4F" w:rsidP="003604CF">
            <w:pPr>
              <w:jc w:val="center"/>
              <w:rPr>
                <w:b/>
                <w:sz w:val="20"/>
                <w:szCs w:val="20"/>
              </w:rPr>
            </w:pPr>
            <w:r w:rsidRPr="003604CF">
              <w:rPr>
                <w:b/>
                <w:sz w:val="20"/>
                <w:szCs w:val="20"/>
              </w:rPr>
              <w:t>Responsable</w:t>
            </w:r>
          </w:p>
        </w:tc>
        <w:tc>
          <w:tcPr>
            <w:tcW w:w="2020" w:type="dxa"/>
            <w:vAlign w:val="center"/>
          </w:tcPr>
          <w:p w:rsidR="00223F4F" w:rsidRPr="003604CF" w:rsidRDefault="00223F4F">
            <w:pPr>
              <w:jc w:val="center"/>
              <w:rPr>
                <w:b/>
                <w:sz w:val="20"/>
                <w:szCs w:val="20"/>
              </w:rPr>
            </w:pPr>
            <w:r w:rsidRPr="003604CF">
              <w:rPr>
                <w:b/>
                <w:sz w:val="20"/>
                <w:szCs w:val="20"/>
              </w:rPr>
              <w:t>Costo</w:t>
            </w:r>
            <w:r w:rsidR="00FD7EFA">
              <w:rPr>
                <w:b/>
                <w:sz w:val="20"/>
                <w:szCs w:val="20"/>
              </w:rPr>
              <w:t xml:space="preserve"> </w:t>
            </w:r>
            <w:r w:rsidRPr="003604CF">
              <w:rPr>
                <w:b/>
                <w:sz w:val="20"/>
                <w:szCs w:val="20"/>
              </w:rPr>
              <w:t>(</w:t>
            </w:r>
            <w:r w:rsidR="00FD7EFA">
              <w:rPr>
                <w:b/>
                <w:sz w:val="20"/>
                <w:szCs w:val="20"/>
              </w:rPr>
              <w:t>US</w:t>
            </w:r>
            <w:r>
              <w:rPr>
                <w:b/>
                <w:sz w:val="20"/>
                <w:szCs w:val="20"/>
              </w:rPr>
              <w:t>$</w:t>
            </w:r>
            <w:r w:rsidRPr="003604CF">
              <w:rPr>
                <w:b/>
                <w:sz w:val="20"/>
                <w:szCs w:val="20"/>
              </w:rPr>
              <w:t>)</w:t>
            </w:r>
          </w:p>
        </w:tc>
      </w:tr>
      <w:tr w:rsidR="00223F4F" w:rsidRPr="00B06A15" w:rsidTr="00A46F13">
        <w:trPr>
          <w:jc w:val="center"/>
        </w:trPr>
        <w:tc>
          <w:tcPr>
            <w:tcW w:w="5715" w:type="dxa"/>
            <w:vMerge/>
            <w:vAlign w:val="center"/>
          </w:tcPr>
          <w:p w:rsidR="00223F4F" w:rsidRPr="003604CF" w:rsidRDefault="00223F4F" w:rsidP="003604CF">
            <w:pPr>
              <w:jc w:val="center"/>
              <w:rPr>
                <w:b/>
                <w:sz w:val="20"/>
                <w:szCs w:val="20"/>
              </w:rPr>
            </w:pPr>
          </w:p>
        </w:tc>
        <w:tc>
          <w:tcPr>
            <w:tcW w:w="360" w:type="dxa"/>
            <w:shd w:val="clear" w:color="auto" w:fill="auto"/>
            <w:vAlign w:val="center"/>
          </w:tcPr>
          <w:p w:rsidR="00223F4F" w:rsidRPr="003604CF" w:rsidRDefault="00223F4F" w:rsidP="003604CF">
            <w:pPr>
              <w:jc w:val="center"/>
              <w:rPr>
                <w:b/>
                <w:sz w:val="20"/>
                <w:szCs w:val="20"/>
              </w:rPr>
            </w:pPr>
            <w:r w:rsidRPr="003604CF">
              <w:rPr>
                <w:b/>
                <w:sz w:val="20"/>
                <w:szCs w:val="20"/>
              </w:rPr>
              <w:t>1</w:t>
            </w:r>
          </w:p>
        </w:tc>
        <w:tc>
          <w:tcPr>
            <w:tcW w:w="360" w:type="dxa"/>
            <w:shd w:val="clear" w:color="auto" w:fill="auto"/>
            <w:vAlign w:val="center"/>
          </w:tcPr>
          <w:p w:rsidR="00223F4F" w:rsidRPr="003604CF" w:rsidRDefault="00223F4F" w:rsidP="003604CF">
            <w:pPr>
              <w:jc w:val="center"/>
              <w:rPr>
                <w:b/>
                <w:sz w:val="20"/>
                <w:szCs w:val="20"/>
              </w:rPr>
            </w:pPr>
            <w:r w:rsidRPr="003604CF">
              <w:rPr>
                <w:b/>
                <w:sz w:val="20"/>
                <w:szCs w:val="20"/>
              </w:rPr>
              <w:t>2</w:t>
            </w:r>
          </w:p>
        </w:tc>
        <w:tc>
          <w:tcPr>
            <w:tcW w:w="360" w:type="dxa"/>
            <w:shd w:val="clear" w:color="auto" w:fill="auto"/>
            <w:vAlign w:val="center"/>
          </w:tcPr>
          <w:p w:rsidR="00223F4F" w:rsidRPr="003604CF" w:rsidRDefault="00223F4F" w:rsidP="003604CF">
            <w:pPr>
              <w:jc w:val="center"/>
              <w:rPr>
                <w:b/>
                <w:sz w:val="20"/>
                <w:szCs w:val="20"/>
              </w:rPr>
            </w:pPr>
            <w:r w:rsidRPr="003604CF">
              <w:rPr>
                <w:b/>
                <w:sz w:val="20"/>
                <w:szCs w:val="20"/>
              </w:rPr>
              <w:t>3</w:t>
            </w:r>
          </w:p>
        </w:tc>
        <w:tc>
          <w:tcPr>
            <w:tcW w:w="360" w:type="dxa"/>
            <w:shd w:val="clear" w:color="auto" w:fill="auto"/>
            <w:vAlign w:val="center"/>
          </w:tcPr>
          <w:p w:rsidR="00223F4F" w:rsidRPr="003604CF" w:rsidRDefault="00223F4F" w:rsidP="003604CF">
            <w:pPr>
              <w:jc w:val="center"/>
              <w:rPr>
                <w:b/>
                <w:sz w:val="20"/>
                <w:szCs w:val="20"/>
              </w:rPr>
            </w:pPr>
            <w:r w:rsidRPr="003604CF">
              <w:rPr>
                <w:b/>
                <w:sz w:val="20"/>
                <w:szCs w:val="20"/>
              </w:rPr>
              <w:t>4</w:t>
            </w:r>
          </w:p>
        </w:tc>
        <w:tc>
          <w:tcPr>
            <w:tcW w:w="2368" w:type="dxa"/>
            <w:vAlign w:val="center"/>
          </w:tcPr>
          <w:p w:rsidR="00223F4F" w:rsidRPr="003604CF" w:rsidRDefault="00223F4F" w:rsidP="003604CF">
            <w:pPr>
              <w:jc w:val="center"/>
              <w:rPr>
                <w:b/>
                <w:sz w:val="20"/>
                <w:szCs w:val="20"/>
              </w:rPr>
            </w:pPr>
          </w:p>
        </w:tc>
        <w:tc>
          <w:tcPr>
            <w:tcW w:w="2020" w:type="dxa"/>
            <w:vAlign w:val="center"/>
          </w:tcPr>
          <w:p w:rsidR="00223F4F" w:rsidRPr="003604CF" w:rsidRDefault="00223F4F" w:rsidP="003604CF">
            <w:pPr>
              <w:jc w:val="center"/>
              <w:rPr>
                <w:b/>
                <w:sz w:val="20"/>
                <w:szCs w:val="20"/>
              </w:rPr>
            </w:pPr>
          </w:p>
        </w:tc>
      </w:tr>
      <w:tr w:rsidR="00223F4F" w:rsidRPr="005552D8" w:rsidTr="00A46F13">
        <w:trPr>
          <w:jc w:val="center"/>
        </w:trPr>
        <w:tc>
          <w:tcPr>
            <w:tcW w:w="5715" w:type="dxa"/>
          </w:tcPr>
          <w:p w:rsidR="00223F4F" w:rsidRDefault="009673C0" w:rsidP="00A46F13">
            <w:pPr>
              <w:pStyle w:val="FootnoteText"/>
              <w:numPr>
                <w:ilvl w:val="0"/>
                <w:numId w:val="27"/>
              </w:numPr>
              <w:ind w:left="312"/>
              <w:jc w:val="both"/>
              <w:rPr>
                <w:lang w:val="es-ES_tradnl"/>
              </w:rPr>
            </w:pPr>
            <w:r>
              <w:rPr>
                <w:lang w:val="es-ES"/>
              </w:rPr>
              <w:t>Resultado</w:t>
            </w:r>
            <w:r w:rsidR="00223F4F">
              <w:rPr>
                <w:lang w:val="es-ES"/>
              </w:rPr>
              <w:t xml:space="preserve"> Fiscal del Gobierno Central (GC) y la entidades desconcentradas del GC (no incluye seguridad social ni empresas públicas)</w:t>
            </w:r>
            <w:r w:rsidR="00677EBA">
              <w:rPr>
                <w:lang w:val="es-ES"/>
              </w:rPr>
              <w:t xml:space="preserve"> como porcentaje del PIB</w:t>
            </w:r>
            <w:r w:rsidR="00223F4F">
              <w:rPr>
                <w:lang w:val="es-ES"/>
              </w:rPr>
              <w:t>.</w:t>
            </w:r>
          </w:p>
        </w:tc>
        <w:tc>
          <w:tcPr>
            <w:tcW w:w="360" w:type="dxa"/>
            <w:shd w:val="clear" w:color="auto" w:fill="auto"/>
            <w:vAlign w:val="center"/>
          </w:tcPr>
          <w:p w:rsidR="00223F4F" w:rsidRPr="00ED13FF" w:rsidRDefault="00223F4F" w:rsidP="00BE07FC">
            <w:pPr>
              <w:jc w:val="center"/>
              <w:rPr>
                <w:sz w:val="20"/>
                <w:szCs w:val="20"/>
                <w:lang w:val="es-BO"/>
              </w:rPr>
            </w:pPr>
          </w:p>
        </w:tc>
        <w:tc>
          <w:tcPr>
            <w:tcW w:w="360" w:type="dxa"/>
            <w:shd w:val="clear" w:color="auto" w:fill="auto"/>
            <w:vAlign w:val="center"/>
          </w:tcPr>
          <w:p w:rsidR="00223F4F" w:rsidRPr="00ED13FF" w:rsidRDefault="00223F4F" w:rsidP="00BE07FC">
            <w:pPr>
              <w:jc w:val="center"/>
              <w:rPr>
                <w:sz w:val="20"/>
                <w:szCs w:val="20"/>
                <w:lang w:val="es-BO"/>
              </w:rPr>
            </w:pPr>
          </w:p>
        </w:tc>
        <w:tc>
          <w:tcPr>
            <w:tcW w:w="360" w:type="dxa"/>
            <w:shd w:val="clear" w:color="auto" w:fill="auto"/>
            <w:vAlign w:val="center"/>
          </w:tcPr>
          <w:p w:rsidR="00223F4F" w:rsidRPr="0047412F" w:rsidRDefault="00223F4F" w:rsidP="005C7538">
            <w:pPr>
              <w:jc w:val="center"/>
              <w:rPr>
                <w:sz w:val="20"/>
                <w:szCs w:val="20"/>
                <w:lang w:val="es-BO"/>
              </w:rPr>
            </w:pPr>
          </w:p>
        </w:tc>
        <w:tc>
          <w:tcPr>
            <w:tcW w:w="360" w:type="dxa"/>
            <w:shd w:val="clear" w:color="auto" w:fill="auto"/>
            <w:vAlign w:val="center"/>
          </w:tcPr>
          <w:p w:rsidR="00223F4F" w:rsidRPr="00B06A15" w:rsidRDefault="00223F4F" w:rsidP="00566D4F">
            <w:pPr>
              <w:jc w:val="center"/>
              <w:rPr>
                <w:sz w:val="20"/>
                <w:szCs w:val="20"/>
              </w:rPr>
            </w:pPr>
            <w:r>
              <w:rPr>
                <w:sz w:val="20"/>
                <w:szCs w:val="20"/>
              </w:rPr>
              <w:t>X</w:t>
            </w:r>
          </w:p>
        </w:tc>
        <w:tc>
          <w:tcPr>
            <w:tcW w:w="2368" w:type="dxa"/>
            <w:vAlign w:val="center"/>
          </w:tcPr>
          <w:p w:rsidR="00223F4F" w:rsidRPr="00B06A15" w:rsidRDefault="00223F4F" w:rsidP="00BE07FC">
            <w:pPr>
              <w:rPr>
                <w:sz w:val="20"/>
                <w:szCs w:val="20"/>
              </w:rPr>
            </w:pPr>
            <w:r w:rsidRPr="00B06A15">
              <w:rPr>
                <w:sz w:val="20"/>
                <w:szCs w:val="20"/>
              </w:rPr>
              <w:t>Consultoría independiente</w:t>
            </w:r>
          </w:p>
        </w:tc>
        <w:tc>
          <w:tcPr>
            <w:tcW w:w="2020" w:type="dxa"/>
            <w:vMerge w:val="restart"/>
            <w:vAlign w:val="center"/>
          </w:tcPr>
          <w:p w:rsidR="00223F4F" w:rsidRPr="002C3FFE" w:rsidRDefault="008C03F9" w:rsidP="008C03F9">
            <w:pPr>
              <w:jc w:val="center"/>
              <w:rPr>
                <w:sz w:val="20"/>
                <w:szCs w:val="20"/>
                <w:lang w:val="es-ES_tradnl"/>
              </w:rPr>
            </w:pPr>
            <w:r>
              <w:rPr>
                <w:sz w:val="20"/>
                <w:szCs w:val="20"/>
                <w:lang w:val="es-ES_tradnl"/>
              </w:rPr>
              <w:t>L</w:t>
            </w:r>
            <w:r w:rsidR="00223F4F" w:rsidRPr="002C3FFE">
              <w:rPr>
                <w:sz w:val="20"/>
                <w:szCs w:val="20"/>
                <w:lang w:val="es-ES_tradnl"/>
              </w:rPr>
              <w:t xml:space="preserve">a consultoría </w:t>
            </w:r>
            <w:r w:rsidR="00223F4F">
              <w:rPr>
                <w:sz w:val="20"/>
                <w:szCs w:val="20"/>
                <w:lang w:val="es-ES_tradnl"/>
              </w:rPr>
              <w:t>tendrá</w:t>
            </w:r>
            <w:r w:rsidR="00223F4F" w:rsidRPr="002C3FFE">
              <w:rPr>
                <w:sz w:val="20"/>
                <w:szCs w:val="20"/>
                <w:lang w:val="es-ES_tradnl"/>
              </w:rPr>
              <w:t xml:space="preserve"> u</w:t>
            </w:r>
            <w:r w:rsidR="00223F4F">
              <w:rPr>
                <w:sz w:val="20"/>
                <w:szCs w:val="20"/>
                <w:lang w:val="es-ES_tradnl"/>
              </w:rPr>
              <w:t>n costo de US$10</w:t>
            </w:r>
            <w:r w:rsidR="00FD7EFA">
              <w:rPr>
                <w:sz w:val="20"/>
                <w:szCs w:val="20"/>
                <w:lang w:val="es-ES_tradnl"/>
              </w:rPr>
              <w:t>.</w:t>
            </w:r>
            <w:r w:rsidR="00223F4F">
              <w:rPr>
                <w:sz w:val="20"/>
                <w:szCs w:val="20"/>
                <w:lang w:val="es-ES_tradnl"/>
              </w:rPr>
              <w:t xml:space="preserve">000 </w:t>
            </w:r>
            <w:r w:rsidR="00223F4F">
              <w:rPr>
                <w:sz w:val="20"/>
                <w:szCs w:val="20"/>
                <w:lang w:val="es-BO"/>
              </w:rPr>
              <w:t>y será financiada con recursos de la CT ATN/OC-13586-BO</w:t>
            </w:r>
          </w:p>
        </w:tc>
      </w:tr>
      <w:tr w:rsidR="00223F4F" w:rsidRPr="00B06A15" w:rsidTr="00A46F13">
        <w:trPr>
          <w:jc w:val="center"/>
        </w:trPr>
        <w:tc>
          <w:tcPr>
            <w:tcW w:w="5715" w:type="dxa"/>
          </w:tcPr>
          <w:p w:rsidR="00223F4F" w:rsidRDefault="00677EBA" w:rsidP="00677EBA">
            <w:pPr>
              <w:pStyle w:val="FootnoteText"/>
              <w:numPr>
                <w:ilvl w:val="0"/>
                <w:numId w:val="27"/>
              </w:numPr>
              <w:ind w:left="312"/>
              <w:jc w:val="both"/>
              <w:rPr>
                <w:lang w:val="es-ES"/>
              </w:rPr>
            </w:pPr>
            <w:r>
              <w:rPr>
                <w:color w:val="000000"/>
                <w:lang w:val="es-ES_tradnl"/>
              </w:rPr>
              <w:t>Porcentaje del p</w:t>
            </w:r>
            <w:r w:rsidR="00223F4F" w:rsidRPr="008C4696">
              <w:rPr>
                <w:color w:val="000000"/>
                <w:lang w:val="es-ES_tradnl"/>
              </w:rPr>
              <w:t xml:space="preserve">resupuesto </w:t>
            </w:r>
            <w:r w:rsidR="00223F4F">
              <w:rPr>
                <w:color w:val="000000"/>
                <w:lang w:val="es-ES_tradnl"/>
              </w:rPr>
              <w:t xml:space="preserve">de </w:t>
            </w:r>
            <w:r>
              <w:rPr>
                <w:color w:val="000000"/>
                <w:lang w:val="es-ES_tradnl"/>
              </w:rPr>
              <w:t xml:space="preserve">gasto de </w:t>
            </w:r>
            <w:r w:rsidR="00223F4F">
              <w:rPr>
                <w:color w:val="000000"/>
                <w:lang w:val="es-ES_tradnl"/>
              </w:rPr>
              <w:t>la Administración Central formulado a través de</w:t>
            </w:r>
            <w:r w:rsidR="00223F4F" w:rsidRPr="008C4696">
              <w:rPr>
                <w:color w:val="000000"/>
                <w:lang w:val="es-ES_tradnl"/>
              </w:rPr>
              <w:t>l presupuesto plurianual</w:t>
            </w:r>
            <w:r w:rsidR="00223F4F">
              <w:rPr>
                <w:color w:val="000000"/>
                <w:lang w:val="es-ES_tradnl"/>
              </w:rPr>
              <w:t xml:space="preserve"> (PP).</w:t>
            </w: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246FC9" w:rsidRDefault="00223F4F" w:rsidP="005C7538">
            <w:pPr>
              <w:jc w:val="center"/>
              <w:rPr>
                <w:sz w:val="20"/>
                <w:szCs w:val="20"/>
                <w:lang w:val="es-BO"/>
              </w:rPr>
            </w:pPr>
          </w:p>
        </w:tc>
        <w:tc>
          <w:tcPr>
            <w:tcW w:w="360" w:type="dxa"/>
            <w:shd w:val="clear" w:color="auto" w:fill="auto"/>
            <w:vAlign w:val="center"/>
          </w:tcPr>
          <w:p w:rsidR="00223F4F" w:rsidRPr="00B06A15" w:rsidRDefault="00223F4F" w:rsidP="00566D4F">
            <w:pPr>
              <w:jc w:val="center"/>
              <w:rPr>
                <w:sz w:val="20"/>
                <w:szCs w:val="20"/>
              </w:rPr>
            </w:pPr>
            <w:r>
              <w:rPr>
                <w:sz w:val="20"/>
                <w:szCs w:val="20"/>
              </w:rPr>
              <w:t>X</w:t>
            </w:r>
          </w:p>
        </w:tc>
        <w:tc>
          <w:tcPr>
            <w:tcW w:w="2368" w:type="dxa"/>
            <w:vAlign w:val="center"/>
          </w:tcPr>
          <w:p w:rsidR="00223F4F" w:rsidRPr="00B06A15" w:rsidRDefault="00223F4F" w:rsidP="00BE07FC">
            <w:pPr>
              <w:rPr>
                <w:sz w:val="20"/>
                <w:szCs w:val="20"/>
              </w:rPr>
            </w:pPr>
            <w:r w:rsidRPr="00B06A15">
              <w:rPr>
                <w:sz w:val="20"/>
                <w:szCs w:val="20"/>
              </w:rPr>
              <w:t>Consultoría independiente</w:t>
            </w:r>
          </w:p>
        </w:tc>
        <w:tc>
          <w:tcPr>
            <w:tcW w:w="2020" w:type="dxa"/>
            <w:vMerge/>
            <w:vAlign w:val="center"/>
          </w:tcPr>
          <w:p w:rsidR="00223F4F" w:rsidRPr="00B06A15" w:rsidRDefault="00223F4F" w:rsidP="00BE07FC">
            <w:pPr>
              <w:jc w:val="center"/>
              <w:rPr>
                <w:sz w:val="20"/>
                <w:szCs w:val="20"/>
                <w:lang w:val="es-ES_tradnl"/>
              </w:rPr>
            </w:pPr>
          </w:p>
        </w:tc>
      </w:tr>
      <w:tr w:rsidR="00223F4F" w:rsidRPr="00B06A15" w:rsidTr="00A46F13">
        <w:trPr>
          <w:jc w:val="center"/>
        </w:trPr>
        <w:tc>
          <w:tcPr>
            <w:tcW w:w="5715" w:type="dxa"/>
          </w:tcPr>
          <w:p w:rsidR="00223F4F" w:rsidRDefault="00223F4F" w:rsidP="00302AB7">
            <w:pPr>
              <w:pStyle w:val="FootnoteText"/>
              <w:numPr>
                <w:ilvl w:val="0"/>
                <w:numId w:val="27"/>
              </w:numPr>
              <w:ind w:left="312"/>
              <w:jc w:val="both"/>
              <w:rPr>
                <w:sz w:val="24"/>
                <w:szCs w:val="24"/>
                <w:lang w:val="es-ES"/>
              </w:rPr>
            </w:pPr>
            <w:r>
              <w:rPr>
                <w:lang w:val="es-ES_tradnl"/>
              </w:rPr>
              <w:t>P</w:t>
            </w:r>
            <w:r w:rsidR="0041239D">
              <w:rPr>
                <w:lang w:val="es-ES_tradnl"/>
              </w:rPr>
              <w:t>orcentaje del p</w:t>
            </w:r>
            <w:r>
              <w:rPr>
                <w:lang w:val="es-ES_tradnl"/>
              </w:rPr>
              <w:t xml:space="preserve">resupuesto de </w:t>
            </w:r>
            <w:r w:rsidR="0041239D">
              <w:rPr>
                <w:lang w:val="es-ES_tradnl"/>
              </w:rPr>
              <w:t xml:space="preserve">gasto de </w:t>
            </w:r>
            <w:r>
              <w:rPr>
                <w:lang w:val="es-ES_tradnl"/>
              </w:rPr>
              <w:t>las Empresas Públicas Nacionales (EPN) formulado a través del presupuesto plurianual.</w:t>
            </w: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246FC9" w:rsidRDefault="00223F4F" w:rsidP="005C7538">
            <w:pPr>
              <w:jc w:val="center"/>
              <w:rPr>
                <w:sz w:val="20"/>
                <w:szCs w:val="20"/>
                <w:lang w:val="es-BO"/>
              </w:rPr>
            </w:pPr>
          </w:p>
        </w:tc>
        <w:tc>
          <w:tcPr>
            <w:tcW w:w="360" w:type="dxa"/>
            <w:shd w:val="clear" w:color="auto" w:fill="auto"/>
            <w:vAlign w:val="center"/>
          </w:tcPr>
          <w:p w:rsidR="00223F4F" w:rsidRPr="00B06A15" w:rsidRDefault="00223F4F" w:rsidP="00566D4F">
            <w:pPr>
              <w:jc w:val="center"/>
              <w:rPr>
                <w:sz w:val="20"/>
                <w:szCs w:val="20"/>
              </w:rPr>
            </w:pPr>
            <w:r>
              <w:rPr>
                <w:sz w:val="20"/>
                <w:szCs w:val="20"/>
              </w:rPr>
              <w:t>X</w:t>
            </w:r>
          </w:p>
        </w:tc>
        <w:tc>
          <w:tcPr>
            <w:tcW w:w="2368" w:type="dxa"/>
            <w:vAlign w:val="center"/>
          </w:tcPr>
          <w:p w:rsidR="00223F4F" w:rsidRPr="00B06A15" w:rsidRDefault="00223F4F" w:rsidP="00BE07FC">
            <w:pPr>
              <w:rPr>
                <w:sz w:val="20"/>
                <w:szCs w:val="20"/>
              </w:rPr>
            </w:pPr>
            <w:r w:rsidRPr="00B06A15">
              <w:rPr>
                <w:sz w:val="20"/>
                <w:szCs w:val="20"/>
              </w:rPr>
              <w:t>Consultoría independiente</w:t>
            </w:r>
          </w:p>
        </w:tc>
        <w:tc>
          <w:tcPr>
            <w:tcW w:w="2020" w:type="dxa"/>
            <w:vMerge/>
            <w:vAlign w:val="center"/>
          </w:tcPr>
          <w:p w:rsidR="00223F4F" w:rsidRPr="00B06A15" w:rsidRDefault="00223F4F" w:rsidP="00BE07FC">
            <w:pPr>
              <w:jc w:val="center"/>
              <w:rPr>
                <w:sz w:val="20"/>
                <w:szCs w:val="20"/>
                <w:lang w:val="es-ES_tradnl"/>
              </w:rPr>
            </w:pPr>
          </w:p>
        </w:tc>
      </w:tr>
      <w:tr w:rsidR="00223F4F" w:rsidRPr="00B06A15" w:rsidTr="00A46F13">
        <w:trPr>
          <w:jc w:val="center"/>
        </w:trPr>
        <w:tc>
          <w:tcPr>
            <w:tcW w:w="5715" w:type="dxa"/>
          </w:tcPr>
          <w:p w:rsidR="00223F4F" w:rsidRDefault="0041239D" w:rsidP="0041239D">
            <w:pPr>
              <w:pStyle w:val="FootnoteText"/>
              <w:numPr>
                <w:ilvl w:val="0"/>
                <w:numId w:val="27"/>
              </w:numPr>
              <w:ind w:left="312"/>
              <w:jc w:val="both"/>
              <w:rPr>
                <w:sz w:val="24"/>
                <w:szCs w:val="24"/>
                <w:lang w:val="es-ES"/>
              </w:rPr>
            </w:pPr>
            <w:r>
              <w:rPr>
                <w:lang w:val="es-ES_tradnl"/>
              </w:rPr>
              <w:t>Porcentaje del g</w:t>
            </w:r>
            <w:r w:rsidR="00223F4F">
              <w:rPr>
                <w:lang w:val="es-ES_tradnl"/>
              </w:rPr>
              <w:t>asto público agregado gestionado por un sistema de gestión fiscal que contenga información sobre: presupuesto, tesorería, contabilidad, contrataciones, administración de personal, administración de cuentas fiscales</w:t>
            </w:r>
            <w:r w:rsidR="009516C2">
              <w:rPr>
                <w:lang w:val="es-ES_tradnl"/>
              </w:rPr>
              <w:t>,</w:t>
            </w:r>
            <w:r w:rsidR="00223F4F">
              <w:rPr>
                <w:lang w:val="es-ES_tradnl"/>
              </w:rPr>
              <w:t xml:space="preserve"> pagos electrónicos subnacionales y administración de deuda subnacional.</w:t>
            </w: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246FC9" w:rsidRDefault="00223F4F" w:rsidP="005C7538">
            <w:pPr>
              <w:jc w:val="center"/>
              <w:rPr>
                <w:sz w:val="20"/>
                <w:szCs w:val="20"/>
                <w:lang w:val="es-BO"/>
              </w:rPr>
            </w:pPr>
          </w:p>
        </w:tc>
        <w:tc>
          <w:tcPr>
            <w:tcW w:w="360" w:type="dxa"/>
            <w:shd w:val="clear" w:color="auto" w:fill="auto"/>
            <w:vAlign w:val="center"/>
          </w:tcPr>
          <w:p w:rsidR="00223F4F" w:rsidRPr="00B06A15" w:rsidRDefault="00223F4F" w:rsidP="00566D4F">
            <w:pPr>
              <w:jc w:val="center"/>
              <w:rPr>
                <w:sz w:val="20"/>
                <w:szCs w:val="20"/>
              </w:rPr>
            </w:pPr>
            <w:r>
              <w:rPr>
                <w:sz w:val="20"/>
                <w:szCs w:val="20"/>
              </w:rPr>
              <w:t>X</w:t>
            </w:r>
          </w:p>
        </w:tc>
        <w:tc>
          <w:tcPr>
            <w:tcW w:w="2368" w:type="dxa"/>
            <w:vAlign w:val="center"/>
          </w:tcPr>
          <w:p w:rsidR="00223F4F" w:rsidRPr="00B06A15" w:rsidRDefault="00223F4F" w:rsidP="00BE07FC">
            <w:pPr>
              <w:rPr>
                <w:sz w:val="20"/>
                <w:szCs w:val="20"/>
              </w:rPr>
            </w:pPr>
            <w:r w:rsidRPr="00B06A15">
              <w:rPr>
                <w:sz w:val="20"/>
                <w:szCs w:val="20"/>
              </w:rPr>
              <w:t>Consultoría independiente</w:t>
            </w:r>
          </w:p>
        </w:tc>
        <w:tc>
          <w:tcPr>
            <w:tcW w:w="2020" w:type="dxa"/>
            <w:vMerge/>
            <w:vAlign w:val="center"/>
          </w:tcPr>
          <w:p w:rsidR="00223F4F" w:rsidRPr="00B06A15" w:rsidRDefault="00223F4F" w:rsidP="00BE07FC">
            <w:pPr>
              <w:jc w:val="center"/>
              <w:rPr>
                <w:sz w:val="20"/>
                <w:szCs w:val="20"/>
                <w:lang w:val="es-ES_tradnl"/>
              </w:rPr>
            </w:pPr>
          </w:p>
        </w:tc>
      </w:tr>
      <w:tr w:rsidR="00223F4F" w:rsidRPr="00B06A15" w:rsidTr="00A46F13">
        <w:trPr>
          <w:jc w:val="center"/>
        </w:trPr>
        <w:tc>
          <w:tcPr>
            <w:tcW w:w="5715" w:type="dxa"/>
          </w:tcPr>
          <w:p w:rsidR="00223F4F" w:rsidRDefault="0089001F" w:rsidP="00302AB7">
            <w:pPr>
              <w:pStyle w:val="FootnoteText"/>
              <w:numPr>
                <w:ilvl w:val="0"/>
                <w:numId w:val="27"/>
              </w:numPr>
              <w:ind w:left="312"/>
              <w:jc w:val="both"/>
              <w:rPr>
                <w:lang w:val="es-ES"/>
              </w:rPr>
            </w:pPr>
            <w:r w:rsidRPr="00825A86">
              <w:rPr>
                <w:lang w:val="es-ES"/>
              </w:rPr>
              <w:t>C</w:t>
            </w:r>
            <w:r>
              <w:rPr>
                <w:lang w:val="es-ES"/>
              </w:rPr>
              <w:t>o</w:t>
            </w:r>
            <w:r w:rsidRPr="00825A86">
              <w:rPr>
                <w:lang w:val="es-ES"/>
              </w:rPr>
              <w:t>nvocatorias públicas declaradas desiertas</w:t>
            </w:r>
            <w:r w:rsidR="00223F4F">
              <w:rPr>
                <w:lang w:val="es-ES"/>
              </w:rPr>
              <w:t>.</w:t>
            </w: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5C7538" w:rsidRDefault="00223F4F" w:rsidP="00BE07FC">
            <w:pPr>
              <w:jc w:val="center"/>
              <w:rPr>
                <w:sz w:val="20"/>
                <w:szCs w:val="20"/>
                <w:lang w:val="es-ES_tradnl"/>
              </w:rPr>
            </w:pPr>
          </w:p>
        </w:tc>
        <w:tc>
          <w:tcPr>
            <w:tcW w:w="360" w:type="dxa"/>
            <w:shd w:val="clear" w:color="auto" w:fill="auto"/>
            <w:vAlign w:val="center"/>
          </w:tcPr>
          <w:p w:rsidR="00223F4F" w:rsidRPr="00246FC9" w:rsidRDefault="00223F4F" w:rsidP="005C7538">
            <w:pPr>
              <w:jc w:val="center"/>
              <w:rPr>
                <w:sz w:val="20"/>
                <w:szCs w:val="20"/>
                <w:lang w:val="es-BO"/>
              </w:rPr>
            </w:pPr>
          </w:p>
        </w:tc>
        <w:tc>
          <w:tcPr>
            <w:tcW w:w="360" w:type="dxa"/>
            <w:shd w:val="clear" w:color="auto" w:fill="auto"/>
            <w:vAlign w:val="center"/>
          </w:tcPr>
          <w:p w:rsidR="00223F4F" w:rsidRPr="00B06A15" w:rsidRDefault="00223F4F" w:rsidP="00566D4F">
            <w:pPr>
              <w:jc w:val="center"/>
              <w:rPr>
                <w:sz w:val="20"/>
                <w:szCs w:val="20"/>
              </w:rPr>
            </w:pPr>
            <w:r>
              <w:rPr>
                <w:sz w:val="20"/>
                <w:szCs w:val="20"/>
              </w:rPr>
              <w:t>X</w:t>
            </w:r>
          </w:p>
        </w:tc>
        <w:tc>
          <w:tcPr>
            <w:tcW w:w="2368" w:type="dxa"/>
            <w:vAlign w:val="center"/>
          </w:tcPr>
          <w:p w:rsidR="00223F4F" w:rsidRPr="00B06A15" w:rsidRDefault="00223F4F" w:rsidP="00BE07FC">
            <w:pPr>
              <w:rPr>
                <w:sz w:val="20"/>
                <w:szCs w:val="20"/>
              </w:rPr>
            </w:pPr>
            <w:r w:rsidRPr="00B06A15">
              <w:rPr>
                <w:sz w:val="20"/>
                <w:szCs w:val="20"/>
              </w:rPr>
              <w:t>Consultoría independiente</w:t>
            </w:r>
          </w:p>
        </w:tc>
        <w:tc>
          <w:tcPr>
            <w:tcW w:w="2020" w:type="dxa"/>
            <w:vMerge/>
            <w:vAlign w:val="center"/>
          </w:tcPr>
          <w:p w:rsidR="00223F4F" w:rsidRPr="00B06A15" w:rsidRDefault="00223F4F" w:rsidP="00BE07FC">
            <w:pPr>
              <w:jc w:val="center"/>
              <w:rPr>
                <w:sz w:val="20"/>
                <w:szCs w:val="20"/>
                <w:lang w:val="es-ES_tradnl"/>
              </w:rPr>
            </w:pPr>
          </w:p>
        </w:tc>
      </w:tr>
      <w:tr w:rsidR="00223F4F" w:rsidRPr="00B06A15" w:rsidTr="00A46F13">
        <w:trPr>
          <w:trHeight w:val="350"/>
          <w:jc w:val="center"/>
        </w:trPr>
        <w:tc>
          <w:tcPr>
            <w:tcW w:w="5715" w:type="dxa"/>
          </w:tcPr>
          <w:p w:rsidR="00223F4F" w:rsidRDefault="00223F4F" w:rsidP="00302AB7">
            <w:pPr>
              <w:pStyle w:val="FootnoteText"/>
              <w:numPr>
                <w:ilvl w:val="0"/>
                <w:numId w:val="27"/>
              </w:numPr>
              <w:ind w:left="312"/>
              <w:jc w:val="both"/>
              <w:rPr>
                <w:lang w:val="es-ES"/>
              </w:rPr>
            </w:pPr>
            <w:r w:rsidRPr="00ED13FF">
              <w:rPr>
                <w:lang w:val="es-ES"/>
              </w:rPr>
              <w:t>Ejecución de la inversión pública</w:t>
            </w:r>
            <w:r>
              <w:rPr>
                <w:lang w:val="es-ES"/>
              </w:rPr>
              <w:t>.</w:t>
            </w:r>
          </w:p>
        </w:tc>
        <w:tc>
          <w:tcPr>
            <w:tcW w:w="360" w:type="dxa"/>
            <w:shd w:val="clear" w:color="auto" w:fill="auto"/>
            <w:vAlign w:val="center"/>
          </w:tcPr>
          <w:p w:rsidR="00223F4F" w:rsidRPr="00B06A15" w:rsidRDefault="00223F4F" w:rsidP="00BE07FC">
            <w:pPr>
              <w:jc w:val="center"/>
              <w:rPr>
                <w:sz w:val="20"/>
                <w:szCs w:val="20"/>
                <w:lang w:val="es-ES_tradnl"/>
              </w:rPr>
            </w:pPr>
          </w:p>
        </w:tc>
        <w:tc>
          <w:tcPr>
            <w:tcW w:w="360" w:type="dxa"/>
            <w:shd w:val="clear" w:color="auto" w:fill="auto"/>
            <w:vAlign w:val="center"/>
          </w:tcPr>
          <w:p w:rsidR="00223F4F" w:rsidRPr="00B06A15" w:rsidRDefault="00223F4F" w:rsidP="00BE07FC">
            <w:pPr>
              <w:jc w:val="center"/>
              <w:rPr>
                <w:sz w:val="20"/>
                <w:szCs w:val="20"/>
                <w:lang w:val="es-ES_tradnl"/>
              </w:rPr>
            </w:pPr>
          </w:p>
        </w:tc>
        <w:tc>
          <w:tcPr>
            <w:tcW w:w="360" w:type="dxa"/>
            <w:shd w:val="clear" w:color="auto" w:fill="auto"/>
            <w:vAlign w:val="center"/>
          </w:tcPr>
          <w:p w:rsidR="00223F4F" w:rsidRPr="00B06A15" w:rsidRDefault="00223F4F" w:rsidP="005C7538">
            <w:pPr>
              <w:jc w:val="center"/>
              <w:rPr>
                <w:sz w:val="20"/>
                <w:szCs w:val="20"/>
                <w:lang w:val="es-ES_tradnl"/>
              </w:rPr>
            </w:pPr>
          </w:p>
        </w:tc>
        <w:tc>
          <w:tcPr>
            <w:tcW w:w="360" w:type="dxa"/>
            <w:shd w:val="clear" w:color="auto" w:fill="auto"/>
            <w:vAlign w:val="center"/>
          </w:tcPr>
          <w:p w:rsidR="00223F4F" w:rsidRPr="00B06A15" w:rsidRDefault="00223F4F" w:rsidP="00566D4F">
            <w:pPr>
              <w:jc w:val="center"/>
              <w:rPr>
                <w:sz w:val="20"/>
                <w:szCs w:val="20"/>
                <w:lang w:val="es-ES_tradnl"/>
              </w:rPr>
            </w:pPr>
            <w:r>
              <w:rPr>
                <w:sz w:val="20"/>
                <w:szCs w:val="20"/>
                <w:lang w:val="es-ES_tradnl"/>
              </w:rPr>
              <w:t>X</w:t>
            </w:r>
          </w:p>
        </w:tc>
        <w:tc>
          <w:tcPr>
            <w:tcW w:w="2368" w:type="dxa"/>
            <w:vAlign w:val="center"/>
          </w:tcPr>
          <w:p w:rsidR="00223F4F" w:rsidRPr="00B06A15" w:rsidRDefault="00223F4F" w:rsidP="005C7538">
            <w:pPr>
              <w:rPr>
                <w:sz w:val="20"/>
                <w:szCs w:val="20"/>
                <w:lang w:val="es-ES_tradnl"/>
              </w:rPr>
            </w:pPr>
            <w:r w:rsidRPr="00B06A15">
              <w:rPr>
                <w:sz w:val="20"/>
                <w:szCs w:val="20"/>
              </w:rPr>
              <w:t>Consultoría independiente</w:t>
            </w:r>
          </w:p>
        </w:tc>
        <w:tc>
          <w:tcPr>
            <w:tcW w:w="2020" w:type="dxa"/>
            <w:vMerge/>
            <w:vAlign w:val="center"/>
          </w:tcPr>
          <w:p w:rsidR="00223F4F" w:rsidRPr="00B06A15" w:rsidRDefault="00223F4F" w:rsidP="00BE07FC">
            <w:pPr>
              <w:jc w:val="center"/>
              <w:rPr>
                <w:sz w:val="20"/>
                <w:szCs w:val="20"/>
                <w:lang w:val="es-ES_tradnl"/>
              </w:rPr>
            </w:pPr>
          </w:p>
        </w:tc>
      </w:tr>
      <w:tr w:rsidR="0030253E" w:rsidRPr="005C6DEA" w:rsidTr="00A46F13">
        <w:trPr>
          <w:trHeight w:val="350"/>
          <w:jc w:val="center"/>
        </w:trPr>
        <w:tc>
          <w:tcPr>
            <w:tcW w:w="5715" w:type="dxa"/>
          </w:tcPr>
          <w:p w:rsidR="0030253E" w:rsidRPr="00ED13FF" w:rsidRDefault="005C6DEA">
            <w:pPr>
              <w:pStyle w:val="FootnoteText"/>
              <w:numPr>
                <w:ilvl w:val="0"/>
                <w:numId w:val="27"/>
              </w:numPr>
              <w:ind w:left="312"/>
              <w:jc w:val="both"/>
              <w:rPr>
                <w:lang w:val="es-ES"/>
              </w:rPr>
            </w:pPr>
            <w:r>
              <w:rPr>
                <w:bCs/>
                <w:color w:val="000000" w:themeColor="text1"/>
                <w:lang w:val="es-ES_tradnl"/>
              </w:rPr>
              <w:t>Porcentaje del g</w:t>
            </w:r>
            <w:r w:rsidRPr="00825A86">
              <w:rPr>
                <w:bCs/>
                <w:color w:val="000000" w:themeColor="text1"/>
                <w:lang w:val="es-ES_tradnl"/>
              </w:rPr>
              <w:t xml:space="preserve">asto de las entidades autárquicas, desconcentradas y descentralizadas </w:t>
            </w:r>
            <w:r w:rsidRPr="00825A86">
              <w:rPr>
                <w:color w:val="000000"/>
                <w:lang w:val="es-ES_tradnl"/>
              </w:rPr>
              <w:t>de la Administración Central orientado a resultados y con metas de gestión</w:t>
            </w:r>
          </w:p>
        </w:tc>
        <w:tc>
          <w:tcPr>
            <w:tcW w:w="360" w:type="dxa"/>
            <w:shd w:val="clear" w:color="auto" w:fill="auto"/>
            <w:vAlign w:val="center"/>
          </w:tcPr>
          <w:p w:rsidR="0030253E" w:rsidRPr="00B06A15" w:rsidRDefault="0030253E" w:rsidP="00BE07FC">
            <w:pPr>
              <w:jc w:val="center"/>
              <w:rPr>
                <w:sz w:val="20"/>
                <w:szCs w:val="20"/>
                <w:lang w:val="es-ES_tradnl"/>
              </w:rPr>
            </w:pPr>
          </w:p>
        </w:tc>
        <w:tc>
          <w:tcPr>
            <w:tcW w:w="360" w:type="dxa"/>
            <w:shd w:val="clear" w:color="auto" w:fill="auto"/>
            <w:vAlign w:val="center"/>
          </w:tcPr>
          <w:p w:rsidR="0030253E" w:rsidRPr="00B06A15" w:rsidRDefault="0030253E" w:rsidP="00BE07FC">
            <w:pPr>
              <w:jc w:val="center"/>
              <w:rPr>
                <w:sz w:val="20"/>
                <w:szCs w:val="20"/>
                <w:lang w:val="es-ES_tradnl"/>
              </w:rPr>
            </w:pPr>
          </w:p>
        </w:tc>
        <w:tc>
          <w:tcPr>
            <w:tcW w:w="360" w:type="dxa"/>
            <w:shd w:val="clear" w:color="auto" w:fill="auto"/>
            <w:vAlign w:val="center"/>
          </w:tcPr>
          <w:p w:rsidR="0030253E" w:rsidRPr="00B06A15" w:rsidRDefault="0030253E" w:rsidP="005C7538">
            <w:pPr>
              <w:jc w:val="center"/>
              <w:rPr>
                <w:sz w:val="20"/>
                <w:szCs w:val="20"/>
                <w:lang w:val="es-ES_tradnl"/>
              </w:rPr>
            </w:pPr>
          </w:p>
        </w:tc>
        <w:tc>
          <w:tcPr>
            <w:tcW w:w="360" w:type="dxa"/>
            <w:shd w:val="clear" w:color="auto" w:fill="auto"/>
            <w:vAlign w:val="center"/>
          </w:tcPr>
          <w:p w:rsidR="0030253E" w:rsidRDefault="005C6DEA" w:rsidP="00566D4F">
            <w:pPr>
              <w:jc w:val="center"/>
              <w:rPr>
                <w:sz w:val="20"/>
                <w:szCs w:val="20"/>
                <w:lang w:val="es-ES_tradnl"/>
              </w:rPr>
            </w:pPr>
            <w:r>
              <w:rPr>
                <w:sz w:val="20"/>
                <w:szCs w:val="20"/>
                <w:lang w:val="es-ES_tradnl"/>
              </w:rPr>
              <w:t>X</w:t>
            </w:r>
          </w:p>
        </w:tc>
        <w:tc>
          <w:tcPr>
            <w:tcW w:w="2368" w:type="dxa"/>
            <w:vAlign w:val="center"/>
          </w:tcPr>
          <w:p w:rsidR="0030253E" w:rsidRPr="00A46F13" w:rsidRDefault="005C6DEA" w:rsidP="005C7538">
            <w:pPr>
              <w:rPr>
                <w:sz w:val="20"/>
                <w:szCs w:val="20"/>
                <w:lang w:val="es-ES_tradnl"/>
              </w:rPr>
            </w:pPr>
            <w:r w:rsidRPr="00B06A15">
              <w:rPr>
                <w:sz w:val="20"/>
                <w:szCs w:val="20"/>
              </w:rPr>
              <w:t>Consultoría independiente</w:t>
            </w:r>
          </w:p>
        </w:tc>
        <w:tc>
          <w:tcPr>
            <w:tcW w:w="2020" w:type="dxa"/>
            <w:vMerge/>
            <w:vAlign w:val="center"/>
          </w:tcPr>
          <w:p w:rsidR="0030253E" w:rsidRPr="00B06A15" w:rsidRDefault="0030253E" w:rsidP="00BE07FC">
            <w:pPr>
              <w:jc w:val="center"/>
              <w:rPr>
                <w:sz w:val="20"/>
                <w:szCs w:val="20"/>
                <w:lang w:val="es-ES_tradnl"/>
              </w:rPr>
            </w:pPr>
          </w:p>
        </w:tc>
      </w:tr>
      <w:tr w:rsidR="00223F4F" w:rsidRPr="00ED13FF" w:rsidTr="00A46F13">
        <w:trPr>
          <w:jc w:val="center"/>
        </w:trPr>
        <w:tc>
          <w:tcPr>
            <w:tcW w:w="5715" w:type="dxa"/>
          </w:tcPr>
          <w:p w:rsidR="00223F4F" w:rsidRDefault="00223F4F" w:rsidP="00302AB7">
            <w:pPr>
              <w:pStyle w:val="FootnoteText"/>
              <w:numPr>
                <w:ilvl w:val="0"/>
                <w:numId w:val="27"/>
              </w:numPr>
              <w:ind w:left="312"/>
              <w:jc w:val="both"/>
              <w:rPr>
                <w:color w:val="000000"/>
                <w:lang w:val="es-ES_tradnl"/>
              </w:rPr>
            </w:pPr>
            <w:r>
              <w:rPr>
                <w:lang w:val="es-ES"/>
              </w:rPr>
              <w:t xml:space="preserve">Ahorro </w:t>
            </w:r>
            <w:r w:rsidR="00605D0A">
              <w:rPr>
                <w:lang w:val="es-ES"/>
              </w:rPr>
              <w:t xml:space="preserve">anual </w:t>
            </w:r>
            <w:r>
              <w:rPr>
                <w:lang w:val="es-ES"/>
              </w:rPr>
              <w:t>en el gasto en pensiones por detección de pagos indebidos.</w:t>
            </w:r>
          </w:p>
        </w:tc>
        <w:tc>
          <w:tcPr>
            <w:tcW w:w="360" w:type="dxa"/>
            <w:shd w:val="clear" w:color="auto" w:fill="auto"/>
          </w:tcPr>
          <w:p w:rsidR="00223F4F" w:rsidRPr="00B06A15" w:rsidRDefault="00223F4F" w:rsidP="00BE07FC">
            <w:pPr>
              <w:rPr>
                <w:sz w:val="20"/>
                <w:szCs w:val="20"/>
                <w:lang w:val="es-ES_tradnl"/>
              </w:rPr>
            </w:pPr>
          </w:p>
        </w:tc>
        <w:tc>
          <w:tcPr>
            <w:tcW w:w="360" w:type="dxa"/>
            <w:shd w:val="clear" w:color="auto" w:fill="auto"/>
          </w:tcPr>
          <w:p w:rsidR="00223F4F" w:rsidRPr="00B06A15" w:rsidRDefault="00223F4F" w:rsidP="00BE07FC">
            <w:pPr>
              <w:rPr>
                <w:sz w:val="20"/>
                <w:szCs w:val="20"/>
                <w:lang w:val="es-ES_tradnl"/>
              </w:rPr>
            </w:pPr>
          </w:p>
        </w:tc>
        <w:tc>
          <w:tcPr>
            <w:tcW w:w="360" w:type="dxa"/>
            <w:shd w:val="clear" w:color="auto" w:fill="auto"/>
            <w:vAlign w:val="center"/>
          </w:tcPr>
          <w:p w:rsidR="00223F4F" w:rsidRDefault="00223F4F" w:rsidP="00566D4F">
            <w:pPr>
              <w:jc w:val="center"/>
              <w:rPr>
                <w:sz w:val="20"/>
                <w:szCs w:val="20"/>
                <w:lang w:val="es-ES_tradnl"/>
              </w:rPr>
            </w:pPr>
          </w:p>
        </w:tc>
        <w:tc>
          <w:tcPr>
            <w:tcW w:w="360" w:type="dxa"/>
            <w:shd w:val="clear" w:color="auto" w:fill="auto"/>
            <w:vAlign w:val="center"/>
          </w:tcPr>
          <w:p w:rsidR="00223F4F" w:rsidRDefault="00223F4F" w:rsidP="00566D4F">
            <w:pPr>
              <w:jc w:val="center"/>
              <w:rPr>
                <w:sz w:val="20"/>
                <w:szCs w:val="20"/>
                <w:lang w:val="es-ES_tradnl"/>
              </w:rPr>
            </w:pPr>
            <w:r>
              <w:rPr>
                <w:sz w:val="20"/>
                <w:szCs w:val="20"/>
                <w:lang w:val="es-ES_tradnl"/>
              </w:rPr>
              <w:t>X</w:t>
            </w:r>
          </w:p>
        </w:tc>
        <w:tc>
          <w:tcPr>
            <w:tcW w:w="2368" w:type="dxa"/>
            <w:vAlign w:val="center"/>
          </w:tcPr>
          <w:p w:rsidR="00223F4F" w:rsidRPr="00B06A15" w:rsidRDefault="00223F4F" w:rsidP="00566D4F">
            <w:pPr>
              <w:rPr>
                <w:sz w:val="20"/>
                <w:szCs w:val="20"/>
                <w:lang w:val="es-ES_tradnl"/>
              </w:rPr>
            </w:pPr>
            <w:r w:rsidRPr="00B06A15">
              <w:rPr>
                <w:sz w:val="20"/>
                <w:szCs w:val="20"/>
              </w:rPr>
              <w:t>Consultoría independiente</w:t>
            </w:r>
          </w:p>
        </w:tc>
        <w:tc>
          <w:tcPr>
            <w:tcW w:w="2020" w:type="dxa"/>
            <w:vMerge/>
          </w:tcPr>
          <w:p w:rsidR="00223F4F" w:rsidRPr="00B06A15" w:rsidRDefault="00223F4F" w:rsidP="00BE07FC">
            <w:pPr>
              <w:rPr>
                <w:sz w:val="20"/>
                <w:szCs w:val="20"/>
                <w:lang w:val="es-ES_tradnl"/>
              </w:rPr>
            </w:pPr>
          </w:p>
        </w:tc>
      </w:tr>
      <w:tr w:rsidR="00223F4F" w:rsidRPr="00ED13FF" w:rsidTr="00A46F13">
        <w:trPr>
          <w:jc w:val="center"/>
        </w:trPr>
        <w:tc>
          <w:tcPr>
            <w:tcW w:w="5715" w:type="dxa"/>
          </w:tcPr>
          <w:p w:rsidR="00223F4F" w:rsidRDefault="00223F4F" w:rsidP="00302AB7">
            <w:pPr>
              <w:pStyle w:val="FootnoteText"/>
              <w:numPr>
                <w:ilvl w:val="0"/>
                <w:numId w:val="27"/>
              </w:numPr>
              <w:ind w:left="312"/>
              <w:jc w:val="both"/>
              <w:rPr>
                <w:color w:val="000000"/>
                <w:lang w:val="es-ES_tradnl"/>
              </w:rPr>
            </w:pPr>
            <w:r>
              <w:rPr>
                <w:color w:val="000000"/>
                <w:lang w:val="es-ES_tradnl"/>
              </w:rPr>
              <w:t>Gasto total municipios sujetos a rendición de cuentas/Gasto total municipal.</w:t>
            </w:r>
          </w:p>
        </w:tc>
        <w:tc>
          <w:tcPr>
            <w:tcW w:w="360" w:type="dxa"/>
            <w:shd w:val="clear" w:color="auto" w:fill="auto"/>
          </w:tcPr>
          <w:p w:rsidR="00223F4F" w:rsidRPr="00B06A15" w:rsidRDefault="00223F4F" w:rsidP="00BE07FC">
            <w:pPr>
              <w:rPr>
                <w:sz w:val="20"/>
                <w:szCs w:val="20"/>
                <w:lang w:val="es-ES_tradnl"/>
              </w:rPr>
            </w:pPr>
          </w:p>
        </w:tc>
        <w:tc>
          <w:tcPr>
            <w:tcW w:w="360" w:type="dxa"/>
            <w:shd w:val="clear" w:color="auto" w:fill="auto"/>
          </w:tcPr>
          <w:p w:rsidR="00223F4F" w:rsidRPr="00B06A15" w:rsidRDefault="00223F4F" w:rsidP="00BE07FC">
            <w:pPr>
              <w:rPr>
                <w:sz w:val="20"/>
                <w:szCs w:val="20"/>
                <w:lang w:val="es-ES_tradnl"/>
              </w:rPr>
            </w:pPr>
          </w:p>
        </w:tc>
        <w:tc>
          <w:tcPr>
            <w:tcW w:w="360" w:type="dxa"/>
            <w:shd w:val="clear" w:color="auto" w:fill="auto"/>
            <w:vAlign w:val="center"/>
          </w:tcPr>
          <w:p w:rsidR="00223F4F" w:rsidRDefault="00223F4F" w:rsidP="00566D4F">
            <w:pPr>
              <w:jc w:val="center"/>
              <w:rPr>
                <w:sz w:val="20"/>
                <w:szCs w:val="20"/>
                <w:lang w:val="es-ES_tradnl"/>
              </w:rPr>
            </w:pPr>
          </w:p>
        </w:tc>
        <w:tc>
          <w:tcPr>
            <w:tcW w:w="360" w:type="dxa"/>
            <w:shd w:val="clear" w:color="auto" w:fill="auto"/>
            <w:vAlign w:val="center"/>
          </w:tcPr>
          <w:p w:rsidR="00223F4F" w:rsidRDefault="00223F4F" w:rsidP="00566D4F">
            <w:pPr>
              <w:jc w:val="center"/>
              <w:rPr>
                <w:sz w:val="20"/>
                <w:szCs w:val="20"/>
                <w:lang w:val="es-ES_tradnl"/>
              </w:rPr>
            </w:pPr>
            <w:r>
              <w:rPr>
                <w:sz w:val="20"/>
                <w:szCs w:val="20"/>
                <w:lang w:val="es-ES_tradnl"/>
              </w:rPr>
              <w:t>X</w:t>
            </w:r>
          </w:p>
        </w:tc>
        <w:tc>
          <w:tcPr>
            <w:tcW w:w="2368" w:type="dxa"/>
            <w:vAlign w:val="center"/>
          </w:tcPr>
          <w:p w:rsidR="00223F4F" w:rsidRPr="00B06A15" w:rsidRDefault="00223F4F" w:rsidP="00566D4F">
            <w:pPr>
              <w:rPr>
                <w:sz w:val="20"/>
                <w:szCs w:val="20"/>
                <w:lang w:val="es-ES_tradnl"/>
              </w:rPr>
            </w:pPr>
            <w:r w:rsidRPr="00B06A15">
              <w:rPr>
                <w:sz w:val="20"/>
                <w:szCs w:val="20"/>
              </w:rPr>
              <w:t>Consultoría independiente</w:t>
            </w:r>
          </w:p>
        </w:tc>
        <w:tc>
          <w:tcPr>
            <w:tcW w:w="2020" w:type="dxa"/>
            <w:vMerge/>
          </w:tcPr>
          <w:p w:rsidR="00223F4F" w:rsidRPr="00B06A15" w:rsidRDefault="00223F4F" w:rsidP="00BE07FC">
            <w:pPr>
              <w:rPr>
                <w:sz w:val="20"/>
                <w:szCs w:val="20"/>
                <w:lang w:val="es-ES_tradnl"/>
              </w:rPr>
            </w:pPr>
          </w:p>
        </w:tc>
      </w:tr>
      <w:tr w:rsidR="00223F4F" w:rsidRPr="00ED13FF" w:rsidTr="00A46F13">
        <w:trPr>
          <w:jc w:val="center"/>
        </w:trPr>
        <w:tc>
          <w:tcPr>
            <w:tcW w:w="5715" w:type="dxa"/>
          </w:tcPr>
          <w:p w:rsidR="00223F4F" w:rsidRDefault="00223F4F" w:rsidP="00302AB7">
            <w:pPr>
              <w:pStyle w:val="FootnoteText"/>
              <w:numPr>
                <w:ilvl w:val="0"/>
                <w:numId w:val="27"/>
              </w:numPr>
              <w:ind w:left="312"/>
              <w:jc w:val="both"/>
              <w:rPr>
                <w:color w:val="000000"/>
                <w:lang w:val="es-ES_tradnl"/>
              </w:rPr>
            </w:pPr>
            <w:r>
              <w:rPr>
                <w:color w:val="000000"/>
                <w:lang w:val="es-ES_tradnl"/>
              </w:rPr>
              <w:t>Gasto total Entidades GC sujetas a rendición de cuentas / Gasto Gobierno Central.</w:t>
            </w:r>
          </w:p>
        </w:tc>
        <w:tc>
          <w:tcPr>
            <w:tcW w:w="360" w:type="dxa"/>
            <w:shd w:val="clear" w:color="auto" w:fill="auto"/>
          </w:tcPr>
          <w:p w:rsidR="00223F4F" w:rsidRPr="00B06A15" w:rsidRDefault="00223F4F" w:rsidP="00BE07FC">
            <w:pPr>
              <w:rPr>
                <w:sz w:val="20"/>
                <w:szCs w:val="20"/>
                <w:lang w:val="es-ES_tradnl"/>
              </w:rPr>
            </w:pPr>
          </w:p>
        </w:tc>
        <w:tc>
          <w:tcPr>
            <w:tcW w:w="360" w:type="dxa"/>
            <w:shd w:val="clear" w:color="auto" w:fill="auto"/>
          </w:tcPr>
          <w:p w:rsidR="00223F4F" w:rsidRPr="00B06A15" w:rsidRDefault="00223F4F" w:rsidP="00BE07FC">
            <w:pPr>
              <w:rPr>
                <w:sz w:val="20"/>
                <w:szCs w:val="20"/>
                <w:lang w:val="es-ES_tradnl"/>
              </w:rPr>
            </w:pPr>
          </w:p>
        </w:tc>
        <w:tc>
          <w:tcPr>
            <w:tcW w:w="360" w:type="dxa"/>
            <w:shd w:val="clear" w:color="auto" w:fill="auto"/>
            <w:vAlign w:val="center"/>
          </w:tcPr>
          <w:p w:rsidR="00223F4F" w:rsidRDefault="00223F4F" w:rsidP="00566D4F">
            <w:pPr>
              <w:jc w:val="center"/>
              <w:rPr>
                <w:sz w:val="20"/>
                <w:szCs w:val="20"/>
                <w:lang w:val="es-ES_tradnl"/>
              </w:rPr>
            </w:pPr>
          </w:p>
        </w:tc>
        <w:tc>
          <w:tcPr>
            <w:tcW w:w="360" w:type="dxa"/>
            <w:shd w:val="clear" w:color="auto" w:fill="auto"/>
            <w:vAlign w:val="center"/>
          </w:tcPr>
          <w:p w:rsidR="00223F4F" w:rsidRDefault="00223F4F" w:rsidP="00566D4F">
            <w:pPr>
              <w:jc w:val="center"/>
              <w:rPr>
                <w:sz w:val="20"/>
                <w:szCs w:val="20"/>
                <w:lang w:val="es-ES_tradnl"/>
              </w:rPr>
            </w:pPr>
            <w:r>
              <w:rPr>
                <w:sz w:val="20"/>
                <w:szCs w:val="20"/>
                <w:lang w:val="es-ES_tradnl"/>
              </w:rPr>
              <w:t>X</w:t>
            </w:r>
          </w:p>
        </w:tc>
        <w:tc>
          <w:tcPr>
            <w:tcW w:w="2368" w:type="dxa"/>
            <w:vAlign w:val="center"/>
          </w:tcPr>
          <w:p w:rsidR="00223F4F" w:rsidRPr="00B06A15" w:rsidRDefault="00223F4F" w:rsidP="00566D4F">
            <w:pPr>
              <w:rPr>
                <w:sz w:val="20"/>
                <w:szCs w:val="20"/>
                <w:lang w:val="es-ES_tradnl"/>
              </w:rPr>
            </w:pPr>
            <w:r w:rsidRPr="00B06A15">
              <w:rPr>
                <w:sz w:val="20"/>
                <w:szCs w:val="20"/>
              </w:rPr>
              <w:t>Consultoría independiente</w:t>
            </w:r>
          </w:p>
        </w:tc>
        <w:tc>
          <w:tcPr>
            <w:tcW w:w="2020" w:type="dxa"/>
            <w:vMerge/>
          </w:tcPr>
          <w:p w:rsidR="00223F4F" w:rsidRPr="00B06A15" w:rsidRDefault="00223F4F" w:rsidP="00BE07FC">
            <w:pPr>
              <w:rPr>
                <w:sz w:val="20"/>
                <w:szCs w:val="20"/>
                <w:lang w:val="es-ES_tradnl"/>
              </w:rPr>
            </w:pPr>
          </w:p>
        </w:tc>
      </w:tr>
      <w:tr w:rsidR="007D14F5" w:rsidRPr="005552D8" w:rsidTr="00A46F13">
        <w:trPr>
          <w:jc w:val="center"/>
        </w:trPr>
        <w:tc>
          <w:tcPr>
            <w:tcW w:w="5715" w:type="dxa"/>
          </w:tcPr>
          <w:p w:rsidR="007D14F5" w:rsidRDefault="007D14F5" w:rsidP="00302AB7">
            <w:pPr>
              <w:pStyle w:val="FootnoteText"/>
              <w:numPr>
                <w:ilvl w:val="0"/>
                <w:numId w:val="27"/>
              </w:numPr>
              <w:ind w:left="312"/>
              <w:jc w:val="both"/>
              <w:rPr>
                <w:color w:val="000000"/>
                <w:lang w:val="es-ES_tradnl"/>
              </w:rPr>
            </w:pPr>
            <w:r>
              <w:rPr>
                <w:color w:val="000000"/>
                <w:lang w:val="es-ES_tradnl"/>
              </w:rPr>
              <w:t>Evaluación ex post de costo - beneficio</w:t>
            </w:r>
          </w:p>
        </w:tc>
        <w:tc>
          <w:tcPr>
            <w:tcW w:w="360" w:type="dxa"/>
            <w:shd w:val="clear" w:color="auto" w:fill="auto"/>
          </w:tcPr>
          <w:p w:rsidR="007D14F5" w:rsidRPr="00B06A15" w:rsidRDefault="007D14F5" w:rsidP="00BE07FC">
            <w:pPr>
              <w:rPr>
                <w:sz w:val="20"/>
                <w:szCs w:val="20"/>
                <w:lang w:val="es-ES_tradnl"/>
              </w:rPr>
            </w:pPr>
          </w:p>
        </w:tc>
        <w:tc>
          <w:tcPr>
            <w:tcW w:w="360" w:type="dxa"/>
            <w:shd w:val="clear" w:color="auto" w:fill="auto"/>
          </w:tcPr>
          <w:p w:rsidR="007D14F5" w:rsidRPr="00B06A15" w:rsidRDefault="007D14F5" w:rsidP="00BE07FC">
            <w:pPr>
              <w:rPr>
                <w:sz w:val="20"/>
                <w:szCs w:val="20"/>
                <w:lang w:val="es-ES_tradnl"/>
              </w:rPr>
            </w:pPr>
          </w:p>
        </w:tc>
        <w:tc>
          <w:tcPr>
            <w:tcW w:w="360" w:type="dxa"/>
            <w:shd w:val="clear" w:color="auto" w:fill="auto"/>
            <w:vAlign w:val="center"/>
          </w:tcPr>
          <w:p w:rsidR="007D14F5" w:rsidRDefault="007D14F5" w:rsidP="00566D4F">
            <w:pPr>
              <w:jc w:val="center"/>
              <w:rPr>
                <w:sz w:val="20"/>
                <w:szCs w:val="20"/>
                <w:lang w:val="es-ES_tradnl"/>
              </w:rPr>
            </w:pPr>
          </w:p>
        </w:tc>
        <w:tc>
          <w:tcPr>
            <w:tcW w:w="360" w:type="dxa"/>
            <w:shd w:val="clear" w:color="auto" w:fill="auto"/>
            <w:vAlign w:val="center"/>
          </w:tcPr>
          <w:p w:rsidR="007D14F5" w:rsidRDefault="007D14F5" w:rsidP="00566D4F">
            <w:pPr>
              <w:jc w:val="center"/>
              <w:rPr>
                <w:sz w:val="20"/>
                <w:szCs w:val="20"/>
                <w:lang w:val="es-ES_tradnl"/>
              </w:rPr>
            </w:pPr>
          </w:p>
        </w:tc>
        <w:tc>
          <w:tcPr>
            <w:tcW w:w="2368" w:type="dxa"/>
            <w:vAlign w:val="center"/>
          </w:tcPr>
          <w:p w:rsidR="007D14F5" w:rsidRPr="007D14F5" w:rsidRDefault="007D14F5" w:rsidP="00566D4F">
            <w:pPr>
              <w:rPr>
                <w:sz w:val="20"/>
                <w:szCs w:val="20"/>
                <w:lang w:val="es-ES_tradnl"/>
              </w:rPr>
            </w:pPr>
          </w:p>
        </w:tc>
        <w:tc>
          <w:tcPr>
            <w:tcW w:w="2020" w:type="dxa"/>
          </w:tcPr>
          <w:p w:rsidR="007D14F5" w:rsidRPr="00B06A15" w:rsidRDefault="007D14F5" w:rsidP="00BE07FC">
            <w:pPr>
              <w:rPr>
                <w:sz w:val="20"/>
                <w:szCs w:val="20"/>
                <w:lang w:val="es-ES_tradnl"/>
              </w:rPr>
            </w:pPr>
            <w:r>
              <w:rPr>
                <w:sz w:val="20"/>
                <w:szCs w:val="20"/>
                <w:lang w:val="es-ES_tradnl"/>
              </w:rPr>
              <w:t>L</w:t>
            </w:r>
            <w:r w:rsidRPr="002C3FFE">
              <w:rPr>
                <w:sz w:val="20"/>
                <w:szCs w:val="20"/>
                <w:lang w:val="es-ES_tradnl"/>
              </w:rPr>
              <w:t xml:space="preserve">a consultoría </w:t>
            </w:r>
            <w:r>
              <w:rPr>
                <w:sz w:val="20"/>
                <w:szCs w:val="20"/>
                <w:lang w:val="es-ES_tradnl"/>
              </w:rPr>
              <w:t>tendrá</w:t>
            </w:r>
            <w:r w:rsidRPr="002C3FFE">
              <w:rPr>
                <w:sz w:val="20"/>
                <w:szCs w:val="20"/>
                <w:lang w:val="es-ES_tradnl"/>
              </w:rPr>
              <w:t xml:space="preserve"> u</w:t>
            </w:r>
            <w:r>
              <w:rPr>
                <w:sz w:val="20"/>
                <w:szCs w:val="20"/>
                <w:lang w:val="es-ES_tradnl"/>
              </w:rPr>
              <w:t>n costo de US$10</w:t>
            </w:r>
            <w:r w:rsidR="00FD7EFA">
              <w:rPr>
                <w:sz w:val="20"/>
                <w:szCs w:val="20"/>
                <w:lang w:val="es-ES_tradnl"/>
              </w:rPr>
              <w:t>.</w:t>
            </w:r>
            <w:r>
              <w:rPr>
                <w:sz w:val="20"/>
                <w:szCs w:val="20"/>
                <w:lang w:val="es-ES_tradnl"/>
              </w:rPr>
              <w:t xml:space="preserve">000 </w:t>
            </w:r>
            <w:r>
              <w:rPr>
                <w:sz w:val="20"/>
                <w:szCs w:val="20"/>
                <w:lang w:val="es-BO"/>
              </w:rPr>
              <w:t>y será financiada con recursos de la CT ATN/OC-13586-BO</w:t>
            </w:r>
          </w:p>
        </w:tc>
      </w:tr>
      <w:tr w:rsidR="00223F4F" w:rsidRPr="0074165A" w:rsidTr="00A46F13">
        <w:trPr>
          <w:jc w:val="center"/>
        </w:trPr>
        <w:tc>
          <w:tcPr>
            <w:tcW w:w="7155" w:type="dxa"/>
            <w:gridSpan w:val="5"/>
          </w:tcPr>
          <w:p w:rsidR="00223F4F" w:rsidRDefault="00223F4F" w:rsidP="00566D4F">
            <w:pPr>
              <w:jc w:val="center"/>
              <w:rPr>
                <w:sz w:val="20"/>
                <w:szCs w:val="20"/>
                <w:lang w:val="es-ES_tradnl"/>
              </w:rPr>
            </w:pPr>
          </w:p>
        </w:tc>
        <w:tc>
          <w:tcPr>
            <w:tcW w:w="2368" w:type="dxa"/>
            <w:vAlign w:val="center"/>
          </w:tcPr>
          <w:p w:rsidR="00223F4F" w:rsidRPr="00BD3434" w:rsidRDefault="00223F4F" w:rsidP="00566D4F">
            <w:pPr>
              <w:rPr>
                <w:sz w:val="20"/>
                <w:szCs w:val="20"/>
                <w:lang w:val="es-ES_tradnl"/>
              </w:rPr>
            </w:pPr>
          </w:p>
        </w:tc>
        <w:tc>
          <w:tcPr>
            <w:tcW w:w="2020" w:type="dxa"/>
          </w:tcPr>
          <w:p w:rsidR="00223F4F" w:rsidRPr="0074165A" w:rsidRDefault="00223F4F">
            <w:pPr>
              <w:rPr>
                <w:b/>
                <w:sz w:val="20"/>
                <w:szCs w:val="20"/>
                <w:lang w:val="es-ES_tradnl"/>
              </w:rPr>
            </w:pPr>
            <w:r w:rsidRPr="0074165A">
              <w:rPr>
                <w:b/>
                <w:sz w:val="20"/>
                <w:szCs w:val="20"/>
                <w:lang w:val="es-ES_tradnl"/>
              </w:rPr>
              <w:t xml:space="preserve">US$ </w:t>
            </w:r>
            <w:r w:rsidR="007D14F5">
              <w:rPr>
                <w:b/>
                <w:sz w:val="20"/>
                <w:szCs w:val="20"/>
                <w:lang w:val="es-ES_tradnl"/>
              </w:rPr>
              <w:t>2</w:t>
            </w:r>
            <w:r w:rsidRPr="0074165A">
              <w:rPr>
                <w:b/>
                <w:sz w:val="20"/>
                <w:szCs w:val="20"/>
                <w:lang w:val="es-ES_tradnl"/>
              </w:rPr>
              <w:t>0</w:t>
            </w:r>
            <w:r w:rsidR="00FD7EFA">
              <w:rPr>
                <w:b/>
                <w:sz w:val="20"/>
                <w:szCs w:val="20"/>
                <w:lang w:val="es-ES_tradnl"/>
              </w:rPr>
              <w:t>.</w:t>
            </w:r>
            <w:r>
              <w:rPr>
                <w:b/>
                <w:sz w:val="20"/>
                <w:szCs w:val="20"/>
                <w:lang w:val="es-ES_tradnl"/>
              </w:rPr>
              <w:t>0</w:t>
            </w:r>
            <w:r w:rsidRPr="0074165A">
              <w:rPr>
                <w:b/>
                <w:sz w:val="20"/>
                <w:szCs w:val="20"/>
                <w:lang w:val="es-ES_tradnl"/>
              </w:rPr>
              <w:t>00</w:t>
            </w:r>
          </w:p>
        </w:tc>
      </w:tr>
    </w:tbl>
    <w:p w:rsidR="0038441B" w:rsidRDefault="0038441B" w:rsidP="0038441B">
      <w:pPr>
        <w:spacing w:after="200" w:line="276" w:lineRule="auto"/>
        <w:rPr>
          <w:b/>
          <w:bCs/>
          <w:lang w:val="es-ES_tradnl"/>
        </w:rPr>
        <w:sectPr w:rsidR="0038441B" w:rsidSect="00A46F13">
          <w:pgSz w:w="15840" w:h="12240" w:orient="landscape"/>
          <w:pgMar w:top="1440" w:right="1800" w:bottom="1440" w:left="1800" w:header="720" w:footer="720" w:gutter="0"/>
          <w:cols w:space="720"/>
          <w:docGrid w:linePitch="360"/>
        </w:sectPr>
      </w:pPr>
    </w:p>
    <w:p w:rsidR="00053E35" w:rsidRPr="002B2B10" w:rsidRDefault="00053E35" w:rsidP="00053E35">
      <w:pPr>
        <w:pStyle w:val="ListParagraph"/>
        <w:tabs>
          <w:tab w:val="center" w:pos="4680"/>
        </w:tabs>
        <w:spacing w:before="240" w:after="120"/>
        <w:ind w:left="0"/>
        <w:jc w:val="center"/>
        <w:rPr>
          <w:rFonts w:ascii="Times New Roman Bold" w:hAnsi="Times New Roman Bold"/>
          <w:b/>
          <w:bCs/>
          <w:smallCaps/>
          <w:lang w:val="es-ES_tradnl"/>
        </w:rPr>
      </w:pPr>
      <w:r>
        <w:rPr>
          <w:rFonts w:ascii="Times New Roman Bold" w:hAnsi="Times New Roman Bold"/>
          <w:b/>
          <w:bCs/>
          <w:smallCaps/>
          <w:lang w:val="es-ES_tradnl"/>
        </w:rPr>
        <w:lastRenderedPageBreak/>
        <w:t>Términos de Referencia</w:t>
      </w:r>
    </w:p>
    <w:p w:rsidR="00053E35" w:rsidRPr="002A31D2" w:rsidRDefault="00053E35" w:rsidP="00053E35">
      <w:pPr>
        <w:spacing w:before="240" w:after="240"/>
        <w:jc w:val="center"/>
        <w:rPr>
          <w:b/>
          <w:bCs/>
          <w:lang w:val="es-MX"/>
        </w:rPr>
      </w:pPr>
      <w:r w:rsidRPr="002A31D2">
        <w:rPr>
          <w:b/>
          <w:bCs/>
          <w:lang w:val="es-MX"/>
        </w:rPr>
        <w:t xml:space="preserve">Consultoría </w:t>
      </w:r>
      <w:r>
        <w:rPr>
          <w:b/>
          <w:bCs/>
          <w:lang w:val="es-MX"/>
        </w:rPr>
        <w:t xml:space="preserve">para la </w:t>
      </w:r>
      <w:r w:rsidRPr="002A31D2">
        <w:rPr>
          <w:b/>
          <w:bCs/>
          <w:lang w:val="es-MX"/>
        </w:rPr>
        <w:t xml:space="preserve">revisión y </w:t>
      </w:r>
      <w:r>
        <w:rPr>
          <w:b/>
          <w:bCs/>
          <w:lang w:val="es-MX"/>
        </w:rPr>
        <w:t xml:space="preserve">análisis </w:t>
      </w:r>
      <w:r w:rsidRPr="002A31D2">
        <w:rPr>
          <w:b/>
          <w:bCs/>
          <w:lang w:val="es-MX"/>
        </w:rPr>
        <w:t>de</w:t>
      </w:r>
      <w:r>
        <w:rPr>
          <w:b/>
          <w:bCs/>
          <w:lang w:val="es-MX"/>
        </w:rPr>
        <w:t>l avance en el cumplimiento de las acciones establecidas en</w:t>
      </w:r>
      <w:r w:rsidRPr="002A31D2">
        <w:rPr>
          <w:b/>
          <w:bCs/>
          <w:lang w:val="es-MX"/>
        </w:rPr>
        <w:t xml:space="preserve"> la matriz de políticas del programa  </w:t>
      </w:r>
    </w:p>
    <w:p w:rsidR="00053E35" w:rsidRPr="003B6B51" w:rsidRDefault="00053E35" w:rsidP="00053E35">
      <w:pPr>
        <w:tabs>
          <w:tab w:val="center" w:pos="4680"/>
        </w:tabs>
        <w:spacing w:before="240" w:after="240"/>
        <w:jc w:val="center"/>
        <w:rPr>
          <w:b/>
          <w:lang w:val="es-ES_tradnl"/>
        </w:rPr>
      </w:pPr>
      <w:r w:rsidRPr="003B6B51">
        <w:rPr>
          <w:b/>
          <w:lang w:val="es-ES_tradnl"/>
        </w:rPr>
        <w:t xml:space="preserve">I.  </w:t>
      </w:r>
      <w:r w:rsidRPr="002B2B10">
        <w:rPr>
          <w:rFonts w:ascii="Times New Roman Bold" w:hAnsi="Times New Roman Bold"/>
          <w:b/>
          <w:smallCaps/>
          <w:lang w:val="es-ES_tradnl"/>
        </w:rPr>
        <w:t>Objetivo de la consultoría</w:t>
      </w:r>
    </w:p>
    <w:p w:rsidR="00053E35" w:rsidRPr="003B6B51" w:rsidRDefault="00053E35" w:rsidP="00053E35">
      <w:pPr>
        <w:jc w:val="both"/>
        <w:rPr>
          <w:bCs/>
          <w:lang w:val="es-MX"/>
        </w:rPr>
      </w:pPr>
      <w:r w:rsidRPr="003B6B51">
        <w:rPr>
          <w:bCs/>
          <w:lang w:val="es-MX"/>
        </w:rPr>
        <w:t xml:space="preserve">La consultoría tendrá como objetivo llevar a cabo el </w:t>
      </w:r>
      <w:r>
        <w:rPr>
          <w:bCs/>
          <w:lang w:val="es-MX"/>
        </w:rPr>
        <w:t xml:space="preserve">monitoreo </w:t>
      </w:r>
      <w:r w:rsidRPr="003B6B51">
        <w:rPr>
          <w:bCs/>
          <w:lang w:val="es-MX"/>
        </w:rPr>
        <w:t>del cumplimiento de los compromisos de política del G</w:t>
      </w:r>
      <w:r>
        <w:rPr>
          <w:bCs/>
          <w:lang w:val="es-MX"/>
        </w:rPr>
        <w:t>BO establecidos en la M</w:t>
      </w:r>
      <w:r w:rsidRPr="003B6B51">
        <w:rPr>
          <w:bCs/>
          <w:lang w:val="es-MX"/>
        </w:rPr>
        <w:t xml:space="preserve">atriz de </w:t>
      </w:r>
      <w:r>
        <w:rPr>
          <w:bCs/>
          <w:lang w:val="es-MX"/>
        </w:rPr>
        <w:t>P</w:t>
      </w:r>
      <w:r w:rsidRPr="003B6B51">
        <w:rPr>
          <w:bCs/>
          <w:lang w:val="es-MX"/>
        </w:rPr>
        <w:t>olíticas (Anexo II</w:t>
      </w:r>
      <w:r>
        <w:rPr>
          <w:bCs/>
          <w:lang w:val="es-MX"/>
        </w:rPr>
        <w:t>) de la Propuesta para el Desarrollo de la Operación (</w:t>
      </w:r>
      <w:r w:rsidRPr="003B6B51">
        <w:rPr>
          <w:bCs/>
          <w:lang w:val="es-MX"/>
        </w:rPr>
        <w:t>POD)</w:t>
      </w:r>
      <w:r>
        <w:rPr>
          <w:bCs/>
          <w:lang w:val="es-MX"/>
        </w:rPr>
        <w:t>.</w:t>
      </w:r>
    </w:p>
    <w:p w:rsidR="00053E35" w:rsidRPr="003B6B51" w:rsidRDefault="00053E35" w:rsidP="00053E35">
      <w:pPr>
        <w:tabs>
          <w:tab w:val="center" w:pos="4680"/>
        </w:tabs>
        <w:spacing w:before="240" w:after="240"/>
        <w:jc w:val="center"/>
        <w:rPr>
          <w:lang w:val="es-ES_tradnl"/>
        </w:rPr>
      </w:pPr>
      <w:r w:rsidRPr="003B6B51">
        <w:rPr>
          <w:b/>
          <w:bCs/>
          <w:lang w:val="es-ES_tradnl"/>
        </w:rPr>
        <w:t>II.</w:t>
      </w:r>
      <w:r>
        <w:rPr>
          <w:b/>
          <w:bCs/>
          <w:lang w:val="es-ES_tradnl"/>
        </w:rPr>
        <w:t xml:space="preserve">  </w:t>
      </w:r>
      <w:r w:rsidRPr="002B2B10">
        <w:rPr>
          <w:rFonts w:ascii="Times New Roman Bold" w:hAnsi="Times New Roman Bold"/>
          <w:b/>
          <w:smallCaps/>
          <w:lang w:val="es-ES_tradnl"/>
        </w:rPr>
        <w:t>Actividades</w:t>
      </w:r>
    </w:p>
    <w:p w:rsidR="00053E35" w:rsidRPr="003B6B51" w:rsidRDefault="00053E35" w:rsidP="00053E35">
      <w:pPr>
        <w:pStyle w:val="Paragraph"/>
        <w:tabs>
          <w:tab w:val="clear" w:pos="1440"/>
        </w:tabs>
        <w:spacing w:before="0"/>
        <w:ind w:left="0" w:firstLine="0"/>
        <w:outlineLvl w:val="9"/>
        <w:rPr>
          <w:bCs/>
          <w:szCs w:val="24"/>
          <w:lang w:val="es-MX"/>
        </w:rPr>
      </w:pPr>
      <w:r w:rsidRPr="003B6B51">
        <w:rPr>
          <w:bCs/>
          <w:szCs w:val="24"/>
          <w:lang w:val="es-MX"/>
        </w:rPr>
        <w:t>Las actividades que serán realizadas durante la consultoría incluyen las siguientes:</w:t>
      </w:r>
    </w:p>
    <w:p w:rsidR="00053E35" w:rsidRPr="00EE4D03" w:rsidRDefault="00053E35" w:rsidP="00053E35">
      <w:pPr>
        <w:pStyle w:val="Paragraph"/>
        <w:numPr>
          <w:ilvl w:val="0"/>
          <w:numId w:val="40"/>
        </w:numPr>
        <w:tabs>
          <w:tab w:val="left" w:pos="450"/>
        </w:tabs>
        <w:spacing w:before="0" w:after="80"/>
        <w:outlineLvl w:val="9"/>
        <w:rPr>
          <w:szCs w:val="24"/>
          <w:lang w:val="es-ES_tradnl"/>
        </w:rPr>
      </w:pPr>
      <w:r>
        <w:rPr>
          <w:bCs/>
          <w:szCs w:val="24"/>
          <w:lang w:val="es-MX"/>
        </w:rPr>
        <w:t xml:space="preserve">Verificar </w:t>
      </w:r>
      <w:r w:rsidRPr="003B6B51">
        <w:rPr>
          <w:bCs/>
          <w:szCs w:val="24"/>
          <w:lang w:val="es-MX"/>
        </w:rPr>
        <w:t>el cumplimiento</w:t>
      </w:r>
      <w:r>
        <w:rPr>
          <w:bCs/>
          <w:szCs w:val="24"/>
          <w:lang w:val="es-MX"/>
        </w:rPr>
        <w:t>, o el avance para su cumplimiento,</w:t>
      </w:r>
      <w:r w:rsidRPr="003B6B51">
        <w:rPr>
          <w:bCs/>
          <w:szCs w:val="24"/>
          <w:lang w:val="es-MX"/>
        </w:rPr>
        <w:t xml:space="preserve"> de cada una de las acciones </w:t>
      </w:r>
      <w:r>
        <w:rPr>
          <w:bCs/>
          <w:szCs w:val="24"/>
          <w:lang w:val="es-MX"/>
        </w:rPr>
        <w:t xml:space="preserve">de política </w:t>
      </w:r>
      <w:r w:rsidRPr="003B6B51">
        <w:rPr>
          <w:bCs/>
          <w:szCs w:val="24"/>
          <w:lang w:val="es-MX"/>
        </w:rPr>
        <w:t>que conforman los componentes del programa</w:t>
      </w:r>
    </w:p>
    <w:p w:rsidR="00053E35" w:rsidRPr="00D22B56" w:rsidRDefault="00053E35" w:rsidP="00053E35">
      <w:pPr>
        <w:pStyle w:val="Paragraph"/>
        <w:numPr>
          <w:ilvl w:val="0"/>
          <w:numId w:val="40"/>
        </w:numPr>
        <w:tabs>
          <w:tab w:val="left" w:pos="450"/>
        </w:tabs>
        <w:spacing w:before="0" w:after="80"/>
        <w:outlineLvl w:val="9"/>
        <w:rPr>
          <w:szCs w:val="24"/>
          <w:lang w:val="es-ES_tradnl"/>
        </w:rPr>
      </w:pPr>
      <w:r>
        <w:rPr>
          <w:bCs/>
          <w:szCs w:val="24"/>
          <w:lang w:val="es-MX"/>
        </w:rPr>
        <w:t>Formar parte del equipo de proyecto del Banco que realizará misiones de supervisión del cumplimiento de las acciones de política acordadas con el GBO.</w:t>
      </w:r>
    </w:p>
    <w:p w:rsidR="00053E35" w:rsidRPr="00DE5C23" w:rsidRDefault="00053E35" w:rsidP="00053E35">
      <w:pPr>
        <w:pStyle w:val="Paragraph"/>
        <w:numPr>
          <w:ilvl w:val="0"/>
          <w:numId w:val="40"/>
        </w:numPr>
        <w:tabs>
          <w:tab w:val="left" w:pos="450"/>
        </w:tabs>
        <w:spacing w:before="0" w:after="80"/>
        <w:outlineLvl w:val="9"/>
        <w:rPr>
          <w:szCs w:val="24"/>
          <w:lang w:val="es-ES_tradnl"/>
        </w:rPr>
      </w:pPr>
      <w:r>
        <w:rPr>
          <w:bCs/>
          <w:szCs w:val="24"/>
          <w:lang w:val="es-ES_tradnl"/>
        </w:rPr>
        <w:t>P</w:t>
      </w:r>
      <w:r w:rsidRPr="003B6B51">
        <w:rPr>
          <w:bCs/>
          <w:szCs w:val="24"/>
          <w:lang w:val="es-ES_tradnl"/>
        </w:rPr>
        <w:t xml:space="preserve">resentar una propuesta técnica para el cumplimiento de aquellas metas que no hayan sido </w:t>
      </w:r>
      <w:r>
        <w:rPr>
          <w:bCs/>
          <w:szCs w:val="24"/>
          <w:lang w:val="es-ES_tradnl"/>
        </w:rPr>
        <w:t>alcanzadas en las fechas originalmente previstas o en aquellas reprogramadas</w:t>
      </w:r>
      <w:r w:rsidRPr="003B6B51">
        <w:rPr>
          <w:bCs/>
          <w:szCs w:val="24"/>
          <w:lang w:val="es-ES_tradnl"/>
        </w:rPr>
        <w:t>.</w:t>
      </w:r>
    </w:p>
    <w:p w:rsidR="00053E35" w:rsidRPr="003B6B51" w:rsidRDefault="00053E35" w:rsidP="00053E35">
      <w:pPr>
        <w:pStyle w:val="Paragraph"/>
        <w:numPr>
          <w:ilvl w:val="0"/>
          <w:numId w:val="40"/>
        </w:numPr>
        <w:spacing w:before="0" w:after="80"/>
        <w:outlineLvl w:val="9"/>
        <w:rPr>
          <w:bCs/>
          <w:szCs w:val="24"/>
          <w:lang w:val="es-ES_tradnl"/>
        </w:rPr>
      </w:pPr>
      <w:r>
        <w:rPr>
          <w:bCs/>
          <w:szCs w:val="24"/>
          <w:lang w:val="es-ES_tradnl"/>
        </w:rPr>
        <w:t>Preparar informes quincenales de monitoreo del cumplimiento de acciones de política, que deberán incluir recomendaciones de acción para el equipo de proyecto en caso de preverse dificultades o demoras en el cumplimiento de algunas acciones.</w:t>
      </w:r>
    </w:p>
    <w:p w:rsidR="00053E35" w:rsidRPr="003B6B51" w:rsidRDefault="00053E35" w:rsidP="00053E35">
      <w:pPr>
        <w:spacing w:before="240" w:after="240"/>
        <w:jc w:val="center"/>
        <w:rPr>
          <w:lang w:val="es-ES_tradnl"/>
        </w:rPr>
      </w:pPr>
      <w:r w:rsidRPr="003B6B51">
        <w:rPr>
          <w:b/>
          <w:lang w:val="es-ES_tradnl"/>
        </w:rPr>
        <w:t>III.</w:t>
      </w:r>
      <w:r>
        <w:rPr>
          <w:b/>
          <w:lang w:val="es-ES_tradnl"/>
        </w:rPr>
        <w:t xml:space="preserve"> </w:t>
      </w:r>
      <w:r w:rsidRPr="003B6B51">
        <w:rPr>
          <w:b/>
          <w:lang w:val="es-ES_tradnl"/>
        </w:rPr>
        <w:t xml:space="preserve"> </w:t>
      </w:r>
      <w:r w:rsidRPr="002B2B10">
        <w:rPr>
          <w:rFonts w:ascii="Times New Roman Bold" w:hAnsi="Times New Roman Bold"/>
          <w:b/>
          <w:smallCaps/>
          <w:lang w:val="es-ES_tradnl"/>
        </w:rPr>
        <w:t>Perfil del consultor</w:t>
      </w:r>
    </w:p>
    <w:p w:rsidR="00053E35" w:rsidRPr="003B6B51" w:rsidRDefault="00053E35" w:rsidP="00053E35">
      <w:pPr>
        <w:pStyle w:val="ListParagraph"/>
        <w:numPr>
          <w:ilvl w:val="0"/>
          <w:numId w:val="41"/>
        </w:numPr>
        <w:tabs>
          <w:tab w:val="left" w:pos="840"/>
          <w:tab w:val="left" w:pos="1320"/>
          <w:tab w:val="left" w:pos="1800"/>
          <w:tab w:val="right" w:pos="2640"/>
          <w:tab w:val="left" w:pos="2880"/>
        </w:tabs>
        <w:spacing w:after="80"/>
        <w:contextualSpacing w:val="0"/>
        <w:jc w:val="both"/>
        <w:rPr>
          <w:lang w:val="es-ES_tradnl"/>
        </w:rPr>
      </w:pPr>
      <w:r w:rsidRPr="003B6B51">
        <w:rPr>
          <w:lang w:val="es-ES_tradnl"/>
        </w:rPr>
        <w:t xml:space="preserve">Título universitario de economía. Estudios de Maestría en Economía o en Políticas Públicas.  </w:t>
      </w:r>
    </w:p>
    <w:p w:rsidR="00053E35" w:rsidRPr="003B6B51" w:rsidRDefault="00053E35" w:rsidP="00053E35">
      <w:pPr>
        <w:pStyle w:val="ListParagraph"/>
        <w:numPr>
          <w:ilvl w:val="0"/>
          <w:numId w:val="41"/>
        </w:numPr>
        <w:tabs>
          <w:tab w:val="left" w:pos="840"/>
          <w:tab w:val="left" w:pos="1320"/>
          <w:tab w:val="left" w:pos="1800"/>
          <w:tab w:val="right" w:pos="2640"/>
          <w:tab w:val="left" w:pos="2880"/>
        </w:tabs>
        <w:spacing w:after="80"/>
        <w:contextualSpacing w:val="0"/>
        <w:jc w:val="both"/>
        <w:rPr>
          <w:lang w:val="es-ES_tradnl"/>
        </w:rPr>
      </w:pPr>
      <w:r w:rsidRPr="003B6B51">
        <w:rPr>
          <w:lang w:val="es-ES_tradnl"/>
        </w:rPr>
        <w:t>Al menos 8 años de experiencia trabajando en la preparación y supervisión de proyectos en el sector público.</w:t>
      </w:r>
    </w:p>
    <w:p w:rsidR="00053E35" w:rsidRPr="003B6B51" w:rsidRDefault="00053E35" w:rsidP="00053E35">
      <w:pPr>
        <w:pStyle w:val="ListParagraph"/>
        <w:numPr>
          <w:ilvl w:val="0"/>
          <w:numId w:val="41"/>
        </w:numPr>
        <w:tabs>
          <w:tab w:val="left" w:pos="840"/>
          <w:tab w:val="left" w:pos="1320"/>
          <w:tab w:val="left" w:pos="1800"/>
          <w:tab w:val="right" w:pos="2640"/>
          <w:tab w:val="left" w:pos="2880"/>
        </w:tabs>
        <w:spacing w:after="80"/>
        <w:contextualSpacing w:val="0"/>
        <w:jc w:val="both"/>
        <w:rPr>
          <w:lang w:val="es-ES_tradnl"/>
        </w:rPr>
      </w:pPr>
      <w:r w:rsidRPr="003B6B51">
        <w:rPr>
          <w:lang w:val="es-ES_tradnl"/>
        </w:rPr>
        <w:t>Experiencia en análisis macro-fiscal, análisis económico de incentivos fiscales, asignación de competencias en materia de gastos y recursos a gobiernos subnacionales en proyectos financiados con recursos de cooperación multilateral y/o bilateral.</w:t>
      </w:r>
    </w:p>
    <w:p w:rsidR="00053E35" w:rsidRDefault="00053E35" w:rsidP="00053E35">
      <w:pPr>
        <w:pStyle w:val="ListParagraph"/>
        <w:numPr>
          <w:ilvl w:val="0"/>
          <w:numId w:val="41"/>
        </w:numPr>
        <w:tabs>
          <w:tab w:val="left" w:pos="840"/>
          <w:tab w:val="left" w:pos="1320"/>
          <w:tab w:val="left" w:pos="1800"/>
          <w:tab w:val="right" w:pos="2640"/>
          <w:tab w:val="left" w:pos="2880"/>
        </w:tabs>
        <w:spacing w:after="80"/>
        <w:contextualSpacing w:val="0"/>
        <w:jc w:val="both"/>
        <w:rPr>
          <w:lang w:val="es-ES_tradnl"/>
        </w:rPr>
      </w:pPr>
      <w:r w:rsidRPr="003B6B51">
        <w:rPr>
          <w:lang w:val="es-ES_tradnl"/>
        </w:rPr>
        <w:t>Experiencia relevante en materia fiscal trabajando en el sector público.</w:t>
      </w:r>
    </w:p>
    <w:p w:rsidR="00053E35" w:rsidRPr="003B6B51" w:rsidRDefault="00053E35" w:rsidP="00053E35">
      <w:pPr>
        <w:pStyle w:val="ListParagraph"/>
        <w:numPr>
          <w:ilvl w:val="0"/>
          <w:numId w:val="41"/>
        </w:numPr>
        <w:tabs>
          <w:tab w:val="left" w:pos="840"/>
          <w:tab w:val="left" w:pos="1320"/>
          <w:tab w:val="left" w:pos="1800"/>
          <w:tab w:val="right" w:pos="2640"/>
          <w:tab w:val="left" w:pos="2880"/>
        </w:tabs>
        <w:spacing w:after="80"/>
        <w:contextualSpacing w:val="0"/>
        <w:jc w:val="both"/>
        <w:rPr>
          <w:lang w:val="es-ES_tradnl"/>
        </w:rPr>
      </w:pPr>
      <w:r>
        <w:rPr>
          <w:lang w:val="es-ES_tradnl"/>
        </w:rPr>
        <w:t>Experiencia en el diseño, ejecución, monitoreo o evaluación de préstamos programáticos en el área fiscal.</w:t>
      </w:r>
    </w:p>
    <w:p w:rsidR="00053E35" w:rsidRPr="003B6B51" w:rsidRDefault="00053E35" w:rsidP="00053E35">
      <w:pPr>
        <w:tabs>
          <w:tab w:val="center" w:pos="4680"/>
        </w:tabs>
        <w:spacing w:before="240" w:after="240"/>
        <w:jc w:val="center"/>
        <w:rPr>
          <w:b/>
          <w:lang w:val="es-ES_tradnl"/>
        </w:rPr>
      </w:pPr>
      <w:r w:rsidRPr="003B6B51">
        <w:rPr>
          <w:b/>
          <w:lang w:val="es-ES_tradnl"/>
        </w:rPr>
        <w:t xml:space="preserve">IV.  </w:t>
      </w:r>
      <w:r w:rsidRPr="00D64682">
        <w:rPr>
          <w:rFonts w:ascii="Times New Roman Bold" w:hAnsi="Times New Roman Bold"/>
          <w:b/>
          <w:smallCaps/>
          <w:lang w:val="es-ES_tradnl"/>
        </w:rPr>
        <w:t>Productos esperados</w:t>
      </w:r>
    </w:p>
    <w:p w:rsidR="00053E35" w:rsidRPr="003B6B51" w:rsidRDefault="00053E35" w:rsidP="00053E35">
      <w:pPr>
        <w:pStyle w:val="Paragraph"/>
        <w:tabs>
          <w:tab w:val="clear" w:pos="1440"/>
        </w:tabs>
        <w:spacing w:before="0"/>
        <w:ind w:left="0" w:firstLine="0"/>
        <w:outlineLvl w:val="9"/>
        <w:rPr>
          <w:bCs/>
          <w:szCs w:val="24"/>
          <w:lang w:val="es-ES_tradnl"/>
        </w:rPr>
      </w:pPr>
      <w:r w:rsidRPr="003B6B51">
        <w:rPr>
          <w:bCs/>
          <w:szCs w:val="24"/>
          <w:lang w:val="es-ES_tradnl"/>
        </w:rPr>
        <w:t>La consultoría generará los siguientes productos:</w:t>
      </w:r>
    </w:p>
    <w:p w:rsidR="00053E35" w:rsidRDefault="00053E35" w:rsidP="00053E35">
      <w:pPr>
        <w:pStyle w:val="Paragraph"/>
        <w:numPr>
          <w:ilvl w:val="0"/>
          <w:numId w:val="42"/>
        </w:numPr>
        <w:spacing w:before="0" w:after="80"/>
        <w:outlineLvl w:val="9"/>
        <w:rPr>
          <w:bCs/>
          <w:szCs w:val="24"/>
          <w:lang w:val="es-ES_tradnl"/>
        </w:rPr>
      </w:pPr>
      <w:r w:rsidRPr="003B6B51">
        <w:rPr>
          <w:szCs w:val="24"/>
          <w:lang w:val="es-ES_tradnl"/>
        </w:rPr>
        <w:lastRenderedPageBreak/>
        <w:t xml:space="preserve">Un informe preliminar a los 15 días de la firma del </w:t>
      </w:r>
      <w:r>
        <w:rPr>
          <w:szCs w:val="24"/>
          <w:lang w:val="es-ES_tradnl"/>
        </w:rPr>
        <w:t>C</w:t>
      </w:r>
      <w:r w:rsidRPr="003B6B51">
        <w:rPr>
          <w:szCs w:val="24"/>
          <w:lang w:val="es-ES_tradnl"/>
        </w:rPr>
        <w:t xml:space="preserve">ontrato </w:t>
      </w:r>
      <w:r>
        <w:rPr>
          <w:szCs w:val="24"/>
          <w:lang w:val="es-ES_tradnl"/>
        </w:rPr>
        <w:t>de Préstamo</w:t>
      </w:r>
      <w:r w:rsidRPr="003B6B51">
        <w:rPr>
          <w:szCs w:val="24"/>
          <w:lang w:val="es-ES_tradnl"/>
        </w:rPr>
        <w:t xml:space="preserve">. El primer informe deberá </w:t>
      </w:r>
      <w:r w:rsidRPr="003B6B51">
        <w:rPr>
          <w:bCs/>
          <w:szCs w:val="24"/>
          <w:lang w:val="es-ES_tradnl"/>
        </w:rPr>
        <w:t>detallar el estado de cumplimiento de las metas acordadas en la Matriz de P</w:t>
      </w:r>
      <w:r>
        <w:rPr>
          <w:bCs/>
          <w:szCs w:val="24"/>
          <w:lang w:val="es-ES_tradnl"/>
        </w:rPr>
        <w:t>olítica de la O</w:t>
      </w:r>
      <w:r w:rsidRPr="003B6B51">
        <w:rPr>
          <w:bCs/>
          <w:szCs w:val="24"/>
          <w:lang w:val="es-ES_tradnl"/>
        </w:rPr>
        <w:t>peración BO-L1081.</w:t>
      </w:r>
    </w:p>
    <w:p w:rsidR="00053E35" w:rsidRPr="003B6B51" w:rsidRDefault="00053E35" w:rsidP="00053E35">
      <w:pPr>
        <w:pStyle w:val="Paragraph"/>
        <w:numPr>
          <w:ilvl w:val="0"/>
          <w:numId w:val="42"/>
        </w:numPr>
        <w:spacing w:before="0" w:after="80"/>
        <w:outlineLvl w:val="9"/>
        <w:rPr>
          <w:bCs/>
          <w:szCs w:val="24"/>
          <w:lang w:val="es-ES_tradnl"/>
        </w:rPr>
      </w:pPr>
      <w:r>
        <w:rPr>
          <w:bCs/>
          <w:szCs w:val="24"/>
          <w:lang w:val="es-ES_tradnl"/>
        </w:rPr>
        <w:t>Informes quincenales de monitoreo del cumplimiento de las acciones establecidas en la Matriz de Políticas.</w:t>
      </w:r>
    </w:p>
    <w:p w:rsidR="00053E35" w:rsidRPr="003B6B51" w:rsidRDefault="00053E35" w:rsidP="00053E35">
      <w:pPr>
        <w:pStyle w:val="Paragraph"/>
        <w:numPr>
          <w:ilvl w:val="0"/>
          <w:numId w:val="42"/>
        </w:numPr>
        <w:spacing w:before="0"/>
        <w:outlineLvl w:val="9"/>
        <w:rPr>
          <w:bCs/>
          <w:szCs w:val="24"/>
          <w:lang w:val="es-ES_tradnl"/>
        </w:rPr>
      </w:pPr>
      <w:r w:rsidRPr="003B6B51">
        <w:rPr>
          <w:szCs w:val="24"/>
          <w:lang w:val="es-ES_tradnl"/>
        </w:rPr>
        <w:t xml:space="preserve">Un informe final donde además de presentar </w:t>
      </w:r>
      <w:r w:rsidRPr="003B6B51">
        <w:rPr>
          <w:bCs/>
          <w:szCs w:val="24"/>
          <w:lang w:val="es-ES_tradnl"/>
        </w:rPr>
        <w:t>una actualización del estado de cumplimiento de las metas acordadas en la Matriz de Política</w:t>
      </w:r>
      <w:r>
        <w:rPr>
          <w:bCs/>
          <w:szCs w:val="24"/>
          <w:lang w:val="es-ES_tradnl"/>
        </w:rPr>
        <w:t>s</w:t>
      </w:r>
      <w:r w:rsidRPr="003B6B51">
        <w:rPr>
          <w:bCs/>
          <w:szCs w:val="24"/>
          <w:lang w:val="es-ES_tradnl"/>
        </w:rPr>
        <w:t>.</w:t>
      </w:r>
    </w:p>
    <w:p w:rsidR="00053E35" w:rsidRPr="003B6B51" w:rsidRDefault="00053E35" w:rsidP="00053E35">
      <w:pPr>
        <w:pStyle w:val="Paragraph"/>
        <w:tabs>
          <w:tab w:val="clear" w:pos="1440"/>
        </w:tabs>
        <w:spacing w:before="0" w:after="0"/>
        <w:ind w:left="0" w:firstLine="0"/>
        <w:outlineLvl w:val="9"/>
        <w:rPr>
          <w:szCs w:val="24"/>
          <w:lang w:val="es-ES_tradnl"/>
        </w:rPr>
      </w:pPr>
      <w:r w:rsidRPr="003B6B51">
        <w:rPr>
          <w:szCs w:val="24"/>
          <w:lang w:val="es-ES_tradnl"/>
        </w:rPr>
        <w:t>Los informes serán presentados conforme los formatos establecidos por el Banco para tales fines. Todo Informe deberá ser entregado al Banco en forma electrónica en un solo archivo que incluya la portada, el documento principal y los anexos. (Archivos Zip no se aceptarán como informes finales, debido a regulaciones de la Sección de Administración de Archivos). La realización de los informes será coordinada con el señor Ramiro López Ghio (</w:t>
      </w:r>
      <w:hyperlink r:id="rId10" w:history="1">
        <w:r w:rsidRPr="003B6B51">
          <w:rPr>
            <w:rStyle w:val="Hyperlink"/>
            <w:szCs w:val="24"/>
            <w:lang w:val="es-ES_tradnl"/>
          </w:rPr>
          <w:t>ramirol@iadb.org</w:t>
        </w:r>
      </w:hyperlink>
      <w:r w:rsidRPr="003B6B51">
        <w:rPr>
          <w:szCs w:val="24"/>
          <w:lang w:val="es-ES_tradnl"/>
        </w:rPr>
        <w:t>), a quien deberán ser entregados conforme a la estructura y los plazos previamente acordados.</w:t>
      </w:r>
    </w:p>
    <w:p w:rsidR="00053E35" w:rsidRPr="003B6B51" w:rsidRDefault="00053E35" w:rsidP="00053E35">
      <w:pPr>
        <w:tabs>
          <w:tab w:val="center" w:pos="4680"/>
        </w:tabs>
        <w:spacing w:before="240" w:after="240"/>
        <w:jc w:val="center"/>
        <w:rPr>
          <w:b/>
          <w:lang w:val="es-ES_tradnl"/>
        </w:rPr>
      </w:pPr>
      <w:r w:rsidRPr="003B6B51">
        <w:rPr>
          <w:b/>
          <w:lang w:val="es-ES_tradnl"/>
        </w:rPr>
        <w:t xml:space="preserve">V. </w:t>
      </w:r>
      <w:r>
        <w:rPr>
          <w:b/>
          <w:lang w:val="es-ES_tradnl"/>
        </w:rPr>
        <w:t xml:space="preserve"> </w:t>
      </w:r>
      <w:r w:rsidRPr="00D64682">
        <w:rPr>
          <w:rFonts w:ascii="Times New Roman Bold" w:hAnsi="Times New Roman Bold"/>
          <w:b/>
          <w:smallCaps/>
          <w:lang w:val="es-ES_tradnl"/>
        </w:rPr>
        <w:t>Lugar y duración de la consultoría</w:t>
      </w:r>
    </w:p>
    <w:p w:rsidR="00053E35" w:rsidRPr="003B6B51" w:rsidRDefault="00053E35" w:rsidP="00053E35">
      <w:pPr>
        <w:pStyle w:val="Paragraph"/>
        <w:tabs>
          <w:tab w:val="clear" w:pos="1440"/>
        </w:tabs>
        <w:spacing w:before="0" w:after="0"/>
        <w:ind w:left="0" w:firstLine="0"/>
        <w:outlineLvl w:val="9"/>
        <w:rPr>
          <w:szCs w:val="24"/>
          <w:lang w:val="es-ES_tradnl"/>
        </w:rPr>
      </w:pPr>
      <w:r w:rsidRPr="003B6B51">
        <w:rPr>
          <w:szCs w:val="24"/>
          <w:lang w:val="es-ES_tradnl"/>
        </w:rPr>
        <w:t>La consultoría se realizará en Bolivia y el lugar de residencia del consultor. La duración de la consultoría será de</w:t>
      </w:r>
      <w:r>
        <w:rPr>
          <w:szCs w:val="24"/>
          <w:lang w:val="es-ES_tradnl"/>
        </w:rPr>
        <w:t xml:space="preserve"> </w:t>
      </w:r>
      <w:r w:rsidRPr="003B6B51">
        <w:rPr>
          <w:szCs w:val="24"/>
          <w:lang w:val="es-ES_tradnl"/>
        </w:rPr>
        <w:t>20 días no consecutivos.</w:t>
      </w:r>
    </w:p>
    <w:p w:rsidR="00053E35" w:rsidRPr="003B6B51" w:rsidRDefault="00053E35" w:rsidP="00053E35">
      <w:pPr>
        <w:tabs>
          <w:tab w:val="center" w:pos="4680"/>
        </w:tabs>
        <w:spacing w:before="240" w:after="120"/>
        <w:jc w:val="center"/>
        <w:rPr>
          <w:b/>
          <w:lang w:val="es-ES_tradnl"/>
        </w:rPr>
      </w:pPr>
      <w:r w:rsidRPr="003B6B51">
        <w:rPr>
          <w:b/>
          <w:lang w:val="es-ES_tradnl"/>
        </w:rPr>
        <w:t xml:space="preserve">VI. </w:t>
      </w:r>
      <w:r>
        <w:rPr>
          <w:b/>
          <w:lang w:val="es-ES_tradnl"/>
        </w:rPr>
        <w:t xml:space="preserve"> </w:t>
      </w:r>
      <w:r w:rsidRPr="00D64682">
        <w:rPr>
          <w:rFonts w:ascii="Times New Roman Bold" w:hAnsi="Times New Roman Bold"/>
          <w:b/>
          <w:smallCaps/>
          <w:lang w:val="es-ES_tradnl"/>
        </w:rPr>
        <w:t>Condiciones de pago</w:t>
      </w:r>
    </w:p>
    <w:p w:rsidR="00053E35" w:rsidRPr="003B6B51" w:rsidRDefault="00053E35" w:rsidP="00053E35">
      <w:pPr>
        <w:pStyle w:val="Paragraph"/>
        <w:tabs>
          <w:tab w:val="clear" w:pos="1440"/>
        </w:tabs>
        <w:spacing w:before="0"/>
        <w:ind w:left="0" w:firstLine="0"/>
        <w:outlineLvl w:val="9"/>
        <w:rPr>
          <w:bCs/>
          <w:szCs w:val="24"/>
          <w:lang w:val="es-ES_tradnl"/>
        </w:rPr>
      </w:pPr>
      <w:r w:rsidRPr="003B6B51">
        <w:rPr>
          <w:bCs/>
          <w:szCs w:val="24"/>
          <w:lang w:val="es-ES_tradnl"/>
        </w:rPr>
        <w:t>Los pagos al consultor individual se realizarán de la siguiente manera:</w:t>
      </w:r>
    </w:p>
    <w:p w:rsidR="00053E35" w:rsidRPr="003B6B51" w:rsidRDefault="00053E35" w:rsidP="00053E35">
      <w:pPr>
        <w:pStyle w:val="ListParagraph"/>
        <w:numPr>
          <w:ilvl w:val="0"/>
          <w:numId w:val="43"/>
        </w:numPr>
        <w:spacing w:after="80"/>
        <w:contextualSpacing w:val="0"/>
        <w:jc w:val="both"/>
        <w:rPr>
          <w:lang w:val="es-ES"/>
        </w:rPr>
      </w:pPr>
      <w:r w:rsidRPr="003B6B51">
        <w:rPr>
          <w:lang w:val="es-ES"/>
        </w:rPr>
        <w:t>Un primer pago de 30% del monto del contrato 15 días después de la firma del mismo, contra entrega del primer informe a satisfacción del B</w:t>
      </w:r>
      <w:r>
        <w:rPr>
          <w:lang w:val="es-ES"/>
        </w:rPr>
        <w:t>anco</w:t>
      </w:r>
      <w:r w:rsidRPr="003B6B51">
        <w:rPr>
          <w:lang w:val="es-ES"/>
        </w:rPr>
        <w:t xml:space="preserve">. </w:t>
      </w:r>
    </w:p>
    <w:p w:rsidR="00053E35" w:rsidRPr="003B6B51" w:rsidRDefault="00053E35" w:rsidP="00053E35">
      <w:pPr>
        <w:pStyle w:val="ListParagraph"/>
        <w:numPr>
          <w:ilvl w:val="0"/>
          <w:numId w:val="43"/>
        </w:numPr>
        <w:spacing w:after="80"/>
        <w:contextualSpacing w:val="0"/>
        <w:jc w:val="both"/>
        <w:rPr>
          <w:lang w:val="es-ES"/>
        </w:rPr>
      </w:pPr>
      <w:r w:rsidRPr="003B6B51">
        <w:rPr>
          <w:lang w:val="es-ES"/>
        </w:rPr>
        <w:t>70% a la entrega y aprobación del informe final a satisfacción del B</w:t>
      </w:r>
      <w:r>
        <w:rPr>
          <w:lang w:val="es-ES"/>
        </w:rPr>
        <w:t>anco</w:t>
      </w:r>
      <w:r w:rsidRPr="003B6B51">
        <w:rPr>
          <w:lang w:val="es-ES"/>
        </w:rPr>
        <w:t>.</w:t>
      </w:r>
    </w:p>
    <w:p w:rsidR="00053E35" w:rsidRPr="003B6B51" w:rsidRDefault="00053E35" w:rsidP="00053E35">
      <w:pPr>
        <w:tabs>
          <w:tab w:val="center" w:pos="4680"/>
        </w:tabs>
        <w:spacing w:before="240" w:after="240"/>
        <w:jc w:val="center"/>
        <w:rPr>
          <w:b/>
          <w:lang w:val="es-ES_tradnl"/>
        </w:rPr>
      </w:pPr>
      <w:r w:rsidRPr="003B6B51">
        <w:rPr>
          <w:b/>
          <w:lang w:val="es-ES_tradnl"/>
        </w:rPr>
        <w:t xml:space="preserve">VII.  </w:t>
      </w:r>
      <w:r w:rsidRPr="00D64682">
        <w:rPr>
          <w:rFonts w:ascii="Times New Roman Bold" w:hAnsi="Times New Roman Bold"/>
          <w:b/>
          <w:smallCaps/>
          <w:lang w:val="es-ES_tradnl"/>
        </w:rPr>
        <w:t>Supervisión o coordinación</w:t>
      </w:r>
    </w:p>
    <w:p w:rsidR="00053E35" w:rsidRPr="003B6B51" w:rsidRDefault="00053E35" w:rsidP="00053E35">
      <w:pPr>
        <w:pStyle w:val="Paragraph"/>
        <w:tabs>
          <w:tab w:val="clear" w:pos="1440"/>
        </w:tabs>
        <w:spacing w:before="0" w:after="0"/>
        <w:ind w:left="0" w:firstLine="0"/>
        <w:outlineLvl w:val="9"/>
        <w:rPr>
          <w:bCs/>
          <w:szCs w:val="24"/>
          <w:lang w:val="es-ES_tradnl"/>
        </w:rPr>
      </w:pPr>
      <w:r w:rsidRPr="003B6B51">
        <w:rPr>
          <w:bCs/>
          <w:szCs w:val="24"/>
          <w:lang w:val="es-ES_tradnl"/>
        </w:rPr>
        <w:t xml:space="preserve">La coordinación de la consultoría estará a cargo de Ramiro López Ghio, Jefe </w:t>
      </w:r>
      <w:r>
        <w:rPr>
          <w:bCs/>
          <w:szCs w:val="24"/>
          <w:lang w:val="es-ES_tradnl"/>
        </w:rPr>
        <w:t>de Equipo de la o</w:t>
      </w:r>
      <w:r w:rsidRPr="003B6B51">
        <w:rPr>
          <w:bCs/>
          <w:szCs w:val="24"/>
          <w:lang w:val="es-ES_tradnl"/>
        </w:rPr>
        <w:t>peración.</w:t>
      </w:r>
    </w:p>
    <w:p w:rsidR="00053E35" w:rsidRPr="003B6B51" w:rsidRDefault="00053E35" w:rsidP="00053E35">
      <w:pPr>
        <w:pStyle w:val="Paragraph"/>
        <w:tabs>
          <w:tab w:val="clear" w:pos="1440"/>
        </w:tabs>
        <w:spacing w:before="0" w:after="0"/>
        <w:ind w:left="0" w:firstLine="0"/>
        <w:outlineLvl w:val="9"/>
        <w:rPr>
          <w:bCs/>
          <w:szCs w:val="24"/>
          <w:lang w:val="es-ES_tradnl"/>
        </w:rPr>
      </w:pPr>
    </w:p>
    <w:p w:rsidR="00053E35" w:rsidRPr="003B6B51" w:rsidRDefault="00053E35" w:rsidP="00053E35">
      <w:pPr>
        <w:pStyle w:val="Paragraph"/>
        <w:tabs>
          <w:tab w:val="clear" w:pos="1440"/>
        </w:tabs>
        <w:spacing w:before="0" w:after="0"/>
        <w:ind w:left="0" w:firstLine="0"/>
        <w:outlineLvl w:val="9"/>
        <w:rPr>
          <w:bCs/>
          <w:szCs w:val="24"/>
          <w:lang w:val="es-ES_tradnl"/>
        </w:rPr>
      </w:pPr>
    </w:p>
    <w:p w:rsidR="00053E35" w:rsidRDefault="00053E35" w:rsidP="00053E35">
      <w:pPr>
        <w:pStyle w:val="Paragraph"/>
        <w:tabs>
          <w:tab w:val="clear" w:pos="1440"/>
        </w:tabs>
        <w:spacing w:before="0" w:after="0"/>
        <w:ind w:left="0" w:firstLine="0"/>
        <w:outlineLvl w:val="9"/>
        <w:rPr>
          <w:bCs/>
          <w:szCs w:val="24"/>
          <w:lang w:val="es-ES_tradnl"/>
        </w:rPr>
      </w:pPr>
    </w:p>
    <w:p w:rsidR="00053E35" w:rsidRDefault="00053E35" w:rsidP="00053E35">
      <w:pPr>
        <w:pStyle w:val="Paragraph"/>
        <w:tabs>
          <w:tab w:val="clear" w:pos="1440"/>
        </w:tabs>
        <w:spacing w:before="0" w:after="0"/>
        <w:ind w:left="0" w:firstLine="0"/>
        <w:outlineLvl w:val="9"/>
        <w:rPr>
          <w:bCs/>
          <w:szCs w:val="24"/>
          <w:lang w:val="es-ES_tradnl"/>
        </w:rPr>
      </w:pPr>
    </w:p>
    <w:p w:rsidR="00053E35" w:rsidRDefault="00053E35" w:rsidP="00053E35">
      <w:pPr>
        <w:pStyle w:val="Paragraph"/>
        <w:tabs>
          <w:tab w:val="clear" w:pos="1440"/>
        </w:tabs>
        <w:spacing w:before="0" w:after="0"/>
        <w:ind w:left="0" w:firstLine="0"/>
        <w:outlineLvl w:val="9"/>
        <w:rPr>
          <w:bCs/>
          <w:szCs w:val="24"/>
          <w:lang w:val="es-ES_tradnl"/>
        </w:rPr>
        <w:sectPr w:rsidR="00053E35" w:rsidSect="00917B5A">
          <w:pgSz w:w="12240" w:h="15840"/>
          <w:pgMar w:top="1440" w:right="1800" w:bottom="1440" w:left="1800" w:header="720" w:footer="720" w:gutter="0"/>
          <w:cols w:space="720"/>
          <w:docGrid w:linePitch="299"/>
        </w:sectPr>
      </w:pPr>
    </w:p>
    <w:p w:rsidR="00053E35" w:rsidRPr="00D64682" w:rsidRDefault="00053E35" w:rsidP="00053E35">
      <w:pPr>
        <w:pStyle w:val="ListParagraph"/>
        <w:tabs>
          <w:tab w:val="center" w:pos="4680"/>
        </w:tabs>
        <w:spacing w:after="120"/>
        <w:ind w:left="0"/>
        <w:jc w:val="center"/>
        <w:rPr>
          <w:rFonts w:ascii="Times New Roman Bold" w:hAnsi="Times New Roman Bold"/>
          <w:b/>
          <w:bCs/>
          <w:smallCaps/>
          <w:lang w:val="es-ES_tradnl"/>
        </w:rPr>
      </w:pPr>
      <w:r w:rsidRPr="00D64682">
        <w:rPr>
          <w:rFonts w:ascii="Times New Roman Bold" w:hAnsi="Times New Roman Bold"/>
          <w:b/>
          <w:bCs/>
          <w:smallCaps/>
          <w:lang w:val="es-ES_tradnl"/>
        </w:rPr>
        <w:lastRenderedPageBreak/>
        <w:t>Términos de Referencia</w:t>
      </w:r>
    </w:p>
    <w:p w:rsidR="00053E35" w:rsidRPr="00072816" w:rsidRDefault="00053E35" w:rsidP="00053E35">
      <w:pPr>
        <w:pStyle w:val="ListParagraph"/>
        <w:tabs>
          <w:tab w:val="center" w:pos="4680"/>
        </w:tabs>
        <w:spacing w:before="240" w:after="240"/>
        <w:ind w:left="0"/>
        <w:contextualSpacing w:val="0"/>
        <w:jc w:val="center"/>
        <w:rPr>
          <w:b/>
          <w:lang w:val="es-ES"/>
        </w:rPr>
      </w:pPr>
      <w:r w:rsidRPr="00072816">
        <w:rPr>
          <w:b/>
          <w:lang w:val="es-ES"/>
        </w:rPr>
        <w:t xml:space="preserve">Consultoría de evaluación del </w:t>
      </w:r>
      <w:r>
        <w:rPr>
          <w:b/>
          <w:lang w:val="es-ES"/>
        </w:rPr>
        <w:t>p</w:t>
      </w:r>
      <w:r w:rsidRPr="00072816">
        <w:rPr>
          <w:b/>
          <w:lang w:val="es-ES"/>
        </w:rPr>
        <w:t>rograma BO-L1081</w:t>
      </w:r>
    </w:p>
    <w:p w:rsidR="00053E35" w:rsidRPr="003B6B51" w:rsidRDefault="00053E35" w:rsidP="00053E35">
      <w:pPr>
        <w:tabs>
          <w:tab w:val="center" w:pos="4680"/>
        </w:tabs>
        <w:spacing w:before="240" w:after="120"/>
        <w:jc w:val="center"/>
        <w:rPr>
          <w:b/>
          <w:lang w:val="es-ES_tradnl"/>
        </w:rPr>
      </w:pPr>
      <w:r w:rsidRPr="003B6B51">
        <w:rPr>
          <w:b/>
          <w:lang w:val="es-ES_tradnl"/>
        </w:rPr>
        <w:t xml:space="preserve">I.  </w:t>
      </w:r>
      <w:r w:rsidRPr="00D64682">
        <w:rPr>
          <w:rFonts w:ascii="Times New Roman Bold" w:hAnsi="Times New Roman Bold"/>
          <w:b/>
          <w:smallCaps/>
          <w:lang w:val="es-ES_tradnl"/>
        </w:rPr>
        <w:t>Objetivo de la consultoría</w:t>
      </w:r>
    </w:p>
    <w:p w:rsidR="00053E35" w:rsidRPr="003B6B51" w:rsidRDefault="00053E35" w:rsidP="00053E35">
      <w:pPr>
        <w:jc w:val="both"/>
        <w:rPr>
          <w:lang w:val="es-ES"/>
        </w:rPr>
      </w:pPr>
      <w:r w:rsidRPr="003B6B51">
        <w:rPr>
          <w:lang w:val="es-ES"/>
        </w:rPr>
        <w:t xml:space="preserve">Preparar un informe de evaluación, para su revisión y entrega a la División </w:t>
      </w:r>
      <w:r>
        <w:rPr>
          <w:lang w:val="es-ES"/>
        </w:rPr>
        <w:t xml:space="preserve">de Gestión </w:t>
      </w:r>
      <w:r w:rsidRPr="003B6B51">
        <w:rPr>
          <w:lang w:val="es-ES"/>
        </w:rPr>
        <w:t>Fiscal y Municipal</w:t>
      </w:r>
      <w:r>
        <w:rPr>
          <w:lang w:val="es-ES"/>
        </w:rPr>
        <w:t xml:space="preserve"> del Banco</w:t>
      </w:r>
      <w:r w:rsidRPr="003B6B51">
        <w:rPr>
          <w:lang w:val="es-ES"/>
        </w:rPr>
        <w:t>.</w:t>
      </w:r>
    </w:p>
    <w:p w:rsidR="00053E35" w:rsidRPr="003B6B51" w:rsidRDefault="00053E35" w:rsidP="00053E35">
      <w:pPr>
        <w:tabs>
          <w:tab w:val="center" w:pos="4680"/>
        </w:tabs>
        <w:spacing w:before="240" w:after="240"/>
        <w:jc w:val="center"/>
        <w:rPr>
          <w:lang w:val="es-ES_tradnl"/>
        </w:rPr>
      </w:pPr>
      <w:r w:rsidRPr="003B6B51">
        <w:rPr>
          <w:b/>
          <w:bCs/>
          <w:lang w:val="es-ES_tradnl"/>
        </w:rPr>
        <w:t>II.</w:t>
      </w:r>
      <w:r>
        <w:rPr>
          <w:b/>
          <w:bCs/>
          <w:lang w:val="es-ES_tradnl"/>
        </w:rPr>
        <w:t xml:space="preserve">  </w:t>
      </w:r>
      <w:r w:rsidRPr="00D64682">
        <w:rPr>
          <w:rFonts w:ascii="Times New Roman Bold" w:hAnsi="Times New Roman Bold"/>
          <w:b/>
          <w:smallCaps/>
          <w:lang w:val="es-ES_tradnl"/>
        </w:rPr>
        <w:t>Actividades</w:t>
      </w:r>
    </w:p>
    <w:p w:rsidR="00053E35" w:rsidRPr="003B6B51" w:rsidRDefault="00053E35" w:rsidP="00053E35">
      <w:pPr>
        <w:pStyle w:val="Paragraph"/>
        <w:tabs>
          <w:tab w:val="clear" w:pos="1440"/>
        </w:tabs>
        <w:spacing w:before="0"/>
        <w:ind w:left="0" w:firstLine="0"/>
        <w:outlineLvl w:val="9"/>
        <w:rPr>
          <w:bCs/>
          <w:szCs w:val="24"/>
          <w:lang w:val="es-MX"/>
        </w:rPr>
      </w:pPr>
      <w:r w:rsidRPr="003B6B51">
        <w:rPr>
          <w:bCs/>
          <w:szCs w:val="24"/>
          <w:lang w:val="es-MX"/>
        </w:rPr>
        <w:t>Las actividades que serán realizadas durante la consultoría incluyen las siguientes:</w:t>
      </w:r>
    </w:p>
    <w:p w:rsidR="00053E35" w:rsidRPr="003B6B51" w:rsidRDefault="00053E35" w:rsidP="00053E35">
      <w:pPr>
        <w:pStyle w:val="ListParagraph"/>
        <w:numPr>
          <w:ilvl w:val="0"/>
          <w:numId w:val="44"/>
        </w:numPr>
        <w:spacing w:after="80"/>
        <w:contextualSpacing w:val="0"/>
        <w:jc w:val="both"/>
        <w:rPr>
          <w:lang w:val="es-ES"/>
        </w:rPr>
      </w:pPr>
      <w:r w:rsidRPr="003B6B51">
        <w:rPr>
          <w:lang w:val="es-ES"/>
        </w:rPr>
        <w:t xml:space="preserve">En coordinación directa con </w:t>
      </w:r>
      <w:r>
        <w:rPr>
          <w:lang w:val="es-ES"/>
        </w:rPr>
        <w:t xml:space="preserve">un </w:t>
      </w:r>
      <w:r w:rsidRPr="003B6B51">
        <w:rPr>
          <w:lang w:val="es-ES"/>
        </w:rPr>
        <w:t>Especialista Sectorial</w:t>
      </w:r>
      <w:r>
        <w:rPr>
          <w:lang w:val="es-ES"/>
        </w:rPr>
        <w:t xml:space="preserve"> de FMM/CBO</w:t>
      </w:r>
      <w:r w:rsidRPr="003B6B51">
        <w:rPr>
          <w:lang w:val="es-ES"/>
        </w:rPr>
        <w:t xml:space="preserve">, revisar la documentación correspondiente a la ejecución de las </w:t>
      </w:r>
      <w:r>
        <w:rPr>
          <w:lang w:val="es-ES"/>
        </w:rPr>
        <w:t>tres</w:t>
      </w:r>
      <w:r w:rsidRPr="003B6B51">
        <w:rPr>
          <w:lang w:val="es-ES"/>
        </w:rPr>
        <w:t xml:space="preserve"> operaciones del </w:t>
      </w:r>
      <w:r>
        <w:rPr>
          <w:lang w:val="es-ES"/>
        </w:rPr>
        <w:t>p</w:t>
      </w:r>
      <w:r w:rsidRPr="003B6B51">
        <w:rPr>
          <w:lang w:val="es-ES"/>
        </w:rPr>
        <w:t>rograma. En particular, se evaluará el alcance e impacto logrado de acuerdo a las metas e indicadores establecidos en las matrices de políticas y resultados</w:t>
      </w:r>
      <w:r>
        <w:rPr>
          <w:lang w:val="es-ES"/>
        </w:rPr>
        <w:t>,</w:t>
      </w:r>
      <w:r w:rsidRPr="003B6B51">
        <w:rPr>
          <w:lang w:val="es-ES"/>
        </w:rPr>
        <w:t xml:space="preserve"> utilizando como referencia la Evaluación Macroeconómica Independiente del Banco.</w:t>
      </w:r>
    </w:p>
    <w:p w:rsidR="00053E35" w:rsidRPr="003B6B51" w:rsidRDefault="00053E35" w:rsidP="00053E35">
      <w:pPr>
        <w:pStyle w:val="ListParagraph"/>
        <w:numPr>
          <w:ilvl w:val="0"/>
          <w:numId w:val="44"/>
        </w:numPr>
        <w:spacing w:after="80"/>
        <w:contextualSpacing w:val="0"/>
        <w:jc w:val="both"/>
        <w:rPr>
          <w:lang w:val="es-ES"/>
        </w:rPr>
      </w:pPr>
      <w:r w:rsidRPr="003B6B51">
        <w:rPr>
          <w:lang w:val="es-ES"/>
        </w:rPr>
        <w:t xml:space="preserve">En coordinación directa con el </w:t>
      </w:r>
      <w:r>
        <w:rPr>
          <w:lang w:val="es-ES"/>
        </w:rPr>
        <w:t>e</w:t>
      </w:r>
      <w:r w:rsidRPr="003B6B51">
        <w:rPr>
          <w:lang w:val="es-ES"/>
        </w:rPr>
        <w:t xml:space="preserve">specialista </w:t>
      </w:r>
      <w:r>
        <w:rPr>
          <w:lang w:val="es-ES"/>
        </w:rPr>
        <w:t>s</w:t>
      </w:r>
      <w:r w:rsidRPr="003B6B51">
        <w:rPr>
          <w:lang w:val="es-ES"/>
        </w:rPr>
        <w:t>ectorial, mantener reuniones con los principales actores involucrados en el diseño y ejecución de la operación, tanto en el B</w:t>
      </w:r>
      <w:r>
        <w:rPr>
          <w:lang w:val="es-ES"/>
        </w:rPr>
        <w:t>anco</w:t>
      </w:r>
      <w:r w:rsidRPr="003B6B51">
        <w:rPr>
          <w:lang w:val="es-ES"/>
        </w:rPr>
        <w:t xml:space="preserve"> como en el G</w:t>
      </w:r>
      <w:r>
        <w:rPr>
          <w:lang w:val="es-ES"/>
        </w:rPr>
        <w:t>BO</w:t>
      </w:r>
      <w:r w:rsidRPr="003B6B51">
        <w:rPr>
          <w:lang w:val="es-ES"/>
        </w:rPr>
        <w:t>.</w:t>
      </w:r>
    </w:p>
    <w:p w:rsidR="00053E35" w:rsidRDefault="00053E35" w:rsidP="00053E35">
      <w:pPr>
        <w:pStyle w:val="ListParagraph"/>
        <w:numPr>
          <w:ilvl w:val="0"/>
          <w:numId w:val="44"/>
        </w:numPr>
        <w:spacing w:after="80"/>
        <w:contextualSpacing w:val="0"/>
        <w:jc w:val="both"/>
        <w:rPr>
          <w:lang w:val="es-ES"/>
        </w:rPr>
      </w:pPr>
      <w:r>
        <w:rPr>
          <w:lang w:val="es-ES"/>
        </w:rPr>
        <w:t>Realizar la evaluación del logro de los objetivos y resultados del programa, que deberá abarcar las tres operaciones del mismo. La evaluación se focalizará en el logro de los objetivos y resultados del mismo.</w:t>
      </w:r>
    </w:p>
    <w:p w:rsidR="005408E3" w:rsidRDefault="005408E3" w:rsidP="005408E3">
      <w:pPr>
        <w:pStyle w:val="ListParagraph"/>
        <w:numPr>
          <w:ilvl w:val="0"/>
          <w:numId w:val="44"/>
        </w:numPr>
        <w:spacing w:after="80"/>
        <w:contextualSpacing w:val="0"/>
        <w:jc w:val="both"/>
        <w:rPr>
          <w:lang w:val="es-ES"/>
        </w:rPr>
      </w:pPr>
      <w:r>
        <w:rPr>
          <w:lang w:val="es-ES"/>
        </w:rPr>
        <w:t xml:space="preserve">Realizar la evaluación de impacto del Programa, bajo la metodología de costo – </w:t>
      </w:r>
      <w:r w:rsidR="00A40DDA">
        <w:rPr>
          <w:lang w:val="es-ES"/>
        </w:rPr>
        <w:t>beneficio</w:t>
      </w:r>
      <w:r>
        <w:rPr>
          <w:lang w:val="es-ES"/>
        </w:rPr>
        <w:t>, tomando en cuenta los resultados establecidos en el documento de la operación BO-L1081.</w:t>
      </w:r>
    </w:p>
    <w:p w:rsidR="00053E35" w:rsidRPr="003B6B51" w:rsidRDefault="00053E35" w:rsidP="00053E35">
      <w:pPr>
        <w:pStyle w:val="ListParagraph"/>
        <w:numPr>
          <w:ilvl w:val="0"/>
          <w:numId w:val="44"/>
        </w:numPr>
        <w:spacing w:after="80"/>
        <w:contextualSpacing w:val="0"/>
        <w:jc w:val="both"/>
        <w:rPr>
          <w:lang w:val="es-ES"/>
        </w:rPr>
      </w:pPr>
      <w:r w:rsidRPr="003B6B51">
        <w:rPr>
          <w:lang w:val="es-ES"/>
        </w:rPr>
        <w:t>Preparar el texto del Informe, de acuerdo con el formato a ser entregado por el B</w:t>
      </w:r>
      <w:r>
        <w:rPr>
          <w:lang w:val="es-ES"/>
        </w:rPr>
        <w:t>anco</w:t>
      </w:r>
      <w:r w:rsidRPr="003B6B51">
        <w:rPr>
          <w:lang w:val="es-ES"/>
        </w:rPr>
        <w:t xml:space="preserve">.  Se debería incluir texto y gráficos según corresponde.  </w:t>
      </w:r>
    </w:p>
    <w:p w:rsidR="00053E35" w:rsidRPr="003B6B51" w:rsidRDefault="00053E35" w:rsidP="00053E35">
      <w:pPr>
        <w:spacing w:before="240" w:after="240"/>
        <w:jc w:val="center"/>
        <w:rPr>
          <w:b/>
          <w:lang w:val="es-ES_tradnl"/>
        </w:rPr>
      </w:pPr>
      <w:r w:rsidRPr="003B6B51">
        <w:rPr>
          <w:b/>
          <w:lang w:val="es-ES_tradnl"/>
        </w:rPr>
        <w:t>III.</w:t>
      </w:r>
      <w:r>
        <w:rPr>
          <w:b/>
          <w:lang w:val="es-ES_tradnl"/>
        </w:rPr>
        <w:t xml:space="preserve">  </w:t>
      </w:r>
      <w:r w:rsidRPr="00D64682">
        <w:rPr>
          <w:rFonts w:ascii="Times New Roman Bold" w:hAnsi="Times New Roman Bold"/>
          <w:b/>
          <w:smallCaps/>
          <w:lang w:val="es-ES_tradnl"/>
        </w:rPr>
        <w:t>Perfil del consultor</w:t>
      </w:r>
    </w:p>
    <w:p w:rsidR="00053E35" w:rsidRPr="003B6B51" w:rsidRDefault="00053E35" w:rsidP="00053E35">
      <w:pPr>
        <w:pStyle w:val="ListParagraph"/>
        <w:numPr>
          <w:ilvl w:val="0"/>
          <w:numId w:val="45"/>
        </w:numPr>
        <w:spacing w:after="80"/>
        <w:contextualSpacing w:val="0"/>
        <w:jc w:val="both"/>
        <w:rPr>
          <w:lang w:val="es-ES"/>
        </w:rPr>
      </w:pPr>
      <w:r w:rsidRPr="003B6B51">
        <w:rPr>
          <w:lang w:val="es-ES"/>
        </w:rPr>
        <w:t xml:space="preserve">Título universitario de economía. Estudios de Maestría en Economía o en Políticas Públicas.  </w:t>
      </w:r>
    </w:p>
    <w:p w:rsidR="00053E35" w:rsidRPr="003B6B51" w:rsidRDefault="00053E35" w:rsidP="00053E35">
      <w:pPr>
        <w:pStyle w:val="ListParagraph"/>
        <w:numPr>
          <w:ilvl w:val="0"/>
          <w:numId w:val="45"/>
        </w:numPr>
        <w:spacing w:after="80"/>
        <w:contextualSpacing w:val="0"/>
        <w:jc w:val="both"/>
        <w:rPr>
          <w:lang w:val="es-ES"/>
        </w:rPr>
      </w:pPr>
      <w:r w:rsidRPr="003B6B51">
        <w:rPr>
          <w:lang w:val="es-ES"/>
        </w:rPr>
        <w:t>Al menos 8 años de experiencia trabajando en la preparación y supervisión de proyectos en el sector público.</w:t>
      </w:r>
    </w:p>
    <w:p w:rsidR="00053E35" w:rsidRPr="003B6B51" w:rsidRDefault="00053E35" w:rsidP="00053E35">
      <w:pPr>
        <w:pStyle w:val="ListParagraph"/>
        <w:numPr>
          <w:ilvl w:val="0"/>
          <w:numId w:val="45"/>
        </w:numPr>
        <w:spacing w:after="80"/>
        <w:contextualSpacing w:val="0"/>
        <w:jc w:val="both"/>
        <w:rPr>
          <w:lang w:val="es-ES"/>
        </w:rPr>
      </w:pPr>
      <w:r w:rsidRPr="003B6B51">
        <w:rPr>
          <w:lang w:val="es-ES"/>
        </w:rPr>
        <w:t xml:space="preserve">Experiencia en </w:t>
      </w:r>
      <w:r w:rsidRPr="003B6B51">
        <w:rPr>
          <w:lang w:val="es-ES_tradnl"/>
        </w:rPr>
        <w:t xml:space="preserve">análisis macro-fiscal, análisis económico de incentivos fiscales, asignación de competencias en materia de gastos y recursos a gobiernos subnacionales en </w:t>
      </w:r>
      <w:r w:rsidRPr="003B6B51">
        <w:rPr>
          <w:lang w:val="es-ES"/>
        </w:rPr>
        <w:t>proyectos financiados con recursos de cooperación multilateral y/o bilateral.</w:t>
      </w:r>
    </w:p>
    <w:p w:rsidR="00053E35" w:rsidRDefault="00053E35" w:rsidP="00053E35">
      <w:pPr>
        <w:pStyle w:val="ListParagraph"/>
        <w:numPr>
          <w:ilvl w:val="0"/>
          <w:numId w:val="45"/>
        </w:numPr>
        <w:jc w:val="both"/>
        <w:rPr>
          <w:lang w:val="es-ES"/>
        </w:rPr>
      </w:pPr>
      <w:r w:rsidRPr="003B6B51">
        <w:rPr>
          <w:lang w:val="es-ES"/>
        </w:rPr>
        <w:t>Experiencia relevante en materia fiscal trabajando en el sector público.</w:t>
      </w:r>
    </w:p>
    <w:p w:rsidR="00053E35" w:rsidRPr="003B6B51" w:rsidRDefault="00053E35" w:rsidP="00053E35">
      <w:pPr>
        <w:pStyle w:val="ListParagraph"/>
        <w:numPr>
          <w:ilvl w:val="0"/>
          <w:numId w:val="45"/>
        </w:numPr>
        <w:tabs>
          <w:tab w:val="left" w:pos="840"/>
          <w:tab w:val="left" w:pos="1320"/>
          <w:tab w:val="left" w:pos="1800"/>
          <w:tab w:val="right" w:pos="2640"/>
          <w:tab w:val="left" w:pos="2880"/>
        </w:tabs>
        <w:spacing w:after="80"/>
        <w:contextualSpacing w:val="0"/>
        <w:jc w:val="both"/>
        <w:rPr>
          <w:lang w:val="es-ES_tradnl"/>
        </w:rPr>
      </w:pPr>
      <w:r>
        <w:rPr>
          <w:lang w:val="es-ES_tradnl"/>
        </w:rPr>
        <w:lastRenderedPageBreak/>
        <w:t>Experiencia en el diseño, ejecución, monitoreo o evaluación de préstamos programáticos en el área fiscal.</w:t>
      </w:r>
    </w:p>
    <w:p w:rsidR="00053E35" w:rsidRPr="003B6B51" w:rsidRDefault="00053E35" w:rsidP="00053E35">
      <w:pPr>
        <w:tabs>
          <w:tab w:val="center" w:pos="4680"/>
        </w:tabs>
        <w:spacing w:before="240" w:after="120"/>
        <w:jc w:val="center"/>
        <w:rPr>
          <w:b/>
          <w:lang w:val="es-ES_tradnl"/>
        </w:rPr>
      </w:pPr>
      <w:r w:rsidRPr="003B6B51">
        <w:rPr>
          <w:b/>
          <w:lang w:val="es-ES_tradnl"/>
        </w:rPr>
        <w:t xml:space="preserve">IV.  </w:t>
      </w:r>
      <w:r w:rsidRPr="00D64682">
        <w:rPr>
          <w:rFonts w:ascii="Times New Roman Bold" w:hAnsi="Times New Roman Bold"/>
          <w:b/>
          <w:smallCaps/>
          <w:lang w:val="es-ES_tradnl"/>
        </w:rPr>
        <w:t>Productos esperados</w:t>
      </w:r>
    </w:p>
    <w:p w:rsidR="00053E35" w:rsidRPr="003B6B51" w:rsidRDefault="00053E35" w:rsidP="00053E35">
      <w:pPr>
        <w:pStyle w:val="Paragraph"/>
        <w:tabs>
          <w:tab w:val="clear" w:pos="1440"/>
        </w:tabs>
        <w:spacing w:before="0"/>
        <w:ind w:left="0" w:firstLine="0"/>
        <w:outlineLvl w:val="9"/>
        <w:rPr>
          <w:bCs/>
          <w:szCs w:val="24"/>
          <w:lang w:val="es-ES_tradnl"/>
        </w:rPr>
      </w:pPr>
      <w:r w:rsidRPr="003B6B51">
        <w:rPr>
          <w:bCs/>
          <w:szCs w:val="24"/>
          <w:lang w:val="es-ES_tradnl"/>
        </w:rPr>
        <w:t>La consultoría generará los siguientes productos:</w:t>
      </w:r>
    </w:p>
    <w:p w:rsidR="00053E35" w:rsidRPr="003B6B51" w:rsidRDefault="00053E35" w:rsidP="00053E35">
      <w:pPr>
        <w:numPr>
          <w:ilvl w:val="0"/>
          <w:numId w:val="46"/>
        </w:numPr>
        <w:jc w:val="both"/>
        <w:rPr>
          <w:lang w:val="es-ES"/>
        </w:rPr>
      </w:pPr>
      <w:r w:rsidRPr="003B6B51">
        <w:rPr>
          <w:lang w:val="es-ES"/>
        </w:rPr>
        <w:t xml:space="preserve">Informe de Evaluación, con texto y gráficos, a ser revisado por el especialista sectorial que supervisa el </w:t>
      </w:r>
      <w:r>
        <w:rPr>
          <w:lang w:val="es-ES"/>
        </w:rPr>
        <w:t>p</w:t>
      </w:r>
      <w:r w:rsidRPr="003B6B51">
        <w:rPr>
          <w:lang w:val="es-ES"/>
        </w:rPr>
        <w:t xml:space="preserve">royecto. El Informe debe incluir todas las áreas estipuladas en el formato, con especial énfasis en lo que corresponde a los resultados del proyecto y las lecciones aprendidas. </w:t>
      </w:r>
    </w:p>
    <w:p w:rsidR="00053E35" w:rsidRPr="003B6B51" w:rsidRDefault="00053E35" w:rsidP="00053E35">
      <w:pPr>
        <w:numPr>
          <w:ilvl w:val="0"/>
          <w:numId w:val="46"/>
        </w:numPr>
        <w:spacing w:after="120"/>
        <w:jc w:val="both"/>
        <w:rPr>
          <w:lang w:val="es-ES"/>
        </w:rPr>
      </w:pPr>
      <w:r w:rsidRPr="003B6B51">
        <w:rPr>
          <w:lang w:val="es-ES"/>
        </w:rPr>
        <w:t xml:space="preserve">Informe final de Evaluación, que incorpore </w:t>
      </w:r>
      <w:r>
        <w:rPr>
          <w:lang w:val="es-ES"/>
        </w:rPr>
        <w:t>las sugerencias y comentarios realizados por el equipo de proyecto</w:t>
      </w:r>
      <w:r w:rsidRPr="003B6B51">
        <w:rPr>
          <w:lang w:val="es-ES"/>
        </w:rPr>
        <w:t xml:space="preserve">.  </w:t>
      </w:r>
    </w:p>
    <w:p w:rsidR="00053E35" w:rsidRPr="003B6B51" w:rsidRDefault="00053E35" w:rsidP="00053E35">
      <w:pPr>
        <w:pStyle w:val="Paragraph"/>
        <w:tabs>
          <w:tab w:val="clear" w:pos="1440"/>
        </w:tabs>
        <w:spacing w:before="0" w:after="0"/>
        <w:ind w:left="0" w:firstLine="0"/>
        <w:outlineLvl w:val="9"/>
        <w:rPr>
          <w:szCs w:val="24"/>
          <w:lang w:val="es-ES_tradnl"/>
        </w:rPr>
      </w:pPr>
      <w:r w:rsidRPr="003B6B51">
        <w:rPr>
          <w:szCs w:val="24"/>
          <w:lang w:val="es-ES_tradnl"/>
        </w:rPr>
        <w:t>Los informes serán presentados conforme los formatos establecidos por el Banco para tales fines. Todo Informe deberá ser entregado al Banco en forma electrónica en un solo archivo que incluya la portada, el documento principal y los anexos. (Archivos Zip no se aceptarán como informes finales, debido a regulaciones de la Sección de Administración de Archivos). La realización de los informes será coordinada con el señor Ramiro López Ghio (</w:t>
      </w:r>
      <w:hyperlink r:id="rId11" w:history="1">
        <w:r w:rsidRPr="003B6B51">
          <w:rPr>
            <w:rStyle w:val="Hyperlink"/>
            <w:szCs w:val="24"/>
            <w:lang w:val="es-ES_tradnl"/>
          </w:rPr>
          <w:t>ramirol@iadb.org</w:t>
        </w:r>
      </w:hyperlink>
      <w:r w:rsidRPr="003B6B51">
        <w:rPr>
          <w:szCs w:val="24"/>
          <w:lang w:val="es-ES_tradnl"/>
        </w:rPr>
        <w:t>), a quien deberán ser entregados conforme a la estructura y los plazos previamente acordados.</w:t>
      </w:r>
    </w:p>
    <w:p w:rsidR="00053E35" w:rsidRPr="003B6B51" w:rsidRDefault="00053E35" w:rsidP="00053E35">
      <w:pPr>
        <w:tabs>
          <w:tab w:val="center" w:pos="4680"/>
        </w:tabs>
        <w:spacing w:before="240" w:after="240"/>
        <w:jc w:val="center"/>
        <w:rPr>
          <w:b/>
          <w:lang w:val="es-ES_tradnl"/>
        </w:rPr>
      </w:pPr>
      <w:r w:rsidRPr="003B6B51">
        <w:rPr>
          <w:b/>
          <w:lang w:val="es-ES_tradnl"/>
        </w:rPr>
        <w:t xml:space="preserve">V. </w:t>
      </w:r>
      <w:r w:rsidRPr="00A11BAF">
        <w:rPr>
          <w:rFonts w:ascii="Times New Roman Bold" w:hAnsi="Times New Roman Bold"/>
          <w:b/>
          <w:smallCaps/>
          <w:lang w:val="es-ES_tradnl"/>
        </w:rPr>
        <w:t>Lugar y duración de la consultoría</w:t>
      </w:r>
    </w:p>
    <w:p w:rsidR="00053E35" w:rsidRPr="003B6B51" w:rsidRDefault="00053E35" w:rsidP="00053E35">
      <w:pPr>
        <w:pStyle w:val="Paragraph"/>
        <w:tabs>
          <w:tab w:val="clear" w:pos="1440"/>
        </w:tabs>
        <w:spacing w:before="0" w:after="0"/>
        <w:ind w:left="0" w:firstLine="0"/>
        <w:outlineLvl w:val="9"/>
        <w:rPr>
          <w:szCs w:val="24"/>
          <w:lang w:val="es-ES_tradnl"/>
        </w:rPr>
      </w:pPr>
      <w:r w:rsidRPr="003B6B51">
        <w:rPr>
          <w:szCs w:val="24"/>
          <w:lang w:val="es-ES_tradnl"/>
        </w:rPr>
        <w:t xml:space="preserve">La consultoría se realizará en Bolivia y el lugar de residencia del consultor. La duración de la consultoría será de 20 días no consecutivos. </w:t>
      </w:r>
    </w:p>
    <w:p w:rsidR="00053E35" w:rsidRPr="003B6B51" w:rsidRDefault="00053E35" w:rsidP="00053E35">
      <w:pPr>
        <w:tabs>
          <w:tab w:val="center" w:pos="4680"/>
        </w:tabs>
        <w:spacing w:before="240" w:after="240"/>
        <w:jc w:val="center"/>
        <w:rPr>
          <w:b/>
          <w:lang w:val="es-ES_tradnl"/>
        </w:rPr>
      </w:pPr>
      <w:r w:rsidRPr="003B6B51">
        <w:rPr>
          <w:b/>
          <w:lang w:val="es-ES_tradnl"/>
        </w:rPr>
        <w:t xml:space="preserve">VI. </w:t>
      </w:r>
      <w:r w:rsidRPr="00A11BAF">
        <w:rPr>
          <w:rFonts w:ascii="Times New Roman Bold" w:hAnsi="Times New Roman Bold"/>
          <w:b/>
          <w:smallCaps/>
          <w:lang w:val="es-ES_tradnl"/>
        </w:rPr>
        <w:t>Condiciones de pago</w:t>
      </w:r>
    </w:p>
    <w:p w:rsidR="00053E35" w:rsidRPr="003B6B51" w:rsidRDefault="00053E35" w:rsidP="00053E35">
      <w:pPr>
        <w:pStyle w:val="Paragraph"/>
        <w:tabs>
          <w:tab w:val="clear" w:pos="1440"/>
        </w:tabs>
        <w:spacing w:before="0"/>
        <w:ind w:left="0" w:firstLine="0"/>
        <w:outlineLvl w:val="9"/>
        <w:rPr>
          <w:bCs/>
          <w:szCs w:val="24"/>
          <w:lang w:val="es-ES_tradnl"/>
        </w:rPr>
      </w:pPr>
      <w:r w:rsidRPr="003B6B51">
        <w:rPr>
          <w:bCs/>
          <w:szCs w:val="24"/>
          <w:lang w:val="es-ES_tradnl"/>
        </w:rPr>
        <w:t>Los pagos al consultor individual se realizarán de la siguiente manera:</w:t>
      </w:r>
    </w:p>
    <w:p w:rsidR="00053E35" w:rsidRPr="003B6B51" w:rsidRDefault="00053E35" w:rsidP="00053E35">
      <w:pPr>
        <w:pStyle w:val="ListParagraph"/>
        <w:numPr>
          <w:ilvl w:val="0"/>
          <w:numId w:val="47"/>
        </w:numPr>
        <w:spacing w:after="80"/>
        <w:contextualSpacing w:val="0"/>
        <w:jc w:val="both"/>
        <w:rPr>
          <w:lang w:val="es-ES"/>
        </w:rPr>
      </w:pPr>
      <w:r w:rsidRPr="003B6B51">
        <w:rPr>
          <w:lang w:val="es-ES"/>
        </w:rPr>
        <w:t xml:space="preserve">Un primer pago de </w:t>
      </w:r>
      <w:r>
        <w:rPr>
          <w:lang w:val="es-ES"/>
        </w:rPr>
        <w:t>20</w:t>
      </w:r>
      <w:r w:rsidRPr="003B6B51">
        <w:rPr>
          <w:lang w:val="es-ES"/>
        </w:rPr>
        <w:t>% del monto del contrato 15 días después de la firma del mismo, contra entrega del primer informe a satisfacción del B</w:t>
      </w:r>
      <w:r>
        <w:rPr>
          <w:lang w:val="es-ES"/>
        </w:rPr>
        <w:t>anco</w:t>
      </w:r>
      <w:r w:rsidRPr="003B6B51">
        <w:rPr>
          <w:lang w:val="es-ES"/>
        </w:rPr>
        <w:t xml:space="preserve">. </w:t>
      </w:r>
    </w:p>
    <w:p w:rsidR="00053E35" w:rsidRPr="003B6B51" w:rsidRDefault="00053E35" w:rsidP="00053E35">
      <w:pPr>
        <w:pStyle w:val="ListParagraph"/>
        <w:numPr>
          <w:ilvl w:val="0"/>
          <w:numId w:val="47"/>
        </w:numPr>
        <w:spacing w:after="80"/>
        <w:contextualSpacing w:val="0"/>
        <w:jc w:val="both"/>
        <w:rPr>
          <w:lang w:val="es-ES"/>
        </w:rPr>
      </w:pPr>
      <w:r w:rsidRPr="003B6B51">
        <w:rPr>
          <w:lang w:val="es-ES"/>
        </w:rPr>
        <w:t xml:space="preserve">Un segundo pago </w:t>
      </w:r>
      <w:r>
        <w:rPr>
          <w:lang w:val="es-ES"/>
        </w:rPr>
        <w:t>20</w:t>
      </w:r>
      <w:r w:rsidRPr="003B6B51">
        <w:rPr>
          <w:lang w:val="es-ES"/>
        </w:rPr>
        <w:t>% a la entrega y aprobación del informe intermedio a satisfacción del B</w:t>
      </w:r>
      <w:r>
        <w:rPr>
          <w:lang w:val="es-ES"/>
        </w:rPr>
        <w:t>anco</w:t>
      </w:r>
      <w:r w:rsidRPr="003B6B51">
        <w:rPr>
          <w:lang w:val="es-ES"/>
        </w:rPr>
        <w:t>.</w:t>
      </w:r>
    </w:p>
    <w:p w:rsidR="00053E35" w:rsidRPr="003B6B51" w:rsidRDefault="00053E35" w:rsidP="00053E35">
      <w:pPr>
        <w:pStyle w:val="ListParagraph"/>
        <w:numPr>
          <w:ilvl w:val="0"/>
          <w:numId w:val="47"/>
        </w:numPr>
        <w:spacing w:after="80"/>
        <w:contextualSpacing w:val="0"/>
        <w:jc w:val="both"/>
        <w:rPr>
          <w:lang w:val="es-ES"/>
        </w:rPr>
      </w:pPr>
      <w:r w:rsidRPr="003B6B51">
        <w:rPr>
          <w:lang w:val="es-ES"/>
        </w:rPr>
        <w:t xml:space="preserve">Un pago final de </w:t>
      </w:r>
      <w:r>
        <w:rPr>
          <w:lang w:val="es-ES"/>
        </w:rPr>
        <w:t>6</w:t>
      </w:r>
      <w:r w:rsidRPr="003B6B51">
        <w:rPr>
          <w:lang w:val="es-ES"/>
        </w:rPr>
        <w:t>0% a la entrega y aprobación del informe final a satisfacción del B</w:t>
      </w:r>
      <w:r>
        <w:rPr>
          <w:lang w:val="es-ES"/>
        </w:rPr>
        <w:t>anco</w:t>
      </w:r>
      <w:r w:rsidRPr="003B6B51">
        <w:rPr>
          <w:lang w:val="es-ES"/>
        </w:rPr>
        <w:t>.</w:t>
      </w:r>
    </w:p>
    <w:p w:rsidR="00053E35" w:rsidRPr="003B6B51" w:rsidRDefault="00053E35" w:rsidP="00053E35">
      <w:pPr>
        <w:tabs>
          <w:tab w:val="center" w:pos="4680"/>
        </w:tabs>
        <w:spacing w:before="240" w:after="120"/>
        <w:jc w:val="center"/>
        <w:rPr>
          <w:b/>
          <w:lang w:val="es-ES_tradnl"/>
        </w:rPr>
      </w:pPr>
      <w:r w:rsidRPr="003B6B51">
        <w:rPr>
          <w:b/>
          <w:lang w:val="es-ES_tradnl"/>
        </w:rPr>
        <w:t xml:space="preserve">VII.  </w:t>
      </w:r>
      <w:r w:rsidRPr="00A11BAF">
        <w:rPr>
          <w:rFonts w:ascii="Times New Roman Bold" w:hAnsi="Times New Roman Bold"/>
          <w:b/>
          <w:smallCaps/>
          <w:lang w:val="es-ES_tradnl"/>
        </w:rPr>
        <w:t>Supervisión o coordinación</w:t>
      </w:r>
    </w:p>
    <w:p w:rsidR="00053E35" w:rsidRPr="003B6B51" w:rsidRDefault="00053E35" w:rsidP="00053E35">
      <w:pPr>
        <w:pStyle w:val="Paragraph"/>
        <w:tabs>
          <w:tab w:val="clear" w:pos="1440"/>
        </w:tabs>
        <w:spacing w:before="0" w:after="0"/>
        <w:ind w:left="0" w:firstLine="0"/>
        <w:outlineLvl w:val="9"/>
        <w:rPr>
          <w:bCs/>
          <w:szCs w:val="24"/>
          <w:lang w:val="es-ES_tradnl"/>
        </w:rPr>
      </w:pPr>
      <w:r w:rsidRPr="003B6B51">
        <w:rPr>
          <w:bCs/>
          <w:szCs w:val="24"/>
          <w:lang w:val="es-ES_tradnl"/>
        </w:rPr>
        <w:t>La coordinación de la consultoría estará a cargo de Ramiro Ló</w:t>
      </w:r>
      <w:r>
        <w:rPr>
          <w:bCs/>
          <w:szCs w:val="24"/>
          <w:lang w:val="es-ES_tradnl"/>
        </w:rPr>
        <w:t>pez Ghio, Jefe de Equipo de la o</w:t>
      </w:r>
      <w:r w:rsidRPr="003B6B51">
        <w:rPr>
          <w:bCs/>
          <w:szCs w:val="24"/>
          <w:lang w:val="es-ES_tradnl"/>
        </w:rPr>
        <w:t>peración.</w:t>
      </w:r>
    </w:p>
    <w:p w:rsidR="00053E35" w:rsidRPr="003B6B51" w:rsidRDefault="00053E35" w:rsidP="00053E35">
      <w:pPr>
        <w:pStyle w:val="Paragraph"/>
        <w:tabs>
          <w:tab w:val="clear" w:pos="1440"/>
        </w:tabs>
        <w:spacing w:before="0" w:after="0"/>
        <w:ind w:left="0" w:firstLine="0"/>
        <w:outlineLvl w:val="9"/>
        <w:rPr>
          <w:bCs/>
          <w:szCs w:val="24"/>
          <w:lang w:val="es-ES_tradnl"/>
        </w:rPr>
      </w:pPr>
    </w:p>
    <w:p w:rsidR="002A33C2" w:rsidRPr="00C44EF7" w:rsidRDefault="002A33C2" w:rsidP="0074165A">
      <w:pPr>
        <w:tabs>
          <w:tab w:val="center" w:pos="4680"/>
        </w:tabs>
        <w:spacing w:after="120"/>
        <w:rPr>
          <w:b/>
          <w:bCs/>
          <w:lang w:val="es-ES_tradnl"/>
        </w:rPr>
      </w:pPr>
    </w:p>
    <w:sectPr w:rsidR="002A33C2" w:rsidRPr="00C44EF7" w:rsidSect="00E64643">
      <w:pgSz w:w="12240" w:h="15840"/>
      <w:pgMar w:top="2045" w:right="1800" w:bottom="204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DA" w:rsidRDefault="00A40DDA" w:rsidP="00530A6E">
      <w:r>
        <w:separator/>
      </w:r>
    </w:p>
  </w:endnote>
  <w:endnote w:type="continuationSeparator" w:id="0">
    <w:p w:rsidR="00A40DDA" w:rsidRDefault="00A40DDA" w:rsidP="0053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65078"/>
      <w:docPartObj>
        <w:docPartGallery w:val="Page Numbers (Bottom of Page)"/>
        <w:docPartUnique/>
      </w:docPartObj>
    </w:sdtPr>
    <w:sdtEndPr>
      <w:rPr>
        <w:noProof/>
      </w:rPr>
    </w:sdtEndPr>
    <w:sdtContent>
      <w:p w:rsidR="00A40DDA" w:rsidRDefault="00A40DDA">
        <w:pPr>
          <w:pStyle w:val="Footer"/>
          <w:jc w:val="center"/>
        </w:pPr>
        <w:r>
          <w:fldChar w:fldCharType="begin"/>
        </w:r>
        <w:r>
          <w:instrText xml:space="preserve"> PAGE   \* MERGEFORMAT </w:instrText>
        </w:r>
        <w:r>
          <w:fldChar w:fldCharType="separate"/>
        </w:r>
        <w:r w:rsidR="005552D8">
          <w:rPr>
            <w:noProof/>
          </w:rPr>
          <w:t>16</w:t>
        </w:r>
        <w:r>
          <w:rPr>
            <w:noProof/>
          </w:rPr>
          <w:fldChar w:fldCharType="end"/>
        </w:r>
      </w:p>
    </w:sdtContent>
  </w:sdt>
  <w:p w:rsidR="00A40DDA" w:rsidRDefault="00A4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DA" w:rsidRDefault="00A40DDA" w:rsidP="00530A6E">
      <w:r>
        <w:separator/>
      </w:r>
    </w:p>
  </w:footnote>
  <w:footnote w:type="continuationSeparator" w:id="0">
    <w:p w:rsidR="00A40DDA" w:rsidRDefault="00A40DDA" w:rsidP="00530A6E">
      <w:r>
        <w:continuationSeparator/>
      </w:r>
    </w:p>
  </w:footnote>
  <w:footnote w:id="1">
    <w:p w:rsidR="00A40DDA" w:rsidRPr="00427FF6" w:rsidRDefault="00A40DDA" w:rsidP="00427FF6">
      <w:pPr>
        <w:pStyle w:val="FootnoteText"/>
        <w:jc w:val="both"/>
        <w:rPr>
          <w:lang w:val="es-ES_tradnl"/>
        </w:rPr>
      </w:pPr>
      <w:r>
        <w:rPr>
          <w:rStyle w:val="FootnoteReference"/>
        </w:rPr>
        <w:footnoteRef/>
      </w:r>
      <w:r w:rsidRPr="00427FF6">
        <w:rPr>
          <w:lang w:val="es-ES_tradnl"/>
        </w:rPr>
        <w:t xml:space="preserve"> </w:t>
      </w:r>
      <w:r>
        <w:rPr>
          <w:lang w:val="es-ES_tradnl"/>
        </w:rPr>
        <w:t>Esta evaluación ex post se realizará en los 12 meses siguientes al desembolso de la operación, y abarcará las tres operaciones programáticas.</w:t>
      </w:r>
    </w:p>
  </w:footnote>
  <w:footnote w:id="2">
    <w:p w:rsidR="00A40DDA" w:rsidRPr="00C261A3" w:rsidRDefault="00A40DDA" w:rsidP="00BE07FC">
      <w:pPr>
        <w:pStyle w:val="FootnoteText"/>
        <w:rPr>
          <w:lang w:val="es-ES_tradnl"/>
        </w:rPr>
      </w:pPr>
      <w:r>
        <w:rPr>
          <w:rStyle w:val="FootnoteReference"/>
        </w:rPr>
        <w:footnoteRef/>
      </w:r>
      <w:r w:rsidRPr="00C261A3">
        <w:rPr>
          <w:lang w:val="es-ES_tradnl"/>
        </w:rPr>
        <w:t xml:space="preserve"> </w:t>
      </w:r>
      <w:r>
        <w:rPr>
          <w:lang w:val="es-ES"/>
        </w:rPr>
        <w:t>El SIET es un sistema de plataforma web, que integra informáticamente el procedimiento de generación de las cifras fiscales del SPNF, en base a la agregación y consolidación de flujos de caja de las entidades del SPNF.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88E"/>
    <w:multiLevelType w:val="hybridMultilevel"/>
    <w:tmpl w:val="10B65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8611B"/>
    <w:multiLevelType w:val="hybridMultilevel"/>
    <w:tmpl w:val="119CFAC6"/>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
    <w:nsid w:val="0DBC21F2"/>
    <w:multiLevelType w:val="multilevel"/>
    <w:tmpl w:val="DB5CE722"/>
    <w:lvl w:ilvl="0">
      <w:start w:val="2"/>
      <w:numFmt w:val="decimal"/>
      <w:lvlText w:val="%1"/>
      <w:lvlJc w:val="left"/>
      <w:pPr>
        <w:ind w:left="360" w:hanging="360"/>
      </w:pPr>
      <w:rPr>
        <w:rFonts w:hint="default"/>
        <w:color w:val="000000" w:themeColor="text1"/>
        <w:sz w:val="20"/>
      </w:rPr>
    </w:lvl>
    <w:lvl w:ilvl="1">
      <w:start w:val="1"/>
      <w:numFmt w:val="decimal"/>
      <w:lvlText w:val="%1.%2"/>
      <w:lvlJc w:val="left"/>
      <w:pPr>
        <w:ind w:left="1032" w:hanging="360"/>
      </w:pPr>
      <w:rPr>
        <w:rFonts w:hint="default"/>
        <w:color w:val="000000" w:themeColor="text1"/>
        <w:sz w:val="20"/>
      </w:rPr>
    </w:lvl>
    <w:lvl w:ilvl="2">
      <w:start w:val="1"/>
      <w:numFmt w:val="upperLetter"/>
      <w:lvlText w:val="%1.%2.%3"/>
      <w:lvlJc w:val="left"/>
      <w:pPr>
        <w:ind w:left="2064" w:hanging="720"/>
      </w:pPr>
      <w:rPr>
        <w:rFonts w:hint="default"/>
        <w:color w:val="000000" w:themeColor="text1"/>
        <w:sz w:val="20"/>
      </w:rPr>
    </w:lvl>
    <w:lvl w:ilvl="3">
      <w:start w:val="1"/>
      <w:numFmt w:val="decimal"/>
      <w:lvlText w:val="%1.%2.%3.%4"/>
      <w:lvlJc w:val="left"/>
      <w:pPr>
        <w:ind w:left="2736" w:hanging="720"/>
      </w:pPr>
      <w:rPr>
        <w:rFonts w:hint="default"/>
        <w:color w:val="000000" w:themeColor="text1"/>
        <w:sz w:val="20"/>
      </w:rPr>
    </w:lvl>
    <w:lvl w:ilvl="4">
      <w:start w:val="1"/>
      <w:numFmt w:val="decimal"/>
      <w:lvlText w:val="%1.%2.%3.%4.%5"/>
      <w:lvlJc w:val="left"/>
      <w:pPr>
        <w:ind w:left="3768" w:hanging="1080"/>
      </w:pPr>
      <w:rPr>
        <w:rFonts w:hint="default"/>
        <w:color w:val="000000" w:themeColor="text1"/>
        <w:sz w:val="20"/>
      </w:rPr>
    </w:lvl>
    <w:lvl w:ilvl="5">
      <w:start w:val="1"/>
      <w:numFmt w:val="decimal"/>
      <w:lvlText w:val="%1.%2.%3.%4.%5.%6"/>
      <w:lvlJc w:val="left"/>
      <w:pPr>
        <w:ind w:left="4440" w:hanging="1080"/>
      </w:pPr>
      <w:rPr>
        <w:rFonts w:hint="default"/>
        <w:color w:val="000000" w:themeColor="text1"/>
        <w:sz w:val="20"/>
      </w:rPr>
    </w:lvl>
    <w:lvl w:ilvl="6">
      <w:start w:val="1"/>
      <w:numFmt w:val="decimal"/>
      <w:lvlText w:val="%1.%2.%3.%4.%5.%6.%7"/>
      <w:lvlJc w:val="left"/>
      <w:pPr>
        <w:ind w:left="5472" w:hanging="1440"/>
      </w:pPr>
      <w:rPr>
        <w:rFonts w:hint="default"/>
        <w:color w:val="000000" w:themeColor="text1"/>
        <w:sz w:val="20"/>
      </w:rPr>
    </w:lvl>
    <w:lvl w:ilvl="7">
      <w:start w:val="1"/>
      <w:numFmt w:val="decimal"/>
      <w:lvlText w:val="%1.%2.%3.%4.%5.%6.%7.%8"/>
      <w:lvlJc w:val="left"/>
      <w:pPr>
        <w:ind w:left="6144" w:hanging="1440"/>
      </w:pPr>
      <w:rPr>
        <w:rFonts w:hint="default"/>
        <w:color w:val="000000" w:themeColor="text1"/>
        <w:sz w:val="20"/>
      </w:rPr>
    </w:lvl>
    <w:lvl w:ilvl="8">
      <w:start w:val="1"/>
      <w:numFmt w:val="decimal"/>
      <w:lvlText w:val="%1.%2.%3.%4.%5.%6.%7.%8.%9"/>
      <w:lvlJc w:val="left"/>
      <w:pPr>
        <w:ind w:left="7176" w:hanging="1800"/>
      </w:pPr>
      <w:rPr>
        <w:rFonts w:hint="default"/>
        <w:color w:val="000000" w:themeColor="text1"/>
        <w:sz w:val="20"/>
      </w:rPr>
    </w:lvl>
  </w:abstractNum>
  <w:abstractNum w:abstractNumId="3">
    <w:nsid w:val="0E550728"/>
    <w:multiLevelType w:val="hybridMultilevel"/>
    <w:tmpl w:val="81C29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F557B5"/>
    <w:multiLevelType w:val="multilevel"/>
    <w:tmpl w:val="9D26282E"/>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5">
    <w:nsid w:val="11730B52"/>
    <w:multiLevelType w:val="multilevel"/>
    <w:tmpl w:val="D9DA2F30"/>
    <w:lvl w:ilvl="0">
      <w:start w:val="2"/>
      <w:numFmt w:val="decimal"/>
      <w:lvlText w:val="%1"/>
      <w:lvlJc w:val="left"/>
      <w:pPr>
        <w:ind w:left="360" w:hanging="360"/>
      </w:pPr>
      <w:rPr>
        <w:rFonts w:hint="default"/>
        <w:sz w:val="24"/>
      </w:rPr>
    </w:lvl>
    <w:lvl w:ilvl="1">
      <w:start w:val="5"/>
      <w:numFmt w:val="decimal"/>
      <w:lvlText w:val="%1.%2"/>
      <w:lvlJc w:val="left"/>
      <w:pPr>
        <w:ind w:left="720" w:hanging="360"/>
      </w:pPr>
      <w:rPr>
        <w:rFonts w:hint="default"/>
        <w:sz w:val="20"/>
        <w:szCs w:val="20"/>
      </w:rPr>
    </w:lvl>
    <w:lvl w:ilvl="2">
      <w:start w:val="1"/>
      <w:numFmt w:val="upperLetter"/>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6">
    <w:nsid w:val="146D3F0F"/>
    <w:multiLevelType w:val="hybridMultilevel"/>
    <w:tmpl w:val="C54A57E8"/>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7">
    <w:nsid w:val="150478CF"/>
    <w:multiLevelType w:val="hybridMultilevel"/>
    <w:tmpl w:val="D56A029C"/>
    <w:lvl w:ilvl="0" w:tplc="682AA082">
      <w:start w:val="1"/>
      <w:numFmt w:val="lowerRoman"/>
      <w:lvlText w:val="%1."/>
      <w:lvlJc w:val="left"/>
      <w:pPr>
        <w:ind w:left="1440" w:hanging="720"/>
      </w:pPr>
      <w:rPr>
        <w:rFonts w:hint="default"/>
      </w:rPr>
    </w:lvl>
    <w:lvl w:ilvl="1" w:tplc="1B8AE08A" w:tentative="1">
      <w:start w:val="1"/>
      <w:numFmt w:val="lowerLetter"/>
      <w:lvlText w:val="%2."/>
      <w:lvlJc w:val="left"/>
      <w:pPr>
        <w:ind w:left="1800" w:hanging="360"/>
      </w:pPr>
    </w:lvl>
    <w:lvl w:ilvl="2" w:tplc="C00E8E30" w:tentative="1">
      <w:start w:val="1"/>
      <w:numFmt w:val="lowerRoman"/>
      <w:lvlText w:val="%3."/>
      <w:lvlJc w:val="right"/>
      <w:pPr>
        <w:ind w:left="2520" w:hanging="180"/>
      </w:pPr>
    </w:lvl>
    <w:lvl w:ilvl="3" w:tplc="6D443EAE" w:tentative="1">
      <w:start w:val="1"/>
      <w:numFmt w:val="decimal"/>
      <w:lvlText w:val="%4."/>
      <w:lvlJc w:val="left"/>
      <w:pPr>
        <w:ind w:left="3240" w:hanging="360"/>
      </w:pPr>
    </w:lvl>
    <w:lvl w:ilvl="4" w:tplc="11A0883E" w:tentative="1">
      <w:start w:val="1"/>
      <w:numFmt w:val="lowerLetter"/>
      <w:lvlText w:val="%5."/>
      <w:lvlJc w:val="left"/>
      <w:pPr>
        <w:ind w:left="3960" w:hanging="360"/>
      </w:pPr>
    </w:lvl>
    <w:lvl w:ilvl="5" w:tplc="4A32E9B4" w:tentative="1">
      <w:start w:val="1"/>
      <w:numFmt w:val="lowerRoman"/>
      <w:lvlText w:val="%6."/>
      <w:lvlJc w:val="right"/>
      <w:pPr>
        <w:ind w:left="4680" w:hanging="180"/>
      </w:pPr>
    </w:lvl>
    <w:lvl w:ilvl="6" w:tplc="404E3E08" w:tentative="1">
      <w:start w:val="1"/>
      <w:numFmt w:val="decimal"/>
      <w:lvlText w:val="%7."/>
      <w:lvlJc w:val="left"/>
      <w:pPr>
        <w:ind w:left="5400" w:hanging="360"/>
      </w:pPr>
    </w:lvl>
    <w:lvl w:ilvl="7" w:tplc="266082B4" w:tentative="1">
      <w:start w:val="1"/>
      <w:numFmt w:val="lowerLetter"/>
      <w:lvlText w:val="%8."/>
      <w:lvlJc w:val="left"/>
      <w:pPr>
        <w:ind w:left="6120" w:hanging="360"/>
      </w:pPr>
    </w:lvl>
    <w:lvl w:ilvl="8" w:tplc="B51224CA" w:tentative="1">
      <w:start w:val="1"/>
      <w:numFmt w:val="lowerRoman"/>
      <w:lvlText w:val="%9."/>
      <w:lvlJc w:val="right"/>
      <w:pPr>
        <w:ind w:left="6840" w:hanging="180"/>
      </w:pPr>
    </w:lvl>
  </w:abstractNum>
  <w:abstractNum w:abstractNumId="8">
    <w:nsid w:val="152617B6"/>
    <w:multiLevelType w:val="hybridMultilevel"/>
    <w:tmpl w:val="B8040FD6"/>
    <w:lvl w:ilvl="0" w:tplc="A3D0066C">
      <w:start w:val="1"/>
      <w:numFmt w:val="decimal"/>
      <w:lvlText w:val="%1-"/>
      <w:lvlJc w:val="left"/>
      <w:pPr>
        <w:ind w:left="720" w:hanging="360"/>
      </w:pPr>
      <w:rPr>
        <w:rFonts w:hint="default"/>
      </w:rPr>
    </w:lvl>
    <w:lvl w:ilvl="1" w:tplc="CBD66D26" w:tentative="1">
      <w:start w:val="1"/>
      <w:numFmt w:val="lowerLetter"/>
      <w:lvlText w:val="%2."/>
      <w:lvlJc w:val="left"/>
      <w:pPr>
        <w:ind w:left="1440" w:hanging="360"/>
      </w:pPr>
    </w:lvl>
    <w:lvl w:ilvl="2" w:tplc="D08E6DC2" w:tentative="1">
      <w:start w:val="1"/>
      <w:numFmt w:val="lowerRoman"/>
      <w:lvlText w:val="%3."/>
      <w:lvlJc w:val="right"/>
      <w:pPr>
        <w:ind w:left="2160" w:hanging="180"/>
      </w:pPr>
    </w:lvl>
    <w:lvl w:ilvl="3" w:tplc="028625F2" w:tentative="1">
      <w:start w:val="1"/>
      <w:numFmt w:val="decimal"/>
      <w:lvlText w:val="%4."/>
      <w:lvlJc w:val="left"/>
      <w:pPr>
        <w:ind w:left="2880" w:hanging="360"/>
      </w:pPr>
    </w:lvl>
    <w:lvl w:ilvl="4" w:tplc="18A01728" w:tentative="1">
      <w:start w:val="1"/>
      <w:numFmt w:val="lowerLetter"/>
      <w:lvlText w:val="%5."/>
      <w:lvlJc w:val="left"/>
      <w:pPr>
        <w:ind w:left="3600" w:hanging="360"/>
      </w:pPr>
    </w:lvl>
    <w:lvl w:ilvl="5" w:tplc="A22614C0" w:tentative="1">
      <w:start w:val="1"/>
      <w:numFmt w:val="lowerRoman"/>
      <w:lvlText w:val="%6."/>
      <w:lvlJc w:val="right"/>
      <w:pPr>
        <w:ind w:left="4320" w:hanging="180"/>
      </w:pPr>
    </w:lvl>
    <w:lvl w:ilvl="6" w:tplc="88F217D6" w:tentative="1">
      <w:start w:val="1"/>
      <w:numFmt w:val="decimal"/>
      <w:lvlText w:val="%7."/>
      <w:lvlJc w:val="left"/>
      <w:pPr>
        <w:ind w:left="5040" w:hanging="360"/>
      </w:pPr>
    </w:lvl>
    <w:lvl w:ilvl="7" w:tplc="D2046020" w:tentative="1">
      <w:start w:val="1"/>
      <w:numFmt w:val="lowerLetter"/>
      <w:lvlText w:val="%8."/>
      <w:lvlJc w:val="left"/>
      <w:pPr>
        <w:ind w:left="5760" w:hanging="360"/>
      </w:pPr>
    </w:lvl>
    <w:lvl w:ilvl="8" w:tplc="2236E0FC" w:tentative="1">
      <w:start w:val="1"/>
      <w:numFmt w:val="lowerRoman"/>
      <w:lvlText w:val="%9."/>
      <w:lvlJc w:val="right"/>
      <w:pPr>
        <w:ind w:left="6480" w:hanging="180"/>
      </w:pPr>
    </w:lvl>
  </w:abstractNum>
  <w:abstractNum w:abstractNumId="9">
    <w:nsid w:val="17CC1AF5"/>
    <w:multiLevelType w:val="hybridMultilevel"/>
    <w:tmpl w:val="CA5CC8DC"/>
    <w:lvl w:ilvl="0" w:tplc="B1DCFB74">
      <w:start w:val="1"/>
      <w:numFmt w:val="lowerRoman"/>
      <w:lvlText w:val="%1."/>
      <w:lvlJc w:val="left"/>
      <w:pPr>
        <w:ind w:left="1440" w:hanging="720"/>
      </w:pPr>
      <w:rPr>
        <w:rFonts w:hint="default"/>
      </w:rPr>
    </w:lvl>
    <w:lvl w:ilvl="1" w:tplc="45E2687A" w:tentative="1">
      <w:start w:val="1"/>
      <w:numFmt w:val="lowerLetter"/>
      <w:lvlText w:val="%2."/>
      <w:lvlJc w:val="left"/>
      <w:pPr>
        <w:ind w:left="1800" w:hanging="360"/>
      </w:pPr>
    </w:lvl>
    <w:lvl w:ilvl="2" w:tplc="9A120F3A" w:tentative="1">
      <w:start w:val="1"/>
      <w:numFmt w:val="lowerRoman"/>
      <w:lvlText w:val="%3."/>
      <w:lvlJc w:val="right"/>
      <w:pPr>
        <w:ind w:left="2520" w:hanging="180"/>
      </w:pPr>
    </w:lvl>
    <w:lvl w:ilvl="3" w:tplc="72F46124" w:tentative="1">
      <w:start w:val="1"/>
      <w:numFmt w:val="decimal"/>
      <w:lvlText w:val="%4."/>
      <w:lvlJc w:val="left"/>
      <w:pPr>
        <w:ind w:left="3240" w:hanging="360"/>
      </w:pPr>
    </w:lvl>
    <w:lvl w:ilvl="4" w:tplc="01C2B00C" w:tentative="1">
      <w:start w:val="1"/>
      <w:numFmt w:val="lowerLetter"/>
      <w:lvlText w:val="%5."/>
      <w:lvlJc w:val="left"/>
      <w:pPr>
        <w:ind w:left="3960" w:hanging="360"/>
      </w:pPr>
    </w:lvl>
    <w:lvl w:ilvl="5" w:tplc="52C22E6A" w:tentative="1">
      <w:start w:val="1"/>
      <w:numFmt w:val="lowerRoman"/>
      <w:lvlText w:val="%6."/>
      <w:lvlJc w:val="right"/>
      <w:pPr>
        <w:ind w:left="4680" w:hanging="180"/>
      </w:pPr>
    </w:lvl>
    <w:lvl w:ilvl="6" w:tplc="0B122D2C" w:tentative="1">
      <w:start w:val="1"/>
      <w:numFmt w:val="decimal"/>
      <w:lvlText w:val="%7."/>
      <w:lvlJc w:val="left"/>
      <w:pPr>
        <w:ind w:left="5400" w:hanging="360"/>
      </w:pPr>
    </w:lvl>
    <w:lvl w:ilvl="7" w:tplc="793E9E62" w:tentative="1">
      <w:start w:val="1"/>
      <w:numFmt w:val="lowerLetter"/>
      <w:lvlText w:val="%8."/>
      <w:lvlJc w:val="left"/>
      <w:pPr>
        <w:ind w:left="6120" w:hanging="360"/>
      </w:pPr>
    </w:lvl>
    <w:lvl w:ilvl="8" w:tplc="B5809F98" w:tentative="1">
      <w:start w:val="1"/>
      <w:numFmt w:val="lowerRoman"/>
      <w:lvlText w:val="%9."/>
      <w:lvlJc w:val="right"/>
      <w:pPr>
        <w:ind w:left="6840" w:hanging="180"/>
      </w:pPr>
    </w:lvl>
  </w:abstractNum>
  <w:abstractNum w:abstractNumId="10">
    <w:nsid w:val="1A696274"/>
    <w:multiLevelType w:val="hybridMultilevel"/>
    <w:tmpl w:val="9C026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9533A"/>
    <w:multiLevelType w:val="multilevel"/>
    <w:tmpl w:val="FF560952"/>
    <w:lvl w:ilvl="0">
      <w:start w:val="1"/>
      <w:numFmt w:val="upperRoman"/>
      <w:pStyle w:val="FirstHeading"/>
      <w:lvlText w:val="%1."/>
      <w:lvlJc w:val="righ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666"/>
        </w:tabs>
        <w:ind w:left="666"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20D67275"/>
    <w:multiLevelType w:val="hybridMultilevel"/>
    <w:tmpl w:val="3BF0C79E"/>
    <w:lvl w:ilvl="0" w:tplc="B35E973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0F2C2A"/>
    <w:multiLevelType w:val="hybridMultilevel"/>
    <w:tmpl w:val="E2C4F8AA"/>
    <w:lvl w:ilvl="0" w:tplc="C1E4CBE6">
      <w:start w:val="1"/>
      <w:numFmt w:val="lowerRoman"/>
      <w:lvlText w:val="(%1)"/>
      <w:lvlJc w:val="left"/>
      <w:pPr>
        <w:ind w:left="720" w:hanging="360"/>
      </w:pPr>
      <w:rPr>
        <w:rFonts w:ascii="Times New Roman" w:eastAsia="Calibri" w:hAnsi="Times New Roman"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4AB762D"/>
    <w:multiLevelType w:val="multilevel"/>
    <w:tmpl w:val="ED847C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051B3B"/>
    <w:multiLevelType w:val="hybridMultilevel"/>
    <w:tmpl w:val="D18C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450E2"/>
    <w:multiLevelType w:val="hybridMultilevel"/>
    <w:tmpl w:val="BFA830B2"/>
    <w:lvl w:ilvl="0" w:tplc="7804D7DC">
      <w:start w:val="1"/>
      <w:numFmt w:val="lowerLetter"/>
      <w:lvlText w:val="%1."/>
      <w:lvlJc w:val="left"/>
      <w:pPr>
        <w:tabs>
          <w:tab w:val="num" w:pos="1665"/>
        </w:tabs>
        <w:ind w:left="1665" w:hanging="945"/>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0A5601D"/>
    <w:multiLevelType w:val="hybridMultilevel"/>
    <w:tmpl w:val="75EEA9F2"/>
    <w:lvl w:ilvl="0" w:tplc="9DB23620">
      <w:start w:val="18"/>
      <w:numFmt w:val="lowerRoman"/>
      <w:lvlText w:val="(%1)"/>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861177A"/>
    <w:multiLevelType w:val="multilevel"/>
    <w:tmpl w:val="9B360634"/>
    <w:lvl w:ilvl="0">
      <w:start w:val="2"/>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9">
    <w:nsid w:val="3CAC5F34"/>
    <w:multiLevelType w:val="hybridMultilevel"/>
    <w:tmpl w:val="2AAEA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C4F9C"/>
    <w:multiLevelType w:val="hybridMultilevel"/>
    <w:tmpl w:val="7242B2BE"/>
    <w:lvl w:ilvl="0" w:tplc="8856F29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60907A4"/>
    <w:multiLevelType w:val="hybridMultilevel"/>
    <w:tmpl w:val="7E586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75DB8"/>
    <w:multiLevelType w:val="hybridMultilevel"/>
    <w:tmpl w:val="490600D6"/>
    <w:lvl w:ilvl="0" w:tplc="883C102A">
      <w:start w:val="1"/>
      <w:numFmt w:val="decimal"/>
      <w:lvlText w:val="%1-"/>
      <w:lvlJc w:val="left"/>
      <w:pPr>
        <w:ind w:left="720" w:hanging="360"/>
      </w:pPr>
      <w:rPr>
        <w:rFonts w:hint="default"/>
        <w:sz w:val="20"/>
        <w:szCs w:val="20"/>
      </w:rPr>
    </w:lvl>
    <w:lvl w:ilvl="1" w:tplc="48347012" w:tentative="1">
      <w:start w:val="1"/>
      <w:numFmt w:val="lowerLetter"/>
      <w:lvlText w:val="%2."/>
      <w:lvlJc w:val="left"/>
      <w:pPr>
        <w:ind w:left="1440" w:hanging="360"/>
      </w:pPr>
    </w:lvl>
    <w:lvl w:ilvl="2" w:tplc="DCC878B2" w:tentative="1">
      <w:start w:val="1"/>
      <w:numFmt w:val="lowerRoman"/>
      <w:lvlText w:val="%3."/>
      <w:lvlJc w:val="right"/>
      <w:pPr>
        <w:ind w:left="2160" w:hanging="180"/>
      </w:pPr>
    </w:lvl>
    <w:lvl w:ilvl="3" w:tplc="DA28BAFC" w:tentative="1">
      <w:start w:val="1"/>
      <w:numFmt w:val="decimal"/>
      <w:lvlText w:val="%4."/>
      <w:lvlJc w:val="left"/>
      <w:pPr>
        <w:ind w:left="2880" w:hanging="360"/>
      </w:pPr>
    </w:lvl>
    <w:lvl w:ilvl="4" w:tplc="C9F8EC98" w:tentative="1">
      <w:start w:val="1"/>
      <w:numFmt w:val="lowerLetter"/>
      <w:lvlText w:val="%5."/>
      <w:lvlJc w:val="left"/>
      <w:pPr>
        <w:ind w:left="3600" w:hanging="360"/>
      </w:pPr>
    </w:lvl>
    <w:lvl w:ilvl="5" w:tplc="1D3AAAE6" w:tentative="1">
      <w:start w:val="1"/>
      <w:numFmt w:val="lowerRoman"/>
      <w:lvlText w:val="%6."/>
      <w:lvlJc w:val="right"/>
      <w:pPr>
        <w:ind w:left="4320" w:hanging="180"/>
      </w:pPr>
    </w:lvl>
    <w:lvl w:ilvl="6" w:tplc="BD70E5A4" w:tentative="1">
      <w:start w:val="1"/>
      <w:numFmt w:val="decimal"/>
      <w:lvlText w:val="%7."/>
      <w:lvlJc w:val="left"/>
      <w:pPr>
        <w:ind w:left="5040" w:hanging="360"/>
      </w:pPr>
    </w:lvl>
    <w:lvl w:ilvl="7" w:tplc="4E128DCE" w:tentative="1">
      <w:start w:val="1"/>
      <w:numFmt w:val="lowerLetter"/>
      <w:lvlText w:val="%8."/>
      <w:lvlJc w:val="left"/>
      <w:pPr>
        <w:ind w:left="5760" w:hanging="360"/>
      </w:pPr>
    </w:lvl>
    <w:lvl w:ilvl="8" w:tplc="A8BA9556" w:tentative="1">
      <w:start w:val="1"/>
      <w:numFmt w:val="lowerRoman"/>
      <w:lvlText w:val="%9."/>
      <w:lvlJc w:val="right"/>
      <w:pPr>
        <w:ind w:left="6480" w:hanging="180"/>
      </w:pPr>
    </w:lvl>
  </w:abstractNum>
  <w:abstractNum w:abstractNumId="23">
    <w:nsid w:val="49655BDB"/>
    <w:multiLevelType w:val="multilevel"/>
    <w:tmpl w:val="46661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4B8329BE"/>
    <w:multiLevelType w:val="hybridMultilevel"/>
    <w:tmpl w:val="4A0C2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C3BDF"/>
    <w:multiLevelType w:val="multilevel"/>
    <w:tmpl w:val="5F1E91A2"/>
    <w:lvl w:ilvl="0">
      <w:start w:val="3"/>
      <w:numFmt w:val="decimal"/>
      <w:lvlText w:val="%1"/>
      <w:lvlJc w:val="left"/>
      <w:pPr>
        <w:ind w:left="360" w:hanging="360"/>
      </w:pPr>
      <w:rPr>
        <w:rFonts w:hint="default"/>
        <w:b/>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7">
    <w:nsid w:val="4E9915D9"/>
    <w:multiLevelType w:val="hybridMultilevel"/>
    <w:tmpl w:val="66343658"/>
    <w:lvl w:ilvl="0" w:tplc="0EA8B966">
      <w:start w:val="1"/>
      <w:numFmt w:val="decimal"/>
      <w:lvlText w:val="%1"/>
      <w:lvlJc w:val="left"/>
      <w:pPr>
        <w:ind w:left="1800" w:hanging="360"/>
      </w:pPr>
      <w:rPr>
        <w:rFonts w:hint="default"/>
      </w:rPr>
    </w:lvl>
    <w:lvl w:ilvl="1" w:tplc="ECD4413E" w:tentative="1">
      <w:start w:val="1"/>
      <w:numFmt w:val="lowerLetter"/>
      <w:lvlText w:val="%2."/>
      <w:lvlJc w:val="left"/>
      <w:pPr>
        <w:ind w:left="2520" w:hanging="360"/>
      </w:pPr>
    </w:lvl>
    <w:lvl w:ilvl="2" w:tplc="319EEF1C" w:tentative="1">
      <w:start w:val="1"/>
      <w:numFmt w:val="lowerRoman"/>
      <w:lvlText w:val="%3."/>
      <w:lvlJc w:val="right"/>
      <w:pPr>
        <w:ind w:left="3240" w:hanging="180"/>
      </w:pPr>
    </w:lvl>
    <w:lvl w:ilvl="3" w:tplc="9224EAC6" w:tentative="1">
      <w:start w:val="1"/>
      <w:numFmt w:val="decimal"/>
      <w:lvlText w:val="%4."/>
      <w:lvlJc w:val="left"/>
      <w:pPr>
        <w:ind w:left="3960" w:hanging="360"/>
      </w:pPr>
    </w:lvl>
    <w:lvl w:ilvl="4" w:tplc="4086A6D8" w:tentative="1">
      <w:start w:val="1"/>
      <w:numFmt w:val="lowerLetter"/>
      <w:lvlText w:val="%5."/>
      <w:lvlJc w:val="left"/>
      <w:pPr>
        <w:ind w:left="4680" w:hanging="360"/>
      </w:pPr>
    </w:lvl>
    <w:lvl w:ilvl="5" w:tplc="595ED448" w:tentative="1">
      <w:start w:val="1"/>
      <w:numFmt w:val="lowerRoman"/>
      <w:lvlText w:val="%6."/>
      <w:lvlJc w:val="right"/>
      <w:pPr>
        <w:ind w:left="5400" w:hanging="180"/>
      </w:pPr>
    </w:lvl>
    <w:lvl w:ilvl="6" w:tplc="5908F7E0" w:tentative="1">
      <w:start w:val="1"/>
      <w:numFmt w:val="decimal"/>
      <w:lvlText w:val="%7."/>
      <w:lvlJc w:val="left"/>
      <w:pPr>
        <w:ind w:left="6120" w:hanging="360"/>
      </w:pPr>
    </w:lvl>
    <w:lvl w:ilvl="7" w:tplc="EEB42A46" w:tentative="1">
      <w:start w:val="1"/>
      <w:numFmt w:val="lowerLetter"/>
      <w:lvlText w:val="%8."/>
      <w:lvlJc w:val="left"/>
      <w:pPr>
        <w:ind w:left="6840" w:hanging="360"/>
      </w:pPr>
    </w:lvl>
    <w:lvl w:ilvl="8" w:tplc="45308FEC" w:tentative="1">
      <w:start w:val="1"/>
      <w:numFmt w:val="lowerRoman"/>
      <w:lvlText w:val="%9."/>
      <w:lvlJc w:val="right"/>
      <w:pPr>
        <w:ind w:left="7560" w:hanging="180"/>
      </w:pPr>
    </w:lvl>
  </w:abstractNum>
  <w:abstractNum w:abstractNumId="28">
    <w:nsid w:val="537F66F3"/>
    <w:multiLevelType w:val="hybridMultilevel"/>
    <w:tmpl w:val="B46AFF26"/>
    <w:lvl w:ilvl="0" w:tplc="FFFFFFFF">
      <w:start w:val="1"/>
      <w:numFmt w:val="lowerLetter"/>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29">
    <w:nsid w:val="563619E0"/>
    <w:multiLevelType w:val="hybridMultilevel"/>
    <w:tmpl w:val="F9222D3E"/>
    <w:lvl w:ilvl="0" w:tplc="F50C8672">
      <w:start w:val="1"/>
      <w:numFmt w:val="decimal"/>
      <w:lvlText w:val="%1-"/>
      <w:lvlJc w:val="left"/>
      <w:pPr>
        <w:ind w:left="720" w:hanging="360"/>
      </w:pPr>
      <w:rPr>
        <w:rFonts w:hint="default"/>
      </w:rPr>
    </w:lvl>
    <w:lvl w:ilvl="1" w:tplc="42644DE6" w:tentative="1">
      <w:start w:val="1"/>
      <w:numFmt w:val="lowerLetter"/>
      <w:lvlText w:val="%2."/>
      <w:lvlJc w:val="left"/>
      <w:pPr>
        <w:ind w:left="1440" w:hanging="360"/>
      </w:pPr>
    </w:lvl>
    <w:lvl w:ilvl="2" w:tplc="E226870C" w:tentative="1">
      <w:start w:val="1"/>
      <w:numFmt w:val="lowerRoman"/>
      <w:lvlText w:val="%3."/>
      <w:lvlJc w:val="right"/>
      <w:pPr>
        <w:ind w:left="2160" w:hanging="180"/>
      </w:pPr>
    </w:lvl>
    <w:lvl w:ilvl="3" w:tplc="53880B2C" w:tentative="1">
      <w:start w:val="1"/>
      <w:numFmt w:val="decimal"/>
      <w:lvlText w:val="%4."/>
      <w:lvlJc w:val="left"/>
      <w:pPr>
        <w:ind w:left="2880" w:hanging="360"/>
      </w:pPr>
    </w:lvl>
    <w:lvl w:ilvl="4" w:tplc="14E885BC" w:tentative="1">
      <w:start w:val="1"/>
      <w:numFmt w:val="lowerLetter"/>
      <w:lvlText w:val="%5."/>
      <w:lvlJc w:val="left"/>
      <w:pPr>
        <w:ind w:left="3600" w:hanging="360"/>
      </w:pPr>
    </w:lvl>
    <w:lvl w:ilvl="5" w:tplc="0E22ABE8" w:tentative="1">
      <w:start w:val="1"/>
      <w:numFmt w:val="lowerRoman"/>
      <w:lvlText w:val="%6."/>
      <w:lvlJc w:val="right"/>
      <w:pPr>
        <w:ind w:left="4320" w:hanging="180"/>
      </w:pPr>
    </w:lvl>
    <w:lvl w:ilvl="6" w:tplc="7CCAD7EA" w:tentative="1">
      <w:start w:val="1"/>
      <w:numFmt w:val="decimal"/>
      <w:lvlText w:val="%7."/>
      <w:lvlJc w:val="left"/>
      <w:pPr>
        <w:ind w:left="5040" w:hanging="360"/>
      </w:pPr>
    </w:lvl>
    <w:lvl w:ilvl="7" w:tplc="ADFC2B94" w:tentative="1">
      <w:start w:val="1"/>
      <w:numFmt w:val="lowerLetter"/>
      <w:lvlText w:val="%8."/>
      <w:lvlJc w:val="left"/>
      <w:pPr>
        <w:ind w:left="5760" w:hanging="360"/>
      </w:pPr>
    </w:lvl>
    <w:lvl w:ilvl="8" w:tplc="15C0AAEA" w:tentative="1">
      <w:start w:val="1"/>
      <w:numFmt w:val="lowerRoman"/>
      <w:lvlText w:val="%9."/>
      <w:lvlJc w:val="right"/>
      <w:pPr>
        <w:ind w:left="6480" w:hanging="180"/>
      </w:pPr>
    </w:lvl>
  </w:abstractNum>
  <w:abstractNum w:abstractNumId="30">
    <w:nsid w:val="580A3B8D"/>
    <w:multiLevelType w:val="multilevel"/>
    <w:tmpl w:val="DA0A729A"/>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1">
    <w:nsid w:val="58AD3470"/>
    <w:multiLevelType w:val="hybridMultilevel"/>
    <w:tmpl w:val="E396B444"/>
    <w:lvl w:ilvl="0" w:tplc="04090001">
      <w:start w:val="1"/>
      <w:numFmt w:val="bullet"/>
      <w:lvlText w:val=""/>
      <w:lvlJc w:val="left"/>
      <w:pPr>
        <w:ind w:left="1440" w:hanging="360"/>
      </w:pPr>
      <w:rPr>
        <w:rFonts w:ascii="Symbol" w:hAnsi="Symbol" w:hint="default"/>
      </w:rPr>
    </w:lvl>
    <w:lvl w:ilvl="1" w:tplc="ECD4413E" w:tentative="1">
      <w:start w:val="1"/>
      <w:numFmt w:val="bullet"/>
      <w:lvlText w:val="o"/>
      <w:lvlJc w:val="left"/>
      <w:pPr>
        <w:ind w:left="2160" w:hanging="360"/>
      </w:pPr>
      <w:rPr>
        <w:rFonts w:ascii="Courier New" w:hAnsi="Courier New" w:cs="Courier New" w:hint="default"/>
      </w:rPr>
    </w:lvl>
    <w:lvl w:ilvl="2" w:tplc="319EEF1C" w:tentative="1">
      <w:start w:val="1"/>
      <w:numFmt w:val="bullet"/>
      <w:lvlText w:val=""/>
      <w:lvlJc w:val="left"/>
      <w:pPr>
        <w:ind w:left="2880" w:hanging="360"/>
      </w:pPr>
      <w:rPr>
        <w:rFonts w:ascii="Wingdings" w:hAnsi="Wingdings" w:hint="default"/>
      </w:rPr>
    </w:lvl>
    <w:lvl w:ilvl="3" w:tplc="9224EAC6" w:tentative="1">
      <w:start w:val="1"/>
      <w:numFmt w:val="bullet"/>
      <w:lvlText w:val=""/>
      <w:lvlJc w:val="left"/>
      <w:pPr>
        <w:ind w:left="3600" w:hanging="360"/>
      </w:pPr>
      <w:rPr>
        <w:rFonts w:ascii="Symbol" w:hAnsi="Symbol" w:hint="default"/>
      </w:rPr>
    </w:lvl>
    <w:lvl w:ilvl="4" w:tplc="4086A6D8" w:tentative="1">
      <w:start w:val="1"/>
      <w:numFmt w:val="bullet"/>
      <w:lvlText w:val="o"/>
      <w:lvlJc w:val="left"/>
      <w:pPr>
        <w:ind w:left="4320" w:hanging="360"/>
      </w:pPr>
      <w:rPr>
        <w:rFonts w:ascii="Courier New" w:hAnsi="Courier New" w:cs="Courier New" w:hint="default"/>
      </w:rPr>
    </w:lvl>
    <w:lvl w:ilvl="5" w:tplc="595ED448" w:tentative="1">
      <w:start w:val="1"/>
      <w:numFmt w:val="bullet"/>
      <w:lvlText w:val=""/>
      <w:lvlJc w:val="left"/>
      <w:pPr>
        <w:ind w:left="5040" w:hanging="360"/>
      </w:pPr>
      <w:rPr>
        <w:rFonts w:ascii="Wingdings" w:hAnsi="Wingdings" w:hint="default"/>
      </w:rPr>
    </w:lvl>
    <w:lvl w:ilvl="6" w:tplc="5908F7E0" w:tentative="1">
      <w:start w:val="1"/>
      <w:numFmt w:val="bullet"/>
      <w:lvlText w:val=""/>
      <w:lvlJc w:val="left"/>
      <w:pPr>
        <w:ind w:left="5760" w:hanging="360"/>
      </w:pPr>
      <w:rPr>
        <w:rFonts w:ascii="Symbol" w:hAnsi="Symbol" w:hint="default"/>
      </w:rPr>
    </w:lvl>
    <w:lvl w:ilvl="7" w:tplc="EEB42A46" w:tentative="1">
      <w:start w:val="1"/>
      <w:numFmt w:val="bullet"/>
      <w:lvlText w:val="o"/>
      <w:lvlJc w:val="left"/>
      <w:pPr>
        <w:ind w:left="6480" w:hanging="360"/>
      </w:pPr>
      <w:rPr>
        <w:rFonts w:ascii="Courier New" w:hAnsi="Courier New" w:cs="Courier New" w:hint="default"/>
      </w:rPr>
    </w:lvl>
    <w:lvl w:ilvl="8" w:tplc="45308FEC" w:tentative="1">
      <w:start w:val="1"/>
      <w:numFmt w:val="bullet"/>
      <w:lvlText w:val=""/>
      <w:lvlJc w:val="left"/>
      <w:pPr>
        <w:ind w:left="7200" w:hanging="360"/>
      </w:pPr>
      <w:rPr>
        <w:rFonts w:ascii="Wingdings" w:hAnsi="Wingdings" w:hint="default"/>
      </w:rPr>
    </w:lvl>
  </w:abstractNum>
  <w:abstractNum w:abstractNumId="32">
    <w:nsid w:val="5A815C65"/>
    <w:multiLevelType w:val="multilevel"/>
    <w:tmpl w:val="AFFE4E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E24763"/>
    <w:multiLevelType w:val="hybridMultilevel"/>
    <w:tmpl w:val="E59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F3463"/>
    <w:multiLevelType w:val="hybridMultilevel"/>
    <w:tmpl w:val="0BF8A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73C62"/>
    <w:multiLevelType w:val="hybridMultilevel"/>
    <w:tmpl w:val="B9E0528C"/>
    <w:lvl w:ilvl="0" w:tplc="87E00B2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nsid w:val="60C9486B"/>
    <w:multiLevelType w:val="hybridMultilevel"/>
    <w:tmpl w:val="9884AE22"/>
    <w:lvl w:ilvl="0" w:tplc="D4FC7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C23DD"/>
    <w:multiLevelType w:val="hybridMultilevel"/>
    <w:tmpl w:val="E5243CDC"/>
    <w:lvl w:ilvl="0" w:tplc="0409001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7B5E36"/>
    <w:multiLevelType w:val="hybridMultilevel"/>
    <w:tmpl w:val="0214FA9C"/>
    <w:lvl w:ilvl="0" w:tplc="06CAD1E2">
      <w:start w:val="1"/>
      <w:numFmt w:val="lowerRoman"/>
      <w:lvlText w:val="%1."/>
      <w:lvlJc w:val="left"/>
      <w:pPr>
        <w:tabs>
          <w:tab w:val="num" w:pos="1698"/>
        </w:tabs>
        <w:ind w:left="1335" w:hanging="357"/>
      </w:pPr>
      <w:rPr>
        <w:rFonts w:hint="default"/>
        <w:b w:val="0"/>
        <w:i w:val="0"/>
      </w:rPr>
    </w:lvl>
    <w:lvl w:ilvl="1" w:tplc="5FD60CFE" w:tentative="1">
      <w:start w:val="1"/>
      <w:numFmt w:val="lowerLetter"/>
      <w:lvlText w:val="%2."/>
      <w:lvlJc w:val="left"/>
      <w:pPr>
        <w:tabs>
          <w:tab w:val="num" w:pos="2418"/>
        </w:tabs>
        <w:ind w:left="2418" w:hanging="360"/>
      </w:pPr>
    </w:lvl>
    <w:lvl w:ilvl="2" w:tplc="B6F8E960" w:tentative="1">
      <w:start w:val="1"/>
      <w:numFmt w:val="lowerRoman"/>
      <w:lvlText w:val="%3."/>
      <w:lvlJc w:val="right"/>
      <w:pPr>
        <w:tabs>
          <w:tab w:val="num" w:pos="3138"/>
        </w:tabs>
        <w:ind w:left="3138" w:hanging="180"/>
      </w:pPr>
    </w:lvl>
    <w:lvl w:ilvl="3" w:tplc="A5C63A74" w:tentative="1">
      <w:start w:val="1"/>
      <w:numFmt w:val="decimal"/>
      <w:lvlText w:val="%4."/>
      <w:lvlJc w:val="left"/>
      <w:pPr>
        <w:tabs>
          <w:tab w:val="num" w:pos="3858"/>
        </w:tabs>
        <w:ind w:left="3858" w:hanging="360"/>
      </w:pPr>
    </w:lvl>
    <w:lvl w:ilvl="4" w:tplc="C42E8C70" w:tentative="1">
      <w:start w:val="1"/>
      <w:numFmt w:val="lowerLetter"/>
      <w:lvlText w:val="%5."/>
      <w:lvlJc w:val="left"/>
      <w:pPr>
        <w:tabs>
          <w:tab w:val="num" w:pos="4578"/>
        </w:tabs>
        <w:ind w:left="4578" w:hanging="360"/>
      </w:pPr>
    </w:lvl>
    <w:lvl w:ilvl="5" w:tplc="2B1E730C" w:tentative="1">
      <w:start w:val="1"/>
      <w:numFmt w:val="lowerRoman"/>
      <w:lvlText w:val="%6."/>
      <w:lvlJc w:val="right"/>
      <w:pPr>
        <w:tabs>
          <w:tab w:val="num" w:pos="5298"/>
        </w:tabs>
        <w:ind w:left="5298" w:hanging="180"/>
      </w:pPr>
    </w:lvl>
    <w:lvl w:ilvl="6" w:tplc="1E46C786" w:tentative="1">
      <w:start w:val="1"/>
      <w:numFmt w:val="decimal"/>
      <w:lvlText w:val="%7."/>
      <w:lvlJc w:val="left"/>
      <w:pPr>
        <w:tabs>
          <w:tab w:val="num" w:pos="6018"/>
        </w:tabs>
        <w:ind w:left="6018" w:hanging="360"/>
      </w:pPr>
    </w:lvl>
    <w:lvl w:ilvl="7" w:tplc="D3002DC0" w:tentative="1">
      <w:start w:val="1"/>
      <w:numFmt w:val="lowerLetter"/>
      <w:lvlText w:val="%8."/>
      <w:lvlJc w:val="left"/>
      <w:pPr>
        <w:tabs>
          <w:tab w:val="num" w:pos="6738"/>
        </w:tabs>
        <w:ind w:left="6738" w:hanging="360"/>
      </w:pPr>
    </w:lvl>
    <w:lvl w:ilvl="8" w:tplc="69E4E134" w:tentative="1">
      <w:start w:val="1"/>
      <w:numFmt w:val="lowerRoman"/>
      <w:lvlText w:val="%9."/>
      <w:lvlJc w:val="right"/>
      <w:pPr>
        <w:tabs>
          <w:tab w:val="num" w:pos="7458"/>
        </w:tabs>
        <w:ind w:left="7458" w:hanging="180"/>
      </w:pPr>
    </w:lvl>
  </w:abstractNum>
  <w:abstractNum w:abstractNumId="39">
    <w:nsid w:val="6431746B"/>
    <w:multiLevelType w:val="hybridMultilevel"/>
    <w:tmpl w:val="094602FC"/>
    <w:lvl w:ilvl="0" w:tplc="67E8C3C0">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nsid w:val="66B75566"/>
    <w:multiLevelType w:val="hybridMultilevel"/>
    <w:tmpl w:val="FD82F1C4"/>
    <w:lvl w:ilvl="0" w:tplc="F638782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left"/>
      <w:pPr>
        <w:tabs>
          <w:tab w:val="num" w:pos="3057"/>
        </w:tabs>
        <w:ind w:left="3057" w:hanging="1257"/>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DBC12AB"/>
    <w:multiLevelType w:val="hybridMultilevel"/>
    <w:tmpl w:val="E4843BA8"/>
    <w:lvl w:ilvl="0" w:tplc="B9A463B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1B61A7A"/>
    <w:multiLevelType w:val="hybridMultilevel"/>
    <w:tmpl w:val="3EFEF9BE"/>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B07D2"/>
    <w:multiLevelType w:val="hybridMultilevel"/>
    <w:tmpl w:val="5FD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F66D40"/>
    <w:multiLevelType w:val="hybridMultilevel"/>
    <w:tmpl w:val="7242B2BE"/>
    <w:lvl w:ilvl="0" w:tplc="BB343B62">
      <w:start w:val="1"/>
      <w:numFmt w:val="lowerLetter"/>
      <w:lvlText w:val="%1."/>
      <w:lvlJc w:val="left"/>
      <w:pPr>
        <w:tabs>
          <w:tab w:val="num" w:pos="1440"/>
        </w:tabs>
        <w:ind w:left="1440" w:hanging="360"/>
      </w:pPr>
      <w:rPr>
        <w:rFonts w:cs="Times New Roman" w:hint="default"/>
      </w:rPr>
    </w:lvl>
    <w:lvl w:ilvl="1" w:tplc="9560278A" w:tentative="1">
      <w:start w:val="1"/>
      <w:numFmt w:val="lowerLetter"/>
      <w:lvlText w:val="%2."/>
      <w:lvlJc w:val="left"/>
      <w:pPr>
        <w:tabs>
          <w:tab w:val="num" w:pos="2160"/>
        </w:tabs>
        <w:ind w:left="2160" w:hanging="360"/>
      </w:pPr>
      <w:rPr>
        <w:rFonts w:cs="Times New Roman"/>
      </w:rPr>
    </w:lvl>
    <w:lvl w:ilvl="2" w:tplc="3DF2F5C4" w:tentative="1">
      <w:start w:val="1"/>
      <w:numFmt w:val="lowerRoman"/>
      <w:lvlText w:val="%3."/>
      <w:lvlJc w:val="right"/>
      <w:pPr>
        <w:tabs>
          <w:tab w:val="num" w:pos="2880"/>
        </w:tabs>
        <w:ind w:left="2880" w:hanging="180"/>
      </w:pPr>
      <w:rPr>
        <w:rFonts w:cs="Times New Roman"/>
      </w:rPr>
    </w:lvl>
    <w:lvl w:ilvl="3" w:tplc="E4F41F2A" w:tentative="1">
      <w:start w:val="1"/>
      <w:numFmt w:val="decimal"/>
      <w:lvlText w:val="%4."/>
      <w:lvlJc w:val="left"/>
      <w:pPr>
        <w:tabs>
          <w:tab w:val="num" w:pos="3600"/>
        </w:tabs>
        <w:ind w:left="3600" w:hanging="360"/>
      </w:pPr>
      <w:rPr>
        <w:rFonts w:cs="Times New Roman"/>
      </w:rPr>
    </w:lvl>
    <w:lvl w:ilvl="4" w:tplc="00EA8AA4" w:tentative="1">
      <w:start w:val="1"/>
      <w:numFmt w:val="lowerLetter"/>
      <w:lvlText w:val="%5."/>
      <w:lvlJc w:val="left"/>
      <w:pPr>
        <w:tabs>
          <w:tab w:val="num" w:pos="4320"/>
        </w:tabs>
        <w:ind w:left="4320" w:hanging="360"/>
      </w:pPr>
      <w:rPr>
        <w:rFonts w:cs="Times New Roman"/>
      </w:rPr>
    </w:lvl>
    <w:lvl w:ilvl="5" w:tplc="1DDA8594" w:tentative="1">
      <w:start w:val="1"/>
      <w:numFmt w:val="lowerRoman"/>
      <w:lvlText w:val="%6."/>
      <w:lvlJc w:val="right"/>
      <w:pPr>
        <w:tabs>
          <w:tab w:val="num" w:pos="5040"/>
        </w:tabs>
        <w:ind w:left="5040" w:hanging="180"/>
      </w:pPr>
      <w:rPr>
        <w:rFonts w:cs="Times New Roman"/>
      </w:rPr>
    </w:lvl>
    <w:lvl w:ilvl="6" w:tplc="11147E34" w:tentative="1">
      <w:start w:val="1"/>
      <w:numFmt w:val="decimal"/>
      <w:lvlText w:val="%7."/>
      <w:lvlJc w:val="left"/>
      <w:pPr>
        <w:tabs>
          <w:tab w:val="num" w:pos="5760"/>
        </w:tabs>
        <w:ind w:left="5760" w:hanging="360"/>
      </w:pPr>
      <w:rPr>
        <w:rFonts w:cs="Times New Roman"/>
      </w:rPr>
    </w:lvl>
    <w:lvl w:ilvl="7" w:tplc="FBD6E648" w:tentative="1">
      <w:start w:val="1"/>
      <w:numFmt w:val="lowerLetter"/>
      <w:lvlText w:val="%8."/>
      <w:lvlJc w:val="left"/>
      <w:pPr>
        <w:tabs>
          <w:tab w:val="num" w:pos="6480"/>
        </w:tabs>
        <w:ind w:left="6480" w:hanging="360"/>
      </w:pPr>
      <w:rPr>
        <w:rFonts w:cs="Times New Roman"/>
      </w:rPr>
    </w:lvl>
    <w:lvl w:ilvl="8" w:tplc="1C147A58" w:tentative="1">
      <w:start w:val="1"/>
      <w:numFmt w:val="lowerRoman"/>
      <w:lvlText w:val="%9."/>
      <w:lvlJc w:val="right"/>
      <w:pPr>
        <w:tabs>
          <w:tab w:val="num" w:pos="7200"/>
        </w:tabs>
        <w:ind w:left="7200" w:hanging="180"/>
      </w:pPr>
      <w:rPr>
        <w:rFonts w:cs="Times New Roman"/>
      </w:rPr>
    </w:lvl>
  </w:abstractNum>
  <w:abstractNum w:abstractNumId="45">
    <w:nsid w:val="74B216B8"/>
    <w:multiLevelType w:val="hybridMultilevel"/>
    <w:tmpl w:val="843C6B78"/>
    <w:lvl w:ilvl="0" w:tplc="0416000F">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7">
    <w:nsid w:val="780414B5"/>
    <w:multiLevelType w:val="hybridMultilevel"/>
    <w:tmpl w:val="82E61890"/>
    <w:lvl w:ilvl="0" w:tplc="0EA8B966">
      <w:start w:val="1"/>
      <w:numFmt w:val="lowerLetter"/>
      <w:lvlText w:val="%1."/>
      <w:lvlJc w:val="left"/>
      <w:pPr>
        <w:tabs>
          <w:tab w:val="num" w:pos="1080"/>
        </w:tabs>
        <w:ind w:left="1080" w:hanging="360"/>
      </w:pPr>
      <w:rPr>
        <w:rFonts w:cs="Times New Roman" w:hint="default"/>
        <w:b/>
      </w:rPr>
    </w:lvl>
    <w:lvl w:ilvl="1" w:tplc="ECD4413E" w:tentative="1">
      <w:start w:val="1"/>
      <w:numFmt w:val="lowerLetter"/>
      <w:lvlText w:val="%2."/>
      <w:lvlJc w:val="left"/>
      <w:pPr>
        <w:tabs>
          <w:tab w:val="num" w:pos="1800"/>
        </w:tabs>
        <w:ind w:left="1800" w:hanging="360"/>
      </w:pPr>
      <w:rPr>
        <w:rFonts w:cs="Times New Roman"/>
      </w:rPr>
    </w:lvl>
    <w:lvl w:ilvl="2" w:tplc="319EEF1C" w:tentative="1">
      <w:start w:val="1"/>
      <w:numFmt w:val="lowerRoman"/>
      <w:lvlText w:val="%3."/>
      <w:lvlJc w:val="right"/>
      <w:pPr>
        <w:tabs>
          <w:tab w:val="num" w:pos="2520"/>
        </w:tabs>
        <w:ind w:left="2520" w:hanging="180"/>
      </w:pPr>
      <w:rPr>
        <w:rFonts w:cs="Times New Roman"/>
      </w:rPr>
    </w:lvl>
    <w:lvl w:ilvl="3" w:tplc="9224EAC6" w:tentative="1">
      <w:start w:val="1"/>
      <w:numFmt w:val="decimal"/>
      <w:lvlText w:val="%4."/>
      <w:lvlJc w:val="left"/>
      <w:pPr>
        <w:tabs>
          <w:tab w:val="num" w:pos="3240"/>
        </w:tabs>
        <w:ind w:left="3240" w:hanging="360"/>
      </w:pPr>
      <w:rPr>
        <w:rFonts w:cs="Times New Roman"/>
      </w:rPr>
    </w:lvl>
    <w:lvl w:ilvl="4" w:tplc="4086A6D8" w:tentative="1">
      <w:start w:val="1"/>
      <w:numFmt w:val="lowerLetter"/>
      <w:lvlText w:val="%5."/>
      <w:lvlJc w:val="left"/>
      <w:pPr>
        <w:tabs>
          <w:tab w:val="num" w:pos="3960"/>
        </w:tabs>
        <w:ind w:left="3960" w:hanging="360"/>
      </w:pPr>
      <w:rPr>
        <w:rFonts w:cs="Times New Roman"/>
      </w:rPr>
    </w:lvl>
    <w:lvl w:ilvl="5" w:tplc="595ED448" w:tentative="1">
      <w:start w:val="1"/>
      <w:numFmt w:val="lowerRoman"/>
      <w:lvlText w:val="%6."/>
      <w:lvlJc w:val="right"/>
      <w:pPr>
        <w:tabs>
          <w:tab w:val="num" w:pos="4680"/>
        </w:tabs>
        <w:ind w:left="4680" w:hanging="180"/>
      </w:pPr>
      <w:rPr>
        <w:rFonts w:cs="Times New Roman"/>
      </w:rPr>
    </w:lvl>
    <w:lvl w:ilvl="6" w:tplc="5908F7E0" w:tentative="1">
      <w:start w:val="1"/>
      <w:numFmt w:val="decimal"/>
      <w:lvlText w:val="%7."/>
      <w:lvlJc w:val="left"/>
      <w:pPr>
        <w:tabs>
          <w:tab w:val="num" w:pos="5400"/>
        </w:tabs>
        <w:ind w:left="5400" w:hanging="360"/>
      </w:pPr>
      <w:rPr>
        <w:rFonts w:cs="Times New Roman"/>
      </w:rPr>
    </w:lvl>
    <w:lvl w:ilvl="7" w:tplc="EEB42A46" w:tentative="1">
      <w:start w:val="1"/>
      <w:numFmt w:val="lowerLetter"/>
      <w:lvlText w:val="%8."/>
      <w:lvlJc w:val="left"/>
      <w:pPr>
        <w:tabs>
          <w:tab w:val="num" w:pos="6120"/>
        </w:tabs>
        <w:ind w:left="6120" w:hanging="360"/>
      </w:pPr>
      <w:rPr>
        <w:rFonts w:cs="Times New Roman"/>
      </w:rPr>
    </w:lvl>
    <w:lvl w:ilvl="8" w:tplc="45308FEC" w:tentative="1">
      <w:start w:val="1"/>
      <w:numFmt w:val="lowerRoman"/>
      <w:lvlText w:val="%9."/>
      <w:lvlJc w:val="right"/>
      <w:pPr>
        <w:tabs>
          <w:tab w:val="num" w:pos="6840"/>
        </w:tabs>
        <w:ind w:left="6840" w:hanging="180"/>
      </w:pPr>
      <w:rPr>
        <w:rFonts w:cs="Times New Roman"/>
      </w:rPr>
    </w:lvl>
  </w:abstractNum>
  <w:abstractNum w:abstractNumId="48">
    <w:nsid w:val="7AC955E3"/>
    <w:multiLevelType w:val="multilevel"/>
    <w:tmpl w:val="5C5A8286"/>
    <w:lvl w:ilvl="0">
      <w:start w:val="1"/>
      <w:numFmt w:val="decimal"/>
      <w:lvlText w:val="%1"/>
      <w:lvlJc w:val="left"/>
      <w:pPr>
        <w:ind w:left="360" w:hanging="360"/>
      </w:pPr>
      <w:rPr>
        <w:rFonts w:hint="default"/>
        <w:color w:val="000000" w:themeColor="text1"/>
      </w:rPr>
    </w:lvl>
    <w:lvl w:ilvl="1">
      <w:start w:val="1"/>
      <w:numFmt w:val="decimal"/>
      <w:lvlText w:val="%1.%2"/>
      <w:lvlJc w:val="left"/>
      <w:pPr>
        <w:ind w:left="672" w:hanging="360"/>
      </w:pPr>
      <w:rPr>
        <w:rFonts w:hint="default"/>
        <w:color w:val="000000" w:themeColor="text1"/>
      </w:rPr>
    </w:lvl>
    <w:lvl w:ilvl="2">
      <w:start w:val="1"/>
      <w:numFmt w:val="upperLetter"/>
      <w:lvlText w:val="%1.%2.%3"/>
      <w:lvlJc w:val="left"/>
      <w:pPr>
        <w:ind w:left="1344" w:hanging="720"/>
      </w:pPr>
      <w:rPr>
        <w:rFonts w:hint="default"/>
        <w:color w:val="000000" w:themeColor="text1"/>
      </w:rPr>
    </w:lvl>
    <w:lvl w:ilvl="3">
      <w:start w:val="1"/>
      <w:numFmt w:val="decimal"/>
      <w:lvlText w:val="%1.%2.%3.%4"/>
      <w:lvlJc w:val="left"/>
      <w:pPr>
        <w:ind w:left="1656" w:hanging="720"/>
      </w:pPr>
      <w:rPr>
        <w:rFonts w:hint="default"/>
        <w:color w:val="000000" w:themeColor="text1"/>
      </w:rPr>
    </w:lvl>
    <w:lvl w:ilvl="4">
      <w:start w:val="1"/>
      <w:numFmt w:val="decimal"/>
      <w:lvlText w:val="%1.%2.%3.%4.%5"/>
      <w:lvlJc w:val="left"/>
      <w:pPr>
        <w:ind w:left="1968" w:hanging="720"/>
      </w:pPr>
      <w:rPr>
        <w:rFonts w:hint="default"/>
        <w:color w:val="000000" w:themeColor="text1"/>
      </w:rPr>
    </w:lvl>
    <w:lvl w:ilvl="5">
      <w:start w:val="1"/>
      <w:numFmt w:val="decimal"/>
      <w:lvlText w:val="%1.%2.%3.%4.%5.%6"/>
      <w:lvlJc w:val="left"/>
      <w:pPr>
        <w:ind w:left="2640" w:hanging="1080"/>
      </w:pPr>
      <w:rPr>
        <w:rFonts w:hint="default"/>
        <w:color w:val="000000" w:themeColor="text1"/>
      </w:rPr>
    </w:lvl>
    <w:lvl w:ilvl="6">
      <w:start w:val="1"/>
      <w:numFmt w:val="decimal"/>
      <w:lvlText w:val="%1.%2.%3.%4.%5.%6.%7"/>
      <w:lvlJc w:val="left"/>
      <w:pPr>
        <w:ind w:left="2952" w:hanging="1080"/>
      </w:pPr>
      <w:rPr>
        <w:rFonts w:hint="default"/>
        <w:color w:val="000000" w:themeColor="text1"/>
      </w:rPr>
    </w:lvl>
    <w:lvl w:ilvl="7">
      <w:start w:val="1"/>
      <w:numFmt w:val="decimal"/>
      <w:lvlText w:val="%1.%2.%3.%4.%5.%6.%7.%8"/>
      <w:lvlJc w:val="left"/>
      <w:pPr>
        <w:ind w:left="3624" w:hanging="1440"/>
      </w:pPr>
      <w:rPr>
        <w:rFonts w:hint="default"/>
        <w:color w:val="000000" w:themeColor="text1"/>
      </w:rPr>
    </w:lvl>
    <w:lvl w:ilvl="8">
      <w:start w:val="1"/>
      <w:numFmt w:val="decimal"/>
      <w:lvlText w:val="%1.%2.%3.%4.%5.%6.%7.%8.%9"/>
      <w:lvlJc w:val="left"/>
      <w:pPr>
        <w:ind w:left="3936" w:hanging="1440"/>
      </w:pPr>
      <w:rPr>
        <w:rFonts w:hint="default"/>
        <w:color w:val="000000" w:themeColor="text1"/>
      </w:rPr>
    </w:lvl>
  </w:abstractNum>
  <w:abstractNum w:abstractNumId="49">
    <w:nsid w:val="7C010879"/>
    <w:multiLevelType w:val="hybridMultilevel"/>
    <w:tmpl w:val="7EB2D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A46A2B"/>
    <w:multiLevelType w:val="hybridMultilevel"/>
    <w:tmpl w:val="71F2A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4"/>
  </w:num>
  <w:num w:numId="6">
    <w:abstractNumId w:val="32"/>
  </w:num>
  <w:num w:numId="7">
    <w:abstractNumId w:val="38"/>
  </w:num>
  <w:num w:numId="8">
    <w:abstractNumId w:val="37"/>
  </w:num>
  <w:num w:numId="9">
    <w:abstractNumId w:val="3"/>
  </w:num>
  <w:num w:numId="10">
    <w:abstractNumId w:val="20"/>
  </w:num>
  <w:num w:numId="11">
    <w:abstractNumId w:val="9"/>
  </w:num>
  <w:num w:numId="12">
    <w:abstractNumId w:val="31"/>
  </w:num>
  <w:num w:numId="13">
    <w:abstractNumId w:val="16"/>
  </w:num>
  <w:num w:numId="14">
    <w:abstractNumId w:val="47"/>
  </w:num>
  <w:num w:numId="15">
    <w:abstractNumId w:val="12"/>
  </w:num>
  <w:num w:numId="16">
    <w:abstractNumId w:val="8"/>
  </w:num>
  <w:num w:numId="17">
    <w:abstractNumId w:val="36"/>
  </w:num>
  <w:num w:numId="18">
    <w:abstractNumId w:val="44"/>
  </w:num>
  <w:num w:numId="19">
    <w:abstractNumId w:val="27"/>
  </w:num>
  <w:num w:numId="20">
    <w:abstractNumId w:val="7"/>
  </w:num>
  <w:num w:numId="21">
    <w:abstractNumId w:val="24"/>
  </w:num>
  <w:num w:numId="22">
    <w:abstractNumId w:val="29"/>
  </w:num>
  <w:num w:numId="23">
    <w:abstractNumId w:val="13"/>
  </w:num>
  <w:num w:numId="24">
    <w:abstractNumId w:val="45"/>
  </w:num>
  <w:num w:numId="25">
    <w:abstractNumId w:val="42"/>
  </w:num>
  <w:num w:numId="26">
    <w:abstractNumId w:val="17"/>
  </w:num>
  <w:num w:numId="27">
    <w:abstractNumId w:val="22"/>
  </w:num>
  <w:num w:numId="28">
    <w:abstractNumId w:val="48"/>
  </w:num>
  <w:num w:numId="29">
    <w:abstractNumId w:val="2"/>
  </w:num>
  <w:num w:numId="30">
    <w:abstractNumId w:val="30"/>
  </w:num>
  <w:num w:numId="31">
    <w:abstractNumId w:val="5"/>
  </w:num>
  <w:num w:numId="32">
    <w:abstractNumId w:val="39"/>
  </w:num>
  <w:num w:numId="33">
    <w:abstractNumId w:val="41"/>
  </w:num>
  <w:num w:numId="34">
    <w:abstractNumId w:val="35"/>
  </w:num>
  <w:num w:numId="35">
    <w:abstractNumId w:val="11"/>
  </w:num>
  <w:num w:numId="36">
    <w:abstractNumId w:val="4"/>
  </w:num>
  <w:num w:numId="37">
    <w:abstractNumId w:val="28"/>
  </w:num>
  <w:num w:numId="38">
    <w:abstractNumId w:val="18"/>
  </w:num>
  <w:num w:numId="39">
    <w:abstractNumId w:val="26"/>
  </w:num>
  <w:num w:numId="40">
    <w:abstractNumId w:val="50"/>
  </w:num>
  <w:num w:numId="41">
    <w:abstractNumId w:val="15"/>
  </w:num>
  <w:num w:numId="42">
    <w:abstractNumId w:val="25"/>
  </w:num>
  <w:num w:numId="43">
    <w:abstractNumId w:val="21"/>
  </w:num>
  <w:num w:numId="44">
    <w:abstractNumId w:val="19"/>
  </w:num>
  <w:num w:numId="45">
    <w:abstractNumId w:val="0"/>
  </w:num>
  <w:num w:numId="46">
    <w:abstractNumId w:val="49"/>
  </w:num>
  <w:num w:numId="47">
    <w:abstractNumId w:val="10"/>
  </w:num>
  <w:num w:numId="48">
    <w:abstractNumId w:val="6"/>
  </w:num>
  <w:num w:numId="49">
    <w:abstractNumId w:val="1"/>
  </w:num>
  <w:num w:numId="50">
    <w:abstractNumId w:val="33"/>
  </w:num>
  <w:num w:numId="51">
    <w:abstractNumId w:val="43"/>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C3"/>
    <w:rsid w:val="00005C0E"/>
    <w:rsid w:val="00013939"/>
    <w:rsid w:val="00015FDF"/>
    <w:rsid w:val="00053E35"/>
    <w:rsid w:val="00086045"/>
    <w:rsid w:val="000947FF"/>
    <w:rsid w:val="000B0A6A"/>
    <w:rsid w:val="000B186A"/>
    <w:rsid w:val="000C7A6C"/>
    <w:rsid w:val="00107663"/>
    <w:rsid w:val="00133551"/>
    <w:rsid w:val="0015621C"/>
    <w:rsid w:val="00160B02"/>
    <w:rsid w:val="001641BB"/>
    <w:rsid w:val="001743E5"/>
    <w:rsid w:val="00192BBB"/>
    <w:rsid w:val="001A1F50"/>
    <w:rsid w:val="002177B7"/>
    <w:rsid w:val="00223F4F"/>
    <w:rsid w:val="00246FC9"/>
    <w:rsid w:val="00267C80"/>
    <w:rsid w:val="00271FDC"/>
    <w:rsid w:val="00281AC3"/>
    <w:rsid w:val="00284D79"/>
    <w:rsid w:val="002949F4"/>
    <w:rsid w:val="002A33C2"/>
    <w:rsid w:val="002C3FFE"/>
    <w:rsid w:val="002D1E15"/>
    <w:rsid w:val="002E1F46"/>
    <w:rsid w:val="002E3F77"/>
    <w:rsid w:val="002F6F90"/>
    <w:rsid w:val="0030253E"/>
    <w:rsid w:val="00302AB7"/>
    <w:rsid w:val="00305BF8"/>
    <w:rsid w:val="00306757"/>
    <w:rsid w:val="00356FFF"/>
    <w:rsid w:val="003604CF"/>
    <w:rsid w:val="003750FA"/>
    <w:rsid w:val="0038441B"/>
    <w:rsid w:val="003964FB"/>
    <w:rsid w:val="00396984"/>
    <w:rsid w:val="003B40CB"/>
    <w:rsid w:val="003B62A4"/>
    <w:rsid w:val="003D5532"/>
    <w:rsid w:val="003E68D0"/>
    <w:rsid w:val="004016ED"/>
    <w:rsid w:val="004060BD"/>
    <w:rsid w:val="004064E5"/>
    <w:rsid w:val="0041239D"/>
    <w:rsid w:val="00427FF6"/>
    <w:rsid w:val="00444D9C"/>
    <w:rsid w:val="00451BB6"/>
    <w:rsid w:val="00451BF2"/>
    <w:rsid w:val="00463526"/>
    <w:rsid w:val="0047412F"/>
    <w:rsid w:val="004A0843"/>
    <w:rsid w:val="004D32ED"/>
    <w:rsid w:val="004D6B22"/>
    <w:rsid w:val="0051240D"/>
    <w:rsid w:val="00530A6E"/>
    <w:rsid w:val="005401BC"/>
    <w:rsid w:val="005408E3"/>
    <w:rsid w:val="00543F4F"/>
    <w:rsid w:val="00550DB9"/>
    <w:rsid w:val="005552D8"/>
    <w:rsid w:val="00566D4F"/>
    <w:rsid w:val="00580214"/>
    <w:rsid w:val="00583036"/>
    <w:rsid w:val="0058495B"/>
    <w:rsid w:val="005C6DEA"/>
    <w:rsid w:val="005C7538"/>
    <w:rsid w:val="005E0ECB"/>
    <w:rsid w:val="005E39A5"/>
    <w:rsid w:val="006040FC"/>
    <w:rsid w:val="00605D0A"/>
    <w:rsid w:val="006078F1"/>
    <w:rsid w:val="006124F6"/>
    <w:rsid w:val="0061307E"/>
    <w:rsid w:val="00634B20"/>
    <w:rsid w:val="00677EBA"/>
    <w:rsid w:val="00695621"/>
    <w:rsid w:val="006D23DD"/>
    <w:rsid w:val="006E1CBC"/>
    <w:rsid w:val="0070013A"/>
    <w:rsid w:val="00703794"/>
    <w:rsid w:val="00711630"/>
    <w:rsid w:val="00731137"/>
    <w:rsid w:val="0073377D"/>
    <w:rsid w:val="00736479"/>
    <w:rsid w:val="0074165A"/>
    <w:rsid w:val="00747EA1"/>
    <w:rsid w:val="00752F9F"/>
    <w:rsid w:val="00766BAA"/>
    <w:rsid w:val="00785271"/>
    <w:rsid w:val="007B4F7A"/>
    <w:rsid w:val="007C3521"/>
    <w:rsid w:val="007D14F5"/>
    <w:rsid w:val="007E213F"/>
    <w:rsid w:val="007E21E3"/>
    <w:rsid w:val="007E5C10"/>
    <w:rsid w:val="007E71D7"/>
    <w:rsid w:val="00807EA0"/>
    <w:rsid w:val="00820CBF"/>
    <w:rsid w:val="00836BA8"/>
    <w:rsid w:val="0086131C"/>
    <w:rsid w:val="00863EF0"/>
    <w:rsid w:val="00880CF0"/>
    <w:rsid w:val="008814E5"/>
    <w:rsid w:val="0089001F"/>
    <w:rsid w:val="00891BB1"/>
    <w:rsid w:val="008B4CA5"/>
    <w:rsid w:val="008C03F9"/>
    <w:rsid w:val="008D344E"/>
    <w:rsid w:val="008F5693"/>
    <w:rsid w:val="00906F21"/>
    <w:rsid w:val="00917B5A"/>
    <w:rsid w:val="00944E8E"/>
    <w:rsid w:val="009516C2"/>
    <w:rsid w:val="009672BA"/>
    <w:rsid w:val="009673C0"/>
    <w:rsid w:val="0097477C"/>
    <w:rsid w:val="0098318B"/>
    <w:rsid w:val="009A50FA"/>
    <w:rsid w:val="009B3935"/>
    <w:rsid w:val="009B7749"/>
    <w:rsid w:val="009D14E5"/>
    <w:rsid w:val="009E0CAB"/>
    <w:rsid w:val="009F2CEB"/>
    <w:rsid w:val="00A07837"/>
    <w:rsid w:val="00A1248A"/>
    <w:rsid w:val="00A266B9"/>
    <w:rsid w:val="00A307FA"/>
    <w:rsid w:val="00A30CCE"/>
    <w:rsid w:val="00A40DDA"/>
    <w:rsid w:val="00A46F13"/>
    <w:rsid w:val="00A6072B"/>
    <w:rsid w:val="00A701F5"/>
    <w:rsid w:val="00A740B3"/>
    <w:rsid w:val="00A93F35"/>
    <w:rsid w:val="00AC035E"/>
    <w:rsid w:val="00AD0A37"/>
    <w:rsid w:val="00AE426C"/>
    <w:rsid w:val="00B06A15"/>
    <w:rsid w:val="00B11C51"/>
    <w:rsid w:val="00B30A1C"/>
    <w:rsid w:val="00B34CD9"/>
    <w:rsid w:val="00B43B25"/>
    <w:rsid w:val="00B85E8E"/>
    <w:rsid w:val="00BA0857"/>
    <w:rsid w:val="00BB56D3"/>
    <w:rsid w:val="00BD3434"/>
    <w:rsid w:val="00BE07FC"/>
    <w:rsid w:val="00BF2D78"/>
    <w:rsid w:val="00C04622"/>
    <w:rsid w:val="00C13FEB"/>
    <w:rsid w:val="00C43FE4"/>
    <w:rsid w:val="00C44EF7"/>
    <w:rsid w:val="00CA34DF"/>
    <w:rsid w:val="00CA685C"/>
    <w:rsid w:val="00CB1DA3"/>
    <w:rsid w:val="00CB5170"/>
    <w:rsid w:val="00CC5C8B"/>
    <w:rsid w:val="00CD6C31"/>
    <w:rsid w:val="00CE351B"/>
    <w:rsid w:val="00CE4005"/>
    <w:rsid w:val="00CF1ECC"/>
    <w:rsid w:val="00D01B96"/>
    <w:rsid w:val="00D03AA1"/>
    <w:rsid w:val="00D23607"/>
    <w:rsid w:val="00D413F8"/>
    <w:rsid w:val="00DD7E83"/>
    <w:rsid w:val="00DE2706"/>
    <w:rsid w:val="00DF1DB9"/>
    <w:rsid w:val="00E02538"/>
    <w:rsid w:val="00E238D2"/>
    <w:rsid w:val="00E30C1D"/>
    <w:rsid w:val="00E4288A"/>
    <w:rsid w:val="00E54DAB"/>
    <w:rsid w:val="00E55C10"/>
    <w:rsid w:val="00E64643"/>
    <w:rsid w:val="00E751FE"/>
    <w:rsid w:val="00E75320"/>
    <w:rsid w:val="00E75A99"/>
    <w:rsid w:val="00E7686E"/>
    <w:rsid w:val="00E90BC0"/>
    <w:rsid w:val="00ED13FF"/>
    <w:rsid w:val="00ED1E05"/>
    <w:rsid w:val="00EF1400"/>
    <w:rsid w:val="00EF594E"/>
    <w:rsid w:val="00F03497"/>
    <w:rsid w:val="00F07AD0"/>
    <w:rsid w:val="00F24B5D"/>
    <w:rsid w:val="00F82BE1"/>
    <w:rsid w:val="00F9783B"/>
    <w:rsid w:val="00FA4C31"/>
    <w:rsid w:val="00FB1D32"/>
    <w:rsid w:val="00FD4703"/>
    <w:rsid w:val="00FD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A6E"/>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semiHidden/>
    <w:unhideWhenUsed/>
    <w:qFormat/>
    <w:rsid w:val="00C44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0A6E"/>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qFormat/>
    <w:rsid w:val="00530A6E"/>
    <w:pPr>
      <w:keepNext/>
      <w:numPr>
        <w:ilvl w:val="3"/>
        <w:numId w:val="1"/>
      </w:numPr>
      <w:spacing w:before="240" w:after="60"/>
      <w:outlineLvl w:val="3"/>
    </w:pPr>
    <w:rPr>
      <w:rFonts w:ascii="Arial" w:hAnsi="Arial"/>
      <w:b/>
      <w:szCs w:val="20"/>
    </w:rPr>
  </w:style>
  <w:style w:type="paragraph" w:styleId="Heading6">
    <w:name w:val="heading 6"/>
    <w:basedOn w:val="Normal"/>
    <w:next w:val="Normal"/>
    <w:link w:val="Heading6Char"/>
    <w:qFormat/>
    <w:rsid w:val="00530A6E"/>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530A6E"/>
    <w:pPr>
      <w:numPr>
        <w:ilvl w:val="6"/>
        <w:numId w:val="1"/>
      </w:numPr>
      <w:spacing w:before="240" w:after="60"/>
      <w:outlineLvl w:val="6"/>
    </w:pPr>
    <w:rPr>
      <w:rFonts w:ascii="Arial" w:hAnsi="Arial"/>
      <w:szCs w:val="20"/>
    </w:rPr>
  </w:style>
  <w:style w:type="paragraph" w:styleId="Heading8">
    <w:name w:val="heading 8"/>
    <w:basedOn w:val="Normal"/>
    <w:next w:val="Normal"/>
    <w:link w:val="Heading8Char"/>
    <w:qFormat/>
    <w:rsid w:val="00530A6E"/>
    <w:pPr>
      <w:numPr>
        <w:ilvl w:val="7"/>
        <w:numId w:val="1"/>
      </w:numPr>
      <w:spacing w:before="240" w:after="60"/>
      <w:outlineLvl w:val="7"/>
    </w:pPr>
    <w:rPr>
      <w:rFonts w:ascii="Arial" w:hAnsi="Arial"/>
      <w:i/>
      <w:szCs w:val="20"/>
    </w:rPr>
  </w:style>
  <w:style w:type="paragraph" w:styleId="Heading9">
    <w:name w:val="heading 9"/>
    <w:basedOn w:val="Normal"/>
    <w:next w:val="Normal"/>
    <w:link w:val="Heading9Char"/>
    <w:qFormat/>
    <w:rsid w:val="00530A6E"/>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C3"/>
    <w:pPr>
      <w:spacing w:after="0" w:line="240" w:lineRule="auto"/>
    </w:pPr>
  </w:style>
  <w:style w:type="character" w:customStyle="1" w:styleId="Heading1Char">
    <w:name w:val="Heading 1 Char"/>
    <w:basedOn w:val="DefaultParagraphFont"/>
    <w:link w:val="Heading1"/>
    <w:rsid w:val="00530A6E"/>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530A6E"/>
    <w:rPr>
      <w:rFonts w:ascii="Arial" w:eastAsia="Times New Roman" w:hAnsi="Arial" w:cs="Times New Roman"/>
      <w:sz w:val="24"/>
      <w:szCs w:val="20"/>
    </w:rPr>
  </w:style>
  <w:style w:type="character" w:customStyle="1" w:styleId="Heading4Char">
    <w:name w:val="Heading 4 Char"/>
    <w:basedOn w:val="DefaultParagraphFont"/>
    <w:link w:val="Heading4"/>
    <w:rsid w:val="00530A6E"/>
    <w:rPr>
      <w:rFonts w:ascii="Arial" w:eastAsia="Times New Roman" w:hAnsi="Arial" w:cs="Times New Roman"/>
      <w:b/>
      <w:sz w:val="24"/>
      <w:szCs w:val="20"/>
    </w:rPr>
  </w:style>
  <w:style w:type="character" w:customStyle="1" w:styleId="Heading6Char">
    <w:name w:val="Heading 6 Char"/>
    <w:basedOn w:val="DefaultParagraphFont"/>
    <w:link w:val="Heading6"/>
    <w:rsid w:val="00530A6E"/>
    <w:rPr>
      <w:rFonts w:ascii="Times New Roman" w:eastAsia="Times New Roman" w:hAnsi="Times New Roman" w:cs="Times New Roman"/>
      <w:i/>
      <w:szCs w:val="20"/>
    </w:rPr>
  </w:style>
  <w:style w:type="character" w:customStyle="1" w:styleId="Heading7Char">
    <w:name w:val="Heading 7 Char"/>
    <w:basedOn w:val="DefaultParagraphFont"/>
    <w:link w:val="Heading7"/>
    <w:rsid w:val="00530A6E"/>
    <w:rPr>
      <w:rFonts w:ascii="Arial" w:eastAsia="Times New Roman" w:hAnsi="Arial" w:cs="Times New Roman"/>
      <w:sz w:val="24"/>
      <w:szCs w:val="20"/>
    </w:rPr>
  </w:style>
  <w:style w:type="character" w:customStyle="1" w:styleId="Heading8Char">
    <w:name w:val="Heading 8 Char"/>
    <w:basedOn w:val="DefaultParagraphFont"/>
    <w:link w:val="Heading8"/>
    <w:rsid w:val="00530A6E"/>
    <w:rPr>
      <w:rFonts w:ascii="Arial" w:eastAsia="Times New Roman" w:hAnsi="Arial" w:cs="Times New Roman"/>
      <w:i/>
      <w:sz w:val="24"/>
      <w:szCs w:val="20"/>
    </w:rPr>
  </w:style>
  <w:style w:type="character" w:customStyle="1" w:styleId="Heading9Char">
    <w:name w:val="Heading 9 Char"/>
    <w:basedOn w:val="DefaultParagraphFont"/>
    <w:link w:val="Heading9"/>
    <w:rsid w:val="00530A6E"/>
    <w:rPr>
      <w:rFonts w:ascii="Arial" w:eastAsia="Times New Roman" w:hAnsi="Arial" w:cs="Times New Roman"/>
      <w:b/>
      <w:i/>
      <w:sz w:val="18"/>
      <w:szCs w:val="20"/>
    </w:rPr>
  </w:style>
  <w:style w:type="paragraph" w:customStyle="1" w:styleId="Chapter">
    <w:name w:val="Chapter"/>
    <w:basedOn w:val="Normal"/>
    <w:next w:val="Normal"/>
    <w:rsid w:val="00530A6E"/>
    <w:pPr>
      <w:tabs>
        <w:tab w:val="num" w:pos="720"/>
        <w:tab w:val="left" w:pos="1440"/>
      </w:tabs>
      <w:spacing w:after="240"/>
      <w:ind w:left="720" w:hanging="720"/>
      <w:jc w:val="center"/>
    </w:pPr>
    <w:rPr>
      <w:b/>
      <w:smallCaps/>
      <w:noProof/>
      <w:szCs w:val="20"/>
    </w:rPr>
  </w:style>
  <w:style w:type="paragraph" w:customStyle="1" w:styleId="Paragraph">
    <w:name w:val="Paragraph"/>
    <w:aliases w:val="paragraph,p,PARAGRAPH,PG,pa,at"/>
    <w:basedOn w:val="BodyTextIndent"/>
    <w:link w:val="ParagraphChar"/>
    <w:rsid w:val="00530A6E"/>
    <w:pPr>
      <w:tabs>
        <w:tab w:val="num" w:pos="1440"/>
      </w:tabs>
      <w:spacing w:before="120"/>
      <w:ind w:left="1440" w:hanging="720"/>
      <w:jc w:val="both"/>
      <w:outlineLvl w:val="1"/>
    </w:pPr>
    <w:rPr>
      <w:szCs w:val="20"/>
    </w:rPr>
  </w:style>
  <w:style w:type="paragraph" w:styleId="Header">
    <w:name w:val="header"/>
    <w:basedOn w:val="Normal"/>
    <w:link w:val="HeaderChar"/>
    <w:uiPriority w:val="99"/>
    <w:rsid w:val="00530A6E"/>
    <w:pPr>
      <w:tabs>
        <w:tab w:val="center" w:pos="4320"/>
        <w:tab w:val="right" w:pos="8640"/>
      </w:tabs>
    </w:pPr>
  </w:style>
  <w:style w:type="character" w:customStyle="1" w:styleId="HeaderChar">
    <w:name w:val="Header Char"/>
    <w:basedOn w:val="DefaultParagraphFont"/>
    <w:link w:val="Header"/>
    <w:uiPriority w:val="99"/>
    <w:rsid w:val="00530A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30A6E"/>
    <w:pPr>
      <w:spacing w:after="120"/>
      <w:ind w:left="360"/>
    </w:pPr>
  </w:style>
  <w:style w:type="character" w:customStyle="1" w:styleId="BodyTextIndentChar">
    <w:name w:val="Body Text Indent Char"/>
    <w:basedOn w:val="DefaultParagraphFont"/>
    <w:link w:val="BodyTextIndent"/>
    <w:uiPriority w:val="99"/>
    <w:semiHidden/>
    <w:rsid w:val="00530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A6E"/>
    <w:pPr>
      <w:tabs>
        <w:tab w:val="center" w:pos="4680"/>
        <w:tab w:val="right" w:pos="9360"/>
      </w:tabs>
    </w:pPr>
  </w:style>
  <w:style w:type="character" w:customStyle="1" w:styleId="FooterChar">
    <w:name w:val="Footer Char"/>
    <w:basedOn w:val="DefaultParagraphFont"/>
    <w:link w:val="Footer"/>
    <w:uiPriority w:val="99"/>
    <w:rsid w:val="00530A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A6E"/>
    <w:rPr>
      <w:rFonts w:ascii="Tahoma" w:hAnsi="Tahoma" w:cs="Tahoma"/>
      <w:sz w:val="16"/>
      <w:szCs w:val="16"/>
    </w:rPr>
  </w:style>
  <w:style w:type="character" w:customStyle="1" w:styleId="BalloonTextChar">
    <w:name w:val="Balloon Text Char"/>
    <w:basedOn w:val="DefaultParagraphFont"/>
    <w:link w:val="BalloonText"/>
    <w:uiPriority w:val="99"/>
    <w:semiHidden/>
    <w:rsid w:val="00530A6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44E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C44EF7"/>
    <w:pPr>
      <w:spacing w:after="120"/>
    </w:pPr>
  </w:style>
  <w:style w:type="character" w:customStyle="1" w:styleId="BodyTextChar">
    <w:name w:val="Body Text Char"/>
    <w:basedOn w:val="DefaultParagraphFont"/>
    <w:link w:val="BodyText"/>
    <w:uiPriority w:val="99"/>
    <w:semiHidden/>
    <w:rsid w:val="00C44EF7"/>
    <w:rPr>
      <w:rFonts w:ascii="Times New Roman" w:eastAsia="Times New Roman" w:hAnsi="Times New Roman" w:cs="Times New Roman"/>
      <w:sz w:val="24"/>
      <w:szCs w:val="24"/>
    </w:rPr>
  </w:style>
  <w:style w:type="character" w:styleId="PageNumber">
    <w:name w:val="page number"/>
    <w:basedOn w:val="DefaultParagraphFont"/>
    <w:semiHidden/>
    <w:rsid w:val="00C44EF7"/>
  </w:style>
  <w:style w:type="paragraph" w:styleId="Subtitle">
    <w:name w:val="Subtitle"/>
    <w:basedOn w:val="Normal"/>
    <w:link w:val="SubtitleChar"/>
    <w:qFormat/>
    <w:rsid w:val="00C44EF7"/>
    <w:pPr>
      <w:tabs>
        <w:tab w:val="center" w:pos="4680"/>
      </w:tabs>
      <w:spacing w:before="120"/>
      <w:jc w:val="center"/>
    </w:pPr>
    <w:rPr>
      <w:b/>
      <w:bCs/>
      <w:szCs w:val="20"/>
      <w:lang w:val="es-ES"/>
    </w:rPr>
  </w:style>
  <w:style w:type="character" w:customStyle="1" w:styleId="SubtitleChar">
    <w:name w:val="Subtitle Char"/>
    <w:basedOn w:val="DefaultParagraphFont"/>
    <w:link w:val="Subtitle"/>
    <w:rsid w:val="00C44EF7"/>
    <w:rPr>
      <w:rFonts w:ascii="Times New Roman" w:eastAsia="Times New Roman" w:hAnsi="Times New Roman" w:cs="Times New Roman"/>
      <w:b/>
      <w:bCs/>
      <w:sz w:val="24"/>
      <w:szCs w:val="20"/>
      <w:lang w:val="es-ES"/>
    </w:rPr>
  </w:style>
  <w:style w:type="character" w:styleId="Hyperlink">
    <w:name w:val="Hyperlink"/>
    <w:basedOn w:val="DefaultParagraphFont"/>
    <w:rsid w:val="00891BB1"/>
    <w:rPr>
      <w:color w:val="0000FF"/>
      <w:u w:val="single"/>
    </w:rPr>
  </w:style>
  <w:style w:type="paragraph" w:styleId="ListParagraph">
    <w:name w:val="List Paragraph"/>
    <w:basedOn w:val="Normal"/>
    <w:uiPriority w:val="34"/>
    <w:qFormat/>
    <w:rsid w:val="00731137"/>
    <w:pPr>
      <w:ind w:left="720"/>
      <w:contextualSpacing/>
    </w:pPr>
  </w:style>
  <w:style w:type="paragraph" w:customStyle="1" w:styleId="subpar">
    <w:name w:val="subpar"/>
    <w:basedOn w:val="BodyTextIndent3"/>
    <w:rsid w:val="002D1E15"/>
    <w:pPr>
      <w:tabs>
        <w:tab w:val="num" w:pos="1152"/>
      </w:tabs>
      <w:spacing w:before="120"/>
      <w:ind w:left="1152" w:hanging="432"/>
      <w:jc w:val="both"/>
      <w:outlineLvl w:val="2"/>
    </w:pPr>
    <w:rPr>
      <w:sz w:val="24"/>
      <w:szCs w:val="20"/>
    </w:rPr>
  </w:style>
  <w:style w:type="paragraph" w:customStyle="1" w:styleId="SubSubPar">
    <w:name w:val="SubSubPar"/>
    <w:basedOn w:val="subpar"/>
    <w:rsid w:val="002D1E15"/>
  </w:style>
  <w:style w:type="character" w:customStyle="1" w:styleId="ParagraphChar">
    <w:name w:val="Paragraph Char"/>
    <w:basedOn w:val="DefaultParagraphFont"/>
    <w:link w:val="Paragraph"/>
    <w:locked/>
    <w:rsid w:val="002D1E1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2D1E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1E15"/>
    <w:rPr>
      <w:rFonts w:ascii="Times New Roman" w:eastAsia="Times New Roman" w:hAnsi="Times New Roman" w:cs="Times New Roman"/>
      <w:sz w:val="16"/>
      <w:szCs w:val="16"/>
    </w:rPr>
  </w:style>
  <w:style w:type="paragraph" w:styleId="FootnoteText">
    <w:name w:val="footnote text"/>
    <w:aliases w:val="fn,single space,footnote text,foottextfra,footnote,F,Texto nota pie Car Car,texto de nota al pie,Nota a pie/Bibliog,Texto nota pie Car Car Car Car Car Car Car Car,Texto nota pie Car Car Car,Footnote Text Char Char Char Char Char Char"/>
    <w:basedOn w:val="Normal"/>
    <w:link w:val="FootnoteTextChar1"/>
    <w:uiPriority w:val="99"/>
    <w:rsid w:val="002D1E15"/>
    <w:rPr>
      <w:sz w:val="20"/>
      <w:szCs w:val="20"/>
    </w:rPr>
  </w:style>
  <w:style w:type="character" w:customStyle="1" w:styleId="FootnoteTextChar">
    <w:name w:val="Footnote Text Char"/>
    <w:aliases w:val="foottextfra Char,footnote Char,F Char,Texto nota pie Car Car Char,texto de nota al pie Char,Nota a pie/Bibliog Char,Texto nota pie Car Car Car Car Car Car Car Car Char,Texto nota pie Car Car Car Char,Texto de rodapé Char"/>
    <w:basedOn w:val="DefaultParagraphFont"/>
    <w:rsid w:val="002D1E15"/>
    <w:rPr>
      <w:rFonts w:ascii="Times New Roman" w:eastAsia="Times New Roman" w:hAnsi="Times New Roman" w:cs="Times New Roman"/>
      <w:sz w:val="20"/>
      <w:szCs w:val="20"/>
    </w:rPr>
  </w:style>
  <w:style w:type="character" w:styleId="FootnoteReference">
    <w:name w:val="footnote reference"/>
    <w:aliases w:val="referencia nota al pie,ftref,16 Point,Superscript 6 Point"/>
    <w:basedOn w:val="DefaultParagraphFont"/>
    <w:uiPriority w:val="99"/>
    <w:rsid w:val="002D1E15"/>
    <w:rPr>
      <w:vertAlign w:val="superscript"/>
    </w:rPr>
  </w:style>
  <w:style w:type="character" w:customStyle="1" w:styleId="FootnoteTextChar1">
    <w:name w:val="Footnote Text Char1"/>
    <w:aliases w:val="fn Char,single space Char,footnote text Char,foottextfra Char1,footnote Char1,F Char1,Texto nota pie Car Car Char1,texto de nota al pie Char1,Nota a pie/Bibliog Char1,Texto nota pie Car Car Car Car Car Car Car Car Char1"/>
    <w:basedOn w:val="DefaultParagraphFont"/>
    <w:link w:val="FootnoteText"/>
    <w:semiHidden/>
    <w:locked/>
    <w:rsid w:val="002D1E15"/>
    <w:rPr>
      <w:rFonts w:ascii="Times New Roman" w:eastAsia="Times New Roman" w:hAnsi="Times New Roman" w:cs="Times New Roman"/>
      <w:sz w:val="20"/>
      <w:szCs w:val="20"/>
    </w:rPr>
  </w:style>
  <w:style w:type="paragraph" w:customStyle="1" w:styleId="heading-b24">
    <w:name w:val="heading-b24"/>
    <w:basedOn w:val="Normal"/>
    <w:next w:val="Normal"/>
    <w:rsid w:val="00396984"/>
    <w:pPr>
      <w:spacing w:after="600"/>
      <w:jc w:val="center"/>
    </w:pPr>
    <w:rPr>
      <w:rFonts w:ascii="Times New Roman Bold" w:hAnsi="Times New Roman Bold"/>
      <w:b/>
      <w:smallCaps/>
      <w:spacing w:val="-3"/>
      <w:szCs w:val="20"/>
      <w:lang w:val="es-ES_tradnl"/>
    </w:rPr>
  </w:style>
  <w:style w:type="character" w:styleId="Strong">
    <w:name w:val="Strong"/>
    <w:basedOn w:val="DefaultParagraphFont"/>
    <w:uiPriority w:val="22"/>
    <w:qFormat/>
    <w:rsid w:val="00396984"/>
    <w:rPr>
      <w:b/>
      <w:bCs/>
    </w:rPr>
  </w:style>
  <w:style w:type="character" w:styleId="CommentReference">
    <w:name w:val="annotation reference"/>
    <w:basedOn w:val="DefaultParagraphFont"/>
    <w:uiPriority w:val="99"/>
    <w:semiHidden/>
    <w:unhideWhenUsed/>
    <w:rsid w:val="00CD6C31"/>
    <w:rPr>
      <w:sz w:val="16"/>
      <w:szCs w:val="16"/>
    </w:rPr>
  </w:style>
  <w:style w:type="paragraph" w:styleId="CommentText">
    <w:name w:val="annotation text"/>
    <w:basedOn w:val="Normal"/>
    <w:link w:val="CommentTextChar"/>
    <w:uiPriority w:val="99"/>
    <w:semiHidden/>
    <w:unhideWhenUsed/>
    <w:rsid w:val="00CD6C31"/>
    <w:rPr>
      <w:sz w:val="20"/>
      <w:szCs w:val="20"/>
    </w:rPr>
  </w:style>
  <w:style w:type="character" w:customStyle="1" w:styleId="CommentTextChar">
    <w:name w:val="Comment Text Char"/>
    <w:basedOn w:val="DefaultParagraphFont"/>
    <w:link w:val="CommentText"/>
    <w:uiPriority w:val="99"/>
    <w:semiHidden/>
    <w:rsid w:val="00CD6C31"/>
    <w:rPr>
      <w:rFonts w:ascii="Times New Roman" w:eastAsia="Times New Roman" w:hAnsi="Times New Roman" w:cs="Times New Roman"/>
      <w:sz w:val="20"/>
      <w:szCs w:val="20"/>
    </w:rPr>
  </w:style>
  <w:style w:type="character" w:customStyle="1" w:styleId="NoSpacingChar">
    <w:name w:val="No Spacing Char"/>
    <w:link w:val="NoSpacing"/>
    <w:uiPriority w:val="1"/>
    <w:rsid w:val="0047412F"/>
  </w:style>
  <w:style w:type="paragraph" w:styleId="Title">
    <w:name w:val="Title"/>
    <w:basedOn w:val="Normal"/>
    <w:link w:val="TitleChar"/>
    <w:qFormat/>
    <w:rsid w:val="0047412F"/>
    <w:pPr>
      <w:tabs>
        <w:tab w:val="left" w:pos="1440"/>
        <w:tab w:val="left" w:pos="3060"/>
      </w:tabs>
      <w:jc w:val="center"/>
      <w:outlineLvl w:val="0"/>
    </w:pPr>
    <w:rPr>
      <w:lang w:val="es-ES" w:eastAsia="x-none"/>
    </w:rPr>
  </w:style>
  <w:style w:type="character" w:customStyle="1" w:styleId="TitleChar">
    <w:name w:val="Title Char"/>
    <w:basedOn w:val="DefaultParagraphFont"/>
    <w:link w:val="Title"/>
    <w:rsid w:val="0047412F"/>
    <w:rPr>
      <w:rFonts w:ascii="Times New Roman" w:eastAsia="Times New Roman" w:hAnsi="Times New Roman" w:cs="Times New Roman"/>
      <w:sz w:val="24"/>
      <w:szCs w:val="24"/>
      <w:lang w:val="es-ES" w:eastAsia="x-none"/>
    </w:rPr>
  </w:style>
  <w:style w:type="paragraph" w:customStyle="1" w:styleId="FirstHeading">
    <w:name w:val="FirstHeading"/>
    <w:basedOn w:val="Normal"/>
    <w:uiPriority w:val="99"/>
    <w:rsid w:val="0047412F"/>
    <w:pPr>
      <w:keepNext/>
      <w:numPr>
        <w:numId w:val="35"/>
      </w:numPr>
      <w:tabs>
        <w:tab w:val="left" w:pos="0"/>
        <w:tab w:val="left" w:pos="90"/>
      </w:tabs>
      <w:spacing w:before="120" w:after="120"/>
    </w:pPr>
    <w:rPr>
      <w:rFonts w:eastAsia="Batang"/>
      <w:b/>
      <w:szCs w:val="20"/>
      <w:lang w:val="es-ES"/>
    </w:rPr>
  </w:style>
  <w:style w:type="paragraph" w:customStyle="1" w:styleId="SecHeading">
    <w:name w:val="SecHeading"/>
    <w:basedOn w:val="Normal"/>
    <w:next w:val="Normal"/>
    <w:uiPriority w:val="99"/>
    <w:rsid w:val="0047412F"/>
    <w:pPr>
      <w:keepNext/>
      <w:numPr>
        <w:ilvl w:val="1"/>
        <w:numId w:val="35"/>
      </w:numPr>
      <w:spacing w:before="120" w:after="120"/>
    </w:pPr>
    <w:rPr>
      <w:rFonts w:eastAsia="Batang"/>
      <w:b/>
      <w:szCs w:val="20"/>
      <w:lang w:val="es-ES_tradnl"/>
    </w:rPr>
  </w:style>
  <w:style w:type="paragraph" w:customStyle="1" w:styleId="SubHeading1">
    <w:name w:val="SubHeading1"/>
    <w:basedOn w:val="SecHeading"/>
    <w:uiPriority w:val="99"/>
    <w:rsid w:val="0047412F"/>
    <w:pPr>
      <w:numPr>
        <w:ilvl w:val="2"/>
      </w:numPr>
    </w:pPr>
  </w:style>
  <w:style w:type="paragraph" w:customStyle="1" w:styleId="Subheading2">
    <w:name w:val="Subheading2"/>
    <w:basedOn w:val="SecHeading"/>
    <w:uiPriority w:val="99"/>
    <w:rsid w:val="0047412F"/>
    <w:pPr>
      <w:numPr>
        <w:ilvl w:val="3"/>
      </w:numPr>
    </w:pPr>
  </w:style>
  <w:style w:type="paragraph" w:styleId="CommentSubject">
    <w:name w:val="annotation subject"/>
    <w:basedOn w:val="CommentText"/>
    <w:next w:val="CommentText"/>
    <w:link w:val="CommentSubjectChar"/>
    <w:uiPriority w:val="99"/>
    <w:semiHidden/>
    <w:unhideWhenUsed/>
    <w:rsid w:val="00A6072B"/>
    <w:rPr>
      <w:b/>
      <w:bCs/>
    </w:rPr>
  </w:style>
  <w:style w:type="character" w:customStyle="1" w:styleId="CommentSubjectChar">
    <w:name w:val="Comment Subject Char"/>
    <w:basedOn w:val="CommentTextChar"/>
    <w:link w:val="CommentSubject"/>
    <w:uiPriority w:val="99"/>
    <w:semiHidden/>
    <w:rsid w:val="00A6072B"/>
    <w:rPr>
      <w:rFonts w:ascii="Times New Roman" w:eastAsia="Times New Roman" w:hAnsi="Times New Roman" w:cs="Times New Roman"/>
      <w:b/>
      <w:bCs/>
      <w:sz w:val="20"/>
      <w:szCs w:val="20"/>
    </w:rPr>
  </w:style>
  <w:style w:type="paragraph" w:styleId="Revision">
    <w:name w:val="Revision"/>
    <w:hidden/>
    <w:uiPriority w:val="99"/>
    <w:semiHidden/>
    <w:rsid w:val="00A6072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A6E"/>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semiHidden/>
    <w:unhideWhenUsed/>
    <w:qFormat/>
    <w:rsid w:val="00C44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0A6E"/>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qFormat/>
    <w:rsid w:val="00530A6E"/>
    <w:pPr>
      <w:keepNext/>
      <w:numPr>
        <w:ilvl w:val="3"/>
        <w:numId w:val="1"/>
      </w:numPr>
      <w:spacing w:before="240" w:after="60"/>
      <w:outlineLvl w:val="3"/>
    </w:pPr>
    <w:rPr>
      <w:rFonts w:ascii="Arial" w:hAnsi="Arial"/>
      <w:b/>
      <w:szCs w:val="20"/>
    </w:rPr>
  </w:style>
  <w:style w:type="paragraph" w:styleId="Heading6">
    <w:name w:val="heading 6"/>
    <w:basedOn w:val="Normal"/>
    <w:next w:val="Normal"/>
    <w:link w:val="Heading6Char"/>
    <w:qFormat/>
    <w:rsid w:val="00530A6E"/>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530A6E"/>
    <w:pPr>
      <w:numPr>
        <w:ilvl w:val="6"/>
        <w:numId w:val="1"/>
      </w:numPr>
      <w:spacing w:before="240" w:after="60"/>
      <w:outlineLvl w:val="6"/>
    </w:pPr>
    <w:rPr>
      <w:rFonts w:ascii="Arial" w:hAnsi="Arial"/>
      <w:szCs w:val="20"/>
    </w:rPr>
  </w:style>
  <w:style w:type="paragraph" w:styleId="Heading8">
    <w:name w:val="heading 8"/>
    <w:basedOn w:val="Normal"/>
    <w:next w:val="Normal"/>
    <w:link w:val="Heading8Char"/>
    <w:qFormat/>
    <w:rsid w:val="00530A6E"/>
    <w:pPr>
      <w:numPr>
        <w:ilvl w:val="7"/>
        <w:numId w:val="1"/>
      </w:numPr>
      <w:spacing w:before="240" w:after="60"/>
      <w:outlineLvl w:val="7"/>
    </w:pPr>
    <w:rPr>
      <w:rFonts w:ascii="Arial" w:hAnsi="Arial"/>
      <w:i/>
      <w:szCs w:val="20"/>
    </w:rPr>
  </w:style>
  <w:style w:type="paragraph" w:styleId="Heading9">
    <w:name w:val="heading 9"/>
    <w:basedOn w:val="Normal"/>
    <w:next w:val="Normal"/>
    <w:link w:val="Heading9Char"/>
    <w:qFormat/>
    <w:rsid w:val="00530A6E"/>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C3"/>
    <w:pPr>
      <w:spacing w:after="0" w:line="240" w:lineRule="auto"/>
    </w:pPr>
  </w:style>
  <w:style w:type="character" w:customStyle="1" w:styleId="Heading1Char">
    <w:name w:val="Heading 1 Char"/>
    <w:basedOn w:val="DefaultParagraphFont"/>
    <w:link w:val="Heading1"/>
    <w:rsid w:val="00530A6E"/>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530A6E"/>
    <w:rPr>
      <w:rFonts w:ascii="Arial" w:eastAsia="Times New Roman" w:hAnsi="Arial" w:cs="Times New Roman"/>
      <w:sz w:val="24"/>
      <w:szCs w:val="20"/>
    </w:rPr>
  </w:style>
  <w:style w:type="character" w:customStyle="1" w:styleId="Heading4Char">
    <w:name w:val="Heading 4 Char"/>
    <w:basedOn w:val="DefaultParagraphFont"/>
    <w:link w:val="Heading4"/>
    <w:rsid w:val="00530A6E"/>
    <w:rPr>
      <w:rFonts w:ascii="Arial" w:eastAsia="Times New Roman" w:hAnsi="Arial" w:cs="Times New Roman"/>
      <w:b/>
      <w:sz w:val="24"/>
      <w:szCs w:val="20"/>
    </w:rPr>
  </w:style>
  <w:style w:type="character" w:customStyle="1" w:styleId="Heading6Char">
    <w:name w:val="Heading 6 Char"/>
    <w:basedOn w:val="DefaultParagraphFont"/>
    <w:link w:val="Heading6"/>
    <w:rsid w:val="00530A6E"/>
    <w:rPr>
      <w:rFonts w:ascii="Times New Roman" w:eastAsia="Times New Roman" w:hAnsi="Times New Roman" w:cs="Times New Roman"/>
      <w:i/>
      <w:szCs w:val="20"/>
    </w:rPr>
  </w:style>
  <w:style w:type="character" w:customStyle="1" w:styleId="Heading7Char">
    <w:name w:val="Heading 7 Char"/>
    <w:basedOn w:val="DefaultParagraphFont"/>
    <w:link w:val="Heading7"/>
    <w:rsid w:val="00530A6E"/>
    <w:rPr>
      <w:rFonts w:ascii="Arial" w:eastAsia="Times New Roman" w:hAnsi="Arial" w:cs="Times New Roman"/>
      <w:sz w:val="24"/>
      <w:szCs w:val="20"/>
    </w:rPr>
  </w:style>
  <w:style w:type="character" w:customStyle="1" w:styleId="Heading8Char">
    <w:name w:val="Heading 8 Char"/>
    <w:basedOn w:val="DefaultParagraphFont"/>
    <w:link w:val="Heading8"/>
    <w:rsid w:val="00530A6E"/>
    <w:rPr>
      <w:rFonts w:ascii="Arial" w:eastAsia="Times New Roman" w:hAnsi="Arial" w:cs="Times New Roman"/>
      <w:i/>
      <w:sz w:val="24"/>
      <w:szCs w:val="20"/>
    </w:rPr>
  </w:style>
  <w:style w:type="character" w:customStyle="1" w:styleId="Heading9Char">
    <w:name w:val="Heading 9 Char"/>
    <w:basedOn w:val="DefaultParagraphFont"/>
    <w:link w:val="Heading9"/>
    <w:rsid w:val="00530A6E"/>
    <w:rPr>
      <w:rFonts w:ascii="Arial" w:eastAsia="Times New Roman" w:hAnsi="Arial" w:cs="Times New Roman"/>
      <w:b/>
      <w:i/>
      <w:sz w:val="18"/>
      <w:szCs w:val="20"/>
    </w:rPr>
  </w:style>
  <w:style w:type="paragraph" w:customStyle="1" w:styleId="Chapter">
    <w:name w:val="Chapter"/>
    <w:basedOn w:val="Normal"/>
    <w:next w:val="Normal"/>
    <w:rsid w:val="00530A6E"/>
    <w:pPr>
      <w:tabs>
        <w:tab w:val="num" w:pos="720"/>
        <w:tab w:val="left" w:pos="1440"/>
      </w:tabs>
      <w:spacing w:after="240"/>
      <w:ind w:left="720" w:hanging="720"/>
      <w:jc w:val="center"/>
    </w:pPr>
    <w:rPr>
      <w:b/>
      <w:smallCaps/>
      <w:noProof/>
      <w:szCs w:val="20"/>
    </w:rPr>
  </w:style>
  <w:style w:type="paragraph" w:customStyle="1" w:styleId="Paragraph">
    <w:name w:val="Paragraph"/>
    <w:aliases w:val="paragraph,p,PARAGRAPH,PG,pa,at"/>
    <w:basedOn w:val="BodyTextIndent"/>
    <w:link w:val="ParagraphChar"/>
    <w:rsid w:val="00530A6E"/>
    <w:pPr>
      <w:tabs>
        <w:tab w:val="num" w:pos="1440"/>
      </w:tabs>
      <w:spacing w:before="120"/>
      <w:ind w:left="1440" w:hanging="720"/>
      <w:jc w:val="both"/>
      <w:outlineLvl w:val="1"/>
    </w:pPr>
    <w:rPr>
      <w:szCs w:val="20"/>
    </w:rPr>
  </w:style>
  <w:style w:type="paragraph" w:styleId="Header">
    <w:name w:val="header"/>
    <w:basedOn w:val="Normal"/>
    <w:link w:val="HeaderChar"/>
    <w:uiPriority w:val="99"/>
    <w:rsid w:val="00530A6E"/>
    <w:pPr>
      <w:tabs>
        <w:tab w:val="center" w:pos="4320"/>
        <w:tab w:val="right" w:pos="8640"/>
      </w:tabs>
    </w:pPr>
  </w:style>
  <w:style w:type="character" w:customStyle="1" w:styleId="HeaderChar">
    <w:name w:val="Header Char"/>
    <w:basedOn w:val="DefaultParagraphFont"/>
    <w:link w:val="Header"/>
    <w:uiPriority w:val="99"/>
    <w:rsid w:val="00530A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30A6E"/>
    <w:pPr>
      <w:spacing w:after="120"/>
      <w:ind w:left="360"/>
    </w:pPr>
  </w:style>
  <w:style w:type="character" w:customStyle="1" w:styleId="BodyTextIndentChar">
    <w:name w:val="Body Text Indent Char"/>
    <w:basedOn w:val="DefaultParagraphFont"/>
    <w:link w:val="BodyTextIndent"/>
    <w:uiPriority w:val="99"/>
    <w:semiHidden/>
    <w:rsid w:val="00530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A6E"/>
    <w:pPr>
      <w:tabs>
        <w:tab w:val="center" w:pos="4680"/>
        <w:tab w:val="right" w:pos="9360"/>
      </w:tabs>
    </w:pPr>
  </w:style>
  <w:style w:type="character" w:customStyle="1" w:styleId="FooterChar">
    <w:name w:val="Footer Char"/>
    <w:basedOn w:val="DefaultParagraphFont"/>
    <w:link w:val="Footer"/>
    <w:uiPriority w:val="99"/>
    <w:rsid w:val="00530A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A6E"/>
    <w:rPr>
      <w:rFonts w:ascii="Tahoma" w:hAnsi="Tahoma" w:cs="Tahoma"/>
      <w:sz w:val="16"/>
      <w:szCs w:val="16"/>
    </w:rPr>
  </w:style>
  <w:style w:type="character" w:customStyle="1" w:styleId="BalloonTextChar">
    <w:name w:val="Balloon Text Char"/>
    <w:basedOn w:val="DefaultParagraphFont"/>
    <w:link w:val="BalloonText"/>
    <w:uiPriority w:val="99"/>
    <w:semiHidden/>
    <w:rsid w:val="00530A6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44E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C44EF7"/>
    <w:pPr>
      <w:spacing w:after="120"/>
    </w:pPr>
  </w:style>
  <w:style w:type="character" w:customStyle="1" w:styleId="BodyTextChar">
    <w:name w:val="Body Text Char"/>
    <w:basedOn w:val="DefaultParagraphFont"/>
    <w:link w:val="BodyText"/>
    <w:uiPriority w:val="99"/>
    <w:semiHidden/>
    <w:rsid w:val="00C44EF7"/>
    <w:rPr>
      <w:rFonts w:ascii="Times New Roman" w:eastAsia="Times New Roman" w:hAnsi="Times New Roman" w:cs="Times New Roman"/>
      <w:sz w:val="24"/>
      <w:szCs w:val="24"/>
    </w:rPr>
  </w:style>
  <w:style w:type="character" w:styleId="PageNumber">
    <w:name w:val="page number"/>
    <w:basedOn w:val="DefaultParagraphFont"/>
    <w:semiHidden/>
    <w:rsid w:val="00C44EF7"/>
  </w:style>
  <w:style w:type="paragraph" w:styleId="Subtitle">
    <w:name w:val="Subtitle"/>
    <w:basedOn w:val="Normal"/>
    <w:link w:val="SubtitleChar"/>
    <w:qFormat/>
    <w:rsid w:val="00C44EF7"/>
    <w:pPr>
      <w:tabs>
        <w:tab w:val="center" w:pos="4680"/>
      </w:tabs>
      <w:spacing w:before="120"/>
      <w:jc w:val="center"/>
    </w:pPr>
    <w:rPr>
      <w:b/>
      <w:bCs/>
      <w:szCs w:val="20"/>
      <w:lang w:val="es-ES"/>
    </w:rPr>
  </w:style>
  <w:style w:type="character" w:customStyle="1" w:styleId="SubtitleChar">
    <w:name w:val="Subtitle Char"/>
    <w:basedOn w:val="DefaultParagraphFont"/>
    <w:link w:val="Subtitle"/>
    <w:rsid w:val="00C44EF7"/>
    <w:rPr>
      <w:rFonts w:ascii="Times New Roman" w:eastAsia="Times New Roman" w:hAnsi="Times New Roman" w:cs="Times New Roman"/>
      <w:b/>
      <w:bCs/>
      <w:sz w:val="24"/>
      <w:szCs w:val="20"/>
      <w:lang w:val="es-ES"/>
    </w:rPr>
  </w:style>
  <w:style w:type="character" w:styleId="Hyperlink">
    <w:name w:val="Hyperlink"/>
    <w:basedOn w:val="DefaultParagraphFont"/>
    <w:rsid w:val="00891BB1"/>
    <w:rPr>
      <w:color w:val="0000FF"/>
      <w:u w:val="single"/>
    </w:rPr>
  </w:style>
  <w:style w:type="paragraph" w:styleId="ListParagraph">
    <w:name w:val="List Paragraph"/>
    <w:basedOn w:val="Normal"/>
    <w:uiPriority w:val="34"/>
    <w:qFormat/>
    <w:rsid w:val="00731137"/>
    <w:pPr>
      <w:ind w:left="720"/>
      <w:contextualSpacing/>
    </w:pPr>
  </w:style>
  <w:style w:type="paragraph" w:customStyle="1" w:styleId="subpar">
    <w:name w:val="subpar"/>
    <w:basedOn w:val="BodyTextIndent3"/>
    <w:rsid w:val="002D1E15"/>
    <w:pPr>
      <w:tabs>
        <w:tab w:val="num" w:pos="1152"/>
      </w:tabs>
      <w:spacing w:before="120"/>
      <w:ind w:left="1152" w:hanging="432"/>
      <w:jc w:val="both"/>
      <w:outlineLvl w:val="2"/>
    </w:pPr>
    <w:rPr>
      <w:sz w:val="24"/>
      <w:szCs w:val="20"/>
    </w:rPr>
  </w:style>
  <w:style w:type="paragraph" w:customStyle="1" w:styleId="SubSubPar">
    <w:name w:val="SubSubPar"/>
    <w:basedOn w:val="subpar"/>
    <w:rsid w:val="002D1E15"/>
  </w:style>
  <w:style w:type="character" w:customStyle="1" w:styleId="ParagraphChar">
    <w:name w:val="Paragraph Char"/>
    <w:basedOn w:val="DefaultParagraphFont"/>
    <w:link w:val="Paragraph"/>
    <w:locked/>
    <w:rsid w:val="002D1E1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2D1E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1E15"/>
    <w:rPr>
      <w:rFonts w:ascii="Times New Roman" w:eastAsia="Times New Roman" w:hAnsi="Times New Roman" w:cs="Times New Roman"/>
      <w:sz w:val="16"/>
      <w:szCs w:val="16"/>
    </w:rPr>
  </w:style>
  <w:style w:type="paragraph" w:styleId="FootnoteText">
    <w:name w:val="footnote text"/>
    <w:aliases w:val="fn,single space,footnote text,foottextfra,footnote,F,Texto nota pie Car Car,texto de nota al pie,Nota a pie/Bibliog,Texto nota pie Car Car Car Car Car Car Car Car,Texto nota pie Car Car Car,Footnote Text Char Char Char Char Char Char"/>
    <w:basedOn w:val="Normal"/>
    <w:link w:val="FootnoteTextChar1"/>
    <w:uiPriority w:val="99"/>
    <w:rsid w:val="002D1E15"/>
    <w:rPr>
      <w:sz w:val="20"/>
      <w:szCs w:val="20"/>
    </w:rPr>
  </w:style>
  <w:style w:type="character" w:customStyle="1" w:styleId="FootnoteTextChar">
    <w:name w:val="Footnote Text Char"/>
    <w:aliases w:val="foottextfra Char,footnote Char,F Char,Texto nota pie Car Car Char,texto de nota al pie Char,Nota a pie/Bibliog Char,Texto nota pie Car Car Car Car Car Car Car Car Char,Texto nota pie Car Car Car Char,Texto de rodapé Char"/>
    <w:basedOn w:val="DefaultParagraphFont"/>
    <w:rsid w:val="002D1E15"/>
    <w:rPr>
      <w:rFonts w:ascii="Times New Roman" w:eastAsia="Times New Roman" w:hAnsi="Times New Roman" w:cs="Times New Roman"/>
      <w:sz w:val="20"/>
      <w:szCs w:val="20"/>
    </w:rPr>
  </w:style>
  <w:style w:type="character" w:styleId="FootnoteReference">
    <w:name w:val="footnote reference"/>
    <w:aliases w:val="referencia nota al pie,ftref,16 Point,Superscript 6 Point"/>
    <w:basedOn w:val="DefaultParagraphFont"/>
    <w:uiPriority w:val="99"/>
    <w:rsid w:val="002D1E15"/>
    <w:rPr>
      <w:vertAlign w:val="superscript"/>
    </w:rPr>
  </w:style>
  <w:style w:type="character" w:customStyle="1" w:styleId="FootnoteTextChar1">
    <w:name w:val="Footnote Text Char1"/>
    <w:aliases w:val="fn Char,single space Char,footnote text Char,foottextfra Char1,footnote Char1,F Char1,Texto nota pie Car Car Char1,texto de nota al pie Char1,Nota a pie/Bibliog Char1,Texto nota pie Car Car Car Car Car Car Car Car Char1"/>
    <w:basedOn w:val="DefaultParagraphFont"/>
    <w:link w:val="FootnoteText"/>
    <w:semiHidden/>
    <w:locked/>
    <w:rsid w:val="002D1E15"/>
    <w:rPr>
      <w:rFonts w:ascii="Times New Roman" w:eastAsia="Times New Roman" w:hAnsi="Times New Roman" w:cs="Times New Roman"/>
      <w:sz w:val="20"/>
      <w:szCs w:val="20"/>
    </w:rPr>
  </w:style>
  <w:style w:type="paragraph" w:customStyle="1" w:styleId="heading-b24">
    <w:name w:val="heading-b24"/>
    <w:basedOn w:val="Normal"/>
    <w:next w:val="Normal"/>
    <w:rsid w:val="00396984"/>
    <w:pPr>
      <w:spacing w:after="600"/>
      <w:jc w:val="center"/>
    </w:pPr>
    <w:rPr>
      <w:rFonts w:ascii="Times New Roman Bold" w:hAnsi="Times New Roman Bold"/>
      <w:b/>
      <w:smallCaps/>
      <w:spacing w:val="-3"/>
      <w:szCs w:val="20"/>
      <w:lang w:val="es-ES_tradnl"/>
    </w:rPr>
  </w:style>
  <w:style w:type="character" w:styleId="Strong">
    <w:name w:val="Strong"/>
    <w:basedOn w:val="DefaultParagraphFont"/>
    <w:uiPriority w:val="22"/>
    <w:qFormat/>
    <w:rsid w:val="00396984"/>
    <w:rPr>
      <w:b/>
      <w:bCs/>
    </w:rPr>
  </w:style>
  <w:style w:type="character" w:styleId="CommentReference">
    <w:name w:val="annotation reference"/>
    <w:basedOn w:val="DefaultParagraphFont"/>
    <w:uiPriority w:val="99"/>
    <w:semiHidden/>
    <w:unhideWhenUsed/>
    <w:rsid w:val="00CD6C31"/>
    <w:rPr>
      <w:sz w:val="16"/>
      <w:szCs w:val="16"/>
    </w:rPr>
  </w:style>
  <w:style w:type="paragraph" w:styleId="CommentText">
    <w:name w:val="annotation text"/>
    <w:basedOn w:val="Normal"/>
    <w:link w:val="CommentTextChar"/>
    <w:uiPriority w:val="99"/>
    <w:semiHidden/>
    <w:unhideWhenUsed/>
    <w:rsid w:val="00CD6C31"/>
    <w:rPr>
      <w:sz w:val="20"/>
      <w:szCs w:val="20"/>
    </w:rPr>
  </w:style>
  <w:style w:type="character" w:customStyle="1" w:styleId="CommentTextChar">
    <w:name w:val="Comment Text Char"/>
    <w:basedOn w:val="DefaultParagraphFont"/>
    <w:link w:val="CommentText"/>
    <w:uiPriority w:val="99"/>
    <w:semiHidden/>
    <w:rsid w:val="00CD6C31"/>
    <w:rPr>
      <w:rFonts w:ascii="Times New Roman" w:eastAsia="Times New Roman" w:hAnsi="Times New Roman" w:cs="Times New Roman"/>
      <w:sz w:val="20"/>
      <w:szCs w:val="20"/>
    </w:rPr>
  </w:style>
  <w:style w:type="character" w:customStyle="1" w:styleId="NoSpacingChar">
    <w:name w:val="No Spacing Char"/>
    <w:link w:val="NoSpacing"/>
    <w:uiPriority w:val="1"/>
    <w:rsid w:val="0047412F"/>
  </w:style>
  <w:style w:type="paragraph" w:styleId="Title">
    <w:name w:val="Title"/>
    <w:basedOn w:val="Normal"/>
    <w:link w:val="TitleChar"/>
    <w:qFormat/>
    <w:rsid w:val="0047412F"/>
    <w:pPr>
      <w:tabs>
        <w:tab w:val="left" w:pos="1440"/>
        <w:tab w:val="left" w:pos="3060"/>
      </w:tabs>
      <w:jc w:val="center"/>
      <w:outlineLvl w:val="0"/>
    </w:pPr>
    <w:rPr>
      <w:lang w:val="es-ES" w:eastAsia="x-none"/>
    </w:rPr>
  </w:style>
  <w:style w:type="character" w:customStyle="1" w:styleId="TitleChar">
    <w:name w:val="Title Char"/>
    <w:basedOn w:val="DefaultParagraphFont"/>
    <w:link w:val="Title"/>
    <w:rsid w:val="0047412F"/>
    <w:rPr>
      <w:rFonts w:ascii="Times New Roman" w:eastAsia="Times New Roman" w:hAnsi="Times New Roman" w:cs="Times New Roman"/>
      <w:sz w:val="24"/>
      <w:szCs w:val="24"/>
      <w:lang w:val="es-ES" w:eastAsia="x-none"/>
    </w:rPr>
  </w:style>
  <w:style w:type="paragraph" w:customStyle="1" w:styleId="FirstHeading">
    <w:name w:val="FirstHeading"/>
    <w:basedOn w:val="Normal"/>
    <w:uiPriority w:val="99"/>
    <w:rsid w:val="0047412F"/>
    <w:pPr>
      <w:keepNext/>
      <w:numPr>
        <w:numId w:val="35"/>
      </w:numPr>
      <w:tabs>
        <w:tab w:val="left" w:pos="0"/>
        <w:tab w:val="left" w:pos="90"/>
      </w:tabs>
      <w:spacing w:before="120" w:after="120"/>
    </w:pPr>
    <w:rPr>
      <w:rFonts w:eastAsia="Batang"/>
      <w:b/>
      <w:szCs w:val="20"/>
      <w:lang w:val="es-ES"/>
    </w:rPr>
  </w:style>
  <w:style w:type="paragraph" w:customStyle="1" w:styleId="SecHeading">
    <w:name w:val="SecHeading"/>
    <w:basedOn w:val="Normal"/>
    <w:next w:val="Normal"/>
    <w:uiPriority w:val="99"/>
    <w:rsid w:val="0047412F"/>
    <w:pPr>
      <w:keepNext/>
      <w:numPr>
        <w:ilvl w:val="1"/>
        <w:numId w:val="35"/>
      </w:numPr>
      <w:spacing w:before="120" w:after="120"/>
    </w:pPr>
    <w:rPr>
      <w:rFonts w:eastAsia="Batang"/>
      <w:b/>
      <w:szCs w:val="20"/>
      <w:lang w:val="es-ES_tradnl"/>
    </w:rPr>
  </w:style>
  <w:style w:type="paragraph" w:customStyle="1" w:styleId="SubHeading1">
    <w:name w:val="SubHeading1"/>
    <w:basedOn w:val="SecHeading"/>
    <w:uiPriority w:val="99"/>
    <w:rsid w:val="0047412F"/>
    <w:pPr>
      <w:numPr>
        <w:ilvl w:val="2"/>
      </w:numPr>
    </w:pPr>
  </w:style>
  <w:style w:type="paragraph" w:customStyle="1" w:styleId="Subheading2">
    <w:name w:val="Subheading2"/>
    <w:basedOn w:val="SecHeading"/>
    <w:uiPriority w:val="99"/>
    <w:rsid w:val="0047412F"/>
    <w:pPr>
      <w:numPr>
        <w:ilvl w:val="3"/>
      </w:numPr>
    </w:pPr>
  </w:style>
  <w:style w:type="paragraph" w:styleId="CommentSubject">
    <w:name w:val="annotation subject"/>
    <w:basedOn w:val="CommentText"/>
    <w:next w:val="CommentText"/>
    <w:link w:val="CommentSubjectChar"/>
    <w:uiPriority w:val="99"/>
    <w:semiHidden/>
    <w:unhideWhenUsed/>
    <w:rsid w:val="00A6072B"/>
    <w:rPr>
      <w:b/>
      <w:bCs/>
    </w:rPr>
  </w:style>
  <w:style w:type="character" w:customStyle="1" w:styleId="CommentSubjectChar">
    <w:name w:val="Comment Subject Char"/>
    <w:basedOn w:val="CommentTextChar"/>
    <w:link w:val="CommentSubject"/>
    <w:uiPriority w:val="99"/>
    <w:semiHidden/>
    <w:rsid w:val="00A6072B"/>
    <w:rPr>
      <w:rFonts w:ascii="Times New Roman" w:eastAsia="Times New Roman" w:hAnsi="Times New Roman" w:cs="Times New Roman"/>
      <w:b/>
      <w:bCs/>
      <w:sz w:val="20"/>
      <w:szCs w:val="20"/>
    </w:rPr>
  </w:style>
  <w:style w:type="paragraph" w:styleId="Revision">
    <w:name w:val="Revision"/>
    <w:hidden/>
    <w:uiPriority w:val="99"/>
    <w:semiHidden/>
    <w:rsid w:val="00A607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irol@iadb.org" TargetMode="External"/><Relationship Id="rId5" Type="http://schemas.openxmlformats.org/officeDocument/2006/relationships/settings" Target="settings.xml"/><Relationship Id="rId10" Type="http://schemas.openxmlformats.org/officeDocument/2006/relationships/hyperlink" Target="mailto:ramirol@iadb.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568F-B316-436E-862B-9C92E4C8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dc:creator>
  <cp:lastModifiedBy>Test</cp:lastModifiedBy>
  <cp:revision>3</cp:revision>
  <cp:lastPrinted>2013-05-14T13:26:00Z</cp:lastPrinted>
  <dcterms:created xsi:type="dcterms:W3CDTF">2013-07-02T18:06:00Z</dcterms:created>
  <dcterms:modified xsi:type="dcterms:W3CDTF">2013-07-02T18:06:00Z</dcterms:modified>
</cp:coreProperties>
</file>