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CA" w:rsidRPr="00DC471E" w:rsidRDefault="00F632CA" w:rsidP="00DC471E">
      <w:pPr>
        <w:tabs>
          <w:tab w:val="left" w:pos="2340"/>
          <w:tab w:val="left" w:pos="2880"/>
        </w:tabs>
        <w:ind w:left="270" w:right="180"/>
        <w:jc w:val="center"/>
        <w:rPr>
          <w:b/>
          <w:smallCaps/>
          <w:sz w:val="24"/>
          <w:szCs w:val="24"/>
          <w:lang w:val="es-ES_tradnl"/>
        </w:rPr>
      </w:pPr>
      <w:r w:rsidRPr="00DC471E">
        <w:rPr>
          <w:b/>
          <w:smallCaps/>
          <w:sz w:val="24"/>
          <w:szCs w:val="24"/>
          <w:lang w:val="es-ES_tradnl"/>
        </w:rPr>
        <w:t xml:space="preserve">Matriz de Resultados </w:t>
      </w:r>
    </w:p>
    <w:p w:rsidR="00867306" w:rsidRPr="00976A07" w:rsidRDefault="00867306" w:rsidP="00BA675A">
      <w:pPr>
        <w:tabs>
          <w:tab w:val="left" w:pos="3870"/>
        </w:tabs>
        <w:rPr>
          <w:sz w:val="24"/>
          <w:szCs w:val="24"/>
          <w:lang w:val="es-ES_tradnl"/>
        </w:rPr>
      </w:pPr>
    </w:p>
    <w:p w:rsidR="004B0CA0" w:rsidRPr="00976A07" w:rsidRDefault="00867306" w:rsidP="00976A07">
      <w:pPr>
        <w:pStyle w:val="Default"/>
        <w:ind w:left="270" w:right="180"/>
        <w:jc w:val="both"/>
        <w:rPr>
          <w:rFonts w:eastAsia="Calibri"/>
          <w:lang w:val="es-ES_tradnl"/>
        </w:rPr>
      </w:pPr>
      <w:r w:rsidRPr="00976A07">
        <w:rPr>
          <w:b/>
          <w:bCs/>
          <w:lang w:val="es-ES"/>
        </w:rPr>
        <w:t>Objetivo del Proyecto:</w:t>
      </w:r>
      <w:r w:rsidR="00D63EC2" w:rsidRPr="00976A07">
        <w:rPr>
          <w:lang w:val="es-ES"/>
        </w:rPr>
        <w:t xml:space="preserve"> </w:t>
      </w:r>
      <w:r w:rsidR="002E2FC7" w:rsidRPr="00976A07">
        <w:rPr>
          <w:rFonts w:eastAsia="Calibri"/>
          <w:lang w:val="es-ES_tradnl"/>
        </w:rPr>
        <w:t xml:space="preserve">El objetivo es contribuir a la sostenibilidad fiscal e incrementar los niveles y la </w:t>
      </w:r>
      <w:bookmarkStart w:id="1" w:name="_GoBack"/>
      <w:bookmarkEnd w:id="1"/>
      <w:r w:rsidR="002E2FC7" w:rsidRPr="00976A07">
        <w:rPr>
          <w:rFonts w:eastAsia="Calibri"/>
          <w:lang w:val="es-ES_tradnl"/>
        </w:rPr>
        <w:t xml:space="preserve">calidad de la inversión, principalmente aquélla orientada a promover la actividad turística sostenible, para el desarrollo del Estado de Alagoas. El fin del </w:t>
      </w:r>
      <w:r w:rsidR="00741EB7">
        <w:rPr>
          <w:rFonts w:eastAsia="Calibri"/>
          <w:lang w:val="es-ES_tradnl"/>
        </w:rPr>
        <w:t>p</w:t>
      </w:r>
      <w:r w:rsidR="002E2FC7" w:rsidRPr="00976A07">
        <w:rPr>
          <w:rFonts w:eastAsia="Calibri"/>
          <w:lang w:val="es-ES_tradnl"/>
        </w:rPr>
        <w:t>rograma es aumentar la contribución del sector turístico a la economía del Estado de A</w:t>
      </w:r>
      <w:r w:rsidR="00C07B7A">
        <w:rPr>
          <w:rFonts w:eastAsia="Calibri"/>
          <w:lang w:val="es-ES_tradnl"/>
        </w:rPr>
        <w:t>lagoas.</w:t>
      </w:r>
    </w:p>
    <w:p w:rsidR="00F632CA" w:rsidRPr="00976A07" w:rsidRDefault="00F632CA" w:rsidP="002E2FC7">
      <w:pPr>
        <w:pStyle w:val="Default"/>
        <w:ind w:left="270"/>
        <w:jc w:val="both"/>
        <w:rPr>
          <w:lang w:val="es-ES_tradnl"/>
        </w:rPr>
      </w:pPr>
    </w:p>
    <w:p w:rsidR="00D41FEE" w:rsidRDefault="00DC471E" w:rsidP="00BA675A">
      <w:pPr>
        <w:tabs>
          <w:tab w:val="left" w:pos="3870"/>
        </w:tabs>
        <w:jc w:val="center"/>
        <w:rPr>
          <w:rFonts w:ascii="Times New Roman Bold" w:hAnsi="Times New Roman Bold"/>
          <w:b/>
          <w:smallCaps/>
          <w:sz w:val="24"/>
          <w:szCs w:val="24"/>
          <w:lang w:val="es-ES"/>
        </w:rPr>
      </w:pPr>
      <w:r w:rsidRPr="00976A07">
        <w:rPr>
          <w:rFonts w:ascii="Times New Roman Bold" w:hAnsi="Times New Roman Bold"/>
          <w:b/>
          <w:smallCaps/>
          <w:sz w:val="24"/>
          <w:szCs w:val="24"/>
          <w:lang w:val="es-ES"/>
        </w:rPr>
        <w:t xml:space="preserve">Impactos </w:t>
      </w:r>
      <w:r>
        <w:rPr>
          <w:rFonts w:ascii="Times New Roman Bold" w:hAnsi="Times New Roman Bold"/>
          <w:b/>
          <w:smallCaps/>
          <w:sz w:val="24"/>
          <w:szCs w:val="24"/>
          <w:lang w:val="es-ES"/>
        </w:rPr>
        <w:t>E</w:t>
      </w:r>
      <w:r w:rsidRPr="00976A07">
        <w:rPr>
          <w:rFonts w:ascii="Times New Roman Bold" w:hAnsi="Times New Roman Bold"/>
          <w:b/>
          <w:smallCaps/>
          <w:sz w:val="24"/>
          <w:szCs w:val="24"/>
          <w:lang w:val="es-ES"/>
        </w:rPr>
        <w:t>sperados</w:t>
      </w:r>
    </w:p>
    <w:p w:rsidR="00DC471E" w:rsidRPr="00976A07" w:rsidRDefault="00DC471E" w:rsidP="00BA675A">
      <w:pPr>
        <w:tabs>
          <w:tab w:val="left" w:pos="3870"/>
        </w:tabs>
        <w:jc w:val="center"/>
        <w:rPr>
          <w:rFonts w:ascii="Times New Roman Bold" w:hAnsi="Times New Roman Bold"/>
          <w:b/>
          <w:smallCaps/>
          <w:sz w:val="24"/>
          <w:szCs w:val="24"/>
          <w:lang w:val="es-ES"/>
        </w:rPr>
      </w:pPr>
    </w:p>
    <w:tbl>
      <w:tblPr>
        <w:tblW w:w="13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1800"/>
        <w:gridCol w:w="1980"/>
        <w:gridCol w:w="2340"/>
        <w:gridCol w:w="2250"/>
      </w:tblGrid>
      <w:tr w:rsidR="00030175" w:rsidRPr="004E2B2D" w:rsidTr="000A763C">
        <w:trPr>
          <w:trHeight w:val="497"/>
          <w:tblHeader/>
        </w:trPr>
        <w:tc>
          <w:tcPr>
            <w:tcW w:w="4320" w:type="dxa"/>
            <w:shd w:val="clear" w:color="auto" w:fill="A6A6A6"/>
            <w:vAlign w:val="center"/>
          </w:tcPr>
          <w:p w:rsidR="00030175" w:rsidRPr="004E2B2D" w:rsidRDefault="00030175" w:rsidP="00857951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 xml:space="preserve">Indicador de </w:t>
            </w:r>
            <w:r w:rsidR="00857951" w:rsidRPr="004E2B2D">
              <w:rPr>
                <w:b/>
                <w:sz w:val="22"/>
                <w:szCs w:val="22"/>
                <w:lang w:val="es-ES"/>
              </w:rPr>
              <w:t>Impacto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030175" w:rsidRPr="004E2B2D" w:rsidRDefault="00030175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1800" w:type="dxa"/>
            <w:shd w:val="clear" w:color="auto" w:fill="A6A6A6"/>
            <w:vAlign w:val="center"/>
          </w:tcPr>
          <w:p w:rsidR="00030175" w:rsidRPr="004E2B2D" w:rsidRDefault="00030175" w:rsidP="002D6FEC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Línea de Base</w:t>
            </w:r>
          </w:p>
        </w:tc>
        <w:tc>
          <w:tcPr>
            <w:tcW w:w="1980" w:type="dxa"/>
            <w:shd w:val="clear" w:color="auto" w:fill="A6A6A6"/>
            <w:vAlign w:val="center"/>
          </w:tcPr>
          <w:p w:rsidR="00030175" w:rsidRPr="004E2B2D" w:rsidRDefault="00030175" w:rsidP="002D6FEC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Meta Final</w:t>
            </w:r>
          </w:p>
        </w:tc>
        <w:tc>
          <w:tcPr>
            <w:tcW w:w="2340" w:type="dxa"/>
            <w:shd w:val="clear" w:color="auto" w:fill="A6A6A6"/>
            <w:vAlign w:val="center"/>
          </w:tcPr>
          <w:p w:rsidR="00030175" w:rsidRPr="004E2B2D" w:rsidRDefault="00030175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Fuente/medio de verificación</w:t>
            </w:r>
          </w:p>
        </w:tc>
        <w:tc>
          <w:tcPr>
            <w:tcW w:w="2250" w:type="dxa"/>
            <w:shd w:val="clear" w:color="auto" w:fill="A6A6A6"/>
            <w:vAlign w:val="center"/>
          </w:tcPr>
          <w:p w:rsidR="00030175" w:rsidRPr="004E2B2D" w:rsidRDefault="00030175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OBS</w:t>
            </w:r>
          </w:p>
        </w:tc>
      </w:tr>
      <w:tr w:rsidR="00375BBF" w:rsidRPr="00446EEF" w:rsidTr="000A763C">
        <w:trPr>
          <w:trHeight w:val="83"/>
        </w:trPr>
        <w:tc>
          <w:tcPr>
            <w:tcW w:w="13950" w:type="dxa"/>
            <w:gridSpan w:val="6"/>
            <w:shd w:val="clear" w:color="auto" w:fill="D9D9D9"/>
            <w:vAlign w:val="center"/>
          </w:tcPr>
          <w:p w:rsidR="00375BBF" w:rsidRPr="004E2B2D" w:rsidRDefault="00375BBF" w:rsidP="0036307C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Impacto1: Incremento de las inversiones públicas del Estado</w:t>
            </w:r>
            <w:r w:rsidR="0036307C">
              <w:rPr>
                <w:b/>
                <w:sz w:val="22"/>
                <w:szCs w:val="22"/>
                <w:lang w:val="es-ES"/>
              </w:rPr>
              <w:t xml:space="preserve"> de Alagoas</w:t>
            </w:r>
          </w:p>
        </w:tc>
      </w:tr>
      <w:tr w:rsidR="000D41EC" w:rsidRPr="00B6795D" w:rsidTr="00976A07">
        <w:trPr>
          <w:trHeight w:val="5012"/>
        </w:trPr>
        <w:tc>
          <w:tcPr>
            <w:tcW w:w="4320" w:type="dxa"/>
            <w:shd w:val="clear" w:color="auto" w:fill="auto"/>
          </w:tcPr>
          <w:p w:rsidR="00641AB4" w:rsidRPr="00E90705" w:rsidRDefault="000D41EC" w:rsidP="0059648D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E90705">
              <w:rPr>
                <w:sz w:val="24"/>
                <w:szCs w:val="24"/>
                <w:lang w:val="es-ES"/>
              </w:rPr>
              <w:t xml:space="preserve">Valor de las inversiones públicas </w:t>
            </w:r>
            <w:r w:rsidR="008B5C30">
              <w:rPr>
                <w:sz w:val="24"/>
                <w:szCs w:val="24"/>
                <w:lang w:val="es-ES"/>
              </w:rPr>
              <w:t xml:space="preserve">en R$ corrientes </w:t>
            </w:r>
            <w:r w:rsidRPr="00E90705">
              <w:rPr>
                <w:sz w:val="24"/>
                <w:szCs w:val="24"/>
                <w:lang w:val="es-ES"/>
              </w:rPr>
              <w:t xml:space="preserve">/ PIB </w:t>
            </w:r>
            <w:r w:rsidR="0059648D" w:rsidRPr="00E90705">
              <w:rPr>
                <w:sz w:val="24"/>
                <w:szCs w:val="24"/>
                <w:lang w:val="es-ES"/>
              </w:rPr>
              <w:t>del E</w:t>
            </w:r>
            <w:r w:rsidRPr="00E90705">
              <w:rPr>
                <w:sz w:val="24"/>
                <w:szCs w:val="24"/>
                <w:lang w:val="es-ES"/>
              </w:rPr>
              <w:t>s</w:t>
            </w:r>
            <w:r w:rsidR="0059648D" w:rsidRPr="00E90705">
              <w:rPr>
                <w:sz w:val="24"/>
                <w:szCs w:val="24"/>
                <w:lang w:val="es-ES"/>
              </w:rPr>
              <w:t>tado de Alagoas</w:t>
            </w:r>
            <w:r w:rsidR="0036307C" w:rsidRPr="00E90705">
              <w:rPr>
                <w:sz w:val="24"/>
                <w:szCs w:val="24"/>
                <w:lang w:val="es-ES"/>
              </w:rPr>
              <w:t>.</w:t>
            </w:r>
          </w:p>
          <w:p w:rsidR="0036307C" w:rsidRPr="00FA55DC" w:rsidRDefault="0036307C" w:rsidP="0059648D">
            <w:pPr>
              <w:tabs>
                <w:tab w:val="left" w:pos="3870"/>
              </w:tabs>
              <w:rPr>
                <w:sz w:val="24"/>
                <w:lang w:val="es-ES"/>
              </w:rPr>
            </w:pPr>
            <w:r w:rsidRPr="00E90705">
              <w:rPr>
                <w:sz w:val="24"/>
                <w:szCs w:val="24"/>
                <w:lang w:val="es-ES"/>
              </w:rPr>
              <w:t>(no incluye transferencias de capital)</w:t>
            </w:r>
          </w:p>
        </w:tc>
        <w:tc>
          <w:tcPr>
            <w:tcW w:w="1260" w:type="dxa"/>
            <w:shd w:val="clear" w:color="auto" w:fill="auto"/>
          </w:tcPr>
          <w:p w:rsidR="000D41EC" w:rsidRPr="0036307C" w:rsidRDefault="000D41EC" w:rsidP="00BA675A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 w:rsidRPr="0036307C">
              <w:rPr>
                <w:sz w:val="24"/>
                <w:szCs w:val="24"/>
                <w:lang w:val="es-ES"/>
              </w:rPr>
              <w:t>% del PIB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41EC" w:rsidRPr="00E513E0" w:rsidRDefault="00E34115" w:rsidP="00BA675A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0,</w:t>
            </w:r>
            <w:r w:rsidR="002A10BC">
              <w:rPr>
                <w:sz w:val="24"/>
                <w:szCs w:val="24"/>
                <w:lang w:val="es-ES"/>
              </w:rPr>
              <w:t>6</w:t>
            </w:r>
            <w:r w:rsidR="000D41EC" w:rsidRPr="00E513E0">
              <w:rPr>
                <w:sz w:val="24"/>
                <w:szCs w:val="24"/>
                <w:lang w:val="es-ES"/>
              </w:rPr>
              <w:t>%</w:t>
            </w:r>
          </w:p>
          <w:p w:rsidR="002D6FEC" w:rsidRPr="00E513E0" w:rsidRDefault="002D6FEC" w:rsidP="00BA675A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 w:rsidRPr="00E513E0">
              <w:rPr>
                <w:sz w:val="24"/>
                <w:szCs w:val="24"/>
                <w:lang w:val="es-ES"/>
              </w:rPr>
              <w:t>(</w:t>
            </w:r>
            <w:r w:rsidR="00257CF7">
              <w:rPr>
                <w:sz w:val="24"/>
                <w:szCs w:val="24"/>
                <w:lang w:val="es-ES"/>
              </w:rPr>
              <w:t xml:space="preserve">promedio </w:t>
            </w:r>
            <w:r w:rsidRPr="00E513E0">
              <w:rPr>
                <w:sz w:val="24"/>
                <w:szCs w:val="24"/>
                <w:lang w:val="es-ES"/>
              </w:rPr>
              <w:t>201</w:t>
            </w:r>
            <w:r w:rsidR="00257CF7">
              <w:rPr>
                <w:sz w:val="24"/>
                <w:szCs w:val="24"/>
                <w:lang w:val="es-ES"/>
              </w:rPr>
              <w:t>1-201</w:t>
            </w:r>
            <w:r w:rsidRPr="00E513E0">
              <w:rPr>
                <w:sz w:val="24"/>
                <w:szCs w:val="24"/>
                <w:lang w:val="es-ES"/>
              </w:rPr>
              <w:t>2)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4115" w:rsidRPr="002B03BD" w:rsidRDefault="00E34115" w:rsidP="00BA675A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 w:rsidRPr="002B03BD">
              <w:rPr>
                <w:sz w:val="24"/>
                <w:szCs w:val="24"/>
                <w:lang w:val="es-ES"/>
              </w:rPr>
              <w:t>1,</w:t>
            </w:r>
            <w:r w:rsidR="002A10BC">
              <w:rPr>
                <w:sz w:val="24"/>
                <w:szCs w:val="24"/>
                <w:lang w:val="es-ES"/>
              </w:rPr>
              <w:t>7</w:t>
            </w:r>
            <w:r w:rsidR="002844AB" w:rsidRPr="002B03BD">
              <w:rPr>
                <w:sz w:val="24"/>
                <w:szCs w:val="24"/>
                <w:lang w:val="es-ES"/>
              </w:rPr>
              <w:t>%</w:t>
            </w:r>
          </w:p>
          <w:p w:rsidR="002D6FEC" w:rsidRPr="00FA55DC" w:rsidRDefault="002D6FEC" w:rsidP="00641AB4">
            <w:pPr>
              <w:tabs>
                <w:tab w:val="left" w:pos="3870"/>
              </w:tabs>
              <w:jc w:val="center"/>
              <w:rPr>
                <w:sz w:val="24"/>
                <w:highlight w:val="yellow"/>
                <w:lang w:val="es-ES"/>
              </w:rPr>
            </w:pPr>
            <w:r w:rsidRPr="002B03BD">
              <w:rPr>
                <w:sz w:val="24"/>
                <w:szCs w:val="24"/>
                <w:lang w:val="es-ES"/>
              </w:rPr>
              <w:t>(</w:t>
            </w:r>
            <w:r w:rsidR="00641AB4" w:rsidRPr="002B03BD">
              <w:rPr>
                <w:sz w:val="24"/>
                <w:szCs w:val="24"/>
                <w:lang w:val="es-ES"/>
              </w:rPr>
              <w:t>pro</w:t>
            </w:r>
            <w:r w:rsidRPr="002B03BD">
              <w:rPr>
                <w:sz w:val="24"/>
                <w:szCs w:val="24"/>
                <w:lang w:val="es-ES"/>
              </w:rPr>
              <w:t>m</w:t>
            </w:r>
            <w:r w:rsidR="00641AB4" w:rsidRPr="002B03BD">
              <w:rPr>
                <w:sz w:val="24"/>
                <w:szCs w:val="24"/>
                <w:lang w:val="es-ES"/>
              </w:rPr>
              <w:t>edio</w:t>
            </w:r>
            <w:r w:rsidRPr="002B03BD">
              <w:rPr>
                <w:sz w:val="24"/>
                <w:szCs w:val="24"/>
                <w:lang w:val="es-ES"/>
              </w:rPr>
              <w:t xml:space="preserve"> 2013-2014)</w:t>
            </w:r>
          </w:p>
        </w:tc>
        <w:tc>
          <w:tcPr>
            <w:tcW w:w="2340" w:type="dxa"/>
            <w:shd w:val="clear" w:color="auto" w:fill="auto"/>
          </w:tcPr>
          <w:p w:rsidR="001B0E56" w:rsidRPr="00FA55DC" w:rsidRDefault="000D41EC" w:rsidP="00641AB4">
            <w:pPr>
              <w:tabs>
                <w:tab w:val="left" w:pos="3870"/>
              </w:tabs>
              <w:rPr>
                <w:sz w:val="24"/>
                <w:lang w:val="es-ES"/>
              </w:rPr>
            </w:pPr>
            <w:r w:rsidRPr="0010596E">
              <w:rPr>
                <w:sz w:val="24"/>
                <w:szCs w:val="24"/>
                <w:lang w:val="es-ES"/>
              </w:rPr>
              <w:t>Informe de las Finanzas Públicas de la Superintendencia de Administración Financiera de la SEFAZ</w:t>
            </w:r>
            <w:r w:rsidR="001B0E56">
              <w:rPr>
                <w:sz w:val="24"/>
                <w:szCs w:val="24"/>
                <w:lang w:val="es-ES"/>
              </w:rPr>
              <w:t>/AL.</w:t>
            </w:r>
          </w:p>
          <w:p w:rsidR="00641AB4" w:rsidRPr="0010596E" w:rsidRDefault="00641AB4" w:rsidP="00641AB4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</w:p>
          <w:p w:rsidR="000D41EC" w:rsidRPr="0010596E" w:rsidRDefault="00641AB4" w:rsidP="001B0E56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FA55DC">
              <w:rPr>
                <w:sz w:val="24"/>
                <w:lang w:val="es-ES"/>
              </w:rPr>
              <w:t xml:space="preserve">Proyección </w:t>
            </w:r>
            <w:r w:rsidRPr="0010596E">
              <w:rPr>
                <w:sz w:val="24"/>
                <w:szCs w:val="24"/>
                <w:lang w:val="es-ES"/>
              </w:rPr>
              <w:t>de</w:t>
            </w:r>
            <w:r w:rsidR="001B0E56">
              <w:rPr>
                <w:sz w:val="24"/>
                <w:szCs w:val="24"/>
                <w:lang w:val="es-ES"/>
              </w:rPr>
              <w:t>l</w:t>
            </w:r>
            <w:r w:rsidRPr="00FA55DC">
              <w:rPr>
                <w:sz w:val="24"/>
                <w:lang w:val="es-ES"/>
              </w:rPr>
              <w:t xml:space="preserve"> PIB para cada año</w:t>
            </w:r>
            <w:r w:rsidR="001B0E56">
              <w:rPr>
                <w:sz w:val="24"/>
                <w:szCs w:val="24"/>
                <w:lang w:val="es-ES"/>
              </w:rPr>
              <w:t>,</w:t>
            </w:r>
            <w:r w:rsidR="001B0E56" w:rsidRPr="00FA55DC">
              <w:rPr>
                <w:sz w:val="24"/>
                <w:lang w:val="es-ES"/>
              </w:rPr>
              <w:t xml:space="preserve"> </w:t>
            </w:r>
            <w:r w:rsidRPr="00FA55DC">
              <w:rPr>
                <w:sz w:val="24"/>
                <w:lang w:val="es-ES"/>
              </w:rPr>
              <w:t>Fuente</w:t>
            </w:r>
            <w:r w:rsidR="001B0E56">
              <w:rPr>
                <w:sz w:val="24"/>
                <w:szCs w:val="24"/>
                <w:lang w:val="es-ES"/>
              </w:rPr>
              <w:t>:</w:t>
            </w:r>
            <w:r w:rsidRPr="00FA55DC">
              <w:rPr>
                <w:sz w:val="24"/>
                <w:lang w:val="es-ES"/>
              </w:rPr>
              <w:t xml:space="preserve"> Alagoas en Dados, SEPLANDE</w:t>
            </w:r>
            <w:r w:rsidR="001B0E56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2D6FEC" w:rsidRPr="002A10BC" w:rsidRDefault="002A0A59" w:rsidP="00BA675A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2A10BC">
              <w:rPr>
                <w:sz w:val="24"/>
                <w:szCs w:val="24"/>
                <w:lang w:val="es-ES"/>
              </w:rPr>
              <w:t>I</w:t>
            </w:r>
            <w:r w:rsidR="002D6FEC" w:rsidRPr="002A10BC">
              <w:rPr>
                <w:sz w:val="24"/>
                <w:szCs w:val="24"/>
                <w:lang w:val="es-ES"/>
              </w:rPr>
              <w:t xml:space="preserve">ncluye 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inversión </w:t>
            </w:r>
            <w:r w:rsidR="00B6795D">
              <w:rPr>
                <w:sz w:val="24"/>
                <w:szCs w:val="24"/>
                <w:lang w:val="es-ES"/>
              </w:rPr>
              <w:t>más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 inversión financiera, menos </w:t>
            </w:r>
            <w:r w:rsidR="002D6FEC" w:rsidRPr="002A10BC">
              <w:rPr>
                <w:sz w:val="24"/>
                <w:szCs w:val="24"/>
                <w:lang w:val="es-ES"/>
              </w:rPr>
              <w:t>transferencias de capital</w:t>
            </w:r>
            <w:r w:rsidR="006B048D" w:rsidRPr="002A10BC">
              <w:rPr>
                <w:sz w:val="24"/>
                <w:szCs w:val="24"/>
                <w:lang w:val="es-ES"/>
              </w:rPr>
              <w:t xml:space="preserve"> (convenios con recursos fuente 10)</w:t>
            </w:r>
            <w:r w:rsidR="00973A17" w:rsidRPr="002A10BC">
              <w:rPr>
                <w:sz w:val="24"/>
                <w:szCs w:val="24"/>
                <w:lang w:val="es-ES"/>
              </w:rPr>
              <w:t>.</w:t>
            </w:r>
          </w:p>
          <w:p w:rsidR="0010596E" w:rsidRPr="002A10BC" w:rsidRDefault="0010596E" w:rsidP="00BA675A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</w:p>
          <w:p w:rsidR="006825AA" w:rsidRDefault="006825AA" w:rsidP="006825AA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2A10BC">
              <w:rPr>
                <w:sz w:val="24"/>
                <w:szCs w:val="24"/>
                <w:lang w:val="es-ES"/>
              </w:rPr>
              <w:t> </w:t>
            </w:r>
          </w:p>
          <w:p w:rsidR="00B6795D" w:rsidRDefault="00641AB4" w:rsidP="00B6795D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2A10BC">
              <w:rPr>
                <w:sz w:val="24"/>
                <w:szCs w:val="24"/>
                <w:lang w:val="es-ES"/>
              </w:rPr>
              <w:t>Línea de base</w:t>
            </w:r>
            <w:r w:rsidR="00973A17" w:rsidRPr="002A10BC">
              <w:rPr>
                <w:sz w:val="24"/>
                <w:szCs w:val="24"/>
                <w:lang w:val="es-ES"/>
              </w:rPr>
              <w:t>:</w:t>
            </w:r>
            <w:r w:rsidRPr="002A10BC">
              <w:rPr>
                <w:sz w:val="24"/>
                <w:szCs w:val="24"/>
                <w:lang w:val="es-ES"/>
              </w:rPr>
              <w:t xml:space="preserve"> </w:t>
            </w:r>
            <w:r w:rsidR="00B6795D" w:rsidRPr="002A10BC">
              <w:rPr>
                <w:sz w:val="24"/>
                <w:szCs w:val="24"/>
                <w:lang w:val="es-ES"/>
              </w:rPr>
              <w:t>R$</w:t>
            </w:r>
            <w:r w:rsidR="002A10BC" w:rsidRPr="002A10BC">
              <w:rPr>
                <w:sz w:val="24"/>
                <w:szCs w:val="24"/>
                <w:lang w:val="es-ES"/>
              </w:rPr>
              <w:t>156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 </w:t>
            </w:r>
            <w:r w:rsidR="00B6795D" w:rsidRPr="002A10BC">
              <w:rPr>
                <w:sz w:val="24"/>
                <w:szCs w:val="24"/>
                <w:lang w:val="es-ES"/>
              </w:rPr>
              <w:t xml:space="preserve">millones 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(2011) y </w:t>
            </w:r>
            <w:r w:rsidR="00B6795D">
              <w:rPr>
                <w:sz w:val="24"/>
                <w:szCs w:val="24"/>
                <w:lang w:val="es-ES"/>
              </w:rPr>
              <w:t>R$2</w:t>
            </w:r>
            <w:r w:rsidR="002B03BD" w:rsidRPr="002A10BC">
              <w:rPr>
                <w:sz w:val="24"/>
                <w:szCs w:val="24"/>
                <w:lang w:val="es-ES"/>
              </w:rPr>
              <w:t>0</w:t>
            </w:r>
            <w:r w:rsidR="002A10BC" w:rsidRPr="002A10BC">
              <w:rPr>
                <w:sz w:val="24"/>
                <w:szCs w:val="24"/>
                <w:lang w:val="es-ES"/>
              </w:rPr>
              <w:t>8</w:t>
            </w:r>
            <w:r w:rsidR="00B6795D">
              <w:rPr>
                <w:sz w:val="24"/>
                <w:szCs w:val="24"/>
                <w:lang w:val="es-ES"/>
              </w:rPr>
              <w:t xml:space="preserve"> millones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 (2012)</w:t>
            </w:r>
            <w:r w:rsidR="00B6795D">
              <w:rPr>
                <w:sz w:val="24"/>
                <w:szCs w:val="24"/>
                <w:lang w:val="es-ES"/>
              </w:rPr>
              <w:t>, R$</w:t>
            </w:r>
            <w:r w:rsidR="002A10BC" w:rsidRPr="002A10BC">
              <w:rPr>
                <w:sz w:val="24"/>
                <w:szCs w:val="24"/>
                <w:lang w:val="es-ES"/>
              </w:rPr>
              <w:t>182</w:t>
            </w:r>
            <w:r w:rsidR="00B6795D">
              <w:rPr>
                <w:sz w:val="24"/>
                <w:szCs w:val="24"/>
                <w:lang w:val="es-ES"/>
              </w:rPr>
              <w:t xml:space="preserve"> millones</w:t>
            </w:r>
            <w:r w:rsidR="002A10BC">
              <w:rPr>
                <w:sz w:val="24"/>
                <w:szCs w:val="24"/>
                <w:lang w:val="es-ES"/>
              </w:rPr>
              <w:t xml:space="preserve"> en promedio</w:t>
            </w:r>
            <w:r w:rsidR="00973A17" w:rsidRPr="002A10BC">
              <w:rPr>
                <w:sz w:val="24"/>
                <w:szCs w:val="24"/>
                <w:lang w:val="es-ES"/>
              </w:rPr>
              <w:t xml:space="preserve">. </w:t>
            </w:r>
          </w:p>
          <w:p w:rsidR="00641AB4" w:rsidRPr="004E2B2D" w:rsidRDefault="00641AB4" w:rsidP="00B6795D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FA55DC">
              <w:rPr>
                <w:sz w:val="24"/>
                <w:lang w:val="es-ES"/>
              </w:rPr>
              <w:t>Meta:</w:t>
            </w:r>
            <w:r w:rsidRPr="002A10BC">
              <w:rPr>
                <w:sz w:val="24"/>
                <w:szCs w:val="24"/>
                <w:lang w:val="es-ES"/>
              </w:rPr>
              <w:t xml:space="preserve"> </w:t>
            </w:r>
            <w:r w:rsidR="00B6795D">
              <w:rPr>
                <w:sz w:val="24"/>
                <w:szCs w:val="24"/>
                <w:lang w:val="es-ES"/>
              </w:rPr>
              <w:t>R$</w:t>
            </w:r>
            <w:r w:rsidR="002A10BC" w:rsidRPr="002A10BC">
              <w:rPr>
                <w:sz w:val="24"/>
                <w:szCs w:val="24"/>
                <w:lang w:val="es-ES"/>
              </w:rPr>
              <w:t>48</w:t>
            </w:r>
            <w:r w:rsidR="0010596E" w:rsidRPr="002A10BC">
              <w:rPr>
                <w:sz w:val="24"/>
                <w:szCs w:val="24"/>
                <w:lang w:val="es-ES"/>
              </w:rPr>
              <w:t xml:space="preserve">0 </w:t>
            </w:r>
            <w:r w:rsidR="00B6795D">
              <w:rPr>
                <w:sz w:val="24"/>
                <w:szCs w:val="24"/>
                <w:lang w:val="es-ES"/>
              </w:rPr>
              <w:t xml:space="preserve">millones </w:t>
            </w:r>
            <w:r w:rsidR="002A10BC">
              <w:rPr>
                <w:sz w:val="24"/>
                <w:szCs w:val="24"/>
                <w:lang w:val="es-ES"/>
              </w:rPr>
              <w:t>promedio 2013-</w:t>
            </w:r>
            <w:r w:rsidR="006825AA">
              <w:rPr>
                <w:sz w:val="24"/>
                <w:szCs w:val="24"/>
                <w:lang w:val="es-ES"/>
              </w:rPr>
              <w:t>20</w:t>
            </w:r>
            <w:r w:rsidR="00E513E0" w:rsidRPr="002A10BC">
              <w:rPr>
                <w:sz w:val="24"/>
                <w:szCs w:val="24"/>
                <w:lang w:val="es-ES"/>
              </w:rPr>
              <w:t>14</w:t>
            </w:r>
            <w:r w:rsidR="00973A17" w:rsidRPr="002A10BC">
              <w:rPr>
                <w:sz w:val="24"/>
                <w:szCs w:val="24"/>
                <w:lang w:val="es-ES"/>
              </w:rPr>
              <w:t>.</w:t>
            </w:r>
          </w:p>
        </w:tc>
      </w:tr>
      <w:tr w:rsidR="00141759" w:rsidRPr="00446EEF" w:rsidTr="00976A07">
        <w:trPr>
          <w:trHeight w:val="440"/>
        </w:trPr>
        <w:tc>
          <w:tcPr>
            <w:tcW w:w="13950" w:type="dxa"/>
            <w:gridSpan w:val="6"/>
            <w:shd w:val="clear" w:color="auto" w:fill="D9D9D9"/>
            <w:vAlign w:val="center"/>
          </w:tcPr>
          <w:p w:rsidR="00141759" w:rsidRPr="004E2B2D" w:rsidRDefault="00141759" w:rsidP="00F33607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Impacto</w:t>
            </w:r>
            <w:r w:rsidR="00F33607">
              <w:rPr>
                <w:b/>
                <w:sz w:val="22"/>
                <w:szCs w:val="22"/>
                <w:lang w:val="es-ES"/>
              </w:rPr>
              <w:t>2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: </w:t>
            </w:r>
            <w:r w:rsidR="000A2188" w:rsidRPr="004E2B2D">
              <w:rPr>
                <w:b/>
                <w:sz w:val="22"/>
                <w:szCs w:val="22"/>
                <w:lang w:val="es-ES"/>
              </w:rPr>
              <w:t>Incremen</w:t>
            </w:r>
            <w:r w:rsidR="002E6FAA" w:rsidRPr="004E2B2D">
              <w:rPr>
                <w:b/>
                <w:sz w:val="22"/>
                <w:szCs w:val="22"/>
                <w:lang w:val="es-ES"/>
              </w:rPr>
              <w:t>to de la inversión en áreas</w:t>
            </w:r>
            <w:r w:rsidR="000A2188" w:rsidRPr="004E2B2D">
              <w:rPr>
                <w:b/>
                <w:sz w:val="22"/>
                <w:szCs w:val="22"/>
                <w:lang w:val="es-ES"/>
              </w:rPr>
              <w:t xml:space="preserve"> turísticas </w:t>
            </w:r>
          </w:p>
        </w:tc>
      </w:tr>
      <w:tr w:rsidR="00956175" w:rsidRPr="00446EEF" w:rsidTr="000A763C">
        <w:trPr>
          <w:trHeight w:val="60"/>
        </w:trPr>
        <w:tc>
          <w:tcPr>
            <w:tcW w:w="4320" w:type="dxa"/>
            <w:shd w:val="clear" w:color="auto" w:fill="auto"/>
          </w:tcPr>
          <w:p w:rsidR="00956175" w:rsidRPr="00B6795D" w:rsidRDefault="00956175" w:rsidP="00476E20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Valor de la inversión privada en áreas turísticas (fuera del área metropolitana)</w:t>
            </w:r>
          </w:p>
        </w:tc>
        <w:tc>
          <w:tcPr>
            <w:tcW w:w="1260" w:type="dxa"/>
            <w:shd w:val="clear" w:color="auto" w:fill="auto"/>
          </w:tcPr>
          <w:p w:rsidR="00956175" w:rsidRPr="00B6795D" w:rsidRDefault="00956175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Millones de R$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6175" w:rsidRPr="00956175" w:rsidRDefault="00956175" w:rsidP="00B53C33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56175">
              <w:rPr>
                <w:sz w:val="22"/>
                <w:szCs w:val="22"/>
                <w:lang w:val="es-ES"/>
              </w:rPr>
              <w:t>R$95.000.000</w:t>
            </w:r>
          </w:p>
          <w:p w:rsidR="00956175" w:rsidRPr="00956175" w:rsidRDefault="00956175" w:rsidP="0039625B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56175">
              <w:rPr>
                <w:sz w:val="22"/>
                <w:szCs w:val="22"/>
                <w:lang w:val="es-ES"/>
              </w:rPr>
              <w:t>(año 2013)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175" w:rsidRPr="00956175" w:rsidRDefault="00956175" w:rsidP="00B53C33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56175">
              <w:rPr>
                <w:sz w:val="22"/>
                <w:szCs w:val="22"/>
                <w:lang w:val="es-ES"/>
              </w:rPr>
              <w:t>R$1</w:t>
            </w:r>
            <w:r w:rsidR="00F231DE">
              <w:rPr>
                <w:sz w:val="22"/>
                <w:szCs w:val="22"/>
                <w:lang w:val="es-ES"/>
              </w:rPr>
              <w:t>07.904</w:t>
            </w:r>
            <w:r w:rsidRPr="00956175">
              <w:rPr>
                <w:sz w:val="22"/>
                <w:szCs w:val="22"/>
                <w:lang w:val="es-ES"/>
              </w:rPr>
              <w:t xml:space="preserve">.000 </w:t>
            </w:r>
          </w:p>
          <w:p w:rsidR="00956175" w:rsidRPr="00956175" w:rsidRDefault="00956175" w:rsidP="00F311D7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56175">
              <w:rPr>
                <w:sz w:val="22"/>
                <w:szCs w:val="22"/>
                <w:lang w:val="es-ES"/>
              </w:rPr>
              <w:t>(año 2015)</w:t>
            </w:r>
          </w:p>
        </w:tc>
        <w:tc>
          <w:tcPr>
            <w:tcW w:w="2340" w:type="dxa"/>
            <w:shd w:val="clear" w:color="auto" w:fill="auto"/>
          </w:tcPr>
          <w:p w:rsidR="00956175" w:rsidRPr="00B6795D" w:rsidRDefault="00956175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 xml:space="preserve">Informe anual de la Secretaría de Estado de Turismo (SETUR), Superintendencia de </w:t>
            </w:r>
            <w:r w:rsidRPr="00B6795D">
              <w:rPr>
                <w:sz w:val="22"/>
                <w:szCs w:val="22"/>
                <w:lang w:val="es-ES"/>
              </w:rPr>
              <w:lastRenderedPageBreak/>
              <w:t>Inversiones</w:t>
            </w:r>
          </w:p>
        </w:tc>
        <w:tc>
          <w:tcPr>
            <w:tcW w:w="2250" w:type="dxa"/>
            <w:shd w:val="clear" w:color="auto" w:fill="auto"/>
          </w:tcPr>
          <w:p w:rsidR="00956175" w:rsidRDefault="00956175" w:rsidP="00B53C33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lastRenderedPageBreak/>
              <w:t xml:space="preserve">Datos </w:t>
            </w:r>
            <w:r>
              <w:rPr>
                <w:sz w:val="22"/>
                <w:szCs w:val="22"/>
                <w:lang w:val="es-ES"/>
              </w:rPr>
              <w:t xml:space="preserve">disponibles por la SETUR </w:t>
            </w:r>
            <w:r w:rsidRPr="00B6795D">
              <w:rPr>
                <w:sz w:val="22"/>
                <w:szCs w:val="22"/>
                <w:lang w:val="es-ES"/>
              </w:rPr>
              <w:t xml:space="preserve">relativos a </w:t>
            </w:r>
            <w:r>
              <w:rPr>
                <w:sz w:val="22"/>
                <w:szCs w:val="22"/>
                <w:lang w:val="es-ES"/>
              </w:rPr>
              <w:t xml:space="preserve">inversión en </w:t>
            </w:r>
            <w:r w:rsidRPr="00B6795D">
              <w:rPr>
                <w:sz w:val="22"/>
                <w:szCs w:val="22"/>
                <w:lang w:val="es-ES"/>
              </w:rPr>
              <w:t>hoteles.</w:t>
            </w:r>
            <w:r>
              <w:rPr>
                <w:sz w:val="22"/>
                <w:szCs w:val="22"/>
                <w:lang w:val="es-ES"/>
              </w:rPr>
              <w:t xml:space="preserve"> Las inversiones fuera </w:t>
            </w:r>
            <w:r>
              <w:rPr>
                <w:sz w:val="22"/>
                <w:szCs w:val="22"/>
                <w:lang w:val="es-ES"/>
              </w:rPr>
              <w:lastRenderedPageBreak/>
              <w:t>de Maceió han sido irregulares en los últimos años.</w:t>
            </w:r>
            <w:r w:rsidRPr="00B6795D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La meta del programa se ha establecido con el objetivo de asegurar </w:t>
            </w:r>
            <w:r w:rsidRPr="00B6795D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l</w:t>
            </w:r>
            <w:r w:rsidRPr="00B6795D">
              <w:rPr>
                <w:sz w:val="22"/>
                <w:szCs w:val="22"/>
                <w:lang w:val="es-ES"/>
              </w:rPr>
              <w:t xml:space="preserve">a tendencia de crecimiento de las inversiones </w:t>
            </w:r>
            <w:r>
              <w:rPr>
                <w:sz w:val="22"/>
                <w:szCs w:val="22"/>
                <w:lang w:val="es-ES"/>
              </w:rPr>
              <w:t xml:space="preserve"> hasta 2015(</w:t>
            </w:r>
            <w:r w:rsidR="00643BBF">
              <w:rPr>
                <w:sz w:val="22"/>
                <w:szCs w:val="22"/>
                <w:lang w:val="es-ES"/>
              </w:rPr>
              <w:t xml:space="preserve">en base a datos históricos </w:t>
            </w:r>
            <w:r>
              <w:rPr>
                <w:sz w:val="22"/>
                <w:szCs w:val="22"/>
                <w:lang w:val="es-ES"/>
              </w:rPr>
              <w:t xml:space="preserve">y </w:t>
            </w:r>
            <w:r w:rsidRPr="00B6795D">
              <w:rPr>
                <w:sz w:val="22"/>
                <w:szCs w:val="22"/>
                <w:lang w:val="es-ES"/>
              </w:rPr>
              <w:t>en el marco de la cartera de nuevos proyectos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B6795D">
              <w:rPr>
                <w:sz w:val="22"/>
                <w:szCs w:val="22"/>
                <w:lang w:val="es-ES"/>
              </w:rPr>
              <w:t>hoteleros manejada por la SETUR fuera del área metropolitana de Maceió</w:t>
            </w:r>
            <w:r>
              <w:rPr>
                <w:sz w:val="22"/>
                <w:szCs w:val="22"/>
                <w:lang w:val="es-ES"/>
              </w:rPr>
              <w:t>)</w:t>
            </w:r>
            <w:r w:rsidRPr="00B6795D">
              <w:rPr>
                <w:sz w:val="22"/>
                <w:szCs w:val="22"/>
                <w:lang w:val="es-ES"/>
              </w:rPr>
              <w:t xml:space="preserve">. </w:t>
            </w:r>
          </w:p>
          <w:p w:rsidR="00956175" w:rsidRPr="00C07B7A" w:rsidRDefault="00956175" w:rsidP="00CC287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  <w:r w:rsidRPr="004A04EB">
              <w:rPr>
                <w:sz w:val="22"/>
                <w:szCs w:val="22"/>
                <w:lang w:val="es-ES_tradnl"/>
              </w:rPr>
              <w:t xml:space="preserve"> Datos línea de base corresponde</w:t>
            </w:r>
            <w:r>
              <w:rPr>
                <w:sz w:val="22"/>
                <w:szCs w:val="22"/>
                <w:lang w:val="es-ES_tradnl"/>
              </w:rPr>
              <w:t>n</w:t>
            </w:r>
            <w:r w:rsidRPr="004A04EB">
              <w:rPr>
                <w:sz w:val="22"/>
                <w:szCs w:val="22"/>
                <w:lang w:val="es-ES_tradnl"/>
              </w:rPr>
              <w:t xml:space="preserve"> a inversión </w:t>
            </w:r>
            <w:r w:rsidR="00643BBF">
              <w:rPr>
                <w:sz w:val="22"/>
                <w:szCs w:val="22"/>
                <w:lang w:val="es-ES_tradnl"/>
              </w:rPr>
              <w:t xml:space="preserve">hotelera </w:t>
            </w:r>
            <w:r w:rsidRPr="004A04EB">
              <w:rPr>
                <w:sz w:val="22"/>
                <w:szCs w:val="22"/>
                <w:lang w:val="es-ES_tradnl"/>
              </w:rPr>
              <w:t>realizada sólo en 201</w:t>
            </w:r>
            <w:r>
              <w:rPr>
                <w:sz w:val="22"/>
                <w:szCs w:val="22"/>
                <w:lang w:val="es-ES_tradnl"/>
              </w:rPr>
              <w:t>3</w:t>
            </w:r>
            <w:r w:rsidRPr="004A04EB">
              <w:rPr>
                <w:sz w:val="22"/>
                <w:szCs w:val="22"/>
                <w:lang w:val="es-ES_tradnl"/>
              </w:rPr>
              <w:t>.</w:t>
            </w:r>
            <w:r>
              <w:rPr>
                <w:sz w:val="22"/>
                <w:szCs w:val="22"/>
                <w:lang w:val="es-ES"/>
              </w:rPr>
              <w:t>-</w:t>
            </w:r>
          </w:p>
        </w:tc>
      </w:tr>
    </w:tbl>
    <w:p w:rsidR="0028426E" w:rsidRPr="00B6795D" w:rsidRDefault="0028426E" w:rsidP="00BA675A">
      <w:pPr>
        <w:tabs>
          <w:tab w:val="left" w:pos="3870"/>
        </w:tabs>
        <w:jc w:val="center"/>
        <w:rPr>
          <w:b/>
          <w:sz w:val="22"/>
          <w:szCs w:val="22"/>
          <w:lang w:val="es-ES_tradnl"/>
        </w:rPr>
      </w:pPr>
    </w:p>
    <w:p w:rsidR="00DC471E" w:rsidRDefault="00DC471E">
      <w:pPr>
        <w:rPr>
          <w:rFonts w:ascii="Times New Roman Bold" w:hAnsi="Times New Roman Bold"/>
          <w:b/>
          <w:smallCaps/>
          <w:sz w:val="22"/>
          <w:szCs w:val="22"/>
          <w:lang w:val="es-ES"/>
        </w:rPr>
      </w:pPr>
      <w:r>
        <w:rPr>
          <w:rFonts w:ascii="Times New Roman Bold" w:hAnsi="Times New Roman Bold"/>
          <w:b/>
          <w:smallCaps/>
          <w:sz w:val="22"/>
          <w:szCs w:val="22"/>
          <w:lang w:val="es-ES"/>
        </w:rPr>
        <w:br w:type="page"/>
      </w:r>
    </w:p>
    <w:p w:rsidR="00867306" w:rsidRPr="00976A07" w:rsidRDefault="00DC471E" w:rsidP="00BA675A">
      <w:pPr>
        <w:tabs>
          <w:tab w:val="left" w:pos="3870"/>
        </w:tabs>
        <w:jc w:val="center"/>
        <w:rPr>
          <w:rFonts w:ascii="Times New Roman Bold" w:hAnsi="Times New Roman Bold"/>
          <w:b/>
          <w:smallCaps/>
          <w:sz w:val="24"/>
          <w:szCs w:val="22"/>
          <w:lang w:val="es-ES"/>
        </w:rPr>
      </w:pPr>
      <w:r w:rsidRPr="00976A07">
        <w:rPr>
          <w:rFonts w:ascii="Times New Roman Bold" w:hAnsi="Times New Roman Bold"/>
          <w:b/>
          <w:smallCaps/>
          <w:sz w:val="24"/>
          <w:szCs w:val="22"/>
          <w:lang w:val="es-ES"/>
        </w:rPr>
        <w:lastRenderedPageBreak/>
        <w:t>Resultados Esperados</w:t>
      </w:r>
    </w:p>
    <w:p w:rsidR="00DC471E" w:rsidRPr="00976A07" w:rsidRDefault="00DC471E" w:rsidP="00BA675A">
      <w:pPr>
        <w:tabs>
          <w:tab w:val="left" w:pos="3870"/>
        </w:tabs>
        <w:jc w:val="center"/>
        <w:rPr>
          <w:rFonts w:ascii="Times New Roman Bold" w:hAnsi="Times New Roman Bold"/>
          <w:b/>
          <w:smallCaps/>
          <w:sz w:val="22"/>
          <w:szCs w:val="22"/>
          <w:lang w:val="es-ES"/>
        </w:rPr>
      </w:pPr>
    </w:p>
    <w:tbl>
      <w:tblPr>
        <w:tblW w:w="13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260"/>
        <w:gridCol w:w="1170"/>
        <w:gridCol w:w="1292"/>
        <w:gridCol w:w="3028"/>
        <w:gridCol w:w="2970"/>
      </w:tblGrid>
      <w:tr w:rsidR="00FA55DC" w:rsidRPr="00B6795D" w:rsidTr="00001657">
        <w:trPr>
          <w:trHeight w:val="20"/>
          <w:tblHeader/>
        </w:trPr>
        <w:tc>
          <w:tcPr>
            <w:tcW w:w="4230" w:type="dxa"/>
            <w:shd w:val="clear" w:color="auto" w:fill="BFBFBF"/>
            <w:vAlign w:val="center"/>
          </w:tcPr>
          <w:p w:rsidR="008C22A8" w:rsidRPr="00B6795D" w:rsidRDefault="008C22A8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Indicador de Resultado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C22A8" w:rsidRPr="00B6795D" w:rsidRDefault="008C22A8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8C22A8" w:rsidRPr="00B6795D" w:rsidRDefault="008C22A8" w:rsidP="007717F0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Línea de Base</w:t>
            </w:r>
          </w:p>
        </w:tc>
        <w:tc>
          <w:tcPr>
            <w:tcW w:w="1292" w:type="dxa"/>
            <w:shd w:val="clear" w:color="auto" w:fill="BFBFBF"/>
            <w:vAlign w:val="center"/>
          </w:tcPr>
          <w:p w:rsidR="008C22A8" w:rsidRPr="00B6795D" w:rsidRDefault="008C22A8" w:rsidP="007717F0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Meta Final</w:t>
            </w:r>
          </w:p>
        </w:tc>
        <w:tc>
          <w:tcPr>
            <w:tcW w:w="3028" w:type="dxa"/>
            <w:shd w:val="clear" w:color="auto" w:fill="BFBFBF"/>
            <w:vAlign w:val="center"/>
          </w:tcPr>
          <w:p w:rsidR="008C22A8" w:rsidRPr="00B6795D" w:rsidRDefault="008C22A8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Fuente/medio de verificación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8C22A8" w:rsidRPr="00B6795D" w:rsidRDefault="008C22A8" w:rsidP="00BA675A">
            <w:pPr>
              <w:tabs>
                <w:tab w:val="left" w:pos="3870"/>
              </w:tabs>
              <w:snapToGrid w:val="0"/>
              <w:jc w:val="center"/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OBS</w:t>
            </w:r>
          </w:p>
        </w:tc>
      </w:tr>
      <w:tr w:rsidR="008C22A8" w:rsidRPr="00446EEF" w:rsidTr="00F66189">
        <w:trPr>
          <w:trHeight w:val="83"/>
        </w:trPr>
        <w:tc>
          <w:tcPr>
            <w:tcW w:w="13950" w:type="dxa"/>
            <w:gridSpan w:val="6"/>
            <w:shd w:val="clear" w:color="auto" w:fill="D9D9D9"/>
            <w:vAlign w:val="center"/>
          </w:tcPr>
          <w:p w:rsidR="008C22A8" w:rsidRPr="00B6795D" w:rsidRDefault="000A2188" w:rsidP="000A2188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Componente 2</w:t>
            </w:r>
            <w:r w:rsidR="008C22A8" w:rsidRPr="00B6795D">
              <w:rPr>
                <w:b/>
                <w:sz w:val="22"/>
                <w:szCs w:val="22"/>
                <w:lang w:val="es-ES"/>
              </w:rPr>
              <w:t>: I</w:t>
            </w:r>
            <w:r w:rsidRPr="00B6795D">
              <w:rPr>
                <w:b/>
                <w:sz w:val="22"/>
                <w:szCs w:val="22"/>
                <w:lang w:val="es-ES"/>
              </w:rPr>
              <w:t>ngresos Tributarios y Gasto Público</w:t>
            </w:r>
          </w:p>
        </w:tc>
      </w:tr>
      <w:tr w:rsidR="00030175" w:rsidRPr="00446EEF" w:rsidTr="00FA55DC">
        <w:trPr>
          <w:trHeight w:val="83"/>
        </w:trPr>
        <w:tc>
          <w:tcPr>
            <w:tcW w:w="4230" w:type="dxa"/>
            <w:shd w:val="clear" w:color="auto" w:fill="auto"/>
            <w:vAlign w:val="center"/>
          </w:tcPr>
          <w:p w:rsidR="000A2188" w:rsidRPr="00B6795D" w:rsidRDefault="000A2188" w:rsidP="00FC08D6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B6795D">
              <w:rPr>
                <w:b/>
                <w:sz w:val="22"/>
                <w:szCs w:val="22"/>
                <w:lang w:val="es-ES" w:eastAsia="es-ES_tradnl"/>
              </w:rPr>
              <w:t>Resultado</w:t>
            </w:r>
            <w:r w:rsidR="001E2508" w:rsidRPr="00B6795D">
              <w:rPr>
                <w:b/>
                <w:sz w:val="22"/>
                <w:szCs w:val="22"/>
                <w:lang w:val="es-ES" w:eastAsia="es-ES_tradnl"/>
              </w:rPr>
              <w:t xml:space="preserve"> </w:t>
            </w:r>
            <w:r w:rsidR="00E903E7" w:rsidRPr="00B6795D">
              <w:rPr>
                <w:b/>
                <w:sz w:val="22"/>
                <w:szCs w:val="22"/>
                <w:lang w:val="es-ES" w:eastAsia="es-ES_tradnl"/>
              </w:rPr>
              <w:t>2.</w:t>
            </w:r>
            <w:r w:rsidR="00FC08D6" w:rsidRPr="00B6795D">
              <w:rPr>
                <w:b/>
                <w:sz w:val="22"/>
                <w:szCs w:val="22"/>
                <w:lang w:val="es-ES" w:eastAsia="es-ES_tradnl"/>
              </w:rPr>
              <w:t>1</w:t>
            </w:r>
            <w:r w:rsidRPr="00B6795D">
              <w:rPr>
                <w:b/>
                <w:sz w:val="22"/>
                <w:szCs w:val="22"/>
                <w:lang w:val="es-ES" w:eastAsia="es-ES_tradnl"/>
              </w:rPr>
              <w:t xml:space="preserve">: </w:t>
            </w:r>
            <w:r w:rsidR="00E903E7" w:rsidRPr="00B6795D">
              <w:rPr>
                <w:sz w:val="22"/>
                <w:szCs w:val="22"/>
                <w:lang w:val="es-ES" w:eastAsia="es-ES_tradnl"/>
              </w:rPr>
              <w:t>mejora en el desempeño de la recaudación</w:t>
            </w:r>
          </w:p>
          <w:p w:rsidR="00030175" w:rsidRPr="00B6795D" w:rsidRDefault="000A2188" w:rsidP="00CD146A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B6795D">
              <w:rPr>
                <w:b/>
                <w:sz w:val="22"/>
                <w:szCs w:val="22"/>
                <w:lang w:val="es-ES" w:eastAsia="es-ES_tradnl"/>
              </w:rPr>
              <w:t>Indicador</w:t>
            </w:r>
            <w:r w:rsidR="001E2508" w:rsidRPr="00B6795D">
              <w:rPr>
                <w:b/>
                <w:sz w:val="22"/>
                <w:szCs w:val="22"/>
                <w:lang w:val="es-ES" w:eastAsia="es-ES_tradnl"/>
              </w:rPr>
              <w:t xml:space="preserve"> </w:t>
            </w:r>
            <w:r w:rsidR="00E903E7" w:rsidRPr="00B6795D">
              <w:rPr>
                <w:b/>
                <w:sz w:val="22"/>
                <w:szCs w:val="22"/>
                <w:lang w:val="es-ES" w:eastAsia="es-ES_tradnl"/>
              </w:rPr>
              <w:t>2.1</w:t>
            </w:r>
            <w:r w:rsidRPr="00B6795D">
              <w:rPr>
                <w:b/>
                <w:sz w:val="22"/>
                <w:szCs w:val="22"/>
                <w:lang w:val="es-ES" w:eastAsia="es-ES_tradnl"/>
              </w:rPr>
              <w:t>:</w:t>
            </w:r>
            <w:r w:rsidRPr="00B6795D">
              <w:rPr>
                <w:sz w:val="22"/>
                <w:szCs w:val="22"/>
                <w:lang w:val="es-ES" w:eastAsia="es-ES_tradnl"/>
              </w:rPr>
              <w:t xml:space="preserve"> </w:t>
            </w:r>
            <w:r w:rsidR="00030175" w:rsidRPr="00B6795D">
              <w:rPr>
                <w:sz w:val="22"/>
                <w:szCs w:val="22"/>
                <w:lang w:val="es-ES" w:eastAsia="es-ES_tradnl"/>
              </w:rPr>
              <w:t xml:space="preserve">Valor </w:t>
            </w:r>
            <w:r w:rsidR="00A00DA9" w:rsidRPr="00B6795D">
              <w:rPr>
                <w:sz w:val="22"/>
                <w:szCs w:val="22"/>
                <w:lang w:val="es-ES" w:eastAsia="es-ES_tradnl"/>
              </w:rPr>
              <w:t xml:space="preserve">de la </w:t>
            </w:r>
            <w:r w:rsidR="00030175" w:rsidRPr="00B6795D">
              <w:rPr>
                <w:sz w:val="22"/>
                <w:szCs w:val="22"/>
                <w:lang w:val="es-ES" w:eastAsia="es-ES_tradnl"/>
              </w:rPr>
              <w:t xml:space="preserve">recaudación </w:t>
            </w:r>
            <w:r w:rsidR="00A00DA9" w:rsidRPr="00B6795D">
              <w:rPr>
                <w:sz w:val="22"/>
                <w:szCs w:val="22"/>
                <w:lang w:val="es-ES" w:eastAsia="es-ES_tradnl"/>
              </w:rPr>
              <w:t xml:space="preserve">del </w:t>
            </w:r>
            <w:r w:rsidR="00030175" w:rsidRPr="00B6795D">
              <w:rPr>
                <w:sz w:val="22"/>
                <w:szCs w:val="22"/>
                <w:lang w:val="es-ES" w:eastAsia="es-ES_tradnl"/>
              </w:rPr>
              <w:t>ICMS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0175" w:rsidRPr="00B6795D" w:rsidRDefault="00030175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Mil Millones de R$</w:t>
            </w:r>
            <w:r w:rsidR="00E903E7" w:rsidRPr="00B6795D">
              <w:rPr>
                <w:sz w:val="22"/>
                <w:szCs w:val="22"/>
                <w:lang w:val="es-ES"/>
              </w:rPr>
              <w:t xml:space="preserve">  en valores corrientes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30175" w:rsidRPr="00B6795D" w:rsidRDefault="00E903E7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B6795D">
              <w:rPr>
                <w:sz w:val="22"/>
                <w:szCs w:val="22"/>
                <w:lang w:val="es-ES" w:eastAsia="es-ES_tradnl"/>
              </w:rPr>
              <w:t>2,46</w:t>
            </w:r>
          </w:p>
          <w:p w:rsidR="007717F0" w:rsidRPr="00B6795D" w:rsidRDefault="007717F0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 w:eastAsia="es-ES_tradnl"/>
              </w:rPr>
            </w:pPr>
            <w:r w:rsidRPr="00B6795D">
              <w:rPr>
                <w:sz w:val="22"/>
                <w:szCs w:val="22"/>
                <w:lang w:val="es-ES" w:eastAsia="es-ES_tradnl"/>
              </w:rPr>
              <w:t>(2012)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30175" w:rsidRPr="00B6795D" w:rsidRDefault="004E6D15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3,</w:t>
            </w:r>
            <w:r w:rsidR="002B71F5" w:rsidRPr="00B6795D">
              <w:rPr>
                <w:sz w:val="22"/>
                <w:szCs w:val="22"/>
                <w:lang w:val="es-ES"/>
              </w:rPr>
              <w:t>5</w:t>
            </w:r>
            <w:r w:rsidRPr="00B6795D">
              <w:rPr>
                <w:sz w:val="22"/>
                <w:szCs w:val="22"/>
                <w:lang w:val="es-ES"/>
              </w:rPr>
              <w:t>0</w:t>
            </w:r>
          </w:p>
          <w:p w:rsidR="007717F0" w:rsidRPr="00B6795D" w:rsidRDefault="007717F0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(2015)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030175" w:rsidRPr="00B6795D" w:rsidRDefault="00030175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Informe de las Finanzas Públicas de la Superintendencia de Administración Financiera de la SEFAZ</w:t>
            </w:r>
            <w:r w:rsidR="00C86FEA" w:rsidRPr="00B6795D">
              <w:rPr>
                <w:sz w:val="22"/>
                <w:szCs w:val="22"/>
                <w:lang w:val="es-ES"/>
              </w:rPr>
              <w:t>/AL</w:t>
            </w:r>
            <w:r w:rsidR="00EA26C8" w:rsidRPr="00B6795D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30175" w:rsidRPr="00B6795D" w:rsidRDefault="00C86FEA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Proyección incluye</w:t>
            </w:r>
            <w:r w:rsidR="00604B42" w:rsidRPr="00B6795D">
              <w:rPr>
                <w:sz w:val="22"/>
                <w:szCs w:val="22"/>
                <w:lang w:val="es-ES"/>
              </w:rPr>
              <w:t xml:space="preserve"> </w:t>
            </w:r>
            <w:r w:rsidRPr="00B6795D">
              <w:rPr>
                <w:sz w:val="22"/>
                <w:szCs w:val="22"/>
                <w:lang w:val="es-ES"/>
              </w:rPr>
              <w:t xml:space="preserve">inflación </w:t>
            </w:r>
            <w:r w:rsidR="00996A30">
              <w:rPr>
                <w:sz w:val="22"/>
                <w:szCs w:val="22"/>
                <w:lang w:val="es-ES"/>
              </w:rPr>
              <w:t>más</w:t>
            </w:r>
            <w:r w:rsidRPr="00B6795D">
              <w:rPr>
                <w:sz w:val="22"/>
                <w:szCs w:val="22"/>
                <w:lang w:val="es-ES"/>
              </w:rPr>
              <w:t xml:space="preserve"> crecimiento del PIB </w:t>
            </w:r>
            <w:r w:rsidR="00996A30">
              <w:rPr>
                <w:sz w:val="22"/>
                <w:szCs w:val="22"/>
                <w:lang w:val="es-ES"/>
              </w:rPr>
              <w:t xml:space="preserve">más </w:t>
            </w:r>
            <w:r w:rsidR="00731C84" w:rsidRPr="00B6795D">
              <w:rPr>
                <w:sz w:val="22"/>
                <w:szCs w:val="22"/>
                <w:lang w:val="es-ES"/>
              </w:rPr>
              <w:t>esf</w:t>
            </w:r>
            <w:r w:rsidRPr="00B6795D">
              <w:rPr>
                <w:sz w:val="22"/>
                <w:szCs w:val="22"/>
                <w:lang w:val="es-ES"/>
              </w:rPr>
              <w:t xml:space="preserve">uerzo </w:t>
            </w:r>
            <w:r w:rsidR="00731C84" w:rsidRPr="00B6795D">
              <w:rPr>
                <w:sz w:val="22"/>
                <w:szCs w:val="22"/>
                <w:lang w:val="es-ES"/>
              </w:rPr>
              <w:t xml:space="preserve">fiscal de </w:t>
            </w:r>
            <w:r w:rsidRPr="00B6795D">
              <w:rPr>
                <w:sz w:val="22"/>
                <w:szCs w:val="22"/>
                <w:lang w:val="es-ES"/>
              </w:rPr>
              <w:t xml:space="preserve">incremento real de </w:t>
            </w:r>
            <w:r w:rsidR="00731C84" w:rsidRPr="00B6795D">
              <w:rPr>
                <w:sz w:val="22"/>
                <w:szCs w:val="22"/>
                <w:lang w:val="es-ES"/>
              </w:rPr>
              <w:t>3% a</w:t>
            </w:r>
            <w:r w:rsidRPr="00B6795D">
              <w:rPr>
                <w:sz w:val="22"/>
                <w:szCs w:val="22"/>
                <w:lang w:val="es-ES"/>
              </w:rPr>
              <w:t>l</w:t>
            </w:r>
            <w:r w:rsidR="00731C84" w:rsidRPr="00B6795D">
              <w:rPr>
                <w:sz w:val="22"/>
                <w:szCs w:val="22"/>
                <w:lang w:val="es-ES"/>
              </w:rPr>
              <w:t xml:space="preserve"> </w:t>
            </w:r>
            <w:r w:rsidRPr="00B6795D">
              <w:rPr>
                <w:sz w:val="22"/>
                <w:szCs w:val="22"/>
                <w:lang w:val="es-ES"/>
              </w:rPr>
              <w:t>año</w:t>
            </w:r>
            <w:r w:rsidR="00731C84" w:rsidRPr="00B6795D">
              <w:rPr>
                <w:sz w:val="22"/>
                <w:szCs w:val="22"/>
                <w:lang w:val="es-ES"/>
              </w:rPr>
              <w:t>.</w:t>
            </w:r>
          </w:p>
        </w:tc>
      </w:tr>
      <w:tr w:rsidR="00844EE0" w:rsidRPr="00446EEF" w:rsidTr="00001657">
        <w:trPr>
          <w:trHeight w:val="83"/>
        </w:trPr>
        <w:tc>
          <w:tcPr>
            <w:tcW w:w="4230" w:type="dxa"/>
            <w:shd w:val="clear" w:color="auto" w:fill="auto"/>
          </w:tcPr>
          <w:p w:rsidR="00844EE0" w:rsidRPr="00B6795D" w:rsidRDefault="00844EE0" w:rsidP="00F748E8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Resultado 2.2</w:t>
            </w:r>
            <w:r w:rsidRPr="00B6795D">
              <w:rPr>
                <w:sz w:val="22"/>
                <w:szCs w:val="22"/>
                <w:lang w:val="es-ES"/>
              </w:rPr>
              <w:t>. Reducción del Gasto de Costeo en relación al Gasto Total del Estado de Alagoas</w:t>
            </w:r>
          </w:p>
          <w:p w:rsidR="00844EE0" w:rsidRPr="00B6795D" w:rsidRDefault="00844EE0" w:rsidP="00642D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B6795D">
              <w:rPr>
                <w:b/>
                <w:sz w:val="22"/>
                <w:szCs w:val="22"/>
                <w:lang w:val="es-ES"/>
              </w:rPr>
              <w:t>Indicador 2.2</w:t>
            </w:r>
            <w:r w:rsidRPr="00B6795D">
              <w:rPr>
                <w:sz w:val="22"/>
                <w:szCs w:val="22"/>
                <w:lang w:val="es-ES"/>
              </w:rPr>
              <w:t xml:space="preserve">. Gasto </w:t>
            </w:r>
            <w:r w:rsidR="00642D9D" w:rsidRPr="00B6795D">
              <w:rPr>
                <w:sz w:val="22"/>
                <w:szCs w:val="22"/>
                <w:lang w:val="es-ES"/>
              </w:rPr>
              <w:t>Corriente</w:t>
            </w:r>
            <w:r w:rsidRPr="00B6795D">
              <w:rPr>
                <w:sz w:val="22"/>
                <w:szCs w:val="22"/>
                <w:lang w:val="es-ES"/>
              </w:rPr>
              <w:t xml:space="preserve"> / Gasto Total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4EE0" w:rsidRPr="00B6795D" w:rsidRDefault="00844EE0" w:rsidP="00F748E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44EE0" w:rsidRPr="00B6795D" w:rsidRDefault="00281C70" w:rsidP="00F748E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19,3</w:t>
            </w:r>
            <w:r w:rsidR="00844EE0" w:rsidRPr="00B6795D">
              <w:rPr>
                <w:sz w:val="22"/>
                <w:szCs w:val="22"/>
                <w:lang w:val="es-ES"/>
              </w:rPr>
              <w:t>%</w:t>
            </w:r>
          </w:p>
          <w:p w:rsidR="00844EE0" w:rsidRPr="00B6795D" w:rsidRDefault="00844EE0" w:rsidP="00F748E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(promedio 2011-12)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844EE0" w:rsidRPr="00B6795D" w:rsidRDefault="00281C70" w:rsidP="00844EE0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 w:rsidRPr="00B6795D">
              <w:rPr>
                <w:sz w:val="24"/>
                <w:szCs w:val="24"/>
                <w:lang w:val="es-ES"/>
              </w:rPr>
              <w:t>18,5</w:t>
            </w:r>
            <w:r w:rsidR="00844EE0" w:rsidRPr="00B6795D">
              <w:rPr>
                <w:sz w:val="24"/>
                <w:szCs w:val="24"/>
                <w:lang w:val="es-ES"/>
              </w:rPr>
              <w:t>%</w:t>
            </w:r>
          </w:p>
          <w:p w:rsidR="00844EE0" w:rsidRPr="00B6795D" w:rsidRDefault="00844EE0" w:rsidP="00844EE0">
            <w:pPr>
              <w:tabs>
                <w:tab w:val="left" w:pos="3870"/>
              </w:tabs>
              <w:jc w:val="center"/>
              <w:rPr>
                <w:sz w:val="24"/>
                <w:szCs w:val="24"/>
                <w:lang w:val="es-ES"/>
              </w:rPr>
            </w:pPr>
            <w:r w:rsidRPr="00B6795D">
              <w:rPr>
                <w:sz w:val="24"/>
                <w:szCs w:val="24"/>
                <w:lang w:val="es-ES"/>
              </w:rPr>
              <w:t>(promedio 2012-13)</w:t>
            </w:r>
          </w:p>
        </w:tc>
        <w:tc>
          <w:tcPr>
            <w:tcW w:w="3028" w:type="dxa"/>
            <w:shd w:val="clear" w:color="auto" w:fill="auto"/>
          </w:tcPr>
          <w:p w:rsidR="00844EE0" w:rsidRPr="00B6795D" w:rsidRDefault="00844EE0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Informe de las Finanzas Públicas de la Superintendencia de Administración Financiera de la SEFAZ/AL</w:t>
            </w:r>
          </w:p>
        </w:tc>
        <w:tc>
          <w:tcPr>
            <w:tcW w:w="2970" w:type="dxa"/>
            <w:shd w:val="clear" w:color="auto" w:fill="auto"/>
          </w:tcPr>
          <w:p w:rsidR="00844EE0" w:rsidRPr="00B6795D" w:rsidRDefault="00281C70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B6795D">
              <w:rPr>
                <w:sz w:val="22"/>
                <w:szCs w:val="22"/>
                <w:lang w:val="es-ES"/>
              </w:rPr>
              <w:t>% sobre el Gasto Total de ODC (</w:t>
            </w:r>
            <w:proofErr w:type="spellStart"/>
            <w:r w:rsidRPr="00B6795D">
              <w:rPr>
                <w:i/>
                <w:sz w:val="22"/>
                <w:szCs w:val="22"/>
                <w:lang w:val="es-ES"/>
              </w:rPr>
              <w:t>Outras</w:t>
            </w:r>
            <w:proofErr w:type="spellEnd"/>
            <w:r w:rsidRPr="00B6795D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6795D">
              <w:rPr>
                <w:i/>
                <w:sz w:val="22"/>
                <w:szCs w:val="22"/>
                <w:lang w:val="es-ES"/>
              </w:rPr>
              <w:t>Despesas</w:t>
            </w:r>
            <w:proofErr w:type="spellEnd"/>
            <w:r w:rsidRPr="00B6795D">
              <w:rPr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6795D">
              <w:rPr>
                <w:i/>
                <w:sz w:val="22"/>
                <w:szCs w:val="22"/>
                <w:lang w:val="es-ES"/>
              </w:rPr>
              <w:t>Correntes</w:t>
            </w:r>
            <w:proofErr w:type="spellEnd"/>
            <w:r w:rsidRPr="00B6795D">
              <w:rPr>
                <w:sz w:val="22"/>
                <w:szCs w:val="22"/>
                <w:lang w:val="es-ES"/>
              </w:rPr>
              <w:t>) fue 19,2% (2011) y 19,4% (2012)</w:t>
            </w:r>
          </w:p>
        </w:tc>
      </w:tr>
      <w:tr w:rsidR="00FA55DC" w:rsidRPr="00446EEF" w:rsidTr="00FA55DC">
        <w:trPr>
          <w:trHeight w:val="83"/>
        </w:trPr>
        <w:tc>
          <w:tcPr>
            <w:tcW w:w="4230" w:type="dxa"/>
            <w:shd w:val="clear" w:color="auto" w:fill="auto"/>
            <w:vAlign w:val="center"/>
          </w:tcPr>
          <w:p w:rsidR="00604B42" w:rsidRPr="00B6795D" w:rsidRDefault="00604B42" w:rsidP="00CD146A">
            <w:pPr>
              <w:tabs>
                <w:tab w:val="left" w:pos="3870"/>
              </w:tabs>
              <w:rPr>
                <w:b/>
                <w:sz w:val="22"/>
                <w:szCs w:val="22"/>
                <w:lang w:val="es-ES" w:eastAsia="es-ES_tradnl"/>
              </w:rPr>
            </w:pPr>
            <w:r w:rsidRPr="00B6795D">
              <w:rPr>
                <w:b/>
                <w:sz w:val="22"/>
                <w:szCs w:val="22"/>
                <w:lang w:val="es-ES" w:eastAsia="es-ES_tradnl"/>
              </w:rPr>
              <w:t xml:space="preserve">Resultado 2.3: </w:t>
            </w:r>
            <w:r w:rsidRPr="00B6795D">
              <w:rPr>
                <w:sz w:val="22"/>
                <w:szCs w:val="22"/>
                <w:lang w:val="es-ES" w:eastAsia="es-ES_tradnl"/>
              </w:rPr>
              <w:t xml:space="preserve">Incremento de la eficiencia de la gestión del gasto público estatal </w:t>
            </w:r>
          </w:p>
          <w:p w:rsidR="00604B42" w:rsidRPr="00B6795D" w:rsidRDefault="00604B42" w:rsidP="00EA5C46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B6795D">
              <w:rPr>
                <w:b/>
                <w:sz w:val="22"/>
                <w:szCs w:val="22"/>
                <w:lang w:val="es-ES" w:eastAsia="es-ES_tradnl"/>
              </w:rPr>
              <w:t>Indicador 2. 3 :</w:t>
            </w:r>
            <w:r w:rsidRPr="00B6795D">
              <w:rPr>
                <w:sz w:val="22"/>
                <w:szCs w:val="22"/>
                <w:lang w:val="es-ES" w:eastAsia="es-ES_tradnl"/>
              </w:rPr>
              <w:t xml:space="preserve"> R$  corrientes de compras estatales realizadas sin proceso licitatorio (contratación directa) / R$ corrientes del total de compras estatales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4B42" w:rsidRPr="00DC471E" w:rsidRDefault="00604B42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DC471E">
              <w:rPr>
                <w:sz w:val="22"/>
                <w:szCs w:val="22"/>
                <w:lang w:val="es-ES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04B42" w:rsidRPr="00976A07" w:rsidRDefault="00604B42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76A07">
              <w:rPr>
                <w:sz w:val="22"/>
                <w:lang w:val="es-ES"/>
              </w:rPr>
              <w:t>48,4</w:t>
            </w:r>
            <w:r w:rsidR="008B5C30" w:rsidRPr="00976A07">
              <w:rPr>
                <w:sz w:val="22"/>
                <w:szCs w:val="22"/>
                <w:lang w:val="es-ES" w:eastAsia="es-ES_tradnl"/>
              </w:rPr>
              <w:t>%</w:t>
            </w:r>
          </w:p>
          <w:p w:rsidR="0060549C" w:rsidRPr="00976A07" w:rsidRDefault="0060549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(2011)</w:t>
            </w:r>
          </w:p>
          <w:p w:rsidR="0060549C" w:rsidRPr="00976A07" w:rsidRDefault="0060549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X%</w:t>
            </w:r>
          </w:p>
          <w:p w:rsidR="00A6359B" w:rsidRPr="00976A07" w:rsidRDefault="00A6359B" w:rsidP="008B5C30">
            <w:pPr>
              <w:tabs>
                <w:tab w:val="left" w:pos="3870"/>
              </w:tabs>
              <w:jc w:val="center"/>
              <w:rPr>
                <w:sz w:val="22"/>
                <w:lang w:val="es-ES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(201</w:t>
            </w:r>
            <w:r w:rsidR="008B5C30" w:rsidRPr="00976A07">
              <w:rPr>
                <w:sz w:val="22"/>
                <w:szCs w:val="22"/>
                <w:lang w:val="es-ES" w:eastAsia="es-ES_tradnl"/>
              </w:rPr>
              <w:t>2</w:t>
            </w:r>
            <w:r w:rsidRPr="00976A07">
              <w:rPr>
                <w:sz w:val="22"/>
                <w:szCs w:val="22"/>
                <w:lang w:val="es-ES" w:eastAsia="es-ES_tradnl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4B42" w:rsidRPr="00976A07" w:rsidRDefault="00604B42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76A07">
              <w:rPr>
                <w:sz w:val="22"/>
                <w:lang w:val="es-ES"/>
              </w:rPr>
              <w:t>43,4</w:t>
            </w:r>
            <w:r w:rsidR="008B5C30" w:rsidRPr="00976A07">
              <w:rPr>
                <w:sz w:val="22"/>
                <w:szCs w:val="22"/>
                <w:lang w:val="es-ES"/>
              </w:rPr>
              <w:t>%</w:t>
            </w:r>
          </w:p>
          <w:p w:rsidR="0060549C" w:rsidRPr="00976A07" w:rsidRDefault="0060549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76A07">
              <w:rPr>
                <w:sz w:val="22"/>
                <w:szCs w:val="22"/>
                <w:lang w:val="es-ES"/>
              </w:rPr>
              <w:t>(2012)</w:t>
            </w:r>
          </w:p>
          <w:p w:rsidR="0060549C" w:rsidRPr="00976A07" w:rsidRDefault="0060549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76A07">
              <w:rPr>
                <w:sz w:val="22"/>
                <w:szCs w:val="22"/>
                <w:lang w:val="es-ES"/>
              </w:rPr>
              <w:t>X%</w:t>
            </w:r>
          </w:p>
          <w:p w:rsidR="008B5C30" w:rsidRPr="00976A07" w:rsidRDefault="008B5C30" w:rsidP="00B93A9D">
            <w:pPr>
              <w:tabs>
                <w:tab w:val="left" w:pos="3870"/>
              </w:tabs>
              <w:jc w:val="center"/>
              <w:rPr>
                <w:sz w:val="22"/>
                <w:lang w:val="es-ES"/>
              </w:rPr>
            </w:pPr>
            <w:r w:rsidRPr="00976A07">
              <w:rPr>
                <w:sz w:val="22"/>
                <w:szCs w:val="22"/>
                <w:lang w:val="es-ES"/>
              </w:rPr>
              <w:t>(2013)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04B42" w:rsidRPr="00DC471E" w:rsidRDefault="00604B42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DC471E">
              <w:rPr>
                <w:sz w:val="22"/>
                <w:szCs w:val="22"/>
                <w:lang w:val="es-ES"/>
              </w:rPr>
              <w:t>Nota Técnica d</w:t>
            </w:r>
            <w:r w:rsidR="00EA26C8" w:rsidRPr="00DC471E">
              <w:rPr>
                <w:sz w:val="22"/>
                <w:szCs w:val="22"/>
                <w:lang w:val="es-ES"/>
              </w:rPr>
              <w:t>e l</w:t>
            </w:r>
            <w:r w:rsidRPr="00DC471E">
              <w:rPr>
                <w:sz w:val="22"/>
                <w:szCs w:val="22"/>
                <w:lang w:val="es-ES"/>
              </w:rPr>
              <w:t>a AMGESP</w:t>
            </w:r>
            <w:r w:rsidR="005F5C4A" w:rsidRPr="00DC471E">
              <w:rPr>
                <w:sz w:val="22"/>
                <w:szCs w:val="22"/>
                <w:lang w:val="es-ES"/>
              </w:rPr>
              <w:t>, co</w:t>
            </w:r>
            <w:r w:rsidR="00EA26C8" w:rsidRPr="00DC471E">
              <w:rPr>
                <w:sz w:val="22"/>
                <w:szCs w:val="22"/>
                <w:lang w:val="es-ES"/>
              </w:rPr>
              <w:t>n</w:t>
            </w:r>
            <w:r w:rsidR="005F5C4A" w:rsidRPr="00DC471E">
              <w:rPr>
                <w:sz w:val="22"/>
                <w:szCs w:val="22"/>
                <w:lang w:val="es-ES"/>
              </w:rPr>
              <w:t xml:space="preserve"> dados d</w:t>
            </w:r>
            <w:r w:rsidR="00EA26C8" w:rsidRPr="00DC471E">
              <w:rPr>
                <w:sz w:val="22"/>
                <w:szCs w:val="22"/>
                <w:lang w:val="es-ES"/>
              </w:rPr>
              <w:t>el</w:t>
            </w:r>
            <w:r w:rsidR="005F5C4A" w:rsidRPr="00DC471E">
              <w:rPr>
                <w:sz w:val="22"/>
                <w:szCs w:val="22"/>
                <w:lang w:val="es-ES"/>
              </w:rPr>
              <w:t xml:space="preserve"> SIAFEM</w:t>
            </w:r>
            <w:r w:rsidR="00EA26C8" w:rsidRPr="00DC471E">
              <w:rPr>
                <w:sz w:val="22"/>
                <w:szCs w:val="22"/>
                <w:lang w:val="es-ES"/>
              </w:rPr>
              <w:t>/AL</w:t>
            </w:r>
            <w:r w:rsidR="005F5C4A" w:rsidRPr="00DC471E">
              <w:rPr>
                <w:sz w:val="22"/>
                <w:szCs w:val="22"/>
                <w:lang w:val="es-ES"/>
              </w:rPr>
              <w:t xml:space="preserve"> (Sistema Integrado de Administra</w:t>
            </w:r>
            <w:r w:rsidR="00EA26C8" w:rsidRPr="00DC471E">
              <w:rPr>
                <w:sz w:val="22"/>
                <w:szCs w:val="22"/>
                <w:lang w:val="es-ES"/>
              </w:rPr>
              <w:t xml:space="preserve">ción </w:t>
            </w:r>
            <w:r w:rsidR="005F5C4A" w:rsidRPr="00DC471E">
              <w:rPr>
                <w:sz w:val="22"/>
                <w:szCs w:val="22"/>
                <w:lang w:val="es-ES"/>
              </w:rPr>
              <w:t>Financ</w:t>
            </w:r>
            <w:r w:rsidR="00EA26C8" w:rsidRPr="00DC471E">
              <w:rPr>
                <w:sz w:val="22"/>
                <w:szCs w:val="22"/>
                <w:lang w:val="es-ES"/>
              </w:rPr>
              <w:t>i</w:t>
            </w:r>
            <w:r w:rsidR="005F5C4A" w:rsidRPr="00DC471E">
              <w:rPr>
                <w:sz w:val="22"/>
                <w:szCs w:val="22"/>
                <w:lang w:val="es-ES"/>
              </w:rPr>
              <w:t xml:space="preserve">era de Estados </w:t>
            </w:r>
            <w:r w:rsidR="00446EEF" w:rsidRPr="00DC471E">
              <w:rPr>
                <w:sz w:val="22"/>
                <w:szCs w:val="22"/>
                <w:lang w:val="es-ES"/>
              </w:rPr>
              <w:t>y</w:t>
            </w:r>
            <w:r w:rsidR="005F5C4A" w:rsidRPr="00DC471E">
              <w:rPr>
                <w:sz w:val="22"/>
                <w:szCs w:val="22"/>
                <w:lang w:val="es-ES"/>
              </w:rPr>
              <w:t xml:space="preserve"> </w:t>
            </w:r>
            <w:r w:rsidR="00EA26C8" w:rsidRPr="00DC471E">
              <w:rPr>
                <w:sz w:val="22"/>
                <w:szCs w:val="22"/>
                <w:lang w:val="es-ES"/>
              </w:rPr>
              <w:t>Municipios - Alagoas</w:t>
            </w:r>
            <w:r w:rsidR="005F5C4A" w:rsidRPr="00DC471E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04B42" w:rsidRPr="00B6795D" w:rsidRDefault="00604B42" w:rsidP="00976A07">
            <w:pPr>
              <w:tabs>
                <w:tab w:val="left" w:pos="3870"/>
              </w:tabs>
              <w:jc w:val="both"/>
              <w:rPr>
                <w:sz w:val="22"/>
                <w:highlight w:val="yellow"/>
                <w:lang w:val="es-ES"/>
              </w:rPr>
            </w:pPr>
          </w:p>
        </w:tc>
      </w:tr>
      <w:tr w:rsidR="00604B42" w:rsidRPr="00446EEF" w:rsidTr="00F66189">
        <w:trPr>
          <w:trHeight w:val="83"/>
        </w:trPr>
        <w:tc>
          <w:tcPr>
            <w:tcW w:w="13950" w:type="dxa"/>
            <w:gridSpan w:val="6"/>
            <w:shd w:val="clear" w:color="auto" w:fill="D9D9D9"/>
            <w:vAlign w:val="center"/>
          </w:tcPr>
          <w:p w:rsidR="00604B42" w:rsidRPr="004E2B2D" w:rsidRDefault="00604B42" w:rsidP="000A763C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 xml:space="preserve">Componente 3: Gestión de programas y políticas públicas  </w:t>
            </w:r>
          </w:p>
        </w:tc>
      </w:tr>
    </w:tbl>
    <w:p w:rsidR="005A7B98" w:rsidRPr="004E2B2D" w:rsidRDefault="005A7B98">
      <w:pPr>
        <w:rPr>
          <w:lang w:val="es-ES"/>
        </w:rPr>
      </w:pPr>
    </w:p>
    <w:tbl>
      <w:tblPr>
        <w:tblW w:w="13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170"/>
        <w:gridCol w:w="1170"/>
        <w:gridCol w:w="3150"/>
        <w:gridCol w:w="2970"/>
      </w:tblGrid>
      <w:tr w:rsidR="00604B42" w:rsidRPr="00446EEF" w:rsidTr="00976A07">
        <w:trPr>
          <w:trHeight w:val="29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4E2B2D" w:rsidRDefault="00604B42" w:rsidP="00B93A9D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b/>
                <w:sz w:val="22"/>
                <w:szCs w:val="22"/>
                <w:lang w:val="es-ES" w:eastAsia="es-ES_tradnl"/>
              </w:rPr>
              <w:t xml:space="preserve">Resultado 3.1: </w:t>
            </w:r>
            <w:r w:rsidRPr="004E2B2D">
              <w:rPr>
                <w:sz w:val="22"/>
                <w:szCs w:val="22"/>
                <w:lang w:val="es-ES" w:eastAsia="es-ES_tradnl"/>
              </w:rPr>
              <w:t xml:space="preserve">Mejora de la planificación y ejecución del </w:t>
            </w:r>
            <w:r w:rsidR="002844AB">
              <w:rPr>
                <w:sz w:val="22"/>
                <w:szCs w:val="22"/>
                <w:lang w:val="es-ES" w:eastAsia="es-ES_tradnl"/>
              </w:rPr>
              <w:t>P</w:t>
            </w:r>
            <w:r w:rsidRPr="004E2B2D">
              <w:rPr>
                <w:sz w:val="22"/>
                <w:szCs w:val="22"/>
                <w:lang w:val="es-ES" w:eastAsia="es-ES_tradnl"/>
              </w:rPr>
              <w:t>resupuesto del Estado.</w:t>
            </w:r>
          </w:p>
          <w:p w:rsidR="002844AB" w:rsidRDefault="00604B42" w:rsidP="00681F5C">
            <w:pPr>
              <w:tabs>
                <w:tab w:val="left" w:pos="3870"/>
              </w:tabs>
              <w:rPr>
                <w:b/>
                <w:sz w:val="22"/>
                <w:szCs w:val="22"/>
                <w:lang w:val="es-ES" w:eastAsia="es-ES_tradnl"/>
              </w:rPr>
            </w:pPr>
            <w:r w:rsidRPr="004E2B2D">
              <w:rPr>
                <w:b/>
                <w:sz w:val="22"/>
                <w:szCs w:val="22"/>
                <w:lang w:val="es-ES" w:eastAsia="es-ES_tradnl"/>
              </w:rPr>
              <w:t>Indicador 3.1:</w:t>
            </w:r>
          </w:p>
          <w:p w:rsidR="00604B42" w:rsidRPr="004E2B2D" w:rsidRDefault="00681F5C" w:rsidP="001B6C4B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 xml:space="preserve">1 </w:t>
            </w:r>
            <w:r w:rsidR="00CF45F4">
              <w:rPr>
                <w:sz w:val="22"/>
                <w:szCs w:val="22"/>
                <w:lang w:val="es-ES" w:eastAsia="es-ES_tradnl"/>
              </w:rPr>
              <w:t>–</w:t>
            </w:r>
            <w:r>
              <w:rPr>
                <w:sz w:val="22"/>
                <w:szCs w:val="22"/>
                <w:lang w:val="es-ES" w:eastAsia="es-ES_tradnl"/>
              </w:rPr>
              <w:t xml:space="preserve"> </w:t>
            </w:r>
            <w:r w:rsidR="00CF45F4">
              <w:rPr>
                <w:sz w:val="22"/>
                <w:szCs w:val="22"/>
                <w:lang w:val="es-ES" w:eastAsia="es-ES_tradnl"/>
              </w:rPr>
              <w:t>(</w:t>
            </w:r>
            <w:r w:rsidR="00604B42" w:rsidRPr="004E2B2D">
              <w:rPr>
                <w:sz w:val="22"/>
                <w:szCs w:val="22"/>
                <w:lang w:val="es-ES" w:eastAsia="es-ES_tradnl"/>
              </w:rPr>
              <w:t xml:space="preserve">Valor </w:t>
            </w:r>
            <w:r>
              <w:rPr>
                <w:sz w:val="22"/>
                <w:szCs w:val="22"/>
                <w:lang w:val="es-ES" w:eastAsia="es-ES_tradnl"/>
              </w:rPr>
              <w:t>aprobado</w:t>
            </w:r>
            <w:r w:rsidR="00604B42" w:rsidRPr="004E2B2D">
              <w:rPr>
                <w:sz w:val="22"/>
                <w:szCs w:val="22"/>
                <w:lang w:val="es-ES" w:eastAsia="es-ES_tradnl"/>
              </w:rPr>
              <w:t xml:space="preserve"> </w:t>
            </w:r>
            <w:r>
              <w:rPr>
                <w:sz w:val="22"/>
                <w:szCs w:val="22"/>
                <w:lang w:val="es-ES" w:eastAsia="es-ES_tradnl"/>
              </w:rPr>
              <w:t>del Presupuesto - Valor ejecutado del Presupuesto) / Valor aprobado del Presupuesto</w:t>
            </w:r>
            <w:r w:rsidR="00CF45F4">
              <w:rPr>
                <w:sz w:val="22"/>
                <w:szCs w:val="22"/>
                <w:lang w:val="es-ES" w:eastAsia="es-ES_tradnl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4E2B2D" w:rsidRDefault="00604B42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681F5C" w:rsidRDefault="00681F5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>12%</w:t>
            </w:r>
          </w:p>
          <w:p w:rsidR="005A7B98" w:rsidRPr="004E2B2D" w:rsidRDefault="005A7B98" w:rsidP="00681F5C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 w:eastAsia="es-ES_tradnl"/>
              </w:rPr>
            </w:pPr>
            <w:r w:rsidRPr="004E2B2D">
              <w:rPr>
                <w:sz w:val="24"/>
                <w:szCs w:val="24"/>
                <w:lang w:val="es-ES"/>
              </w:rPr>
              <w:t>(</w:t>
            </w:r>
            <w:r w:rsidRPr="00FA55DC">
              <w:rPr>
                <w:sz w:val="22"/>
                <w:lang w:val="es-ES"/>
              </w:rPr>
              <w:t>2012)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681F5C" w:rsidRDefault="00681F5C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Máximo 1</w:t>
            </w:r>
            <w:r w:rsidRPr="00681F5C">
              <w:rPr>
                <w:sz w:val="22"/>
                <w:szCs w:val="22"/>
                <w:lang w:val="es-ES"/>
              </w:rPr>
              <w:t>0</w:t>
            </w:r>
            <w:r w:rsidR="002844AB">
              <w:rPr>
                <w:sz w:val="22"/>
                <w:szCs w:val="22"/>
                <w:lang w:val="es-ES"/>
              </w:rPr>
              <w:t>%</w:t>
            </w:r>
          </w:p>
          <w:p w:rsidR="005A7B98" w:rsidRPr="004E2B2D" w:rsidRDefault="005A7B98" w:rsidP="00681F5C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/>
              </w:rPr>
            </w:pPr>
            <w:r w:rsidRPr="004E2B2D">
              <w:rPr>
                <w:sz w:val="24"/>
                <w:szCs w:val="24"/>
                <w:lang w:val="es-ES"/>
              </w:rPr>
              <w:t xml:space="preserve">(promedio </w:t>
            </w:r>
            <w:r w:rsidRPr="004E2B2D">
              <w:rPr>
                <w:sz w:val="22"/>
                <w:szCs w:val="22"/>
                <w:lang w:val="es-ES"/>
              </w:rPr>
              <w:t>2013</w:t>
            </w:r>
            <w:r w:rsidR="00681F5C">
              <w:rPr>
                <w:sz w:val="22"/>
                <w:szCs w:val="22"/>
                <w:lang w:val="es-ES"/>
              </w:rPr>
              <w:t>-20</w:t>
            </w:r>
            <w:r w:rsidRPr="004E2B2D">
              <w:rPr>
                <w:sz w:val="22"/>
                <w:szCs w:val="22"/>
                <w:lang w:val="es-ES"/>
              </w:rPr>
              <w:t>14)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4E2B2D" w:rsidRDefault="002844AB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2844AB">
              <w:rPr>
                <w:sz w:val="22"/>
                <w:szCs w:val="22"/>
                <w:u w:val="single"/>
                <w:lang w:val="es-ES"/>
              </w:rPr>
              <w:t>Fuente</w:t>
            </w:r>
            <w:r>
              <w:rPr>
                <w:sz w:val="22"/>
                <w:szCs w:val="22"/>
                <w:lang w:val="es-ES"/>
              </w:rPr>
              <w:t xml:space="preserve">: </w:t>
            </w:r>
            <w:r w:rsidR="00604B42" w:rsidRPr="004E2B2D">
              <w:rPr>
                <w:sz w:val="22"/>
                <w:szCs w:val="22"/>
                <w:lang w:val="es-ES"/>
              </w:rPr>
              <w:t>Informe anual de ejecución presupuestaria</w:t>
            </w:r>
            <w:r>
              <w:rPr>
                <w:sz w:val="22"/>
                <w:szCs w:val="22"/>
                <w:lang w:val="es-ES"/>
              </w:rPr>
              <w:t xml:space="preserve"> y SIAFEM</w:t>
            </w:r>
            <w:r w:rsidR="00166437">
              <w:rPr>
                <w:sz w:val="22"/>
                <w:szCs w:val="22"/>
                <w:lang w:val="es-ES"/>
              </w:rPr>
              <w:t>/AL</w:t>
            </w:r>
            <w:r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B42" w:rsidRPr="004E2B2D" w:rsidRDefault="00166437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/>
              </w:rPr>
              <w:t xml:space="preserve">Este indicador es la base principal del indicador </w:t>
            </w:r>
            <w:r w:rsidR="004E112B" w:rsidRPr="004E112B">
              <w:rPr>
                <w:sz w:val="22"/>
                <w:szCs w:val="22"/>
                <w:lang w:val="es-ES_tradnl"/>
              </w:rPr>
              <w:t>PEFA</w:t>
            </w:r>
            <w:r w:rsidR="004E112B">
              <w:rPr>
                <w:lang w:val="es-ES_tradnl"/>
              </w:rPr>
              <w:t xml:space="preserve"> - </w:t>
            </w:r>
            <w:r w:rsidR="004E112B" w:rsidRPr="004E112B">
              <w:rPr>
                <w:lang w:val="es-ES_tradnl"/>
              </w:rPr>
              <w:t xml:space="preserve"> </w:t>
            </w:r>
            <w:proofErr w:type="spellStart"/>
            <w:r w:rsidR="004E112B" w:rsidRPr="004E112B">
              <w:rPr>
                <w:i/>
                <w:sz w:val="22"/>
                <w:szCs w:val="22"/>
                <w:lang w:val="es-ES_tradnl"/>
              </w:rPr>
              <w:t>Public</w:t>
            </w:r>
            <w:proofErr w:type="spellEnd"/>
            <w:r w:rsidR="004E112B" w:rsidRPr="004E112B">
              <w:rPr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4E112B" w:rsidRPr="004E112B">
              <w:rPr>
                <w:i/>
                <w:sz w:val="22"/>
                <w:szCs w:val="22"/>
                <w:lang w:val="es-ES_tradnl"/>
              </w:rPr>
              <w:t>Expenditure</w:t>
            </w:r>
            <w:proofErr w:type="spellEnd"/>
            <w:r w:rsidR="004E112B" w:rsidRPr="004E112B">
              <w:rPr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4E112B" w:rsidRPr="004E112B">
              <w:rPr>
                <w:i/>
                <w:sz w:val="22"/>
                <w:szCs w:val="22"/>
                <w:lang w:val="es-ES_tradnl"/>
              </w:rPr>
              <w:t>Financial</w:t>
            </w:r>
            <w:proofErr w:type="spellEnd"/>
            <w:r w:rsidR="004E112B" w:rsidRPr="004E112B">
              <w:rPr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4E112B" w:rsidRPr="004E112B">
              <w:rPr>
                <w:i/>
                <w:sz w:val="22"/>
                <w:szCs w:val="22"/>
                <w:lang w:val="es-ES_tradnl"/>
              </w:rPr>
              <w:t>Accountability</w:t>
            </w:r>
            <w:proofErr w:type="spellEnd"/>
            <w:r w:rsidR="004E112B" w:rsidRPr="004E112B">
              <w:rPr>
                <w:i/>
                <w:sz w:val="22"/>
                <w:szCs w:val="22"/>
                <w:lang w:val="es-ES_tradnl"/>
              </w:rPr>
              <w:t xml:space="preserve"> ID-2</w:t>
            </w:r>
            <w:r>
              <w:rPr>
                <w:sz w:val="22"/>
                <w:szCs w:val="22"/>
                <w:lang w:val="es-ES"/>
              </w:rPr>
              <w:t>, que mide la desviación entre el Presupuesto Aprobado y el Ejecutado.</w:t>
            </w:r>
          </w:p>
        </w:tc>
      </w:tr>
      <w:tr w:rsidR="00911E88" w:rsidRPr="00446EEF" w:rsidTr="00976A07">
        <w:trPr>
          <w:trHeight w:val="290"/>
        </w:trPr>
        <w:tc>
          <w:tcPr>
            <w:tcW w:w="4140" w:type="dxa"/>
            <w:shd w:val="clear" w:color="auto" w:fill="auto"/>
            <w:vAlign w:val="center"/>
          </w:tcPr>
          <w:p w:rsidR="00911E88" w:rsidRPr="00913684" w:rsidRDefault="00911E88" w:rsidP="00911E88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913684">
              <w:rPr>
                <w:b/>
                <w:sz w:val="22"/>
                <w:szCs w:val="22"/>
                <w:lang w:val="es-ES" w:eastAsia="es-ES_tradnl"/>
              </w:rPr>
              <w:t xml:space="preserve">Resultado 3.2: </w:t>
            </w:r>
            <w:r w:rsidRPr="00913684">
              <w:rPr>
                <w:sz w:val="22"/>
                <w:szCs w:val="22"/>
                <w:lang w:val="es-ES" w:eastAsia="es-ES_tradnl"/>
              </w:rPr>
              <w:t>Mejora de la planificación y ejecución de los proyectos de inversión prioritarios</w:t>
            </w:r>
            <w:r w:rsidR="00EA26C8" w:rsidRPr="00913684">
              <w:rPr>
                <w:sz w:val="22"/>
                <w:szCs w:val="22"/>
                <w:lang w:val="es-ES" w:eastAsia="es-ES_tradnl"/>
              </w:rPr>
              <w:t xml:space="preserve"> del Gobierno de Alagoas</w:t>
            </w:r>
            <w:r w:rsidRPr="00913684">
              <w:rPr>
                <w:sz w:val="22"/>
                <w:szCs w:val="22"/>
                <w:lang w:val="es-ES" w:eastAsia="es-ES_tradnl"/>
              </w:rPr>
              <w:t xml:space="preserve">.  </w:t>
            </w:r>
          </w:p>
          <w:p w:rsidR="00911E88" w:rsidRPr="00913684" w:rsidRDefault="00911E88" w:rsidP="00EA26C8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913684">
              <w:rPr>
                <w:b/>
                <w:sz w:val="22"/>
                <w:szCs w:val="22"/>
                <w:lang w:val="es-ES" w:eastAsia="es-ES_tradnl"/>
              </w:rPr>
              <w:t>Indicador 3.2:</w:t>
            </w:r>
            <w:r w:rsidRPr="00913684">
              <w:rPr>
                <w:sz w:val="22"/>
                <w:szCs w:val="22"/>
                <w:lang w:val="es-ES" w:eastAsia="es-ES_tradnl"/>
              </w:rPr>
              <w:t xml:space="preserve"> Valor </w:t>
            </w:r>
            <w:r w:rsidR="00EA26C8" w:rsidRPr="00913684">
              <w:rPr>
                <w:sz w:val="22"/>
                <w:szCs w:val="22"/>
                <w:lang w:val="es-ES" w:eastAsia="es-ES_tradnl"/>
              </w:rPr>
              <w:t xml:space="preserve">ejecutado </w:t>
            </w:r>
            <w:r w:rsidRPr="00913684">
              <w:rPr>
                <w:sz w:val="22"/>
                <w:szCs w:val="22"/>
                <w:lang w:val="es-ES" w:eastAsia="es-ES_tradnl"/>
              </w:rPr>
              <w:t xml:space="preserve">/ valor </w:t>
            </w:r>
            <w:r w:rsidR="00EA26C8" w:rsidRPr="00913684">
              <w:rPr>
                <w:sz w:val="22"/>
                <w:szCs w:val="22"/>
                <w:lang w:val="es-ES" w:eastAsia="es-ES_tradnl"/>
              </w:rPr>
              <w:t>presupuestado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E88" w:rsidRPr="00911E88" w:rsidRDefault="00911E88" w:rsidP="00C76419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/>
              </w:rPr>
            </w:pPr>
            <w:r w:rsidRPr="00EA26C8">
              <w:rPr>
                <w:sz w:val="22"/>
                <w:szCs w:val="22"/>
                <w:lang w:val="es-ES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913684" w:rsidRDefault="00913684" w:rsidP="00C76419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13684">
              <w:rPr>
                <w:sz w:val="22"/>
                <w:szCs w:val="22"/>
                <w:lang w:val="es-ES" w:eastAsia="es-ES_tradnl"/>
              </w:rPr>
              <w:t>65</w:t>
            </w:r>
            <w:r w:rsidR="00EA26C8" w:rsidRPr="00913684">
              <w:rPr>
                <w:sz w:val="22"/>
                <w:szCs w:val="22"/>
                <w:lang w:val="es-ES" w:eastAsia="es-ES_tradnl"/>
              </w:rPr>
              <w:t>%</w:t>
            </w:r>
          </w:p>
          <w:p w:rsidR="00911E88" w:rsidRPr="00911E88" w:rsidRDefault="00911E88" w:rsidP="00913684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 w:eastAsia="es-ES_tradnl"/>
              </w:rPr>
            </w:pPr>
            <w:r w:rsidRPr="00913684">
              <w:rPr>
                <w:sz w:val="24"/>
                <w:szCs w:val="24"/>
                <w:lang w:val="es-ES"/>
              </w:rPr>
              <w:t>(</w:t>
            </w:r>
            <w:r w:rsidRPr="00913684">
              <w:rPr>
                <w:sz w:val="22"/>
                <w:szCs w:val="22"/>
                <w:lang w:val="es-ES" w:eastAsia="es-ES_tradnl"/>
              </w:rPr>
              <w:t>2012)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913684" w:rsidRDefault="00913684" w:rsidP="00C76419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913684">
              <w:rPr>
                <w:sz w:val="22"/>
                <w:szCs w:val="22"/>
                <w:lang w:val="es-ES"/>
              </w:rPr>
              <w:t>75</w:t>
            </w:r>
            <w:r w:rsidR="00EA26C8" w:rsidRPr="00913684">
              <w:rPr>
                <w:sz w:val="22"/>
                <w:szCs w:val="22"/>
                <w:lang w:val="es-ES"/>
              </w:rPr>
              <w:t>%</w:t>
            </w:r>
          </w:p>
          <w:p w:rsidR="00911E88" w:rsidRPr="00911E88" w:rsidRDefault="00911E88" w:rsidP="00913684">
            <w:pPr>
              <w:tabs>
                <w:tab w:val="left" w:pos="3870"/>
              </w:tabs>
              <w:jc w:val="center"/>
              <w:rPr>
                <w:sz w:val="22"/>
                <w:szCs w:val="22"/>
                <w:highlight w:val="yellow"/>
                <w:lang w:val="es-ES"/>
              </w:rPr>
            </w:pPr>
            <w:r w:rsidRPr="00913684">
              <w:rPr>
                <w:sz w:val="24"/>
                <w:szCs w:val="24"/>
                <w:lang w:val="es-ES"/>
              </w:rPr>
              <w:t>(</w:t>
            </w:r>
            <w:r w:rsidRPr="00913684">
              <w:rPr>
                <w:sz w:val="22"/>
                <w:szCs w:val="22"/>
                <w:lang w:val="es-ES"/>
              </w:rPr>
              <w:t>2013)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11E88" w:rsidRPr="004E2B2D" w:rsidRDefault="00EA26C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EA26C8">
              <w:rPr>
                <w:sz w:val="22"/>
                <w:szCs w:val="22"/>
                <w:u w:val="single"/>
                <w:lang w:val="es-ES"/>
              </w:rPr>
              <w:t>Fuente</w:t>
            </w:r>
            <w:r w:rsidRPr="00EA26C8">
              <w:rPr>
                <w:sz w:val="22"/>
                <w:szCs w:val="22"/>
                <w:lang w:val="es-ES"/>
              </w:rPr>
              <w:t xml:space="preserve">: </w:t>
            </w:r>
            <w:r w:rsidR="00913684">
              <w:rPr>
                <w:sz w:val="22"/>
                <w:szCs w:val="22"/>
                <w:lang w:val="es-ES"/>
              </w:rPr>
              <w:t xml:space="preserve">Programa </w:t>
            </w:r>
            <w:r w:rsidR="00913684" w:rsidRPr="00913684">
              <w:rPr>
                <w:i/>
                <w:sz w:val="22"/>
                <w:szCs w:val="22"/>
                <w:lang w:val="es-ES"/>
              </w:rPr>
              <w:t xml:space="preserve">Alagoas Tem Pressa </w:t>
            </w:r>
            <w:r w:rsidR="00913684">
              <w:rPr>
                <w:sz w:val="22"/>
                <w:szCs w:val="22"/>
                <w:lang w:val="es-ES"/>
              </w:rPr>
              <w:t xml:space="preserve">con datos del </w:t>
            </w:r>
            <w:r w:rsidRPr="00EA26C8">
              <w:rPr>
                <w:sz w:val="22"/>
                <w:szCs w:val="22"/>
                <w:lang w:val="es-ES"/>
              </w:rPr>
              <w:t>SIAFEM/AL.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1E88" w:rsidRPr="004E2B2D" w:rsidRDefault="00EA26C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 xml:space="preserve">En </w:t>
            </w:r>
            <w:r w:rsidR="00401FEC">
              <w:rPr>
                <w:sz w:val="22"/>
                <w:szCs w:val="22"/>
                <w:lang w:val="es-ES" w:eastAsia="es-ES_tradnl"/>
              </w:rPr>
              <w:t>20</w:t>
            </w:r>
            <w:r>
              <w:rPr>
                <w:sz w:val="22"/>
                <w:szCs w:val="22"/>
                <w:lang w:val="es-ES" w:eastAsia="es-ES_tradnl"/>
              </w:rPr>
              <w:t xml:space="preserve">12 </w:t>
            </w:r>
            <w:r w:rsidR="00401FEC">
              <w:rPr>
                <w:sz w:val="22"/>
                <w:szCs w:val="22"/>
                <w:lang w:val="es-ES" w:eastAsia="es-ES_tradnl"/>
              </w:rPr>
              <w:t>fue presupuestado R$860 millones para los</w:t>
            </w:r>
            <w:r>
              <w:rPr>
                <w:sz w:val="22"/>
                <w:szCs w:val="22"/>
                <w:lang w:val="es-ES" w:eastAsia="es-ES_tradnl"/>
              </w:rPr>
              <w:t xml:space="preserve"> 26 proyectos prioritarios </w:t>
            </w:r>
            <w:r w:rsidR="00F4791C">
              <w:rPr>
                <w:sz w:val="22"/>
                <w:szCs w:val="22"/>
                <w:lang w:val="es-ES" w:eastAsia="es-ES_tradnl"/>
              </w:rPr>
              <w:t>de</w:t>
            </w:r>
            <w:r w:rsidR="00FA55DC">
              <w:rPr>
                <w:sz w:val="22"/>
                <w:szCs w:val="22"/>
                <w:lang w:val="es-ES" w:eastAsia="es-ES_tradnl"/>
              </w:rPr>
              <w:t>l</w:t>
            </w:r>
            <w:r w:rsidR="00F4791C">
              <w:rPr>
                <w:sz w:val="22"/>
                <w:szCs w:val="22"/>
                <w:lang w:val="es-ES" w:eastAsia="es-ES_tradnl"/>
              </w:rPr>
              <w:t xml:space="preserve"> gobierno </w:t>
            </w:r>
            <w:r>
              <w:rPr>
                <w:sz w:val="22"/>
                <w:szCs w:val="22"/>
                <w:lang w:val="es-ES" w:eastAsia="es-ES_tradnl"/>
              </w:rPr>
              <w:t>monitoreados por la SEPLANDE</w:t>
            </w:r>
            <w:r w:rsidR="00FA55DC">
              <w:rPr>
                <w:sz w:val="22"/>
                <w:szCs w:val="22"/>
                <w:lang w:val="es-ES" w:eastAsia="es-ES_tradnl"/>
              </w:rPr>
              <w:t>,</w:t>
            </w:r>
            <w:r w:rsidR="00401FEC">
              <w:rPr>
                <w:sz w:val="22"/>
                <w:szCs w:val="22"/>
                <w:lang w:val="es-ES" w:eastAsia="es-ES_tradnl"/>
              </w:rPr>
              <w:t xml:space="preserve"> y </w:t>
            </w:r>
            <w:r w:rsidR="00FA55DC">
              <w:rPr>
                <w:sz w:val="22"/>
                <w:szCs w:val="22"/>
                <w:lang w:val="es-ES" w:eastAsia="es-ES_tradnl"/>
              </w:rPr>
              <w:t>c</w:t>
            </w:r>
            <w:r w:rsidR="00401FEC">
              <w:rPr>
                <w:sz w:val="22"/>
                <w:szCs w:val="22"/>
                <w:lang w:val="es-ES" w:eastAsia="es-ES_tradnl"/>
              </w:rPr>
              <w:t>omprometidos R$557 millones</w:t>
            </w:r>
            <w:r>
              <w:rPr>
                <w:sz w:val="22"/>
                <w:szCs w:val="22"/>
                <w:lang w:val="es-ES" w:eastAsia="es-ES_tradnl"/>
              </w:rPr>
              <w:t xml:space="preserve">. </w:t>
            </w:r>
            <w:r w:rsidR="00F4791C">
              <w:rPr>
                <w:sz w:val="22"/>
                <w:szCs w:val="22"/>
                <w:lang w:val="es-ES" w:eastAsia="es-ES_tradnl"/>
              </w:rPr>
              <w:t>Para 2013</w:t>
            </w:r>
            <w:r w:rsidR="00FA55DC">
              <w:rPr>
                <w:sz w:val="22"/>
                <w:szCs w:val="22"/>
                <w:lang w:val="es-ES" w:eastAsia="es-ES_tradnl"/>
              </w:rPr>
              <w:t>,</w:t>
            </w:r>
            <w:r w:rsidR="00F4791C">
              <w:rPr>
                <w:sz w:val="22"/>
                <w:szCs w:val="22"/>
                <w:lang w:val="es-ES" w:eastAsia="es-ES_tradnl"/>
              </w:rPr>
              <w:t xml:space="preserve"> fue presupuestado </w:t>
            </w:r>
            <w:r w:rsidR="00F4791C">
              <w:rPr>
                <w:sz w:val="22"/>
                <w:szCs w:val="22"/>
                <w:lang w:val="es-ES" w:eastAsia="es-ES_tradnl"/>
              </w:rPr>
              <w:lastRenderedPageBreak/>
              <w:t>R$</w:t>
            </w:r>
            <w:r w:rsidR="00B11D32">
              <w:rPr>
                <w:sz w:val="22"/>
                <w:szCs w:val="22"/>
                <w:lang w:val="es-ES" w:eastAsia="es-ES_tradnl"/>
              </w:rPr>
              <w:t>894</w:t>
            </w:r>
            <w:r w:rsidR="00F4791C">
              <w:rPr>
                <w:sz w:val="22"/>
                <w:szCs w:val="22"/>
                <w:lang w:val="es-ES" w:eastAsia="es-ES_tradnl"/>
              </w:rPr>
              <w:t xml:space="preserve"> millones. </w:t>
            </w:r>
            <w:r>
              <w:rPr>
                <w:sz w:val="22"/>
                <w:szCs w:val="22"/>
                <w:lang w:val="es-ES" w:eastAsia="es-ES_tradnl"/>
              </w:rPr>
              <w:t xml:space="preserve">Si bien en 2013 fueron ampliados a 52 proyectos prioritarios, se debe mantener el cálculo para los 26 del </w:t>
            </w:r>
            <w:r w:rsidR="00F4791C">
              <w:rPr>
                <w:sz w:val="22"/>
                <w:szCs w:val="22"/>
                <w:lang w:val="es-ES" w:eastAsia="es-ES_tradnl"/>
              </w:rPr>
              <w:t>20</w:t>
            </w:r>
            <w:r>
              <w:rPr>
                <w:sz w:val="22"/>
                <w:szCs w:val="22"/>
                <w:lang w:val="es-ES" w:eastAsia="es-ES_tradnl"/>
              </w:rPr>
              <w:t>12 para efectos comparativos.</w:t>
            </w:r>
          </w:p>
        </w:tc>
      </w:tr>
      <w:tr w:rsidR="00911E88" w:rsidRPr="00446EEF" w:rsidTr="00976A07">
        <w:trPr>
          <w:trHeight w:val="290"/>
        </w:trPr>
        <w:tc>
          <w:tcPr>
            <w:tcW w:w="4140" w:type="dxa"/>
            <w:shd w:val="clear" w:color="auto" w:fill="auto"/>
            <w:vAlign w:val="center"/>
          </w:tcPr>
          <w:p w:rsidR="00911E88" w:rsidRPr="004E2B2D" w:rsidRDefault="00911E88" w:rsidP="00787F4C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4E2B2D">
              <w:rPr>
                <w:b/>
                <w:sz w:val="24"/>
                <w:szCs w:val="24"/>
                <w:lang w:val="es-ES"/>
              </w:rPr>
              <w:lastRenderedPageBreak/>
              <w:t>Resultado 3.</w:t>
            </w:r>
            <w:r w:rsidR="00FA55DC">
              <w:rPr>
                <w:b/>
                <w:sz w:val="24"/>
                <w:szCs w:val="24"/>
                <w:lang w:val="es-ES"/>
              </w:rPr>
              <w:t>3</w:t>
            </w:r>
            <w:r w:rsidRPr="004E2B2D">
              <w:rPr>
                <w:sz w:val="24"/>
                <w:szCs w:val="24"/>
                <w:lang w:val="es-ES"/>
              </w:rPr>
              <w:t xml:space="preserve">: </w:t>
            </w:r>
            <w:r w:rsidR="00643BBF">
              <w:rPr>
                <w:sz w:val="24"/>
                <w:szCs w:val="24"/>
                <w:lang w:val="es-ES"/>
              </w:rPr>
              <w:t>A</w:t>
            </w:r>
            <w:r w:rsidR="00643BBF" w:rsidRPr="004E2B2D">
              <w:rPr>
                <w:sz w:val="24"/>
                <w:szCs w:val="24"/>
                <w:lang w:val="es-ES"/>
              </w:rPr>
              <w:t xml:space="preserve">umento </w:t>
            </w:r>
            <w:r w:rsidRPr="004E2B2D">
              <w:rPr>
                <w:sz w:val="24"/>
                <w:szCs w:val="24"/>
                <w:lang w:val="es-ES"/>
              </w:rPr>
              <w:t xml:space="preserve">de la capacidad de camas hoteleras en destinos </w:t>
            </w:r>
            <w:r w:rsidR="00643BBF">
              <w:rPr>
                <w:sz w:val="24"/>
                <w:szCs w:val="24"/>
                <w:lang w:val="es-ES"/>
              </w:rPr>
              <w:t>fuera de</w:t>
            </w:r>
            <w:r w:rsidRPr="004E2B2D">
              <w:rPr>
                <w:sz w:val="24"/>
                <w:szCs w:val="24"/>
                <w:lang w:val="es-ES"/>
              </w:rPr>
              <w:t xml:space="preserve"> la Región Metropolitana de Maceió, como evidencia de una progresiva diversificación de los destinos bajo la visión estratégica del P</w:t>
            </w:r>
            <w:r w:rsidR="00643BBF">
              <w:rPr>
                <w:sz w:val="24"/>
                <w:szCs w:val="24"/>
                <w:lang w:val="es-ES"/>
              </w:rPr>
              <w:t>lan Estatal de Turismo (P</w:t>
            </w:r>
            <w:r w:rsidRPr="004E2B2D">
              <w:rPr>
                <w:sz w:val="24"/>
                <w:szCs w:val="24"/>
                <w:lang w:val="es-ES"/>
              </w:rPr>
              <w:t>ET</w:t>
            </w:r>
            <w:r w:rsidR="00643BBF">
              <w:rPr>
                <w:sz w:val="24"/>
                <w:szCs w:val="24"/>
                <w:lang w:val="es-ES"/>
              </w:rPr>
              <w:t>)</w:t>
            </w:r>
          </w:p>
          <w:p w:rsidR="00911E88" w:rsidRPr="004E2B2D" w:rsidRDefault="00911E88" w:rsidP="00FA55DC">
            <w:pPr>
              <w:tabs>
                <w:tab w:val="left" w:pos="3870"/>
              </w:tabs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b/>
                <w:sz w:val="24"/>
                <w:szCs w:val="24"/>
                <w:lang w:val="es-ES"/>
              </w:rPr>
              <w:t>Indicador 3.</w:t>
            </w:r>
            <w:r w:rsidR="00FA55DC">
              <w:rPr>
                <w:b/>
                <w:sz w:val="24"/>
                <w:szCs w:val="24"/>
                <w:lang w:val="es-ES"/>
              </w:rPr>
              <w:t>3</w:t>
            </w:r>
            <w:r w:rsidRPr="004E2B2D">
              <w:rPr>
                <w:b/>
                <w:sz w:val="24"/>
                <w:szCs w:val="24"/>
                <w:lang w:val="es-ES"/>
              </w:rPr>
              <w:t>:</w:t>
            </w:r>
            <w:r w:rsidRPr="004E2B2D">
              <w:rPr>
                <w:sz w:val="24"/>
                <w:szCs w:val="24"/>
                <w:lang w:val="es-ES"/>
              </w:rPr>
              <w:t xml:space="preserve"> número de camas hoteleras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4E2B2D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14.838 camas hoteleras</w:t>
            </w:r>
            <w:r>
              <w:rPr>
                <w:sz w:val="22"/>
                <w:szCs w:val="22"/>
                <w:lang w:val="es-ES" w:eastAsia="es-ES_tradnl"/>
              </w:rPr>
              <w:t xml:space="preserve"> en 2012 </w:t>
            </w: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B1C7E" w:rsidRPr="004E2B2D" w:rsidRDefault="009B1C7E" w:rsidP="009B1C7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16.138</w:t>
            </w:r>
            <w:r w:rsidRPr="004E2B2D">
              <w:rPr>
                <w:sz w:val="22"/>
                <w:szCs w:val="22"/>
                <w:lang w:val="es-ES"/>
              </w:rPr>
              <w:t xml:space="preserve"> camas hoteleras</w:t>
            </w:r>
          </w:p>
          <w:p w:rsidR="009B1C7E" w:rsidRPr="004E2B2D" w:rsidRDefault="009B1C7E" w:rsidP="009B1C7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en 201</w:t>
            </w:r>
            <w:r w:rsidR="002F766B">
              <w:rPr>
                <w:sz w:val="22"/>
                <w:szCs w:val="22"/>
                <w:lang w:val="es-ES"/>
              </w:rPr>
              <w:t>5</w:t>
            </w: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Informe anual de SETUR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 xml:space="preserve">Meta establecida en base </w:t>
            </w:r>
            <w:r w:rsidRPr="004E2B2D">
              <w:rPr>
                <w:sz w:val="22"/>
                <w:szCs w:val="22"/>
                <w:lang w:val="es-ES"/>
              </w:rPr>
              <w:t xml:space="preserve">a tendencia logarítmica </w:t>
            </w:r>
            <w:r w:rsidRPr="004E2B2D">
              <w:rPr>
                <w:sz w:val="22"/>
                <w:szCs w:val="22"/>
                <w:lang w:val="es-ES" w:eastAsia="es-ES_tradnl"/>
              </w:rPr>
              <w:t>de creación de nuevas camas hoteleras y en el marco de la cartera de nuevos proyectos hoteleros manejada por la SETUR.</w:t>
            </w:r>
          </w:p>
        </w:tc>
      </w:tr>
      <w:tr w:rsidR="00911E88" w:rsidRPr="00C07B7A" w:rsidTr="00976A07">
        <w:trPr>
          <w:trHeight w:val="29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787F4C">
            <w:pPr>
              <w:tabs>
                <w:tab w:val="left" w:pos="3870"/>
              </w:tabs>
              <w:rPr>
                <w:sz w:val="24"/>
                <w:szCs w:val="24"/>
                <w:lang w:val="es-ES"/>
              </w:rPr>
            </w:pPr>
            <w:r w:rsidRPr="004E2B2D">
              <w:rPr>
                <w:b/>
                <w:sz w:val="24"/>
                <w:szCs w:val="24"/>
                <w:lang w:val="es-ES"/>
              </w:rPr>
              <w:t>Resultado 3.</w:t>
            </w:r>
            <w:r w:rsidR="00FA55DC">
              <w:rPr>
                <w:b/>
                <w:sz w:val="24"/>
                <w:szCs w:val="24"/>
                <w:lang w:val="es-ES"/>
              </w:rPr>
              <w:t>4</w:t>
            </w:r>
            <w:r w:rsidRPr="004E2B2D">
              <w:rPr>
                <w:b/>
                <w:sz w:val="24"/>
                <w:szCs w:val="24"/>
                <w:lang w:val="es-ES"/>
              </w:rPr>
              <w:t>:</w:t>
            </w:r>
            <w:r w:rsidRPr="004E2B2D">
              <w:rPr>
                <w:sz w:val="24"/>
                <w:szCs w:val="24"/>
                <w:lang w:val="es-ES"/>
              </w:rPr>
              <w:t xml:space="preserve"> </w:t>
            </w:r>
            <w:r w:rsidR="00643BBF">
              <w:rPr>
                <w:sz w:val="24"/>
                <w:szCs w:val="24"/>
                <w:lang w:val="es-ES"/>
              </w:rPr>
              <w:t>A</w:t>
            </w:r>
            <w:r w:rsidR="00643BBF" w:rsidRPr="004E2B2D">
              <w:rPr>
                <w:sz w:val="24"/>
                <w:szCs w:val="24"/>
                <w:lang w:val="es-ES"/>
              </w:rPr>
              <w:t xml:space="preserve">umento </w:t>
            </w:r>
            <w:r w:rsidRPr="004E2B2D">
              <w:rPr>
                <w:sz w:val="24"/>
                <w:szCs w:val="24"/>
                <w:lang w:val="es-ES"/>
              </w:rPr>
              <w:t xml:space="preserve">del número de </w:t>
            </w:r>
            <w:r w:rsidR="00917EDF">
              <w:rPr>
                <w:sz w:val="24"/>
                <w:szCs w:val="24"/>
                <w:lang w:val="es-ES"/>
              </w:rPr>
              <w:t>emprendedores</w:t>
            </w:r>
            <w:r w:rsidRPr="004E2B2D">
              <w:rPr>
                <w:sz w:val="24"/>
                <w:szCs w:val="24"/>
                <w:lang w:val="es-ES"/>
              </w:rPr>
              <w:t xml:space="preserve"> turístic</w:t>
            </w:r>
            <w:r w:rsidR="00917EDF">
              <w:rPr>
                <w:sz w:val="24"/>
                <w:szCs w:val="24"/>
                <w:lang w:val="es-ES"/>
              </w:rPr>
              <w:t>o</w:t>
            </w:r>
            <w:r w:rsidRPr="004E2B2D">
              <w:rPr>
                <w:sz w:val="24"/>
                <w:szCs w:val="24"/>
                <w:lang w:val="es-ES"/>
              </w:rPr>
              <w:t xml:space="preserve">s que participan directamente en las actividades de </w:t>
            </w:r>
            <w:r w:rsidR="00643BBF" w:rsidRPr="004E2B2D">
              <w:rPr>
                <w:sz w:val="24"/>
                <w:szCs w:val="24"/>
                <w:lang w:val="es-ES"/>
              </w:rPr>
              <w:t>l</w:t>
            </w:r>
            <w:r w:rsidR="00643BBF">
              <w:rPr>
                <w:sz w:val="24"/>
                <w:szCs w:val="24"/>
                <w:lang w:val="es-ES"/>
              </w:rPr>
              <w:t>a</w:t>
            </w:r>
            <w:r w:rsidR="00643BBF" w:rsidRPr="004E2B2D">
              <w:rPr>
                <w:sz w:val="24"/>
                <w:szCs w:val="24"/>
                <w:lang w:val="es-ES"/>
              </w:rPr>
              <w:t xml:space="preserve">s </w:t>
            </w:r>
            <w:r w:rsidRPr="004E2B2D">
              <w:rPr>
                <w:sz w:val="24"/>
                <w:szCs w:val="24"/>
                <w:lang w:val="es-ES"/>
              </w:rPr>
              <w:t xml:space="preserve">tres </w:t>
            </w:r>
            <w:r w:rsidR="00643BBF">
              <w:rPr>
                <w:sz w:val="24"/>
                <w:szCs w:val="24"/>
                <w:lang w:val="es-ES"/>
              </w:rPr>
              <w:t>aglomeraciones productivas locales (</w:t>
            </w:r>
            <w:proofErr w:type="spellStart"/>
            <w:r w:rsidRPr="004E2B2D">
              <w:rPr>
                <w:sz w:val="24"/>
                <w:szCs w:val="24"/>
                <w:lang w:val="es-ES"/>
              </w:rPr>
              <w:t>APLs</w:t>
            </w:r>
            <w:proofErr w:type="spellEnd"/>
            <w:r w:rsidR="00643BBF">
              <w:rPr>
                <w:sz w:val="24"/>
                <w:szCs w:val="24"/>
                <w:lang w:val="es-ES"/>
              </w:rPr>
              <w:t>)</w:t>
            </w:r>
            <w:r w:rsidRPr="004E2B2D">
              <w:rPr>
                <w:sz w:val="24"/>
                <w:szCs w:val="24"/>
                <w:lang w:val="es-ES"/>
              </w:rPr>
              <w:t xml:space="preserve"> </w:t>
            </w:r>
            <w:r w:rsidR="00643BBF" w:rsidRPr="004E2B2D">
              <w:rPr>
                <w:sz w:val="24"/>
                <w:szCs w:val="24"/>
                <w:lang w:val="es-ES"/>
              </w:rPr>
              <w:t>turístic</w:t>
            </w:r>
            <w:r w:rsidR="00643BBF">
              <w:rPr>
                <w:sz w:val="24"/>
                <w:szCs w:val="24"/>
                <w:lang w:val="es-ES"/>
              </w:rPr>
              <w:t>a</w:t>
            </w:r>
            <w:r w:rsidR="00643BBF" w:rsidRPr="004E2B2D">
              <w:rPr>
                <w:sz w:val="24"/>
                <w:szCs w:val="24"/>
                <w:lang w:val="es-ES"/>
              </w:rPr>
              <w:t xml:space="preserve">s </w:t>
            </w:r>
            <w:r w:rsidRPr="004E2B2D">
              <w:rPr>
                <w:sz w:val="24"/>
                <w:szCs w:val="24"/>
                <w:lang w:val="es-ES"/>
              </w:rPr>
              <w:t>existentes en el Estado, como prueba de la coordinación público-privada</w:t>
            </w:r>
          </w:p>
          <w:p w:rsidR="00911E88" w:rsidRPr="004E2B2D" w:rsidRDefault="00911E88" w:rsidP="00FA55D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b/>
                <w:sz w:val="24"/>
                <w:szCs w:val="24"/>
                <w:lang w:val="es-ES"/>
              </w:rPr>
              <w:t>Indicador 3.</w:t>
            </w:r>
            <w:r w:rsidR="00FA55DC">
              <w:rPr>
                <w:b/>
                <w:sz w:val="24"/>
                <w:szCs w:val="24"/>
                <w:lang w:val="es-ES"/>
              </w:rPr>
              <w:t>4</w:t>
            </w:r>
            <w:r w:rsidRPr="004E2B2D">
              <w:rPr>
                <w:b/>
                <w:sz w:val="24"/>
                <w:szCs w:val="24"/>
                <w:lang w:val="es-ES"/>
              </w:rPr>
              <w:t>:</w:t>
            </w:r>
            <w:r w:rsidRPr="004E2B2D">
              <w:rPr>
                <w:sz w:val="24"/>
                <w:szCs w:val="24"/>
                <w:lang w:val="es-ES"/>
              </w:rPr>
              <w:t xml:space="preserve"> Número de empresas que participan de las actividades de los </w:t>
            </w:r>
            <w:proofErr w:type="spellStart"/>
            <w:r w:rsidRPr="004E2B2D">
              <w:rPr>
                <w:sz w:val="24"/>
                <w:szCs w:val="24"/>
                <w:lang w:val="es-ES"/>
              </w:rPr>
              <w:t>APLs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7EDF" w:rsidRPr="00917EDF" w:rsidRDefault="00917EDF" w:rsidP="00917EDF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7EDF" w:rsidRPr="00917EDF" w:rsidRDefault="00917EDF" w:rsidP="00917EDF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17EDF">
              <w:rPr>
                <w:sz w:val="22"/>
                <w:szCs w:val="22"/>
                <w:lang w:val="es-ES" w:eastAsia="es-ES_tradnl"/>
              </w:rPr>
              <w:t xml:space="preserve">463 empresas </w:t>
            </w:r>
            <w:r w:rsidR="00FF1838">
              <w:rPr>
                <w:sz w:val="22"/>
                <w:szCs w:val="22"/>
                <w:lang w:val="es-ES" w:eastAsia="es-ES_tradnl"/>
              </w:rPr>
              <w:t xml:space="preserve">y </w:t>
            </w:r>
            <w:r w:rsidRPr="00917EDF">
              <w:rPr>
                <w:sz w:val="22"/>
                <w:szCs w:val="22"/>
                <w:lang w:val="es-ES" w:eastAsia="es-ES_tradnl"/>
              </w:rPr>
              <w:t>emprendedores</w:t>
            </w:r>
          </w:p>
          <w:p w:rsidR="00911E88" w:rsidRPr="00917EDF" w:rsidRDefault="00911E88" w:rsidP="00917EDF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 w:eastAsia="es-ES_tradn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917EDF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/>
              </w:rPr>
            </w:pPr>
          </w:p>
          <w:p w:rsidR="00911E88" w:rsidRPr="00917EDF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/>
              </w:rPr>
            </w:pPr>
          </w:p>
          <w:p w:rsidR="00911E88" w:rsidRPr="00917EDF" w:rsidRDefault="00911E88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/>
              </w:rPr>
            </w:pPr>
          </w:p>
          <w:p w:rsidR="00917EDF" w:rsidRPr="00917EDF" w:rsidRDefault="002F766B" w:rsidP="00917EDF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>500</w:t>
            </w:r>
            <w:r w:rsidR="00917EDF" w:rsidRPr="00917EDF">
              <w:rPr>
                <w:sz w:val="22"/>
                <w:szCs w:val="22"/>
                <w:lang w:val="es-ES" w:eastAsia="es-ES_tradnl"/>
              </w:rPr>
              <w:t xml:space="preserve"> empresas </w:t>
            </w:r>
            <w:r w:rsidR="00FF1838">
              <w:rPr>
                <w:sz w:val="22"/>
                <w:szCs w:val="22"/>
                <w:lang w:val="es-ES" w:eastAsia="es-ES_tradnl"/>
              </w:rPr>
              <w:t>y</w:t>
            </w:r>
            <w:r w:rsidR="00FF1838" w:rsidRPr="00917EDF">
              <w:rPr>
                <w:sz w:val="22"/>
                <w:szCs w:val="22"/>
                <w:lang w:val="es-ES" w:eastAsia="es-ES_tradnl"/>
              </w:rPr>
              <w:t xml:space="preserve"> </w:t>
            </w:r>
            <w:r w:rsidR="00917EDF" w:rsidRPr="00917EDF">
              <w:rPr>
                <w:sz w:val="22"/>
                <w:szCs w:val="22"/>
                <w:lang w:val="es-ES" w:eastAsia="es-ES_tradnl"/>
              </w:rPr>
              <w:t>emprendedores</w:t>
            </w: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Informe anual de SETUR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88" w:rsidRPr="00C07B7A" w:rsidRDefault="002F766B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_tradnl" w:eastAsia="es-ES_tradnl"/>
              </w:rPr>
            </w:pPr>
            <w:r w:rsidRPr="00917EDF">
              <w:rPr>
                <w:sz w:val="22"/>
                <w:szCs w:val="22"/>
                <w:lang w:val="es-ES_tradnl" w:eastAsia="es-ES_tradnl"/>
              </w:rPr>
              <w:t>Fuente: APLs</w:t>
            </w:r>
            <w:r>
              <w:rPr>
                <w:sz w:val="22"/>
                <w:szCs w:val="22"/>
                <w:lang w:val="es-ES_tradnl" w:eastAsia="es-ES_tradnl"/>
              </w:rPr>
              <w:t>. La línea de base está compuesta por el número de asociados pertenecientes a las asociaciones que participan en las APLs. La fuente para la meta será el censo actualizado en el marco del programa.</w:t>
            </w:r>
          </w:p>
        </w:tc>
      </w:tr>
      <w:tr w:rsidR="00911E88" w:rsidRPr="00446EEF" w:rsidTr="00976A07">
        <w:trPr>
          <w:trHeight w:val="434"/>
        </w:trPr>
        <w:tc>
          <w:tcPr>
            <w:tcW w:w="41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51430A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Resultado 3.</w:t>
            </w:r>
            <w:r w:rsidR="00FA55DC">
              <w:rPr>
                <w:b/>
                <w:sz w:val="22"/>
                <w:szCs w:val="22"/>
                <w:lang w:val="es-ES"/>
              </w:rPr>
              <w:t>5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. Mejora de la accesibilidad a las </w:t>
            </w:r>
            <w:r w:rsidR="005B1622">
              <w:rPr>
                <w:b/>
                <w:sz w:val="22"/>
                <w:szCs w:val="22"/>
                <w:lang w:val="es-ES"/>
              </w:rPr>
              <w:t xml:space="preserve">nuevas 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áreas turísticas del </w:t>
            </w:r>
            <w:proofErr w:type="spellStart"/>
            <w:r w:rsidRPr="004E2B2D">
              <w:rPr>
                <w:b/>
                <w:sz w:val="22"/>
                <w:szCs w:val="22"/>
                <w:lang w:val="es-ES"/>
              </w:rPr>
              <w:t>EdA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51430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11E88" w:rsidRPr="002E2FC7" w:rsidRDefault="00911E88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</w:tr>
      <w:tr w:rsidR="00911E88" w:rsidRPr="00446EEF" w:rsidTr="00976A07">
        <w:trPr>
          <w:trHeight w:val="1380"/>
        </w:trPr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Indicador 3.</w:t>
            </w:r>
            <w:r w:rsidR="00FA55DC">
              <w:rPr>
                <w:b/>
                <w:sz w:val="22"/>
                <w:szCs w:val="22"/>
                <w:lang w:val="es-ES"/>
              </w:rPr>
              <w:t>5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.a.  </w:t>
            </w:r>
            <w:r w:rsidRPr="004E2B2D">
              <w:rPr>
                <w:sz w:val="22"/>
                <w:szCs w:val="22"/>
                <w:lang w:val="es-ES"/>
              </w:rPr>
              <w:t xml:space="preserve">Mejora de las condiciones de circulación </w:t>
            </w:r>
            <w:r w:rsidR="005B1622">
              <w:rPr>
                <w:sz w:val="22"/>
                <w:szCs w:val="22"/>
                <w:lang w:val="es-ES"/>
              </w:rPr>
              <w:t xml:space="preserve">de </w:t>
            </w:r>
            <w:r w:rsidRPr="004E2B2D">
              <w:rPr>
                <w:sz w:val="22"/>
                <w:szCs w:val="22"/>
                <w:lang w:val="es-ES"/>
              </w:rPr>
              <w:t xml:space="preserve">las </w:t>
            </w:r>
            <w:r w:rsidR="005B1622">
              <w:rPr>
                <w:sz w:val="22"/>
                <w:szCs w:val="22"/>
                <w:lang w:val="es-ES"/>
              </w:rPr>
              <w:t xml:space="preserve">vías </w:t>
            </w:r>
            <w:r w:rsidR="005B1622" w:rsidRPr="005B1622">
              <w:rPr>
                <w:sz w:val="24"/>
                <w:szCs w:val="24"/>
                <w:lang w:val="es-ES_tradnl"/>
              </w:rPr>
              <w:t>AL-101/Norte, AL-101/Sul e AL/225</w:t>
            </w:r>
            <w:r w:rsidR="005B1622">
              <w:rPr>
                <w:sz w:val="24"/>
                <w:szCs w:val="24"/>
                <w:lang w:val="es-ES_tradnl"/>
              </w:rPr>
              <w:t xml:space="preserve"> </w:t>
            </w:r>
            <w:r w:rsidRPr="004E2B2D">
              <w:rPr>
                <w:sz w:val="22"/>
                <w:szCs w:val="22"/>
                <w:lang w:val="es-ES"/>
              </w:rPr>
              <w:t>de acceso a áreas turísticas</w:t>
            </w:r>
            <w:r w:rsidR="00806A85">
              <w:rPr>
                <w:sz w:val="22"/>
                <w:szCs w:val="22"/>
                <w:lang w:val="es-ES"/>
              </w:rPr>
              <w:t xml:space="preserve"> fuera de Maceió.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%</w:t>
            </w:r>
            <w:r w:rsidR="00813F4C">
              <w:rPr>
                <w:sz w:val="22"/>
                <w:szCs w:val="22"/>
                <w:lang w:val="es-ES"/>
              </w:rPr>
              <w:t>Km</w:t>
            </w:r>
            <w:r w:rsidRPr="004E2B2D">
              <w:rPr>
                <w:sz w:val="22"/>
                <w:szCs w:val="22"/>
                <w:lang w:val="es-ES"/>
              </w:rPr>
              <w:t xml:space="preserve"> de vías en condiciones buenas y optimas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976A07" w:rsidRDefault="005A786F" w:rsidP="0051430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12,9</w:t>
            </w:r>
            <w:r w:rsidR="005B1622" w:rsidRPr="00976A07">
              <w:rPr>
                <w:sz w:val="22"/>
                <w:szCs w:val="22"/>
                <w:lang w:val="es-ES" w:eastAsia="es-ES_tradnl"/>
              </w:rPr>
              <w:t xml:space="preserve">% </w:t>
            </w:r>
            <w:r w:rsidR="007D1719" w:rsidRPr="00976A07">
              <w:rPr>
                <w:sz w:val="22"/>
                <w:szCs w:val="22"/>
                <w:lang w:val="es-ES" w:eastAsia="es-ES_tradnl"/>
              </w:rPr>
              <w:t>(promedio de los tr</w:t>
            </w:r>
            <w:r w:rsidR="007D1719">
              <w:rPr>
                <w:sz w:val="22"/>
                <w:szCs w:val="22"/>
                <w:lang w:val="es-ES" w:eastAsia="es-ES_tradnl"/>
              </w:rPr>
              <w:t>e</w:t>
            </w:r>
            <w:r w:rsidR="007D1719" w:rsidRPr="00976A07">
              <w:rPr>
                <w:sz w:val="22"/>
                <w:szCs w:val="22"/>
                <w:lang w:val="es-ES" w:eastAsia="es-ES_tradnl"/>
              </w:rPr>
              <w:t>s tramos</w:t>
            </w:r>
            <w:r w:rsidR="007D1719">
              <w:rPr>
                <w:sz w:val="22"/>
                <w:szCs w:val="22"/>
                <w:lang w:val="es-ES" w:eastAsia="es-ES_tradnl"/>
              </w:rPr>
              <w:t>,</w:t>
            </w:r>
          </w:p>
          <w:p w:rsidR="005B1622" w:rsidRPr="005B1622" w:rsidRDefault="005B1622" w:rsidP="0051430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 w:eastAsia="es-ES_tradnl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2010</w:t>
            </w:r>
            <w:r>
              <w:rPr>
                <w:sz w:val="22"/>
                <w:szCs w:val="22"/>
                <w:lang w:val="pt-BR" w:eastAsia="es-ES_tradnl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1719" w:rsidRPr="007D1719" w:rsidRDefault="005A786F" w:rsidP="007D1719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976A07">
              <w:rPr>
                <w:sz w:val="22"/>
                <w:szCs w:val="22"/>
                <w:lang w:val="es-ES_tradnl"/>
              </w:rPr>
              <w:t>84,6</w:t>
            </w:r>
            <w:r w:rsidR="005B1622" w:rsidRPr="00976A07">
              <w:rPr>
                <w:sz w:val="22"/>
                <w:szCs w:val="22"/>
                <w:lang w:val="es-ES_tradnl"/>
              </w:rPr>
              <w:t xml:space="preserve">% </w:t>
            </w:r>
            <w:r w:rsidR="007D1719" w:rsidRPr="007D1719">
              <w:rPr>
                <w:sz w:val="22"/>
                <w:szCs w:val="22"/>
                <w:lang w:val="es-ES" w:eastAsia="es-ES_tradnl"/>
              </w:rPr>
              <w:t>(promedio de los tres tramos</w:t>
            </w:r>
            <w:r w:rsidR="007D1719">
              <w:rPr>
                <w:sz w:val="22"/>
                <w:szCs w:val="22"/>
                <w:lang w:val="es-ES" w:eastAsia="es-ES_tradnl"/>
              </w:rPr>
              <w:t>,</w:t>
            </w:r>
          </w:p>
          <w:p w:rsidR="005B1622" w:rsidRPr="005B1622" w:rsidRDefault="005B1622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pt-BR"/>
              </w:rPr>
            </w:pPr>
            <w:r w:rsidRPr="00976A07">
              <w:rPr>
                <w:sz w:val="22"/>
                <w:szCs w:val="22"/>
                <w:lang w:val="es-ES" w:eastAsia="es-ES_tradnl"/>
              </w:rPr>
              <w:t>2015</w:t>
            </w:r>
            <w:r>
              <w:rPr>
                <w:sz w:val="22"/>
                <w:szCs w:val="22"/>
                <w:lang w:val="pt-BR" w:eastAsia="es-ES_tradnl"/>
              </w:rPr>
              <w:t>)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22" w:rsidRPr="004E2B2D" w:rsidRDefault="005B1622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Fuente: Informe de Evaluación de la Condición de la Red Vial del E</w:t>
            </w:r>
            <w:r>
              <w:rPr>
                <w:sz w:val="22"/>
                <w:szCs w:val="22"/>
                <w:lang w:val="es-ES" w:eastAsia="es-ES_tradnl"/>
              </w:rPr>
              <w:t xml:space="preserve">stado </w:t>
            </w:r>
            <w:r w:rsidRPr="004E2B2D">
              <w:rPr>
                <w:sz w:val="22"/>
                <w:szCs w:val="22"/>
                <w:lang w:val="es-ES" w:eastAsia="es-ES_tradnl"/>
              </w:rPr>
              <w:t>d</w:t>
            </w:r>
            <w:r>
              <w:rPr>
                <w:sz w:val="22"/>
                <w:szCs w:val="22"/>
                <w:lang w:val="es-ES" w:eastAsia="es-ES_tradnl"/>
              </w:rPr>
              <w:t xml:space="preserve">e </w:t>
            </w:r>
            <w:r w:rsidRPr="004E2B2D">
              <w:rPr>
                <w:sz w:val="22"/>
                <w:szCs w:val="22"/>
                <w:lang w:val="es-ES" w:eastAsia="es-ES_tradnl"/>
              </w:rPr>
              <w:t>A</w:t>
            </w:r>
            <w:r>
              <w:rPr>
                <w:sz w:val="22"/>
                <w:szCs w:val="22"/>
                <w:lang w:val="es-ES" w:eastAsia="es-ES_tradnl"/>
              </w:rPr>
              <w:t>lagoas</w:t>
            </w:r>
            <w:r w:rsidRPr="004E2B2D">
              <w:rPr>
                <w:sz w:val="22"/>
                <w:szCs w:val="22"/>
                <w:lang w:val="es-ES" w:eastAsia="es-ES_tradnl"/>
              </w:rPr>
              <w:t>. DER/AL.</w:t>
            </w:r>
          </w:p>
          <w:p w:rsidR="00911E88" w:rsidRPr="005B1622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13F4C" w:rsidRDefault="00813F4C" w:rsidP="00976A07">
            <w:pPr>
              <w:jc w:val="both"/>
              <w:rPr>
                <w:sz w:val="22"/>
                <w:szCs w:val="22"/>
                <w:lang w:val="es-ES" w:eastAsia="es-ES_tradnl"/>
              </w:rPr>
            </w:pPr>
          </w:p>
          <w:p w:rsidR="00813F4C" w:rsidRPr="00813F4C" w:rsidRDefault="00813F4C" w:rsidP="00976A07">
            <w:pPr>
              <w:jc w:val="both"/>
              <w:rPr>
                <w:b/>
                <w:sz w:val="22"/>
                <w:szCs w:val="22"/>
                <w:lang w:val="es-ES_tradnl" w:eastAsia="es-ES_tradnl"/>
              </w:rPr>
            </w:pPr>
            <w:r w:rsidRPr="00813F4C">
              <w:rPr>
                <w:b/>
                <w:sz w:val="22"/>
                <w:szCs w:val="22"/>
                <w:lang w:val="es-ES_tradnl" w:eastAsia="es-ES_tradnl"/>
              </w:rPr>
              <w:t xml:space="preserve">Condición buena y optima de las vías </w:t>
            </w:r>
          </w:p>
          <w:p w:rsidR="00813F4C" w:rsidRDefault="00813F4C" w:rsidP="00976A07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Línea de Base:</w:t>
            </w:r>
          </w:p>
          <w:p w:rsidR="00813F4C" w:rsidRPr="00813F4C" w:rsidRDefault="00813F4C" w:rsidP="00976A07">
            <w:pPr>
              <w:jc w:val="both"/>
              <w:rPr>
                <w:lang w:val="es-ES_tradnl"/>
              </w:rPr>
            </w:pPr>
            <w:r w:rsidRPr="00A82A9F">
              <w:rPr>
                <w:sz w:val="24"/>
                <w:szCs w:val="24"/>
                <w:lang w:val="es-ES_tradnl"/>
              </w:rPr>
              <w:t>AL-101/Norte</w:t>
            </w:r>
            <w:r w:rsidRPr="00813F4C">
              <w:rPr>
                <w:sz w:val="24"/>
                <w:szCs w:val="24"/>
                <w:lang w:val="es-ES_tradnl"/>
              </w:rPr>
              <w:t xml:space="preserve">: </w:t>
            </w:r>
            <w:r w:rsidRPr="00813F4C">
              <w:rPr>
                <w:sz w:val="22"/>
                <w:szCs w:val="22"/>
                <w:lang w:val="es-ES_tradnl" w:eastAsia="es-ES_tradnl"/>
              </w:rPr>
              <w:t xml:space="preserve"> 31,20% 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2"/>
                <w:szCs w:val="22"/>
                <w:lang w:val="es-ES_tradnl" w:eastAsia="es-ES_tradnl"/>
              </w:rPr>
              <w:t xml:space="preserve">condición de la vía 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4"/>
                <w:szCs w:val="24"/>
                <w:lang w:val="es-ES_tradnl"/>
              </w:rPr>
              <w:t>AL-101/Sul:</w:t>
            </w:r>
            <w:r w:rsidRPr="00813F4C">
              <w:rPr>
                <w:sz w:val="22"/>
                <w:szCs w:val="22"/>
                <w:lang w:val="es-ES_tradnl" w:eastAsia="es-ES_tradnl"/>
              </w:rPr>
              <w:t xml:space="preserve"> 19,12% 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2"/>
                <w:szCs w:val="22"/>
                <w:lang w:val="es-ES_tradnl" w:eastAsia="es-ES_tradnl"/>
              </w:rPr>
              <w:lastRenderedPageBreak/>
              <w:t xml:space="preserve"> </w:t>
            </w:r>
            <w:r w:rsidRPr="00813F4C">
              <w:rPr>
                <w:sz w:val="24"/>
                <w:szCs w:val="24"/>
                <w:lang w:val="es-ES_tradnl"/>
              </w:rPr>
              <w:t xml:space="preserve">AL-215: </w:t>
            </w:r>
            <w:r w:rsidRPr="00813F4C">
              <w:rPr>
                <w:sz w:val="22"/>
                <w:szCs w:val="22"/>
                <w:lang w:val="es-ES_tradnl" w:eastAsia="es-ES_tradnl"/>
              </w:rPr>
              <w:t xml:space="preserve">9,58% </w:t>
            </w:r>
          </w:p>
          <w:p w:rsidR="00813F4C" w:rsidRPr="00813F4C" w:rsidRDefault="00813F4C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2"/>
                <w:szCs w:val="22"/>
                <w:lang w:val="es-ES_tradnl" w:eastAsia="es-ES_tradnl"/>
              </w:rPr>
              <w:t xml:space="preserve">Meta (2015): </w:t>
            </w:r>
          </w:p>
          <w:p w:rsidR="00813F4C" w:rsidRPr="00813F4C" w:rsidRDefault="00813F4C" w:rsidP="00976A07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es-ES_tradnl"/>
              </w:rPr>
            </w:pPr>
            <w:r w:rsidRPr="00813F4C">
              <w:rPr>
                <w:sz w:val="24"/>
                <w:szCs w:val="24"/>
                <w:lang w:val="es-ES_tradnl"/>
              </w:rPr>
              <w:t>AL-101/Norte:</w:t>
            </w:r>
            <w:r w:rsidRPr="00813F4C">
              <w:rPr>
                <w:sz w:val="22"/>
                <w:szCs w:val="22"/>
                <w:lang w:val="es-ES_tradnl"/>
              </w:rPr>
              <w:t xml:space="preserve"> 67,20% </w:t>
            </w:r>
          </w:p>
          <w:p w:rsidR="00813F4C" w:rsidRPr="00813F4C" w:rsidRDefault="00813F4C" w:rsidP="00976A07">
            <w:pPr>
              <w:tabs>
                <w:tab w:val="left" w:pos="3870"/>
              </w:tabs>
              <w:jc w:val="both"/>
              <w:rPr>
                <w:sz w:val="24"/>
                <w:szCs w:val="24"/>
                <w:lang w:val="es-ES_tradnl"/>
              </w:rPr>
            </w:pPr>
            <w:r w:rsidRPr="00813F4C">
              <w:rPr>
                <w:sz w:val="24"/>
                <w:szCs w:val="24"/>
                <w:lang w:val="es-ES_tradnl"/>
              </w:rPr>
              <w:t>AL-101/Sul:</w:t>
            </w:r>
            <w:r w:rsidRPr="00813F4C">
              <w:rPr>
                <w:sz w:val="22"/>
                <w:szCs w:val="22"/>
                <w:lang w:val="es-ES_tradnl"/>
              </w:rPr>
              <w:t xml:space="preserve"> 87,52 % </w:t>
            </w:r>
          </w:p>
          <w:p w:rsidR="00813F4C" w:rsidRDefault="00813F4C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4"/>
                <w:szCs w:val="24"/>
                <w:lang w:val="es-ES_tradnl"/>
              </w:rPr>
              <w:t xml:space="preserve">AL-215: </w:t>
            </w:r>
            <w:r w:rsidRPr="00813F4C">
              <w:rPr>
                <w:sz w:val="22"/>
                <w:szCs w:val="22"/>
                <w:lang w:val="es-ES_tradnl"/>
              </w:rPr>
              <w:t>90,42</w:t>
            </w:r>
          </w:p>
          <w:p w:rsidR="00813F4C" w:rsidRPr="00813F4C" w:rsidRDefault="00813F4C" w:rsidP="00976A07">
            <w:pPr>
              <w:jc w:val="both"/>
              <w:rPr>
                <w:b/>
                <w:sz w:val="22"/>
                <w:szCs w:val="22"/>
                <w:lang w:val="es-ES_tradnl" w:eastAsia="es-ES_tradnl"/>
              </w:rPr>
            </w:pPr>
            <w:r w:rsidRPr="00813F4C">
              <w:rPr>
                <w:b/>
                <w:sz w:val="22"/>
                <w:szCs w:val="22"/>
                <w:lang w:val="es-ES_tradnl" w:eastAsia="es-ES_tradnl"/>
              </w:rPr>
              <w:t>Tramos considerados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  <w:r w:rsidRPr="00813F4C">
              <w:rPr>
                <w:sz w:val="22"/>
                <w:szCs w:val="22"/>
                <w:lang w:val="es-ES_tradnl" w:eastAsia="es-ES_tradnl"/>
              </w:rPr>
              <w:t xml:space="preserve"> AL-101/Norte (total 149,24Km)</w:t>
            </w:r>
          </w:p>
          <w:p w:rsidR="00813F4C" w:rsidRPr="00BA7B09" w:rsidRDefault="00813F4C" w:rsidP="00976A07">
            <w:pPr>
              <w:jc w:val="both"/>
              <w:rPr>
                <w:sz w:val="22"/>
                <w:szCs w:val="22"/>
                <w:lang w:val="es-ES" w:eastAsia="es-ES_tradnl"/>
              </w:rPr>
            </w:pPr>
            <w:r w:rsidRPr="00BA7B09">
              <w:rPr>
                <w:sz w:val="22"/>
                <w:szCs w:val="22"/>
                <w:lang w:val="es-ES" w:eastAsia="es-ES_tradnl"/>
              </w:rPr>
              <w:t>Maceió Barra de Santo Antonio: - 44,70</w:t>
            </w:r>
            <w:r>
              <w:rPr>
                <w:sz w:val="22"/>
                <w:szCs w:val="22"/>
                <w:lang w:val="es-ES" w:eastAsia="es-ES_tradnl"/>
              </w:rPr>
              <w:t>Km</w:t>
            </w:r>
          </w:p>
          <w:p w:rsidR="00813F4C" w:rsidRPr="00BA7B09" w:rsidRDefault="00813F4C" w:rsidP="00976A07">
            <w:pPr>
              <w:jc w:val="both"/>
              <w:rPr>
                <w:sz w:val="22"/>
                <w:szCs w:val="22"/>
                <w:lang w:val="es-ES" w:eastAsia="es-ES_tradnl"/>
              </w:rPr>
            </w:pPr>
            <w:r w:rsidRPr="00BA7B09">
              <w:rPr>
                <w:sz w:val="22"/>
                <w:szCs w:val="22"/>
                <w:lang w:val="es-ES" w:eastAsia="es-ES_tradnl"/>
              </w:rPr>
              <w:t xml:space="preserve">Barra de Santo Antonio/ Entrada de </w:t>
            </w:r>
            <w:proofErr w:type="spellStart"/>
            <w:r w:rsidRPr="00BA7B09">
              <w:rPr>
                <w:sz w:val="22"/>
                <w:szCs w:val="22"/>
                <w:lang w:val="es-ES" w:eastAsia="es-ES_tradnl"/>
              </w:rPr>
              <w:t>Sâo</w:t>
            </w:r>
            <w:proofErr w:type="spellEnd"/>
            <w:r w:rsidRPr="00BA7B09">
              <w:rPr>
                <w:sz w:val="22"/>
                <w:szCs w:val="22"/>
                <w:lang w:val="es-ES" w:eastAsia="es-ES_tradnl"/>
              </w:rPr>
              <w:t xml:space="preserve"> Luis de </w:t>
            </w:r>
            <w:proofErr w:type="spellStart"/>
            <w:r w:rsidRPr="00BA7B09">
              <w:rPr>
                <w:sz w:val="22"/>
                <w:szCs w:val="22"/>
                <w:lang w:val="es-ES" w:eastAsia="es-ES_tradnl"/>
              </w:rPr>
              <w:t>Quitunde</w:t>
            </w:r>
            <w:proofErr w:type="spellEnd"/>
            <w:r w:rsidRPr="00BA7B09">
              <w:rPr>
                <w:sz w:val="22"/>
                <w:szCs w:val="22"/>
                <w:lang w:val="es-ES" w:eastAsia="es-ES_tradnl"/>
              </w:rPr>
              <w:t xml:space="preserve"> – 18,52</w:t>
            </w:r>
            <w:r>
              <w:rPr>
                <w:sz w:val="22"/>
                <w:szCs w:val="22"/>
                <w:lang w:val="es-ES" w:eastAsia="es-ES_tradnl"/>
              </w:rPr>
              <w:t>Km</w:t>
            </w:r>
          </w:p>
          <w:p w:rsidR="00813F4C" w:rsidRPr="002E2FC7" w:rsidRDefault="00813F4C" w:rsidP="00976A07">
            <w:pPr>
              <w:jc w:val="both"/>
              <w:rPr>
                <w:sz w:val="22"/>
                <w:szCs w:val="22"/>
                <w:lang w:val="es-ES_tradnl" w:eastAsia="es-ES_tradnl"/>
              </w:rPr>
            </w:pPr>
            <w:proofErr w:type="spellStart"/>
            <w:r w:rsidRPr="002E2FC7">
              <w:rPr>
                <w:sz w:val="22"/>
                <w:szCs w:val="22"/>
                <w:lang w:val="es-ES_tradnl" w:eastAsia="es-ES_tradnl"/>
              </w:rPr>
              <w:t>Sâo</w:t>
            </w:r>
            <w:proofErr w:type="spellEnd"/>
            <w:r w:rsidRPr="002E2FC7">
              <w:rPr>
                <w:sz w:val="22"/>
                <w:szCs w:val="22"/>
                <w:lang w:val="es-ES_tradnl" w:eastAsia="es-ES_tradnl"/>
              </w:rPr>
              <w:t xml:space="preserve"> Luis de </w:t>
            </w:r>
            <w:proofErr w:type="spellStart"/>
            <w:r w:rsidRPr="002E2FC7">
              <w:rPr>
                <w:sz w:val="22"/>
                <w:szCs w:val="22"/>
                <w:lang w:val="es-ES_tradnl" w:eastAsia="es-ES_tradnl"/>
              </w:rPr>
              <w:t>Quitunde</w:t>
            </w:r>
            <w:proofErr w:type="spellEnd"/>
            <w:r w:rsidRPr="002E2FC7">
              <w:rPr>
                <w:sz w:val="22"/>
                <w:szCs w:val="22"/>
                <w:lang w:val="es-ES_tradnl" w:eastAsia="es-ES_tradnl"/>
              </w:rPr>
              <w:t>/ Matriz de |</w:t>
            </w:r>
            <w:proofErr w:type="spellStart"/>
            <w:r w:rsidRPr="002E2FC7">
              <w:rPr>
                <w:sz w:val="22"/>
                <w:szCs w:val="22"/>
                <w:lang w:val="es-ES_tradnl" w:eastAsia="es-ES_tradnl"/>
              </w:rPr>
              <w:t>Camaragibe</w:t>
            </w:r>
            <w:proofErr w:type="spellEnd"/>
            <w:r w:rsidRPr="002E2FC7">
              <w:rPr>
                <w:sz w:val="22"/>
                <w:szCs w:val="22"/>
                <w:lang w:val="es-ES_tradnl" w:eastAsia="es-ES_tradnl"/>
              </w:rPr>
              <w:t xml:space="preserve"> – 19,57Km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Matriz de |Camaragibe / Porto Calvo – 24,56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Porto Calvo a Japaratinga – 19,19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Japaratinga/ Maragogi – 9,74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Maragogi/Divisa AL/PE- 14,66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>
              <w:rPr>
                <w:b/>
                <w:sz w:val="22"/>
                <w:szCs w:val="22"/>
                <w:lang w:val="pt-BR" w:eastAsia="es-ES_tradnl"/>
              </w:rPr>
              <w:t>AL-</w:t>
            </w:r>
            <w:r w:rsidRPr="00813F4C">
              <w:rPr>
                <w:b/>
                <w:sz w:val="22"/>
                <w:szCs w:val="22"/>
                <w:lang w:val="pt-BR" w:eastAsia="es-ES_tradnl"/>
              </w:rPr>
              <w:t>101/Sul</w:t>
            </w:r>
            <w:r>
              <w:rPr>
                <w:b/>
                <w:sz w:val="22"/>
                <w:szCs w:val="22"/>
                <w:lang w:val="pt-BR" w:eastAsia="es-ES_tradnl"/>
              </w:rPr>
              <w:t xml:space="preserve"> </w:t>
            </w:r>
            <w:r>
              <w:rPr>
                <w:sz w:val="22"/>
                <w:szCs w:val="22"/>
                <w:lang w:val="pt-BR" w:eastAsia="es-ES_tradnl"/>
              </w:rPr>
              <w:t>(total 182</w:t>
            </w:r>
            <w:r w:rsidRPr="00813F4C">
              <w:rPr>
                <w:sz w:val="22"/>
                <w:szCs w:val="22"/>
                <w:lang w:val="pt-BR" w:eastAsia="es-ES_tradnl"/>
              </w:rPr>
              <w:t>,</w:t>
            </w:r>
            <w:r>
              <w:rPr>
                <w:sz w:val="22"/>
                <w:szCs w:val="22"/>
                <w:lang w:val="pt-BR" w:eastAsia="es-ES_tradnl"/>
              </w:rPr>
              <w:t>50 Km)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Maceió/Barra de São Miguel – 25,8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Barra de São Miguel/ Piaçabuçu – 131,4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Piaçabuçu a Penedo – 25,3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b/>
                <w:sz w:val="22"/>
                <w:szCs w:val="22"/>
                <w:lang w:val="pt-BR" w:eastAsia="es-ES_tradnl"/>
              </w:rPr>
              <w:t>AL-215</w:t>
            </w:r>
            <w:r>
              <w:rPr>
                <w:b/>
                <w:sz w:val="22"/>
                <w:szCs w:val="22"/>
                <w:lang w:val="pt-BR" w:eastAsia="es-ES_tradnl"/>
              </w:rPr>
              <w:t xml:space="preserve"> </w:t>
            </w:r>
            <w:r>
              <w:rPr>
                <w:sz w:val="22"/>
                <w:szCs w:val="22"/>
                <w:lang w:val="pt-BR" w:eastAsia="es-ES_tradnl"/>
              </w:rPr>
              <w:t>(total 7 km)</w:t>
            </w:r>
          </w:p>
          <w:p w:rsidR="00813F4C" w:rsidRPr="00813F4C" w:rsidRDefault="00813F4C" w:rsidP="00976A07">
            <w:pPr>
              <w:jc w:val="both"/>
              <w:rPr>
                <w:sz w:val="22"/>
                <w:szCs w:val="22"/>
                <w:lang w:val="pt-BR" w:eastAsia="es-ES_tradnl"/>
              </w:rPr>
            </w:pPr>
            <w:r w:rsidRPr="00813F4C">
              <w:rPr>
                <w:sz w:val="22"/>
                <w:szCs w:val="22"/>
                <w:lang w:val="pt-BR" w:eastAsia="es-ES_tradnl"/>
              </w:rPr>
              <w:t>Marechal Deodoro/Francês –7,0</w:t>
            </w:r>
            <w:r>
              <w:rPr>
                <w:sz w:val="22"/>
                <w:szCs w:val="22"/>
                <w:lang w:val="pt-BR" w:eastAsia="es-ES_tradnl"/>
              </w:rPr>
              <w:t>Km</w:t>
            </w:r>
          </w:p>
          <w:p w:rsidR="00911E88" w:rsidRPr="00813F4C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pt-BR" w:eastAsia="es-ES_tradnl"/>
              </w:rPr>
            </w:pPr>
          </w:p>
        </w:tc>
      </w:tr>
      <w:tr w:rsidR="00911E88" w:rsidRPr="005C52CD" w:rsidTr="00976A07">
        <w:trPr>
          <w:trHeight w:val="825"/>
        </w:trPr>
        <w:tc>
          <w:tcPr>
            <w:tcW w:w="414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lastRenderedPageBreak/>
              <w:t>Indicador 3.</w:t>
            </w:r>
            <w:r w:rsidR="00FA55DC">
              <w:rPr>
                <w:b/>
                <w:sz w:val="22"/>
                <w:szCs w:val="22"/>
                <w:lang w:val="es-ES"/>
              </w:rPr>
              <w:t>5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.b. </w:t>
            </w:r>
            <w:r w:rsidRPr="004E2B2D">
              <w:rPr>
                <w:sz w:val="22"/>
                <w:szCs w:val="22"/>
                <w:lang w:val="es-ES"/>
              </w:rPr>
              <w:t xml:space="preserve">Reducción del número de accidentes de tránsito en </w:t>
            </w:r>
            <w:r w:rsidR="008C2260" w:rsidRPr="004E2B2D">
              <w:rPr>
                <w:sz w:val="22"/>
                <w:szCs w:val="22"/>
                <w:lang w:val="es-ES"/>
              </w:rPr>
              <w:t xml:space="preserve">las </w:t>
            </w:r>
            <w:r w:rsidR="008C2260">
              <w:rPr>
                <w:sz w:val="22"/>
                <w:szCs w:val="22"/>
                <w:lang w:val="es-ES"/>
              </w:rPr>
              <w:t xml:space="preserve">vías </w:t>
            </w:r>
            <w:r w:rsidR="008C2260" w:rsidRPr="005B1622">
              <w:rPr>
                <w:sz w:val="24"/>
                <w:szCs w:val="24"/>
                <w:lang w:val="es-ES_tradnl"/>
              </w:rPr>
              <w:t>AL-101/Norte, AL-101/Sul e AL/225</w:t>
            </w:r>
            <w:r w:rsidR="008C2260">
              <w:rPr>
                <w:sz w:val="24"/>
                <w:szCs w:val="24"/>
                <w:lang w:val="es-ES_tradnl"/>
              </w:rPr>
              <w:t xml:space="preserve"> </w:t>
            </w:r>
            <w:r w:rsidR="008C2260" w:rsidRPr="004E2B2D">
              <w:rPr>
                <w:sz w:val="22"/>
                <w:szCs w:val="22"/>
                <w:lang w:val="es-ES"/>
              </w:rPr>
              <w:t>de acceso a las áreas turísticas</w:t>
            </w:r>
            <w:r w:rsidR="00806A85">
              <w:rPr>
                <w:sz w:val="22"/>
                <w:szCs w:val="22"/>
                <w:lang w:val="es-ES"/>
              </w:rPr>
              <w:t xml:space="preserve"> fuera de </w:t>
            </w:r>
            <w:r w:rsidR="00806A85">
              <w:rPr>
                <w:sz w:val="22"/>
                <w:szCs w:val="22"/>
                <w:lang w:val="es-ES"/>
              </w:rPr>
              <w:lastRenderedPageBreak/>
              <w:t>Maceió.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FA55D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lastRenderedPageBreak/>
              <w:t>Nº de accidentes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E8297D" w:rsidP="0051430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>537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E8297D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454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88" w:rsidRPr="004E2B2D" w:rsidRDefault="00E8297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Fuente: Informe de Accidentes de Tránsito en la Red Vial de</w:t>
            </w:r>
            <w:r w:rsidR="007D1719">
              <w:rPr>
                <w:sz w:val="22"/>
                <w:szCs w:val="22"/>
                <w:lang w:val="es-ES" w:eastAsia="es-ES_tradnl"/>
              </w:rPr>
              <w:t xml:space="preserve">  Alagoas. Departamento de Carreteras (</w:t>
            </w:r>
            <w:r w:rsidRPr="004E2B2D">
              <w:rPr>
                <w:sz w:val="22"/>
                <w:szCs w:val="22"/>
                <w:lang w:val="es-ES" w:eastAsia="es-ES_tradnl"/>
              </w:rPr>
              <w:t>DER/AL</w:t>
            </w:r>
            <w:r w:rsidR="007D1719">
              <w:rPr>
                <w:sz w:val="22"/>
                <w:szCs w:val="22"/>
                <w:lang w:val="es-ES" w:eastAsia="es-ES_tradnl"/>
              </w:rPr>
              <w:t>)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 xml:space="preserve">Línea de Base (2010): número de accidentes en  de </w:t>
            </w:r>
            <w:r w:rsidR="00E8297D" w:rsidRPr="004E2B2D">
              <w:rPr>
                <w:sz w:val="22"/>
                <w:szCs w:val="22"/>
                <w:lang w:val="es-ES"/>
              </w:rPr>
              <w:t xml:space="preserve">las </w:t>
            </w:r>
            <w:r w:rsidR="00E8297D">
              <w:rPr>
                <w:sz w:val="22"/>
                <w:szCs w:val="22"/>
                <w:lang w:val="es-ES"/>
              </w:rPr>
              <w:t xml:space="preserve">vías </w:t>
            </w:r>
            <w:r w:rsidR="00E8297D" w:rsidRPr="005B1622">
              <w:rPr>
                <w:sz w:val="24"/>
                <w:szCs w:val="24"/>
                <w:lang w:val="es-ES_tradnl"/>
              </w:rPr>
              <w:t>AL-101/Norte, AL-101/Sul e AL/225</w:t>
            </w:r>
            <w:r w:rsidR="00E8297D">
              <w:rPr>
                <w:sz w:val="24"/>
                <w:szCs w:val="24"/>
                <w:lang w:val="es-ES_tradnl"/>
              </w:rPr>
              <w:t xml:space="preserve"> </w:t>
            </w:r>
            <w:r w:rsidR="00E8297D" w:rsidRPr="004E2B2D">
              <w:rPr>
                <w:sz w:val="22"/>
                <w:szCs w:val="22"/>
                <w:lang w:val="es-ES"/>
              </w:rPr>
              <w:t xml:space="preserve">de acceso a las </w:t>
            </w:r>
            <w:r w:rsidR="00E8297D">
              <w:rPr>
                <w:sz w:val="22"/>
                <w:szCs w:val="22"/>
                <w:lang w:val="es-ES"/>
              </w:rPr>
              <w:lastRenderedPageBreak/>
              <w:t xml:space="preserve">nuevas </w:t>
            </w:r>
            <w:r w:rsidR="00E8297D" w:rsidRPr="004E2B2D">
              <w:rPr>
                <w:sz w:val="22"/>
                <w:szCs w:val="22"/>
                <w:lang w:val="es-ES"/>
              </w:rPr>
              <w:t>áreas turísticas</w:t>
            </w:r>
            <w:r w:rsidR="005C52CD">
              <w:rPr>
                <w:sz w:val="22"/>
                <w:szCs w:val="22"/>
                <w:lang w:val="es-ES"/>
              </w:rPr>
              <w:t>. Los tramos considerados son iguales al indicador 3.5.a.</w:t>
            </w:r>
          </w:p>
        </w:tc>
      </w:tr>
      <w:tr w:rsidR="00911E88" w:rsidRPr="004E2B2D" w:rsidTr="00976A07">
        <w:trPr>
          <w:trHeight w:val="290"/>
        </w:trPr>
        <w:tc>
          <w:tcPr>
            <w:tcW w:w="4140" w:type="dxa"/>
            <w:shd w:val="clear" w:color="auto" w:fill="auto"/>
            <w:vAlign w:val="center"/>
          </w:tcPr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lastRenderedPageBreak/>
              <w:t>Resultado 3.</w:t>
            </w:r>
            <w:r w:rsidR="00FA55DC">
              <w:rPr>
                <w:b/>
                <w:sz w:val="22"/>
                <w:szCs w:val="22"/>
                <w:lang w:val="es-ES"/>
              </w:rPr>
              <w:t>6</w:t>
            </w:r>
            <w:r w:rsidRPr="004E2B2D">
              <w:rPr>
                <w:b/>
                <w:sz w:val="22"/>
                <w:szCs w:val="22"/>
                <w:lang w:val="es-ES"/>
              </w:rPr>
              <w:t>:</w:t>
            </w:r>
            <w:r w:rsidRPr="004E2B2D">
              <w:rPr>
                <w:sz w:val="22"/>
                <w:szCs w:val="22"/>
                <w:lang w:val="es-ES"/>
              </w:rPr>
              <w:t xml:space="preserve"> Aumento de la cobertura de agua y alcantarillado en el ámbito de los municipios operados por </w:t>
            </w:r>
            <w:r w:rsidR="00802291">
              <w:rPr>
                <w:sz w:val="22"/>
                <w:szCs w:val="22"/>
                <w:lang w:val="es-ES"/>
              </w:rPr>
              <w:t xml:space="preserve">la </w:t>
            </w:r>
            <w:r w:rsidR="00802291" w:rsidRPr="004E2B2D">
              <w:rPr>
                <w:sz w:val="22"/>
                <w:szCs w:val="22"/>
                <w:lang w:val="es-ES"/>
              </w:rPr>
              <w:t>C</w:t>
            </w:r>
            <w:r w:rsidR="00802291">
              <w:rPr>
                <w:sz w:val="22"/>
                <w:szCs w:val="22"/>
                <w:lang w:val="es-ES"/>
              </w:rPr>
              <w:t xml:space="preserve">ompañía de </w:t>
            </w:r>
            <w:r w:rsidR="007D1719">
              <w:rPr>
                <w:sz w:val="22"/>
                <w:szCs w:val="22"/>
                <w:lang w:val="es-ES"/>
              </w:rPr>
              <w:t>S</w:t>
            </w:r>
            <w:r w:rsidR="00802291">
              <w:rPr>
                <w:sz w:val="22"/>
                <w:szCs w:val="22"/>
                <w:lang w:val="es-ES"/>
              </w:rPr>
              <w:t>aneamiento de Alagoas (C</w:t>
            </w:r>
            <w:r w:rsidRPr="004E2B2D">
              <w:rPr>
                <w:sz w:val="22"/>
                <w:szCs w:val="22"/>
                <w:lang w:val="es-ES"/>
              </w:rPr>
              <w:t>ASAL</w:t>
            </w:r>
            <w:r w:rsidR="00802291">
              <w:rPr>
                <w:sz w:val="22"/>
                <w:szCs w:val="22"/>
                <w:lang w:val="es-ES"/>
              </w:rPr>
              <w:t>)</w:t>
            </w:r>
            <w:r w:rsidRPr="004E2B2D">
              <w:rPr>
                <w:sz w:val="22"/>
                <w:szCs w:val="22"/>
                <w:lang w:val="es-ES"/>
              </w:rPr>
              <w:t>.</w:t>
            </w:r>
          </w:p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 </w:t>
            </w:r>
          </w:p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I</w:t>
            </w:r>
            <w:r w:rsidRPr="004E2B2D">
              <w:rPr>
                <w:b/>
                <w:sz w:val="22"/>
                <w:szCs w:val="22"/>
                <w:lang w:val="es-ES"/>
              </w:rPr>
              <w:t>ndicador 3.</w:t>
            </w:r>
            <w:r w:rsidR="00FA55DC">
              <w:rPr>
                <w:b/>
                <w:sz w:val="22"/>
                <w:szCs w:val="22"/>
                <w:lang w:val="es-ES"/>
              </w:rPr>
              <w:t>6</w:t>
            </w:r>
            <w:r w:rsidRPr="004E2B2D">
              <w:rPr>
                <w:b/>
                <w:sz w:val="22"/>
                <w:szCs w:val="22"/>
                <w:lang w:val="es-ES"/>
              </w:rPr>
              <w:t>.a</w:t>
            </w:r>
            <w:r w:rsidRPr="004E2B2D">
              <w:rPr>
                <w:sz w:val="22"/>
                <w:szCs w:val="22"/>
                <w:lang w:val="es-ES"/>
              </w:rPr>
              <w:t>: cobertura de agua en los municipios atendidos por CASAL</w:t>
            </w:r>
            <w:r w:rsidR="00806A85">
              <w:rPr>
                <w:sz w:val="22"/>
                <w:szCs w:val="22"/>
                <w:lang w:val="es-ES"/>
              </w:rPr>
              <w:t>.</w:t>
            </w:r>
          </w:p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Indicador 3.</w:t>
            </w:r>
            <w:r w:rsidR="00FA55DC">
              <w:rPr>
                <w:b/>
                <w:sz w:val="22"/>
                <w:szCs w:val="22"/>
                <w:lang w:val="es-ES"/>
              </w:rPr>
              <w:t>6</w:t>
            </w:r>
            <w:r w:rsidRPr="004E2B2D">
              <w:rPr>
                <w:b/>
                <w:sz w:val="22"/>
                <w:szCs w:val="22"/>
                <w:lang w:val="es-ES"/>
              </w:rPr>
              <w:t>.b</w:t>
            </w:r>
            <w:r w:rsidRPr="004E2B2D">
              <w:rPr>
                <w:sz w:val="22"/>
                <w:szCs w:val="22"/>
                <w:lang w:val="es-ES"/>
              </w:rPr>
              <w:t>: cobertura de alcantarillado  en los municipios atendidos por CASAL</w:t>
            </w:r>
            <w:r w:rsidR="00806A85">
              <w:rPr>
                <w:sz w:val="22"/>
                <w:szCs w:val="22"/>
                <w:lang w:val="es-ES"/>
              </w:rPr>
              <w:t>.</w:t>
            </w:r>
          </w:p>
          <w:p w:rsidR="00911E88" w:rsidRPr="004E2B2D" w:rsidRDefault="00911E88" w:rsidP="00FD0A8B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%</w:t>
            </w: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%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64%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(2010)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sz w:val="22"/>
                <w:szCs w:val="22"/>
                <w:lang w:val="es-ES" w:eastAsia="es-ES_tradnl"/>
              </w:rPr>
              <w:t>14%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82%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(2015)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30%</w:t>
            </w: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976E04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Información CASAL población atendida/población total de los municipios turísticos</w:t>
            </w:r>
          </w:p>
          <w:p w:rsidR="00911E88" w:rsidRPr="004E2B2D" w:rsidRDefault="00911E88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  <w:p w:rsidR="00911E88" w:rsidRPr="004E2B2D" w:rsidRDefault="00911E88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Información CASAL población atendida/población total de los municipios turísticos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Línea Base 2010 [Valores </w:t>
            </w:r>
            <w:r w:rsidR="00802291">
              <w:rPr>
                <w:rFonts w:eastAsia="Calibri"/>
                <w:sz w:val="22"/>
                <w:szCs w:val="22"/>
                <w:lang w:val="es-ES"/>
              </w:rPr>
              <w:t>del Sistema Nacional de Información sobre Saneamiento (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>SNIS</w:t>
            </w:r>
            <w:r w:rsidR="00802291">
              <w:rPr>
                <w:rFonts w:eastAsia="Calibri"/>
                <w:sz w:val="22"/>
                <w:szCs w:val="22"/>
                <w:lang w:val="es-ES"/>
              </w:rPr>
              <w:t>)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>] % calculado como: [</w:t>
            </w:r>
            <w:r w:rsidR="00CA0D88">
              <w:rPr>
                <w:rFonts w:eastAsia="Calibri"/>
                <w:sz w:val="22"/>
                <w:szCs w:val="22"/>
                <w:lang w:val="es-ES"/>
              </w:rPr>
              <w:t>Población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 atendida / </w:t>
            </w:r>
            <w:r w:rsidR="00CA0D88">
              <w:rPr>
                <w:rFonts w:eastAsia="Calibri"/>
                <w:sz w:val="22"/>
                <w:szCs w:val="22"/>
                <w:lang w:val="es-ES"/>
              </w:rPr>
              <w:t>Población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 Total del área]. Información CASAL</w:t>
            </w:r>
            <w:r w:rsidRPr="004E2B2D">
              <w:rPr>
                <w:sz w:val="22"/>
                <w:szCs w:val="22"/>
                <w:lang w:val="es-ES" w:eastAsia="es-ES_tradnl"/>
              </w:rPr>
              <w:t xml:space="preserve"> </w:t>
            </w:r>
          </w:p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</w:p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 w:eastAsia="es-ES_tradnl"/>
              </w:rPr>
            </w:pPr>
            <w:r w:rsidRPr="004E2B2D">
              <w:rPr>
                <w:rFonts w:eastAsia="Calibri"/>
                <w:sz w:val="22"/>
                <w:szCs w:val="22"/>
                <w:lang w:val="es-ES"/>
              </w:rPr>
              <w:t>Línea Base 2010 [Valores SNIS] % calculado como: [</w:t>
            </w:r>
            <w:r w:rsidR="00CA0D88">
              <w:rPr>
                <w:rFonts w:eastAsia="Calibri"/>
                <w:sz w:val="22"/>
                <w:szCs w:val="22"/>
                <w:lang w:val="es-ES"/>
              </w:rPr>
              <w:t>Población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 atendida / </w:t>
            </w:r>
            <w:r w:rsidR="00CA0D88">
              <w:rPr>
                <w:rFonts w:eastAsia="Calibri"/>
                <w:sz w:val="22"/>
                <w:szCs w:val="22"/>
                <w:lang w:val="es-ES"/>
              </w:rPr>
              <w:t>Población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 Total del área]. Información CASAL</w:t>
            </w:r>
            <w:r w:rsidRPr="004E2B2D">
              <w:rPr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911E88" w:rsidRPr="00446EEF" w:rsidTr="00976A07">
        <w:trPr>
          <w:trHeight w:val="290"/>
        </w:trPr>
        <w:tc>
          <w:tcPr>
            <w:tcW w:w="4140" w:type="dxa"/>
            <w:shd w:val="clear" w:color="auto" w:fill="auto"/>
            <w:vAlign w:val="center"/>
          </w:tcPr>
          <w:p w:rsidR="00911E88" w:rsidRPr="004E2B2D" w:rsidRDefault="00911E88" w:rsidP="00976E04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Resultado 3.</w:t>
            </w:r>
            <w:r w:rsidR="00FA55DC">
              <w:rPr>
                <w:b/>
                <w:sz w:val="22"/>
                <w:szCs w:val="22"/>
                <w:lang w:val="es-ES"/>
              </w:rPr>
              <w:t>7</w:t>
            </w:r>
            <w:r w:rsidRPr="004E2B2D">
              <w:rPr>
                <w:b/>
                <w:sz w:val="22"/>
                <w:szCs w:val="22"/>
                <w:lang w:val="es-ES"/>
              </w:rPr>
              <w:t xml:space="preserve">. </w:t>
            </w:r>
            <w:r w:rsidRPr="004E2B2D">
              <w:rPr>
                <w:sz w:val="22"/>
                <w:szCs w:val="22"/>
                <w:lang w:val="es-ES"/>
              </w:rPr>
              <w:t>Aumento del número de municipios turísticos con destinación adecuada de residuos sólidos</w:t>
            </w:r>
          </w:p>
          <w:p w:rsidR="00911E88" w:rsidRPr="004E2B2D" w:rsidRDefault="00911E88" w:rsidP="00FA55DC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Indicador 3.</w:t>
            </w:r>
            <w:r w:rsidR="00FA55DC">
              <w:rPr>
                <w:b/>
                <w:sz w:val="22"/>
                <w:szCs w:val="22"/>
                <w:lang w:val="es-ES"/>
              </w:rPr>
              <w:t>7</w:t>
            </w:r>
            <w:r w:rsidRPr="004E2B2D">
              <w:rPr>
                <w:sz w:val="22"/>
                <w:szCs w:val="22"/>
                <w:lang w:val="es-ES"/>
              </w:rPr>
              <w:t xml:space="preserve">.  Número de municipios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11E88" w:rsidRPr="004E2B2D" w:rsidRDefault="00911E8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Nº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 w:eastAsia="es-ES_tradnl"/>
              </w:rPr>
            </w:pPr>
            <w:r>
              <w:rPr>
                <w:sz w:val="22"/>
                <w:szCs w:val="22"/>
                <w:lang w:val="es-ES" w:eastAsia="es-ES_tradnl"/>
              </w:rPr>
              <w:t>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11E88" w:rsidRPr="004E2B2D" w:rsidRDefault="00911E88" w:rsidP="00B93A9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1E88" w:rsidRPr="004E2B2D" w:rsidRDefault="00911E88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4E2B2D">
              <w:rPr>
                <w:rFonts w:eastAsia="Calibri"/>
                <w:sz w:val="22"/>
                <w:szCs w:val="22"/>
                <w:lang w:val="es-ES"/>
              </w:rPr>
              <w:t>Línea Base 2012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: 19 municipios del consorcio intermunicipal </w:t>
            </w:r>
            <w:r w:rsidR="007D1719">
              <w:rPr>
                <w:rFonts w:eastAsia="Calibri"/>
                <w:sz w:val="22"/>
                <w:szCs w:val="22"/>
                <w:lang w:val="es-ES"/>
              </w:rPr>
              <w:t>“</w:t>
            </w:r>
            <w:r>
              <w:rPr>
                <w:rFonts w:eastAsia="Calibri"/>
                <w:sz w:val="22"/>
                <w:szCs w:val="22"/>
                <w:lang w:val="es-ES"/>
              </w:rPr>
              <w:t>CIGRES</w:t>
            </w:r>
            <w:r w:rsidR="007D1719">
              <w:rPr>
                <w:rFonts w:eastAsia="Calibri"/>
                <w:sz w:val="22"/>
                <w:szCs w:val="22"/>
                <w:lang w:val="es-ES"/>
              </w:rPr>
              <w:t>”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 y 1 municipio de </w:t>
            </w:r>
            <w:r w:rsidR="007D1719">
              <w:rPr>
                <w:rFonts w:eastAsia="Calibri"/>
                <w:sz w:val="22"/>
                <w:szCs w:val="22"/>
                <w:lang w:val="es-ES"/>
              </w:rPr>
              <w:t>Maceió.</w:t>
            </w:r>
          </w:p>
          <w:p w:rsidR="00911E88" w:rsidRDefault="00911E88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4E2B2D">
              <w:rPr>
                <w:rFonts w:eastAsia="Calibri"/>
                <w:sz w:val="22"/>
                <w:szCs w:val="22"/>
                <w:lang w:val="es-ES"/>
              </w:rPr>
              <w:t>Meta Final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 2015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>:</w:t>
            </w:r>
            <w:r>
              <w:rPr>
                <w:rFonts w:eastAsia="Calibri"/>
                <w:sz w:val="22"/>
                <w:szCs w:val="22"/>
                <w:lang w:val="es-ES"/>
              </w:rPr>
              <w:t xml:space="preserve"> 16 municipios adicionales del consorcio intermunicipal CONISUL.</w:t>
            </w:r>
          </w:p>
          <w:p w:rsidR="00911E88" w:rsidRPr="004E2B2D" w:rsidRDefault="00911E88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Meta 2015 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corresponde a </w:t>
            </w:r>
            <w:r>
              <w:rPr>
                <w:rFonts w:eastAsia="Calibri"/>
                <w:sz w:val="22"/>
                <w:szCs w:val="22"/>
                <w:lang w:val="es-ES"/>
              </w:rPr>
              <w:t>55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% de la </w:t>
            </w:r>
            <w:r w:rsidR="00CA0D88">
              <w:rPr>
                <w:rFonts w:eastAsia="Calibri"/>
                <w:sz w:val="22"/>
                <w:szCs w:val="22"/>
                <w:lang w:val="es-ES"/>
              </w:rPr>
              <w:t>población</w:t>
            </w: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 del Estado.</w:t>
            </w:r>
          </w:p>
          <w:p w:rsidR="00911E88" w:rsidRPr="004E2B2D" w:rsidRDefault="00911E88" w:rsidP="00976A07">
            <w:pPr>
              <w:tabs>
                <w:tab w:val="left" w:pos="3870"/>
              </w:tabs>
              <w:jc w:val="both"/>
              <w:rPr>
                <w:rStyle w:val="CommentReference"/>
                <w:sz w:val="22"/>
                <w:szCs w:val="22"/>
                <w:lang w:val="es-ES"/>
              </w:rPr>
            </w:pPr>
            <w:r w:rsidRPr="004E2B2D">
              <w:rPr>
                <w:rFonts w:eastAsia="Calibri"/>
                <w:sz w:val="22"/>
                <w:szCs w:val="22"/>
                <w:lang w:val="es-ES"/>
              </w:rPr>
              <w:t xml:space="preserve">Información </w:t>
            </w:r>
            <w:r w:rsidR="007D1719" w:rsidRPr="00976A07">
              <w:rPr>
                <w:sz w:val="22"/>
                <w:szCs w:val="22"/>
                <w:lang w:val="es-ES"/>
              </w:rPr>
              <w:t>Secretaria del Medio Ambiente y de Recursos Hídricos del Estado de Alagoas (SEMARH)</w:t>
            </w:r>
            <w:r w:rsidR="007D1719" w:rsidRPr="004E2B2D" w:rsidDel="007D1719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4575C3" w:rsidRPr="00976A07" w:rsidRDefault="004A255B" w:rsidP="00BA675A">
      <w:pPr>
        <w:tabs>
          <w:tab w:val="left" w:pos="3870"/>
        </w:tabs>
        <w:jc w:val="center"/>
        <w:rPr>
          <w:b/>
          <w:smallCaps/>
          <w:sz w:val="24"/>
          <w:szCs w:val="22"/>
          <w:lang w:val="es-ES"/>
        </w:rPr>
      </w:pPr>
      <w:r w:rsidRPr="004E2B2D">
        <w:rPr>
          <w:sz w:val="22"/>
          <w:szCs w:val="22"/>
          <w:lang w:val="es-ES"/>
        </w:rPr>
        <w:br w:type="page"/>
      </w:r>
      <w:r w:rsidR="00DC471E" w:rsidRPr="00976A07">
        <w:rPr>
          <w:b/>
          <w:smallCaps/>
          <w:sz w:val="24"/>
          <w:szCs w:val="22"/>
          <w:lang w:val="es-ES"/>
        </w:rPr>
        <w:lastRenderedPageBreak/>
        <w:t>Productos</w:t>
      </w:r>
    </w:p>
    <w:p w:rsidR="00DC471E" w:rsidRPr="004E2B2D" w:rsidRDefault="00DC471E" w:rsidP="00BA675A">
      <w:pPr>
        <w:tabs>
          <w:tab w:val="left" w:pos="3870"/>
        </w:tabs>
        <w:jc w:val="center"/>
        <w:rPr>
          <w:b/>
          <w:sz w:val="22"/>
          <w:szCs w:val="22"/>
          <w:lang w:val="es-ES"/>
        </w:rPr>
      </w:pPr>
    </w:p>
    <w:tbl>
      <w:tblPr>
        <w:tblW w:w="483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1167"/>
        <w:gridCol w:w="90"/>
        <w:gridCol w:w="1077"/>
        <w:gridCol w:w="1260"/>
        <w:gridCol w:w="5856"/>
      </w:tblGrid>
      <w:tr w:rsidR="00BA675A" w:rsidRPr="004E2B2D" w:rsidTr="00CD146A">
        <w:trPr>
          <w:cantSplit/>
          <w:tblHeader/>
        </w:trPr>
        <w:tc>
          <w:tcPr>
            <w:tcW w:w="1656" w:type="pct"/>
            <w:shd w:val="clear" w:color="auto" w:fill="A6A6A6"/>
            <w:vAlign w:val="center"/>
          </w:tcPr>
          <w:p w:rsidR="00BA675A" w:rsidRPr="004E2B2D" w:rsidRDefault="00353EC9" w:rsidP="00BA675A">
            <w:pPr>
              <w:pStyle w:val="Heading1"/>
              <w:tabs>
                <w:tab w:val="left" w:pos="3870"/>
              </w:tabs>
              <w:autoSpaceDE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4E2B2D">
              <w:rPr>
                <w:rFonts w:ascii="Times New Roman" w:hAnsi="Times New Roman"/>
                <w:sz w:val="22"/>
                <w:szCs w:val="22"/>
                <w:lang w:val="es-ES"/>
              </w:rPr>
              <w:t>Indicador de Producto</w:t>
            </w:r>
          </w:p>
        </w:tc>
        <w:tc>
          <w:tcPr>
            <w:tcW w:w="413" w:type="pct"/>
            <w:shd w:val="clear" w:color="auto" w:fill="A6A6A6"/>
            <w:vAlign w:val="center"/>
          </w:tcPr>
          <w:p w:rsidR="00BA675A" w:rsidRPr="004E2B2D" w:rsidRDefault="00BA675A" w:rsidP="00BA675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413" w:type="pct"/>
            <w:gridSpan w:val="2"/>
            <w:shd w:val="clear" w:color="auto" w:fill="A6A6A6"/>
            <w:vAlign w:val="center"/>
          </w:tcPr>
          <w:p w:rsidR="00BA675A" w:rsidRPr="004E2B2D" w:rsidRDefault="00BA675A" w:rsidP="00BA675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Línea de Base</w:t>
            </w:r>
            <w:r w:rsidR="002D4B4B">
              <w:rPr>
                <w:b/>
                <w:sz w:val="22"/>
                <w:szCs w:val="22"/>
                <w:lang w:val="es-ES"/>
              </w:rPr>
              <w:t xml:space="preserve"> 2012</w:t>
            </w:r>
          </w:p>
        </w:tc>
        <w:tc>
          <w:tcPr>
            <w:tcW w:w="446" w:type="pct"/>
            <w:shd w:val="clear" w:color="auto" w:fill="A6A6A6"/>
            <w:vAlign w:val="center"/>
          </w:tcPr>
          <w:p w:rsidR="00BA675A" w:rsidRPr="004E2B2D" w:rsidRDefault="00BA675A" w:rsidP="002D4B4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Meta Final</w:t>
            </w:r>
            <w:r w:rsidR="002D4B4B">
              <w:rPr>
                <w:b/>
                <w:sz w:val="22"/>
                <w:szCs w:val="22"/>
                <w:lang w:val="es-ES"/>
              </w:rPr>
              <w:t xml:space="preserve"> 2013</w:t>
            </w:r>
          </w:p>
        </w:tc>
        <w:tc>
          <w:tcPr>
            <w:tcW w:w="2072" w:type="pct"/>
            <w:shd w:val="clear" w:color="auto" w:fill="A6A6A6"/>
            <w:vAlign w:val="center"/>
          </w:tcPr>
          <w:p w:rsidR="00BA675A" w:rsidRPr="004E2B2D" w:rsidRDefault="00BA675A" w:rsidP="00BA675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4E2B2D">
              <w:rPr>
                <w:b/>
                <w:sz w:val="22"/>
                <w:szCs w:val="22"/>
                <w:lang w:val="es-ES"/>
              </w:rPr>
              <w:t>Obs</w:t>
            </w:r>
            <w:proofErr w:type="spellEnd"/>
            <w:r w:rsidRPr="004E2B2D">
              <w:rPr>
                <w:b/>
                <w:sz w:val="22"/>
                <w:szCs w:val="22"/>
                <w:lang w:val="es-ES"/>
              </w:rPr>
              <w:t>.</w:t>
            </w:r>
          </w:p>
        </w:tc>
      </w:tr>
      <w:tr w:rsidR="00BA675A" w:rsidRPr="00446EEF" w:rsidTr="00CD146A">
        <w:tc>
          <w:tcPr>
            <w:tcW w:w="5000" w:type="pct"/>
            <w:gridSpan w:val="6"/>
            <w:shd w:val="clear" w:color="auto" w:fill="D9D9D9"/>
          </w:tcPr>
          <w:p w:rsidR="00BA675A" w:rsidRPr="00E40694" w:rsidRDefault="00025B09" w:rsidP="00B52BF8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lang w:val="es-ES"/>
              </w:rPr>
            </w:pPr>
            <w:r w:rsidRPr="00E40694">
              <w:rPr>
                <w:b/>
                <w:smallCaps/>
                <w:sz w:val="22"/>
                <w:lang w:val="es-ES"/>
              </w:rPr>
              <w:t xml:space="preserve">Sub componente 2.1 </w:t>
            </w:r>
            <w:r w:rsidR="00B52BF8" w:rsidRPr="00E40694">
              <w:rPr>
                <w:b/>
                <w:smallCaps/>
                <w:sz w:val="22"/>
                <w:lang w:val="es-ES"/>
              </w:rPr>
              <w:t xml:space="preserve"> - </w:t>
            </w:r>
            <w:r w:rsidR="00637671" w:rsidRPr="00E40694">
              <w:rPr>
                <w:b/>
                <w:smallCaps/>
                <w:sz w:val="22"/>
                <w:lang w:val="es-ES"/>
              </w:rPr>
              <w:t xml:space="preserve"> </w:t>
            </w:r>
            <w:r w:rsidR="00B52BF8" w:rsidRPr="00E40694">
              <w:rPr>
                <w:b/>
                <w:smallCaps/>
                <w:sz w:val="22"/>
                <w:lang w:val="es-ES"/>
              </w:rPr>
              <w:t>Gestión de los Ingresos Públicos</w:t>
            </w:r>
          </w:p>
        </w:tc>
      </w:tr>
      <w:tr w:rsidR="00AD2A2E" w:rsidRPr="00446EEF" w:rsidTr="00C07B7A">
        <w:trPr>
          <w:trHeight w:val="515"/>
        </w:trPr>
        <w:tc>
          <w:tcPr>
            <w:tcW w:w="1656" w:type="pct"/>
          </w:tcPr>
          <w:p w:rsidR="00AD2A2E" w:rsidRPr="004E2B2D" w:rsidRDefault="00AD2A2E" w:rsidP="00446E82">
            <w:pPr>
              <w:pStyle w:val="Contedodatabela"/>
              <w:widowControl/>
              <w:suppressLineNumbers w:val="0"/>
              <w:tabs>
                <w:tab w:val="left" w:pos="3870"/>
              </w:tabs>
              <w:suppressAutoHyphens w:val="0"/>
              <w:rPr>
                <w:rFonts w:cs="Times New Roman"/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Unidad organizacional con función específica de monitoreo de la información fiscal</w:t>
            </w:r>
          </w:p>
        </w:tc>
        <w:tc>
          <w:tcPr>
            <w:tcW w:w="445" w:type="pct"/>
            <w:gridSpan w:val="2"/>
            <w:vAlign w:val="center"/>
          </w:tcPr>
          <w:p w:rsidR="00AD2A2E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380" w:type="pct"/>
            <w:vAlign w:val="center"/>
          </w:tcPr>
          <w:p w:rsidR="00AD2A2E" w:rsidRPr="00FF4B3D" w:rsidRDefault="00AD2A2E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FF4B3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D2A2E" w:rsidRPr="00FF4B3D" w:rsidRDefault="00AD2A2E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FF4B3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D2A2E" w:rsidRPr="004E2B2D" w:rsidRDefault="00AB469F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Departamento creado</w:t>
            </w:r>
            <w:r w:rsidR="005A7B98" w:rsidRPr="004E2B2D">
              <w:rPr>
                <w:sz w:val="22"/>
                <w:szCs w:val="22"/>
                <w:lang w:val="es-ES"/>
              </w:rPr>
              <w:t xml:space="preserve"> en la SEFAZ/AL con la finalidad de analizar y monitorear datos e informaciones fiscales en las áreas de r</w:t>
            </w:r>
            <w:r w:rsidR="00AD2A2E" w:rsidRPr="004E2B2D">
              <w:rPr>
                <w:sz w:val="22"/>
                <w:szCs w:val="22"/>
                <w:lang w:val="es-ES"/>
              </w:rPr>
              <w:t xml:space="preserve">egistro, </w:t>
            </w:r>
            <w:r w:rsidR="005A7B98" w:rsidRPr="004E2B2D">
              <w:rPr>
                <w:sz w:val="22"/>
                <w:szCs w:val="22"/>
                <w:lang w:val="es-ES"/>
              </w:rPr>
              <w:t>t</w:t>
            </w:r>
            <w:r w:rsidR="00AD2A2E" w:rsidRPr="004E2B2D">
              <w:rPr>
                <w:sz w:val="22"/>
                <w:szCs w:val="22"/>
                <w:lang w:val="es-ES"/>
              </w:rPr>
              <w:t xml:space="preserve">ributación, </w:t>
            </w:r>
            <w:r w:rsidR="005A7B98" w:rsidRPr="004E2B2D">
              <w:rPr>
                <w:sz w:val="22"/>
                <w:szCs w:val="22"/>
                <w:lang w:val="es-ES"/>
              </w:rPr>
              <w:t>r</w:t>
            </w:r>
            <w:r w:rsidR="00AD2A2E" w:rsidRPr="004E2B2D">
              <w:rPr>
                <w:sz w:val="22"/>
                <w:szCs w:val="22"/>
                <w:lang w:val="es-ES"/>
              </w:rPr>
              <w:t xml:space="preserve">ecaudación, </w:t>
            </w:r>
            <w:r w:rsidR="005A7B98" w:rsidRPr="004E2B2D">
              <w:rPr>
                <w:sz w:val="22"/>
                <w:szCs w:val="22"/>
                <w:lang w:val="es-ES"/>
              </w:rPr>
              <w:t>f</w:t>
            </w:r>
            <w:r w:rsidR="00AD2A2E" w:rsidRPr="004E2B2D">
              <w:rPr>
                <w:sz w:val="22"/>
                <w:szCs w:val="22"/>
                <w:lang w:val="es-ES"/>
              </w:rPr>
              <w:t xml:space="preserve">iscalización y </w:t>
            </w:r>
            <w:r w:rsidR="005A7B98" w:rsidRPr="004E2B2D">
              <w:rPr>
                <w:sz w:val="22"/>
                <w:szCs w:val="22"/>
                <w:lang w:val="es-ES"/>
              </w:rPr>
              <w:t>a</w:t>
            </w:r>
            <w:r w:rsidR="00AD2A2E" w:rsidRPr="004E2B2D">
              <w:rPr>
                <w:sz w:val="22"/>
                <w:szCs w:val="22"/>
                <w:lang w:val="es-ES"/>
              </w:rPr>
              <w:t>uditoría</w:t>
            </w:r>
          </w:p>
        </w:tc>
      </w:tr>
      <w:tr w:rsidR="00AD2A2E" w:rsidRPr="00446EEF" w:rsidTr="00C07B7A">
        <w:tc>
          <w:tcPr>
            <w:tcW w:w="1656" w:type="pct"/>
          </w:tcPr>
          <w:p w:rsidR="00AD2A2E" w:rsidRPr="004E2B2D" w:rsidRDefault="00AD2A2E" w:rsidP="005A7B98">
            <w:pPr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Procedimiento de notificaciones previas </w:t>
            </w:r>
            <w:r w:rsidR="005A7B98" w:rsidRPr="004E2B2D">
              <w:rPr>
                <w:sz w:val="22"/>
                <w:szCs w:val="22"/>
                <w:lang w:val="es-ES"/>
              </w:rPr>
              <w:t>a la acción fiscal en base a la inconsistencia de la información declarada por el contribuyente</w:t>
            </w:r>
          </w:p>
        </w:tc>
        <w:tc>
          <w:tcPr>
            <w:tcW w:w="445" w:type="pct"/>
            <w:gridSpan w:val="2"/>
          </w:tcPr>
          <w:p w:rsidR="00AD2A2E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380" w:type="pct"/>
            <w:vAlign w:val="center"/>
          </w:tcPr>
          <w:p w:rsidR="00AD2A2E" w:rsidRPr="00FF4B3D" w:rsidRDefault="00AD2A2E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FF4B3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D2A2E" w:rsidRPr="00FF4B3D" w:rsidRDefault="00AD2A2E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FF4B3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D2A2E" w:rsidRPr="004E2B2D" w:rsidRDefault="00AB469F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Procedimiento / metodología institucionalizado</w:t>
            </w:r>
            <w:r w:rsidR="004943F7" w:rsidRPr="004E2B2D">
              <w:rPr>
                <w:sz w:val="22"/>
                <w:szCs w:val="22"/>
                <w:lang w:val="es-ES"/>
              </w:rPr>
              <w:t xml:space="preserve"> y operativo</w:t>
            </w:r>
          </w:p>
        </w:tc>
      </w:tr>
      <w:tr w:rsidR="00AB469F" w:rsidRPr="00446EEF" w:rsidTr="00C07B7A">
        <w:tc>
          <w:tcPr>
            <w:tcW w:w="1656" w:type="pct"/>
          </w:tcPr>
          <w:p w:rsidR="00AB469F" w:rsidRPr="004E2B2D" w:rsidRDefault="004943F7" w:rsidP="004943F7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rocedimientos  de </w:t>
            </w:r>
            <w:r w:rsidRPr="004E2B2D">
              <w:rPr>
                <w:sz w:val="22"/>
                <w:szCs w:val="22"/>
                <w:lang w:val="es-ES"/>
              </w:rPr>
              <w:t>auditoría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</w:t>
            </w:r>
            <w:r w:rsidRPr="004E2B2D">
              <w:rPr>
                <w:sz w:val="22"/>
                <w:szCs w:val="22"/>
                <w:lang w:val="es-ES"/>
              </w:rPr>
              <w:t xml:space="preserve">y fiscalización del ICMS </w:t>
            </w:r>
            <w:r w:rsidR="00AB469F" w:rsidRPr="004E2B2D">
              <w:rPr>
                <w:sz w:val="22"/>
                <w:szCs w:val="22"/>
                <w:lang w:val="es-ES"/>
              </w:rPr>
              <w:t>implantado.</w:t>
            </w:r>
          </w:p>
        </w:tc>
        <w:tc>
          <w:tcPr>
            <w:tcW w:w="445" w:type="pct"/>
            <w:gridSpan w:val="2"/>
            <w:vAlign w:val="center"/>
          </w:tcPr>
          <w:p w:rsidR="00AB469F" w:rsidRPr="004E2B2D" w:rsidRDefault="00AB469F" w:rsidP="00AC19BF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380" w:type="pct"/>
            <w:vAlign w:val="center"/>
          </w:tcPr>
          <w:p w:rsidR="00AB469F" w:rsidRPr="004E2B2D" w:rsidRDefault="00AB469F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4943F7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</w:t>
            </w:r>
            <w:r w:rsidR="00AB469F" w:rsidRPr="004E2B2D">
              <w:rPr>
                <w:sz w:val="22"/>
                <w:szCs w:val="22"/>
                <w:lang w:val="es-ES"/>
              </w:rPr>
              <w:t>rocedimiento institucionalizado</w:t>
            </w:r>
            <w:r w:rsidRPr="004E2B2D">
              <w:rPr>
                <w:sz w:val="22"/>
                <w:szCs w:val="22"/>
                <w:lang w:val="es-ES"/>
              </w:rPr>
              <w:t xml:space="preserve"> y operativo para la estandarización de </w:t>
            </w:r>
            <w:r w:rsidR="0069638B" w:rsidRPr="004E2B2D">
              <w:rPr>
                <w:sz w:val="22"/>
                <w:szCs w:val="22"/>
                <w:lang w:val="es-ES"/>
              </w:rPr>
              <w:t xml:space="preserve">criterios y metas en </w:t>
            </w:r>
            <w:r w:rsidRPr="004E2B2D">
              <w:rPr>
                <w:sz w:val="22"/>
                <w:szCs w:val="22"/>
                <w:lang w:val="es-ES"/>
              </w:rPr>
              <w:t>la identificación, planificación y realización de la acción fiscal</w:t>
            </w:r>
            <w:r w:rsidR="0069638B" w:rsidRPr="004E2B2D">
              <w:rPr>
                <w:sz w:val="22"/>
                <w:szCs w:val="22"/>
                <w:lang w:val="es-ES"/>
              </w:rPr>
              <w:t xml:space="preserve"> del ICMS</w:t>
            </w:r>
          </w:p>
        </w:tc>
      </w:tr>
      <w:tr w:rsidR="00AB469F" w:rsidRPr="00446EEF" w:rsidTr="00C07B7A">
        <w:tc>
          <w:tcPr>
            <w:tcW w:w="1656" w:type="pct"/>
          </w:tcPr>
          <w:p w:rsidR="00AB469F" w:rsidRPr="004E2B2D" w:rsidRDefault="00AB469F" w:rsidP="00CD146A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Banco de datos de las decisiones de 1ª </w:t>
            </w:r>
            <w:r w:rsidR="002651EA" w:rsidRPr="004E2B2D">
              <w:rPr>
                <w:sz w:val="22"/>
                <w:szCs w:val="22"/>
                <w:lang w:val="es-ES"/>
              </w:rPr>
              <w:t>instancia</w:t>
            </w:r>
            <w:r w:rsidRPr="004E2B2D">
              <w:rPr>
                <w:sz w:val="22"/>
                <w:szCs w:val="22"/>
                <w:lang w:val="es-ES"/>
              </w:rPr>
              <w:t xml:space="preserve"> disponible</w:t>
            </w:r>
          </w:p>
        </w:tc>
        <w:tc>
          <w:tcPr>
            <w:tcW w:w="445" w:type="pct"/>
            <w:gridSpan w:val="2"/>
            <w:vAlign w:val="center"/>
          </w:tcPr>
          <w:p w:rsidR="00AB469F" w:rsidRPr="004E2B2D" w:rsidRDefault="00AB469F" w:rsidP="00CD146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Nº</w:t>
            </w:r>
          </w:p>
        </w:tc>
        <w:tc>
          <w:tcPr>
            <w:tcW w:w="380" w:type="pct"/>
            <w:vAlign w:val="center"/>
          </w:tcPr>
          <w:p w:rsidR="00AB469F" w:rsidRPr="004E2B2D" w:rsidRDefault="00AB469F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737F1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AB469F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Banco de datos </w:t>
            </w:r>
            <w:r w:rsidR="002651EA" w:rsidRPr="004E2B2D">
              <w:rPr>
                <w:sz w:val="22"/>
                <w:szCs w:val="22"/>
                <w:lang w:val="es-ES"/>
              </w:rPr>
              <w:t xml:space="preserve">con las informaciones sobre las decisiones de los juzgados de las infracciones, estructuradas  por </w:t>
            </w:r>
            <w:r w:rsidR="009E7F62" w:rsidRPr="004E2B2D">
              <w:rPr>
                <w:sz w:val="22"/>
                <w:szCs w:val="22"/>
                <w:lang w:val="es-ES"/>
              </w:rPr>
              <w:t>tipo y factor generador del ICMS</w:t>
            </w:r>
          </w:p>
        </w:tc>
      </w:tr>
      <w:tr w:rsidR="00AB469F" w:rsidRPr="00446EEF" w:rsidTr="00C07B7A">
        <w:tc>
          <w:tcPr>
            <w:tcW w:w="1656" w:type="pct"/>
          </w:tcPr>
          <w:p w:rsidR="00AB469F" w:rsidRPr="004E2B2D" w:rsidRDefault="0003153D" w:rsidP="00451464">
            <w:pPr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Sectores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económico</w:t>
            </w:r>
            <w:r w:rsidR="00451464" w:rsidRPr="004E2B2D">
              <w:rPr>
                <w:sz w:val="22"/>
                <w:szCs w:val="22"/>
                <w:lang w:val="es-ES"/>
              </w:rPr>
              <w:t>s con metas de recaudación de ICMS logradas, basadas en la nueva metodología de cálculo y monitoreo fiscal</w:t>
            </w:r>
            <w:r w:rsidR="00B230C3" w:rsidRPr="004E2B2D">
              <w:rPr>
                <w:sz w:val="22"/>
                <w:szCs w:val="22"/>
                <w:lang w:val="es-ES"/>
              </w:rPr>
              <w:t xml:space="preserve"> (de un total de 12 sectores).</w:t>
            </w:r>
          </w:p>
        </w:tc>
        <w:tc>
          <w:tcPr>
            <w:tcW w:w="445" w:type="pct"/>
            <w:gridSpan w:val="2"/>
            <w:vAlign w:val="center"/>
          </w:tcPr>
          <w:p w:rsidR="00AB469F" w:rsidRPr="004E2B2D" w:rsidRDefault="0003153D" w:rsidP="00451464">
            <w:pPr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Sectores</w:t>
            </w:r>
            <w:r w:rsidR="00451464" w:rsidRPr="004E2B2D">
              <w:rPr>
                <w:sz w:val="22"/>
                <w:szCs w:val="22"/>
                <w:lang w:val="es-ES"/>
              </w:rPr>
              <w:t xml:space="preserve"> económico</w:t>
            </w:r>
            <w:r w:rsidR="00002B4E" w:rsidRPr="004E2B2D">
              <w:rPr>
                <w:sz w:val="22"/>
                <w:szCs w:val="22"/>
                <w:lang w:val="es-ES"/>
              </w:rPr>
              <w:t>s</w:t>
            </w:r>
            <w:r w:rsidR="00451464" w:rsidRPr="004E2B2D">
              <w:rPr>
                <w:sz w:val="22"/>
                <w:szCs w:val="22"/>
                <w:lang w:val="es-ES"/>
              </w:rPr>
              <w:t xml:space="preserve"> con metas alcanzadas</w:t>
            </w:r>
          </w:p>
        </w:tc>
        <w:tc>
          <w:tcPr>
            <w:tcW w:w="380" w:type="pct"/>
            <w:vAlign w:val="center"/>
          </w:tcPr>
          <w:p w:rsidR="00AB469F" w:rsidRPr="004E2B2D" w:rsidRDefault="00CA3CBE" w:rsidP="00737F1C">
            <w:pPr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5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737F1C">
            <w:pPr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2072" w:type="pct"/>
          </w:tcPr>
          <w:p w:rsidR="00AB469F" w:rsidRPr="004E2B2D" w:rsidRDefault="00B230C3" w:rsidP="00976A07">
            <w:pPr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5</w:t>
            </w:r>
            <w:r w:rsidR="00451464" w:rsidRPr="004E2B2D">
              <w:rPr>
                <w:sz w:val="22"/>
                <w:szCs w:val="22"/>
                <w:lang w:val="es-ES"/>
              </w:rPr>
              <w:t xml:space="preserve"> </w:t>
            </w:r>
            <w:r w:rsidR="0003153D" w:rsidRPr="004E2B2D">
              <w:rPr>
                <w:sz w:val="22"/>
                <w:szCs w:val="22"/>
                <w:lang w:val="es-ES"/>
              </w:rPr>
              <w:t>sectores</w:t>
            </w:r>
            <w:r w:rsidR="00451464" w:rsidRPr="004E2B2D">
              <w:rPr>
                <w:sz w:val="22"/>
                <w:szCs w:val="22"/>
                <w:lang w:val="es-ES"/>
              </w:rPr>
              <w:t xml:space="preserve"> económico</w:t>
            </w:r>
            <w:r w:rsidR="0003153D" w:rsidRPr="004E2B2D">
              <w:rPr>
                <w:sz w:val="22"/>
                <w:szCs w:val="22"/>
                <w:lang w:val="es-ES"/>
              </w:rPr>
              <w:t>s</w:t>
            </w:r>
            <w:r w:rsidR="00451464" w:rsidRPr="004E2B2D">
              <w:rPr>
                <w:sz w:val="22"/>
                <w:szCs w:val="22"/>
                <w:lang w:val="es-ES"/>
              </w:rPr>
              <w:t xml:space="preserve"> </w:t>
            </w:r>
            <w:r w:rsidRPr="004E2B2D">
              <w:rPr>
                <w:sz w:val="22"/>
                <w:szCs w:val="22"/>
                <w:lang w:val="es-ES"/>
              </w:rPr>
              <w:t xml:space="preserve">lograron las metas </w:t>
            </w:r>
            <w:r w:rsidR="0003153D" w:rsidRPr="004E2B2D">
              <w:rPr>
                <w:sz w:val="22"/>
                <w:szCs w:val="22"/>
                <w:lang w:val="es-ES"/>
              </w:rPr>
              <w:t xml:space="preserve">de </w:t>
            </w:r>
            <w:r w:rsidRPr="004E2B2D">
              <w:rPr>
                <w:sz w:val="22"/>
                <w:szCs w:val="22"/>
                <w:lang w:val="es-ES"/>
              </w:rPr>
              <w:t xml:space="preserve">recaudación del ICMS en el 2012: </w:t>
            </w:r>
            <w:r w:rsidR="00002B4E" w:rsidRPr="004E2B2D">
              <w:rPr>
                <w:sz w:val="22"/>
                <w:szCs w:val="22"/>
                <w:lang w:val="es-ES"/>
              </w:rPr>
              <w:t xml:space="preserve">Alimentación, </w:t>
            </w:r>
            <w:r w:rsidR="00CA3CBE" w:rsidRPr="004E2B2D">
              <w:rPr>
                <w:sz w:val="22"/>
                <w:szCs w:val="22"/>
                <w:lang w:val="es-ES"/>
              </w:rPr>
              <w:t>Construcción Civil, Departamentos/Textiles, Energía Eléctrica y Otros. Los demás sectores que no alcanzaron las metas son: Automotores, Combustibles, Be</w:t>
            </w:r>
            <w:r w:rsidR="00AB469F" w:rsidRPr="004E2B2D">
              <w:rPr>
                <w:sz w:val="22"/>
                <w:szCs w:val="22"/>
                <w:lang w:val="es-ES"/>
              </w:rPr>
              <w:t>bidas</w:t>
            </w:r>
            <w:r w:rsidR="00CA3CBE" w:rsidRPr="004E2B2D">
              <w:rPr>
                <w:sz w:val="22"/>
                <w:szCs w:val="22"/>
                <w:lang w:val="es-ES"/>
              </w:rPr>
              <w:t xml:space="preserve">/Tabaco, Comunicación, </w:t>
            </w:r>
            <w:r w:rsidR="00EC1799" w:rsidRPr="004E2B2D">
              <w:rPr>
                <w:sz w:val="22"/>
                <w:szCs w:val="22"/>
                <w:lang w:val="es-ES"/>
              </w:rPr>
              <w:t xml:space="preserve">Extracción </w:t>
            </w:r>
            <w:r w:rsidR="00CA3CBE" w:rsidRPr="004E2B2D">
              <w:rPr>
                <w:sz w:val="22"/>
                <w:szCs w:val="22"/>
                <w:lang w:val="es-ES"/>
              </w:rPr>
              <w:t xml:space="preserve">Mineral, Químicos y </w:t>
            </w:r>
            <w:r w:rsidR="00DD023B" w:rsidRPr="004E2B2D">
              <w:rPr>
                <w:sz w:val="22"/>
                <w:szCs w:val="22"/>
                <w:lang w:val="es-ES"/>
              </w:rPr>
              <w:t>Azúcar/Alcohol</w:t>
            </w:r>
            <w:r w:rsidR="00002B4E" w:rsidRPr="004E2B2D">
              <w:rPr>
                <w:sz w:val="22"/>
                <w:szCs w:val="22"/>
                <w:lang w:val="es-ES"/>
              </w:rPr>
              <w:t>.</w:t>
            </w:r>
          </w:p>
        </w:tc>
      </w:tr>
      <w:tr w:rsidR="00AB469F" w:rsidRPr="00446EEF" w:rsidTr="00C07B7A">
        <w:tc>
          <w:tcPr>
            <w:tcW w:w="1656" w:type="pct"/>
          </w:tcPr>
          <w:p w:rsidR="00AB469F" w:rsidRPr="004E2B2D" w:rsidRDefault="00AB469F" w:rsidP="00774BD7">
            <w:pPr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Procedimientos de actuación de los Procuradores</w:t>
            </w:r>
            <w:r w:rsidR="00774BD7" w:rsidRPr="004E2B2D">
              <w:rPr>
                <w:sz w:val="22"/>
                <w:szCs w:val="22"/>
                <w:lang w:val="es-ES"/>
              </w:rPr>
              <w:t xml:space="preserve"> de la PGE </w:t>
            </w:r>
            <w:r w:rsidRPr="004E2B2D">
              <w:rPr>
                <w:sz w:val="22"/>
                <w:szCs w:val="22"/>
                <w:lang w:val="es-ES"/>
              </w:rPr>
              <w:t>e</w:t>
            </w:r>
            <w:r w:rsidR="003A084F" w:rsidRPr="004E2B2D">
              <w:rPr>
                <w:sz w:val="22"/>
                <w:szCs w:val="22"/>
                <w:lang w:val="es-ES"/>
              </w:rPr>
              <w:t>n</w:t>
            </w:r>
            <w:r w:rsidRPr="004E2B2D">
              <w:rPr>
                <w:sz w:val="22"/>
                <w:szCs w:val="22"/>
                <w:lang w:val="es-ES"/>
              </w:rPr>
              <w:t xml:space="preserve"> las acciones judiciales</w:t>
            </w:r>
            <w:r w:rsidR="00774BD7" w:rsidRPr="004E2B2D">
              <w:rPr>
                <w:sz w:val="22"/>
                <w:szCs w:val="22"/>
                <w:lang w:val="es-ES"/>
              </w:rPr>
              <w:t xml:space="preserve">, </w:t>
            </w:r>
            <w:r w:rsidR="00DC471E" w:rsidRPr="004E2B2D">
              <w:rPr>
                <w:sz w:val="22"/>
                <w:szCs w:val="22"/>
                <w:lang w:val="es-ES"/>
              </w:rPr>
              <w:t>estandarizadas</w:t>
            </w:r>
            <w:r w:rsidR="00774BD7" w:rsidRPr="004E2B2D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445" w:type="pct"/>
            <w:gridSpan w:val="2"/>
            <w:vAlign w:val="center"/>
          </w:tcPr>
          <w:p w:rsidR="00AB469F" w:rsidRPr="004E2B2D" w:rsidRDefault="00AB469F" w:rsidP="006066C3">
            <w:pPr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Procedimientos</w:t>
            </w:r>
            <w:r w:rsidR="00774BD7" w:rsidRPr="004E2B2D">
              <w:rPr>
                <w:sz w:val="22"/>
                <w:szCs w:val="22"/>
                <w:lang w:val="es-ES"/>
              </w:rPr>
              <w:t xml:space="preserve"> estandarizados</w:t>
            </w:r>
          </w:p>
        </w:tc>
        <w:tc>
          <w:tcPr>
            <w:tcW w:w="380" w:type="pct"/>
            <w:vAlign w:val="center"/>
          </w:tcPr>
          <w:p w:rsidR="00AB469F" w:rsidRPr="004E2B2D" w:rsidRDefault="00AB469F" w:rsidP="00737F1C">
            <w:pPr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737F1C">
            <w:pPr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774BD7" w:rsidP="00976A07">
            <w:pPr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Basado en las mejores prácticas de la PGE en actuaciones de Procuradores con buenos resultados y plazos, serán diseñados e implantados procedimientos estandarizados para el seguimiento de las acciones judiciales. </w:t>
            </w:r>
          </w:p>
        </w:tc>
      </w:tr>
      <w:tr w:rsidR="00AB469F" w:rsidRPr="00446EEF" w:rsidTr="00CD146A">
        <w:tc>
          <w:tcPr>
            <w:tcW w:w="5000" w:type="pct"/>
            <w:gridSpan w:val="6"/>
            <w:shd w:val="clear" w:color="auto" w:fill="BFBFBF"/>
          </w:tcPr>
          <w:p w:rsidR="00AB469F" w:rsidRPr="004E2B2D" w:rsidRDefault="00AB469F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Sub componente 2.2 Gestión de los Gastos públicos</w:t>
            </w:r>
          </w:p>
        </w:tc>
      </w:tr>
      <w:tr w:rsidR="00AB469F" w:rsidRPr="00446EEF" w:rsidTr="00CD146A">
        <w:tc>
          <w:tcPr>
            <w:tcW w:w="1656" w:type="pct"/>
            <w:shd w:val="clear" w:color="auto" w:fill="auto"/>
            <w:vAlign w:val="center"/>
          </w:tcPr>
          <w:p w:rsidR="00AB469F" w:rsidRPr="004E2B2D" w:rsidRDefault="00AB469F" w:rsidP="00487E40">
            <w:pPr>
              <w:tabs>
                <w:tab w:val="left" w:pos="3870"/>
              </w:tabs>
              <w:rPr>
                <w:color w:val="000000"/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 w:eastAsia="x-none"/>
              </w:rPr>
              <w:t xml:space="preserve">Procesos operacionales </w:t>
            </w:r>
            <w:r w:rsidR="00487E40" w:rsidRPr="004E2B2D">
              <w:rPr>
                <w:sz w:val="22"/>
                <w:szCs w:val="22"/>
                <w:lang w:val="es-ES" w:eastAsia="x-none"/>
              </w:rPr>
              <w:t xml:space="preserve">de la STE-SEFAZ/AL </w:t>
            </w:r>
            <w:r w:rsidRPr="004E2B2D">
              <w:rPr>
                <w:sz w:val="22"/>
                <w:szCs w:val="22"/>
                <w:lang w:val="es-ES" w:eastAsia="x-none"/>
              </w:rPr>
              <w:t>monitoreados por indicadores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Procesos</w:t>
            </w:r>
          </w:p>
        </w:tc>
        <w:tc>
          <w:tcPr>
            <w:tcW w:w="413" w:type="pct"/>
            <w:gridSpan w:val="2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2072" w:type="pct"/>
          </w:tcPr>
          <w:p w:rsidR="00AB469F" w:rsidRPr="004E2B2D" w:rsidRDefault="00487E40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Procesos institucionalizados y operativos  posibilitarán una mejor división y estructuración del trabajo de los servidores de la STE y el monitoreo de metas.</w:t>
            </w:r>
          </w:p>
        </w:tc>
      </w:tr>
      <w:tr w:rsidR="00AB469F" w:rsidRPr="00446EEF" w:rsidTr="00CD146A">
        <w:tc>
          <w:tcPr>
            <w:tcW w:w="1656" w:type="pct"/>
            <w:shd w:val="clear" w:color="auto" w:fill="auto"/>
          </w:tcPr>
          <w:p w:rsidR="00AB469F" w:rsidRPr="004E2B2D" w:rsidRDefault="00AB469F" w:rsidP="00487E40">
            <w:pPr>
              <w:rPr>
                <w:color w:val="000000"/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 w:eastAsia="x-none"/>
              </w:rPr>
              <w:t>Sistema de control de convenios y sus contratos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Sistema</w:t>
            </w:r>
          </w:p>
        </w:tc>
        <w:tc>
          <w:tcPr>
            <w:tcW w:w="413" w:type="pct"/>
            <w:gridSpan w:val="2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945BE2" w:rsidP="00BA675A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El Sistema deberá viabilizar el control físico-financiero de la ejecución de los Convenios del Estado y el monitoreo de las metas.</w:t>
            </w:r>
          </w:p>
        </w:tc>
      </w:tr>
    </w:tbl>
    <w:p w:rsidR="00DC471E" w:rsidRPr="00976A07" w:rsidRDefault="00DC471E">
      <w:pPr>
        <w:rPr>
          <w:lang w:val="es-ES_tradnl"/>
        </w:rPr>
      </w:pPr>
      <w:r w:rsidRPr="00976A07">
        <w:rPr>
          <w:lang w:val="es-ES_tradnl"/>
        </w:rPr>
        <w:br w:type="page"/>
      </w:r>
    </w:p>
    <w:tbl>
      <w:tblPr>
        <w:tblW w:w="483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1167"/>
        <w:gridCol w:w="1167"/>
        <w:gridCol w:w="1260"/>
        <w:gridCol w:w="5856"/>
      </w:tblGrid>
      <w:tr w:rsidR="00AB469F" w:rsidRPr="00446EEF" w:rsidTr="00FA55DC">
        <w:tc>
          <w:tcPr>
            <w:tcW w:w="1656" w:type="pct"/>
            <w:shd w:val="clear" w:color="auto" w:fill="auto"/>
          </w:tcPr>
          <w:p w:rsidR="00AB469F" w:rsidRPr="005202D7" w:rsidRDefault="00AB469F" w:rsidP="00CD146A">
            <w:pPr>
              <w:tabs>
                <w:tab w:val="left" w:pos="3870"/>
              </w:tabs>
              <w:rPr>
                <w:color w:val="000000"/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lastRenderedPageBreak/>
              <w:t>Ítems disponibles para contrataciones por medio de A</w:t>
            </w:r>
            <w:r w:rsidR="00487E40" w:rsidRPr="005202D7">
              <w:rPr>
                <w:sz w:val="22"/>
                <w:szCs w:val="22"/>
                <w:lang w:val="es-ES"/>
              </w:rPr>
              <w:t xml:space="preserve">dquisiciones con </w:t>
            </w:r>
            <w:r w:rsidRPr="005202D7">
              <w:rPr>
                <w:sz w:val="22"/>
                <w:szCs w:val="22"/>
                <w:lang w:val="es-ES"/>
              </w:rPr>
              <w:t>R</w:t>
            </w:r>
            <w:r w:rsidR="00487E40" w:rsidRPr="005202D7">
              <w:rPr>
                <w:sz w:val="22"/>
                <w:szCs w:val="22"/>
                <w:lang w:val="es-ES"/>
              </w:rPr>
              <w:t xml:space="preserve">egistro de </w:t>
            </w:r>
            <w:r w:rsidRPr="005202D7">
              <w:rPr>
                <w:sz w:val="22"/>
                <w:szCs w:val="22"/>
                <w:lang w:val="es-ES"/>
              </w:rPr>
              <w:t>P</w:t>
            </w:r>
            <w:r w:rsidR="00487E40" w:rsidRPr="005202D7">
              <w:rPr>
                <w:sz w:val="22"/>
                <w:szCs w:val="22"/>
                <w:lang w:val="es-ES"/>
              </w:rPr>
              <w:t>recios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5202D7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Ítems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5202D7" w:rsidRDefault="007044E1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1</w:t>
            </w:r>
            <w:r w:rsidR="005202D7" w:rsidRPr="005202D7">
              <w:rPr>
                <w:sz w:val="22"/>
                <w:szCs w:val="22"/>
                <w:lang w:val="es-ES"/>
              </w:rPr>
              <w:t>.</w:t>
            </w:r>
            <w:r w:rsidRPr="005202D7">
              <w:rPr>
                <w:sz w:val="22"/>
                <w:szCs w:val="22"/>
                <w:lang w:val="es-ES"/>
              </w:rPr>
              <w:t>306</w:t>
            </w:r>
          </w:p>
          <w:p w:rsidR="007044E1" w:rsidRPr="005202D7" w:rsidRDefault="007044E1" w:rsidP="00FA55D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(promedio 2011-12)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B469F" w:rsidRPr="005202D7" w:rsidRDefault="00111689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2</w:t>
            </w:r>
            <w:r w:rsidR="005202D7" w:rsidRPr="005202D7">
              <w:rPr>
                <w:sz w:val="22"/>
                <w:szCs w:val="22"/>
                <w:lang w:val="es-ES"/>
              </w:rPr>
              <w:t>.</w:t>
            </w:r>
            <w:r w:rsidRPr="005202D7">
              <w:rPr>
                <w:sz w:val="22"/>
                <w:szCs w:val="22"/>
                <w:lang w:val="es-ES"/>
              </w:rPr>
              <w:t>0</w:t>
            </w:r>
            <w:r w:rsidR="00AB469F" w:rsidRPr="005202D7">
              <w:rPr>
                <w:sz w:val="22"/>
                <w:szCs w:val="22"/>
                <w:lang w:val="es-ES"/>
              </w:rPr>
              <w:t>00</w:t>
            </w:r>
          </w:p>
          <w:p w:rsidR="00111689" w:rsidRPr="005202D7" w:rsidRDefault="00111689" w:rsidP="00FA55D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(promedio 2013-14)</w:t>
            </w:r>
          </w:p>
        </w:tc>
        <w:tc>
          <w:tcPr>
            <w:tcW w:w="2072" w:type="pct"/>
            <w:shd w:val="clear" w:color="auto" w:fill="auto"/>
          </w:tcPr>
          <w:p w:rsidR="00AB469F" w:rsidRDefault="007044E1" w:rsidP="005202D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5202D7">
              <w:rPr>
                <w:sz w:val="22"/>
                <w:szCs w:val="22"/>
                <w:lang w:val="es-ES"/>
              </w:rPr>
              <w:t>F</w:t>
            </w:r>
            <w:r w:rsidR="005202D7" w:rsidRPr="005202D7">
              <w:rPr>
                <w:sz w:val="22"/>
                <w:szCs w:val="22"/>
                <w:lang w:val="es-ES"/>
              </w:rPr>
              <w:t>ue</w:t>
            </w:r>
            <w:r w:rsidRPr="005202D7">
              <w:rPr>
                <w:sz w:val="22"/>
                <w:szCs w:val="22"/>
                <w:lang w:val="es-ES"/>
              </w:rPr>
              <w:t>nte: Nota Técnica d</w:t>
            </w:r>
            <w:r w:rsidR="005202D7" w:rsidRPr="005202D7">
              <w:rPr>
                <w:sz w:val="22"/>
                <w:szCs w:val="22"/>
                <w:lang w:val="es-ES"/>
              </w:rPr>
              <w:t>e la</w:t>
            </w:r>
            <w:r w:rsidRPr="005202D7">
              <w:rPr>
                <w:sz w:val="22"/>
                <w:szCs w:val="22"/>
                <w:lang w:val="es-ES"/>
              </w:rPr>
              <w:t xml:space="preserve"> AMGESP.</w:t>
            </w:r>
          </w:p>
          <w:p w:rsidR="005202D7" w:rsidRPr="004E2B2D" w:rsidRDefault="005202D7" w:rsidP="005202D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46EEF" w:rsidTr="00CD146A">
        <w:tc>
          <w:tcPr>
            <w:tcW w:w="1656" w:type="pct"/>
            <w:shd w:val="clear" w:color="auto" w:fill="auto"/>
          </w:tcPr>
          <w:p w:rsidR="00AB469F" w:rsidRPr="004E2B2D" w:rsidRDefault="00AB469F" w:rsidP="009C4381">
            <w:pPr>
              <w:tabs>
                <w:tab w:val="left" w:pos="3870"/>
              </w:tabs>
              <w:rPr>
                <w:color w:val="000000"/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Recuperación de las Contribuciones </w:t>
            </w:r>
            <w:r w:rsidR="009C4381" w:rsidRPr="004E2B2D">
              <w:rPr>
                <w:sz w:val="22"/>
                <w:szCs w:val="22"/>
                <w:lang w:val="es-ES"/>
              </w:rPr>
              <w:t>al régimen de la Seguridad Social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446E82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R$ millones</w:t>
            </w:r>
            <w:r w:rsidR="009C4381" w:rsidRPr="004E2B2D">
              <w:rPr>
                <w:sz w:val="22"/>
                <w:szCs w:val="22"/>
                <w:lang w:val="es-ES"/>
              </w:rPr>
              <w:t xml:space="preserve"> corrientes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0E372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22,5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5571C6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50</w:t>
            </w:r>
          </w:p>
        </w:tc>
        <w:tc>
          <w:tcPr>
            <w:tcW w:w="2072" w:type="pct"/>
          </w:tcPr>
          <w:p w:rsidR="00AB469F" w:rsidRPr="004E2B2D" w:rsidRDefault="009C4381" w:rsidP="00EC5188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Recuperación para el Estado de Alagoas de las Contribuciones </w:t>
            </w:r>
            <w:r w:rsidR="00EC5188" w:rsidRPr="004E2B2D">
              <w:rPr>
                <w:sz w:val="22"/>
                <w:szCs w:val="22"/>
                <w:lang w:val="es-ES"/>
              </w:rPr>
              <w:t xml:space="preserve">realizadas </w:t>
            </w:r>
            <w:r w:rsidRPr="004E2B2D">
              <w:rPr>
                <w:sz w:val="22"/>
                <w:szCs w:val="22"/>
                <w:lang w:val="es-ES"/>
              </w:rPr>
              <w:t xml:space="preserve">al régimen de la Seguridad Social </w:t>
            </w:r>
            <w:r w:rsidR="00EC5188" w:rsidRPr="004E2B2D">
              <w:rPr>
                <w:sz w:val="22"/>
                <w:szCs w:val="22"/>
                <w:lang w:val="es-ES"/>
              </w:rPr>
              <w:t>correspondientes al tiempo anterior de la contrata</w:t>
            </w:r>
            <w:r w:rsidRPr="004E2B2D">
              <w:rPr>
                <w:sz w:val="22"/>
                <w:szCs w:val="22"/>
                <w:lang w:val="es-ES"/>
              </w:rPr>
              <w:t xml:space="preserve">ción </w:t>
            </w:r>
            <w:r w:rsidR="00EC5188" w:rsidRPr="004E2B2D">
              <w:rPr>
                <w:sz w:val="22"/>
                <w:szCs w:val="22"/>
                <w:lang w:val="es-ES"/>
              </w:rPr>
              <w:t xml:space="preserve">de los </w:t>
            </w:r>
            <w:r w:rsidRPr="004E2B2D">
              <w:rPr>
                <w:sz w:val="22"/>
                <w:szCs w:val="22"/>
                <w:lang w:val="es-ES"/>
              </w:rPr>
              <w:t>funcionario</w:t>
            </w:r>
            <w:r w:rsidR="00EC5188" w:rsidRPr="004E2B2D">
              <w:rPr>
                <w:sz w:val="22"/>
                <w:szCs w:val="22"/>
                <w:lang w:val="es-ES"/>
              </w:rPr>
              <w:t>s</w:t>
            </w:r>
            <w:r w:rsidRPr="004E2B2D">
              <w:rPr>
                <w:sz w:val="22"/>
                <w:szCs w:val="22"/>
                <w:lang w:val="es-ES"/>
              </w:rPr>
              <w:t xml:space="preserve"> </w:t>
            </w:r>
            <w:r w:rsidR="00EC5188" w:rsidRPr="004E2B2D">
              <w:rPr>
                <w:sz w:val="22"/>
                <w:szCs w:val="22"/>
                <w:lang w:val="es-ES"/>
              </w:rPr>
              <w:t>públicos de AL.</w:t>
            </w:r>
            <w:r w:rsidRPr="004E2B2D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AB469F" w:rsidRPr="00446EEF" w:rsidTr="00CD146A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AB469F" w:rsidRPr="004E2B2D" w:rsidRDefault="00AB469F" w:rsidP="0051430A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 xml:space="preserve">Componente 3: Gestión de programas y políticas públicas  </w:t>
            </w:r>
          </w:p>
        </w:tc>
      </w:tr>
      <w:tr w:rsidR="00AB469F" w:rsidRPr="00446EEF" w:rsidTr="00CD146A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AB469F" w:rsidRPr="004E2B2D" w:rsidRDefault="00AB469F" w:rsidP="0051430A">
            <w:pPr>
              <w:tabs>
                <w:tab w:val="left" w:pos="3870"/>
              </w:tabs>
              <w:rPr>
                <w:b/>
                <w:sz w:val="22"/>
                <w:szCs w:val="22"/>
                <w:lang w:val="es-ES"/>
              </w:rPr>
            </w:pPr>
            <w:r w:rsidRPr="004E2B2D">
              <w:rPr>
                <w:b/>
                <w:sz w:val="22"/>
                <w:szCs w:val="22"/>
                <w:lang w:val="es-ES"/>
              </w:rPr>
              <w:t>Sub componente 3.1: Planificación y seguimiento de programas y políticas</w:t>
            </w:r>
          </w:p>
        </w:tc>
      </w:tr>
      <w:tr w:rsidR="00AB469F" w:rsidRPr="00446EEF" w:rsidTr="00720C00">
        <w:trPr>
          <w:trHeight w:val="380"/>
        </w:trPr>
        <w:tc>
          <w:tcPr>
            <w:tcW w:w="1656" w:type="pct"/>
          </w:tcPr>
          <w:p w:rsidR="00AB469F" w:rsidRPr="004E2B2D" w:rsidRDefault="00AB469F" w:rsidP="00994BD2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</w:t>
            </w:r>
            <w:r w:rsidR="006851D9" w:rsidRPr="004E2B2D">
              <w:rPr>
                <w:sz w:val="22"/>
                <w:szCs w:val="22"/>
                <w:lang w:val="es-ES"/>
              </w:rPr>
              <w:t>y</w:t>
            </w:r>
            <w:r w:rsidRPr="004E2B2D">
              <w:rPr>
                <w:sz w:val="22"/>
                <w:szCs w:val="22"/>
                <w:lang w:val="es-ES"/>
              </w:rPr>
              <w:t>e</w:t>
            </w:r>
            <w:r w:rsidR="006851D9" w:rsidRPr="004E2B2D">
              <w:rPr>
                <w:sz w:val="22"/>
                <w:szCs w:val="22"/>
                <w:lang w:val="es-ES"/>
              </w:rPr>
              <w:t>c</w:t>
            </w:r>
            <w:r w:rsidRPr="004E2B2D">
              <w:rPr>
                <w:sz w:val="22"/>
                <w:szCs w:val="22"/>
                <w:lang w:val="es-ES"/>
              </w:rPr>
              <w:t xml:space="preserve">tos </w:t>
            </w:r>
            <w:r w:rsidR="004E2B2D" w:rsidRPr="004E2B2D">
              <w:rPr>
                <w:sz w:val="22"/>
                <w:szCs w:val="22"/>
                <w:lang w:val="es-ES"/>
              </w:rPr>
              <w:t>prioritarios</w:t>
            </w:r>
            <w:r w:rsidRPr="004E2B2D">
              <w:rPr>
                <w:sz w:val="22"/>
                <w:szCs w:val="22"/>
                <w:lang w:val="es-ES"/>
              </w:rPr>
              <w:t xml:space="preserve"> co</w:t>
            </w:r>
            <w:r w:rsidR="006851D9" w:rsidRPr="004E2B2D">
              <w:rPr>
                <w:sz w:val="22"/>
                <w:szCs w:val="22"/>
                <w:lang w:val="es-ES"/>
              </w:rPr>
              <w:t>n</w:t>
            </w:r>
            <w:r w:rsidRPr="004E2B2D">
              <w:rPr>
                <w:sz w:val="22"/>
                <w:szCs w:val="22"/>
                <w:lang w:val="es-ES"/>
              </w:rPr>
              <w:t xml:space="preserve"> mecanismo de monitor</w:t>
            </w:r>
            <w:r w:rsidR="006851D9" w:rsidRPr="004E2B2D">
              <w:rPr>
                <w:sz w:val="22"/>
                <w:szCs w:val="22"/>
                <w:lang w:val="es-ES"/>
              </w:rPr>
              <w:t>eo y control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6851D9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</w:t>
            </w:r>
            <w:r w:rsidR="006851D9" w:rsidRPr="004E2B2D">
              <w:rPr>
                <w:sz w:val="22"/>
                <w:szCs w:val="22"/>
                <w:lang w:val="es-ES"/>
              </w:rPr>
              <w:t>y</w:t>
            </w:r>
            <w:r w:rsidRPr="004E2B2D">
              <w:rPr>
                <w:sz w:val="22"/>
                <w:szCs w:val="22"/>
                <w:lang w:val="es-ES"/>
              </w:rPr>
              <w:t>e</w:t>
            </w:r>
            <w:r w:rsidR="006851D9" w:rsidRPr="004E2B2D">
              <w:rPr>
                <w:sz w:val="22"/>
                <w:szCs w:val="22"/>
                <w:lang w:val="es-ES"/>
              </w:rPr>
              <w:t>c</w:t>
            </w:r>
            <w:r w:rsidRPr="004E2B2D">
              <w:rPr>
                <w:sz w:val="22"/>
                <w:szCs w:val="22"/>
                <w:lang w:val="es-ES"/>
              </w:rPr>
              <w:t>tos</w:t>
            </w:r>
            <w:r w:rsidR="006851D9" w:rsidRPr="004E2B2D">
              <w:rPr>
                <w:sz w:val="22"/>
                <w:szCs w:val="22"/>
                <w:lang w:val="es-ES"/>
              </w:rPr>
              <w:t xml:space="preserve"> monitoreados</w:t>
            </w:r>
          </w:p>
        </w:tc>
        <w:tc>
          <w:tcPr>
            <w:tcW w:w="413" w:type="pct"/>
            <w:vAlign w:val="center"/>
          </w:tcPr>
          <w:p w:rsidR="00720C00" w:rsidRPr="004E2B2D" w:rsidRDefault="00AB469F" w:rsidP="002D4B4B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26</w:t>
            </w:r>
          </w:p>
        </w:tc>
        <w:tc>
          <w:tcPr>
            <w:tcW w:w="446" w:type="pct"/>
            <w:vAlign w:val="center"/>
          </w:tcPr>
          <w:p w:rsidR="00720C00" w:rsidRPr="004E2B2D" w:rsidRDefault="00AB469F" w:rsidP="002D4B4B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52</w:t>
            </w:r>
          </w:p>
        </w:tc>
        <w:tc>
          <w:tcPr>
            <w:tcW w:w="2072" w:type="pct"/>
          </w:tcPr>
          <w:p w:rsidR="00AB469F" w:rsidRPr="004E2B2D" w:rsidRDefault="00720C00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Corresponde </w:t>
            </w:r>
            <w:r w:rsidR="006851D9" w:rsidRPr="004E2B2D">
              <w:rPr>
                <w:sz w:val="22"/>
                <w:szCs w:val="22"/>
                <w:lang w:val="es-ES"/>
              </w:rPr>
              <w:t>a la</w:t>
            </w:r>
            <w:r w:rsidRPr="004E2B2D">
              <w:rPr>
                <w:sz w:val="22"/>
                <w:szCs w:val="22"/>
                <w:lang w:val="es-ES"/>
              </w:rPr>
              <w:t xml:space="preserve"> totalidad de pro</w:t>
            </w:r>
            <w:r w:rsidR="006851D9" w:rsidRPr="004E2B2D">
              <w:rPr>
                <w:sz w:val="22"/>
                <w:szCs w:val="22"/>
                <w:lang w:val="es-ES"/>
              </w:rPr>
              <w:t>y</w:t>
            </w:r>
            <w:r w:rsidRPr="004E2B2D">
              <w:rPr>
                <w:sz w:val="22"/>
                <w:szCs w:val="22"/>
                <w:lang w:val="es-ES"/>
              </w:rPr>
              <w:t>e</w:t>
            </w:r>
            <w:r w:rsidR="006851D9" w:rsidRPr="004E2B2D">
              <w:rPr>
                <w:sz w:val="22"/>
                <w:szCs w:val="22"/>
                <w:lang w:val="es-ES"/>
              </w:rPr>
              <w:t>c</w:t>
            </w:r>
            <w:r w:rsidRPr="004E2B2D">
              <w:rPr>
                <w:sz w:val="22"/>
                <w:szCs w:val="22"/>
                <w:lang w:val="es-ES"/>
              </w:rPr>
              <w:t xml:space="preserve">tos </w:t>
            </w:r>
            <w:r w:rsidR="006851D9" w:rsidRPr="004E2B2D">
              <w:rPr>
                <w:sz w:val="22"/>
                <w:szCs w:val="22"/>
                <w:lang w:val="es-ES"/>
              </w:rPr>
              <w:t>prioritarios</w:t>
            </w:r>
            <w:r w:rsidRPr="004E2B2D">
              <w:rPr>
                <w:sz w:val="22"/>
                <w:szCs w:val="22"/>
                <w:lang w:val="es-ES"/>
              </w:rPr>
              <w:t xml:space="preserve"> </w:t>
            </w:r>
            <w:r w:rsidR="006851D9" w:rsidRPr="004E2B2D">
              <w:rPr>
                <w:sz w:val="22"/>
                <w:szCs w:val="22"/>
                <w:lang w:val="es-ES"/>
              </w:rPr>
              <w:t>de gobierno (</w:t>
            </w:r>
            <w:proofErr w:type="spellStart"/>
            <w:r w:rsidR="006851D9" w:rsidRPr="004E2B2D">
              <w:rPr>
                <w:sz w:val="22"/>
                <w:szCs w:val="22"/>
                <w:lang w:val="es-ES"/>
              </w:rPr>
              <w:t>estructurantes</w:t>
            </w:r>
            <w:proofErr w:type="spellEnd"/>
            <w:r w:rsidR="006851D9" w:rsidRPr="004E2B2D">
              <w:rPr>
                <w:sz w:val="22"/>
                <w:szCs w:val="22"/>
                <w:lang w:val="es-ES"/>
              </w:rPr>
              <w:t xml:space="preserve"> y</w:t>
            </w:r>
            <w:r w:rsidRPr="004E2B2D">
              <w:rPr>
                <w:sz w:val="22"/>
                <w:szCs w:val="22"/>
                <w:lang w:val="es-ES"/>
              </w:rPr>
              <w:t xml:space="preserve"> se</w:t>
            </w:r>
            <w:r w:rsidR="006851D9" w:rsidRPr="004E2B2D">
              <w:rPr>
                <w:sz w:val="22"/>
                <w:szCs w:val="22"/>
                <w:lang w:val="es-ES"/>
              </w:rPr>
              <w:t>c</w:t>
            </w:r>
            <w:r w:rsidRPr="004E2B2D">
              <w:rPr>
                <w:sz w:val="22"/>
                <w:szCs w:val="22"/>
                <w:lang w:val="es-ES"/>
              </w:rPr>
              <w:t>toria</w:t>
            </w:r>
            <w:r w:rsidR="006851D9" w:rsidRPr="004E2B2D">
              <w:rPr>
                <w:sz w:val="22"/>
                <w:szCs w:val="22"/>
                <w:lang w:val="es-ES"/>
              </w:rPr>
              <w:t>le</w:t>
            </w:r>
            <w:r w:rsidRPr="004E2B2D">
              <w:rPr>
                <w:sz w:val="22"/>
                <w:szCs w:val="22"/>
                <w:lang w:val="es-ES"/>
              </w:rPr>
              <w:t>s)</w:t>
            </w:r>
            <w:r w:rsidR="004E2B2D" w:rsidRPr="004E2B2D">
              <w:rPr>
                <w:sz w:val="22"/>
                <w:szCs w:val="22"/>
                <w:lang w:val="es-ES"/>
              </w:rPr>
              <w:t xml:space="preserve">, todos con </w:t>
            </w:r>
            <w:r w:rsidRPr="004E2B2D">
              <w:rPr>
                <w:sz w:val="22"/>
                <w:szCs w:val="22"/>
                <w:lang w:val="es-ES"/>
              </w:rPr>
              <w:t>monitor</w:t>
            </w:r>
            <w:r w:rsidR="004E2B2D" w:rsidRPr="004E2B2D">
              <w:rPr>
                <w:sz w:val="22"/>
                <w:szCs w:val="22"/>
                <w:lang w:val="es-ES"/>
              </w:rPr>
              <w:t xml:space="preserve">eo </w:t>
            </w:r>
            <w:r w:rsidRPr="004E2B2D">
              <w:rPr>
                <w:sz w:val="22"/>
                <w:szCs w:val="22"/>
                <w:lang w:val="es-ES"/>
              </w:rPr>
              <w:t xml:space="preserve">de </w:t>
            </w:r>
            <w:r w:rsidR="004E2B2D" w:rsidRPr="004E2B2D">
              <w:rPr>
                <w:sz w:val="22"/>
                <w:szCs w:val="22"/>
                <w:lang w:val="es-ES"/>
              </w:rPr>
              <w:t xml:space="preserve">su </w:t>
            </w:r>
            <w:r w:rsidRPr="004E2B2D">
              <w:rPr>
                <w:sz w:val="22"/>
                <w:szCs w:val="22"/>
                <w:lang w:val="es-ES"/>
              </w:rPr>
              <w:t>e</w:t>
            </w:r>
            <w:r w:rsidR="004E2B2D" w:rsidRPr="004E2B2D">
              <w:rPr>
                <w:sz w:val="22"/>
                <w:szCs w:val="22"/>
                <w:lang w:val="es-ES"/>
              </w:rPr>
              <w:t xml:space="preserve">jecución </w:t>
            </w:r>
            <w:r w:rsidRPr="004E2B2D">
              <w:rPr>
                <w:sz w:val="22"/>
                <w:szCs w:val="22"/>
                <w:lang w:val="es-ES"/>
              </w:rPr>
              <w:t>físico financ</w:t>
            </w:r>
            <w:r w:rsidR="004E2B2D" w:rsidRPr="004E2B2D">
              <w:rPr>
                <w:sz w:val="22"/>
                <w:szCs w:val="22"/>
                <w:lang w:val="es-ES"/>
              </w:rPr>
              <w:t>i</w:t>
            </w:r>
            <w:r w:rsidRPr="004E2B2D">
              <w:rPr>
                <w:sz w:val="22"/>
                <w:szCs w:val="22"/>
                <w:lang w:val="es-ES"/>
              </w:rPr>
              <w:t xml:space="preserve">era </w:t>
            </w:r>
            <w:r w:rsidR="004E2B2D" w:rsidRPr="004E2B2D">
              <w:rPr>
                <w:sz w:val="22"/>
                <w:szCs w:val="22"/>
                <w:lang w:val="es-ES"/>
              </w:rPr>
              <w:t xml:space="preserve">y </w:t>
            </w:r>
            <w:r w:rsidRPr="004E2B2D">
              <w:rPr>
                <w:sz w:val="22"/>
                <w:szCs w:val="22"/>
                <w:lang w:val="es-ES"/>
              </w:rPr>
              <w:t>control de metas.</w:t>
            </w:r>
          </w:p>
        </w:tc>
      </w:tr>
      <w:tr w:rsidR="00AB469F" w:rsidRPr="00446EEF" w:rsidTr="00CD146A">
        <w:tc>
          <w:tcPr>
            <w:tcW w:w="1656" w:type="pct"/>
          </w:tcPr>
          <w:p w:rsidR="00AB469F" w:rsidRPr="004E2B2D" w:rsidRDefault="00A70180" w:rsidP="00994BD2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Procesos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</w:t>
            </w:r>
            <w:r w:rsidRPr="004E2B2D">
              <w:rPr>
                <w:sz w:val="22"/>
                <w:szCs w:val="22"/>
                <w:lang w:val="es-ES"/>
              </w:rPr>
              <w:t xml:space="preserve">y plazos 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de </w:t>
            </w:r>
            <w:r w:rsidR="002453AD" w:rsidRPr="004E2B2D">
              <w:rPr>
                <w:sz w:val="22"/>
                <w:szCs w:val="22"/>
                <w:lang w:val="es-ES"/>
              </w:rPr>
              <w:t>prepa</w:t>
            </w:r>
            <w:r w:rsidR="00AB469F" w:rsidRPr="004E2B2D">
              <w:rPr>
                <w:sz w:val="22"/>
                <w:szCs w:val="22"/>
                <w:lang w:val="es-ES"/>
              </w:rPr>
              <w:t>ra</w:t>
            </w:r>
            <w:r w:rsidRPr="004E2B2D">
              <w:rPr>
                <w:sz w:val="22"/>
                <w:szCs w:val="22"/>
                <w:lang w:val="es-ES"/>
              </w:rPr>
              <w:t xml:space="preserve">ción </w:t>
            </w:r>
            <w:r w:rsidR="00AB469F" w:rsidRPr="004E2B2D">
              <w:rPr>
                <w:sz w:val="22"/>
                <w:szCs w:val="22"/>
                <w:lang w:val="es-ES"/>
              </w:rPr>
              <w:t>d</w:t>
            </w:r>
            <w:r w:rsidRPr="004E2B2D">
              <w:rPr>
                <w:sz w:val="22"/>
                <w:szCs w:val="22"/>
                <w:lang w:val="es-ES"/>
              </w:rPr>
              <w:t>el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PPA </w:t>
            </w:r>
            <w:r w:rsidRPr="004E2B2D">
              <w:rPr>
                <w:sz w:val="22"/>
                <w:szCs w:val="22"/>
                <w:lang w:val="es-ES"/>
              </w:rPr>
              <w:t>y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</w:t>
            </w:r>
            <w:r w:rsidRPr="004E2B2D">
              <w:rPr>
                <w:sz w:val="22"/>
                <w:szCs w:val="22"/>
                <w:lang w:val="es-ES"/>
              </w:rPr>
              <w:t>de l</w:t>
            </w:r>
            <w:r w:rsidR="00AB469F" w:rsidRPr="004E2B2D">
              <w:rPr>
                <w:sz w:val="22"/>
                <w:szCs w:val="22"/>
                <w:lang w:val="es-ES"/>
              </w:rPr>
              <w:t>a LDO</w:t>
            </w:r>
          </w:p>
        </w:tc>
        <w:tc>
          <w:tcPr>
            <w:tcW w:w="413" w:type="pct"/>
            <w:vAlign w:val="center"/>
          </w:tcPr>
          <w:p w:rsidR="00AB469F" w:rsidRPr="004E2B2D" w:rsidRDefault="00A70180" w:rsidP="00994BD2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Procesos 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0E372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2072" w:type="pct"/>
          </w:tcPr>
          <w:p w:rsidR="00AB469F" w:rsidRPr="004E2B2D" w:rsidRDefault="00A70180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Los procesos de preparación del PPA y de la LDO serán detallados</w:t>
            </w:r>
            <w:r w:rsidR="002453AD" w:rsidRPr="004E2B2D">
              <w:rPr>
                <w:sz w:val="22"/>
                <w:szCs w:val="22"/>
                <w:lang w:val="es-ES"/>
              </w:rPr>
              <w:t xml:space="preserve"> en una instrucción normativa.</w:t>
            </w:r>
          </w:p>
        </w:tc>
      </w:tr>
      <w:tr w:rsidR="00AB469F" w:rsidRPr="00446EEF" w:rsidTr="00CD146A">
        <w:tc>
          <w:tcPr>
            <w:tcW w:w="1656" w:type="pct"/>
          </w:tcPr>
          <w:p w:rsidR="00AB469F" w:rsidRPr="004E2B2D" w:rsidRDefault="005571C6" w:rsidP="002D5048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Herramientas web para la gestión y estructuración de la información s</w:t>
            </w:r>
            <w:r w:rsidRPr="004E2B2D">
              <w:rPr>
                <w:sz w:val="22"/>
                <w:szCs w:val="22"/>
                <w:lang w:val="es-ES"/>
              </w:rPr>
              <w:t>ocioeconómica</w:t>
            </w:r>
            <w:r w:rsidR="00AB469F" w:rsidRPr="004E2B2D">
              <w:rPr>
                <w:sz w:val="22"/>
                <w:szCs w:val="22"/>
                <w:lang w:val="es-ES"/>
              </w:rPr>
              <w:t xml:space="preserve"> </w:t>
            </w:r>
            <w:r w:rsidR="002D5048">
              <w:rPr>
                <w:sz w:val="22"/>
                <w:szCs w:val="22"/>
                <w:lang w:val="es-ES"/>
              </w:rPr>
              <w:t>ofrecida por</w:t>
            </w:r>
            <w:r>
              <w:rPr>
                <w:sz w:val="22"/>
                <w:szCs w:val="22"/>
                <w:lang w:val="es-ES"/>
              </w:rPr>
              <w:t xml:space="preserve"> la SEPLANDE</w:t>
            </w:r>
          </w:p>
        </w:tc>
        <w:tc>
          <w:tcPr>
            <w:tcW w:w="413" w:type="pct"/>
            <w:vAlign w:val="center"/>
          </w:tcPr>
          <w:p w:rsidR="00AB469F" w:rsidRPr="004E2B2D" w:rsidRDefault="005571C6" w:rsidP="007D269D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Herramientas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2072" w:type="pct"/>
          </w:tcPr>
          <w:p w:rsidR="00AB469F" w:rsidRPr="004E2B2D" w:rsidRDefault="002D5048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Las 3 actuales son de informaciones municipales, geográficas y Wiki-Alagoas. Las 4 nuevas serán de biblioteca, mapas, </w:t>
            </w:r>
            <w:r w:rsidRPr="002D5048">
              <w:rPr>
                <w:i/>
                <w:sz w:val="22"/>
                <w:szCs w:val="22"/>
                <w:lang w:val="es-ES"/>
              </w:rPr>
              <w:t>open-</w:t>
            </w:r>
            <w:proofErr w:type="spellStart"/>
            <w:r w:rsidRPr="002D5048">
              <w:rPr>
                <w:i/>
                <w:sz w:val="22"/>
                <w:szCs w:val="22"/>
                <w:lang w:val="es-ES"/>
              </w:rPr>
              <w:t>government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y concursos de trabajos externos.</w:t>
            </w:r>
          </w:p>
        </w:tc>
      </w:tr>
      <w:tr w:rsidR="00AB469F" w:rsidRPr="00446EEF" w:rsidTr="00CD146A">
        <w:tc>
          <w:tcPr>
            <w:tcW w:w="1656" w:type="pct"/>
          </w:tcPr>
          <w:p w:rsidR="00AB469F" w:rsidRPr="0099292A" w:rsidRDefault="00AB469F" w:rsidP="00C07B7A">
            <w:pPr>
              <w:tabs>
                <w:tab w:val="left" w:pos="3870"/>
              </w:tabs>
              <w:rPr>
                <w:sz w:val="22"/>
                <w:szCs w:val="22"/>
                <w:lang w:val="pt-BR"/>
              </w:rPr>
            </w:pPr>
            <w:proofErr w:type="spellStart"/>
            <w:r w:rsidRPr="0099292A">
              <w:rPr>
                <w:sz w:val="22"/>
                <w:szCs w:val="22"/>
                <w:lang w:val="pt-BR"/>
              </w:rPr>
              <w:t>A</w:t>
            </w:r>
            <w:r w:rsidR="005571C6" w:rsidRPr="0099292A">
              <w:rPr>
                <w:sz w:val="22"/>
                <w:szCs w:val="22"/>
                <w:lang w:val="pt-BR"/>
              </w:rPr>
              <w:t>cces</w:t>
            </w:r>
            <w:r w:rsidRPr="0099292A">
              <w:rPr>
                <w:sz w:val="22"/>
                <w:szCs w:val="22"/>
                <w:lang w:val="pt-BR"/>
              </w:rPr>
              <w:t>os</w:t>
            </w:r>
            <w:proofErr w:type="spellEnd"/>
            <w:r w:rsidRPr="0099292A">
              <w:rPr>
                <w:sz w:val="22"/>
                <w:szCs w:val="22"/>
                <w:lang w:val="pt-BR"/>
              </w:rPr>
              <w:t xml:space="preserve"> </w:t>
            </w:r>
            <w:proofErr w:type="gramStart"/>
            <w:r w:rsidRPr="0099292A">
              <w:rPr>
                <w:sz w:val="22"/>
                <w:szCs w:val="22"/>
                <w:lang w:val="pt-BR"/>
              </w:rPr>
              <w:t>a</w:t>
            </w:r>
            <w:r w:rsidR="005571C6" w:rsidRPr="0099292A">
              <w:rPr>
                <w:sz w:val="22"/>
                <w:szCs w:val="22"/>
                <w:lang w:val="pt-BR"/>
              </w:rPr>
              <w:t>l</w:t>
            </w:r>
            <w:proofErr w:type="gramEnd"/>
            <w:r w:rsidRPr="0099292A">
              <w:rPr>
                <w:sz w:val="22"/>
                <w:szCs w:val="22"/>
                <w:lang w:val="pt-BR"/>
              </w:rPr>
              <w:t xml:space="preserve"> </w:t>
            </w:r>
            <w:r w:rsidR="00C07B7A">
              <w:rPr>
                <w:sz w:val="22"/>
                <w:szCs w:val="22"/>
                <w:lang w:val="pt-BR"/>
              </w:rPr>
              <w:t>p</w:t>
            </w:r>
            <w:r w:rsidRPr="0099292A">
              <w:rPr>
                <w:sz w:val="22"/>
                <w:szCs w:val="22"/>
                <w:lang w:val="pt-BR"/>
              </w:rPr>
              <w:t>ortal</w:t>
            </w:r>
            <w:r w:rsidR="00790A7C" w:rsidRPr="0099292A">
              <w:rPr>
                <w:sz w:val="22"/>
                <w:szCs w:val="22"/>
                <w:lang w:val="pt-BR"/>
              </w:rPr>
              <w:t xml:space="preserve"> web</w:t>
            </w:r>
            <w:r w:rsidRPr="0099292A">
              <w:rPr>
                <w:sz w:val="22"/>
                <w:szCs w:val="22"/>
                <w:lang w:val="pt-BR"/>
              </w:rPr>
              <w:t xml:space="preserve"> </w:t>
            </w:r>
            <w:r w:rsidR="005571C6" w:rsidRPr="0099292A">
              <w:rPr>
                <w:sz w:val="22"/>
                <w:szCs w:val="22"/>
                <w:lang w:val="pt-BR"/>
              </w:rPr>
              <w:t>“</w:t>
            </w:r>
            <w:r w:rsidRPr="0099292A">
              <w:rPr>
                <w:i/>
                <w:sz w:val="22"/>
                <w:szCs w:val="22"/>
                <w:lang w:val="pt-BR"/>
              </w:rPr>
              <w:t>Alagoas e</w:t>
            </w:r>
            <w:r w:rsidR="005571C6" w:rsidRPr="0099292A">
              <w:rPr>
                <w:i/>
                <w:sz w:val="22"/>
                <w:szCs w:val="22"/>
                <w:lang w:val="pt-BR"/>
              </w:rPr>
              <w:t>m</w:t>
            </w:r>
            <w:r w:rsidRPr="0099292A">
              <w:rPr>
                <w:i/>
                <w:sz w:val="22"/>
                <w:szCs w:val="22"/>
                <w:lang w:val="pt-BR"/>
              </w:rPr>
              <w:t xml:space="preserve"> Dados e Informações</w:t>
            </w:r>
            <w:r w:rsidR="005571C6" w:rsidRPr="0099292A">
              <w:rPr>
                <w:sz w:val="22"/>
                <w:szCs w:val="22"/>
                <w:lang w:val="pt-BR"/>
              </w:rPr>
              <w:t>”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C94BC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Ac</w:t>
            </w:r>
            <w:r w:rsidR="00C94BCA">
              <w:rPr>
                <w:sz w:val="22"/>
                <w:szCs w:val="22"/>
                <w:lang w:val="es-ES"/>
              </w:rPr>
              <w:t>c</w:t>
            </w:r>
            <w:r w:rsidRPr="004E2B2D">
              <w:rPr>
                <w:sz w:val="22"/>
                <w:szCs w:val="22"/>
                <w:lang w:val="es-ES"/>
              </w:rPr>
              <w:t>esos/m</w:t>
            </w:r>
            <w:r w:rsidR="00C94BCA">
              <w:rPr>
                <w:sz w:val="22"/>
                <w:szCs w:val="22"/>
                <w:lang w:val="es-ES"/>
              </w:rPr>
              <w:t>e</w:t>
            </w:r>
            <w:r w:rsidRPr="004E2B2D"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  <w:r w:rsidR="00C94BCA">
              <w:rPr>
                <w:sz w:val="22"/>
                <w:szCs w:val="22"/>
                <w:lang w:val="es-ES"/>
              </w:rPr>
              <w:t>.</w:t>
            </w:r>
            <w:r w:rsidRPr="004E2B2D">
              <w:rPr>
                <w:sz w:val="22"/>
                <w:szCs w:val="22"/>
                <w:lang w:val="es-ES"/>
              </w:rPr>
              <w:t>500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BA675A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2</w:t>
            </w:r>
            <w:r w:rsidR="00C94BCA">
              <w:rPr>
                <w:sz w:val="22"/>
                <w:szCs w:val="22"/>
                <w:lang w:val="es-ES"/>
              </w:rPr>
              <w:t>.</w:t>
            </w:r>
            <w:r w:rsidRPr="004E2B2D">
              <w:rPr>
                <w:sz w:val="22"/>
                <w:szCs w:val="22"/>
                <w:lang w:val="es-ES"/>
              </w:rPr>
              <w:t>500</w:t>
            </w:r>
          </w:p>
        </w:tc>
        <w:tc>
          <w:tcPr>
            <w:tcW w:w="2072" w:type="pct"/>
          </w:tcPr>
          <w:p w:rsidR="00AB469F" w:rsidRPr="004E2B2D" w:rsidRDefault="004E6C30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Accesos del público en general a la base de datos del Portal de datos e informaciones sobre el Estado de Alagoas.</w:t>
            </w:r>
          </w:p>
        </w:tc>
      </w:tr>
      <w:tr w:rsidR="00AB469F" w:rsidRPr="00446EEF" w:rsidTr="00CD146A">
        <w:tc>
          <w:tcPr>
            <w:tcW w:w="1656" w:type="pct"/>
          </w:tcPr>
          <w:p w:rsidR="00AB469F" w:rsidRPr="004E2B2D" w:rsidRDefault="00AB469F" w:rsidP="00994BD2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Procedim</w:t>
            </w:r>
            <w:r w:rsidR="00954519">
              <w:rPr>
                <w:sz w:val="22"/>
                <w:szCs w:val="22"/>
                <w:lang w:val="es-ES"/>
              </w:rPr>
              <w:t>i</w:t>
            </w:r>
            <w:r w:rsidRPr="004E2B2D">
              <w:rPr>
                <w:sz w:val="22"/>
                <w:szCs w:val="22"/>
                <w:lang w:val="es-ES"/>
              </w:rPr>
              <w:t>entos para</w:t>
            </w:r>
            <w:r w:rsidR="00994BD2">
              <w:rPr>
                <w:sz w:val="22"/>
                <w:szCs w:val="22"/>
                <w:lang w:val="es-ES"/>
              </w:rPr>
              <w:t xml:space="preserve"> el</w:t>
            </w:r>
            <w:r w:rsidRPr="004E2B2D">
              <w:rPr>
                <w:sz w:val="22"/>
                <w:szCs w:val="22"/>
                <w:lang w:val="es-ES"/>
              </w:rPr>
              <w:t xml:space="preserve"> </w:t>
            </w:r>
            <w:r w:rsidR="00994BD2" w:rsidRPr="004E2B2D">
              <w:rPr>
                <w:sz w:val="22"/>
                <w:szCs w:val="22"/>
                <w:lang w:val="es-ES"/>
              </w:rPr>
              <w:t>monitor</w:t>
            </w:r>
            <w:r w:rsidR="00994BD2">
              <w:rPr>
                <w:sz w:val="22"/>
                <w:szCs w:val="22"/>
                <w:lang w:val="es-ES"/>
              </w:rPr>
              <w:t xml:space="preserve">eo </w:t>
            </w:r>
            <w:r w:rsidR="00994BD2" w:rsidRPr="004E2B2D">
              <w:rPr>
                <w:sz w:val="22"/>
                <w:szCs w:val="22"/>
                <w:lang w:val="es-ES"/>
              </w:rPr>
              <w:t xml:space="preserve">de procesos </w:t>
            </w:r>
            <w:r w:rsidR="00994BD2">
              <w:rPr>
                <w:sz w:val="22"/>
                <w:szCs w:val="22"/>
                <w:lang w:val="es-ES"/>
              </w:rPr>
              <w:t>y</w:t>
            </w:r>
            <w:r w:rsidR="00994BD2" w:rsidRPr="004E2B2D">
              <w:rPr>
                <w:sz w:val="22"/>
                <w:szCs w:val="22"/>
                <w:lang w:val="es-ES"/>
              </w:rPr>
              <w:t xml:space="preserve"> negocia</w:t>
            </w:r>
            <w:r w:rsidR="00994BD2">
              <w:rPr>
                <w:sz w:val="22"/>
                <w:szCs w:val="22"/>
                <w:lang w:val="es-ES"/>
              </w:rPr>
              <w:t xml:space="preserve">ciones de </w:t>
            </w:r>
            <w:r w:rsidRPr="004E2B2D">
              <w:rPr>
                <w:sz w:val="22"/>
                <w:szCs w:val="22"/>
                <w:lang w:val="es-ES"/>
              </w:rPr>
              <w:t>capta</w:t>
            </w:r>
            <w:r w:rsidR="00954519">
              <w:rPr>
                <w:sz w:val="22"/>
                <w:szCs w:val="22"/>
                <w:lang w:val="es-ES"/>
              </w:rPr>
              <w:t>ci</w:t>
            </w:r>
            <w:r w:rsidR="00994BD2">
              <w:rPr>
                <w:sz w:val="22"/>
                <w:szCs w:val="22"/>
                <w:lang w:val="es-ES"/>
              </w:rPr>
              <w:t>ones</w:t>
            </w:r>
            <w:r w:rsidRPr="004E2B2D">
              <w:rPr>
                <w:sz w:val="22"/>
                <w:szCs w:val="22"/>
                <w:lang w:val="es-ES"/>
              </w:rPr>
              <w:t xml:space="preserve"> de recursos</w:t>
            </w:r>
            <w:r w:rsidR="00523EB2">
              <w:rPr>
                <w:sz w:val="22"/>
                <w:szCs w:val="22"/>
                <w:lang w:val="es-ES"/>
              </w:rPr>
              <w:t xml:space="preserve"> internos y externos</w:t>
            </w:r>
          </w:p>
        </w:tc>
        <w:tc>
          <w:tcPr>
            <w:tcW w:w="413" w:type="pct"/>
            <w:vAlign w:val="center"/>
          </w:tcPr>
          <w:p w:rsidR="00AB469F" w:rsidRPr="004E2B2D" w:rsidRDefault="001A289D" w:rsidP="00994BD2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Procedimiento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0E372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994BD2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Estos procedimientos permitirán que la SEPLANDE realice el monitoreo de las operaciones de crédito prioritarias del gobierno.</w:t>
            </w:r>
          </w:p>
        </w:tc>
      </w:tr>
      <w:tr w:rsidR="00AB469F" w:rsidRPr="00446EEF" w:rsidTr="00CD146A">
        <w:tc>
          <w:tcPr>
            <w:tcW w:w="1656" w:type="pct"/>
            <w:vAlign w:val="center"/>
          </w:tcPr>
          <w:p w:rsidR="00AB469F" w:rsidRPr="004E2B2D" w:rsidRDefault="00AB469F" w:rsidP="004E2B2D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N</w:t>
            </w:r>
            <w:r w:rsidR="00243E68" w:rsidRPr="004E2B2D">
              <w:rPr>
                <w:sz w:val="22"/>
                <w:szCs w:val="22"/>
                <w:lang w:val="es-ES"/>
              </w:rPr>
              <w:t>ue</w:t>
            </w:r>
            <w:r w:rsidRPr="004E2B2D">
              <w:rPr>
                <w:sz w:val="22"/>
                <w:szCs w:val="22"/>
                <w:lang w:val="es-ES"/>
              </w:rPr>
              <w:t>vos procesos críticos d</w:t>
            </w:r>
            <w:r w:rsidR="00243E68" w:rsidRPr="004E2B2D">
              <w:rPr>
                <w:sz w:val="22"/>
                <w:szCs w:val="22"/>
                <w:lang w:val="es-ES"/>
              </w:rPr>
              <w:t xml:space="preserve">e </w:t>
            </w:r>
            <w:r w:rsidR="004E2B2D">
              <w:rPr>
                <w:sz w:val="22"/>
                <w:szCs w:val="22"/>
                <w:lang w:val="es-ES"/>
              </w:rPr>
              <w:t>la</w:t>
            </w:r>
            <w:r w:rsidRPr="004E2B2D">
              <w:rPr>
                <w:sz w:val="22"/>
                <w:szCs w:val="22"/>
                <w:lang w:val="es-ES"/>
              </w:rPr>
              <w:t xml:space="preserve"> SEPLANDE documentados </w:t>
            </w:r>
            <w:r w:rsidR="00243E68" w:rsidRPr="004E2B2D">
              <w:rPr>
                <w:sz w:val="22"/>
                <w:szCs w:val="22"/>
                <w:lang w:val="es-ES"/>
              </w:rPr>
              <w:t>y</w:t>
            </w:r>
            <w:r w:rsidRPr="004E2B2D">
              <w:rPr>
                <w:sz w:val="22"/>
                <w:szCs w:val="22"/>
                <w:lang w:val="es-ES"/>
              </w:rPr>
              <w:t xml:space="preserve"> certificados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243E6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Procesos</w:t>
            </w:r>
            <w:r w:rsidR="004E2B2D">
              <w:rPr>
                <w:sz w:val="22"/>
                <w:szCs w:val="22"/>
                <w:lang w:val="es-ES"/>
              </w:rPr>
              <w:t xml:space="preserve"> Críticos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0E372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2072" w:type="pct"/>
          </w:tcPr>
          <w:p w:rsidR="00AB469F" w:rsidRPr="004E2B2D" w:rsidDel="00916ABA" w:rsidRDefault="00AB469F" w:rsidP="00C07B7A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Proces</w:t>
            </w:r>
            <w:r w:rsidR="00243E68" w:rsidRPr="004E2B2D">
              <w:rPr>
                <w:sz w:val="22"/>
                <w:szCs w:val="22"/>
                <w:lang w:val="es-ES"/>
              </w:rPr>
              <w:t xml:space="preserve">os: i) Planificación </w:t>
            </w:r>
            <w:r w:rsidRPr="004E2B2D">
              <w:rPr>
                <w:sz w:val="22"/>
                <w:szCs w:val="22"/>
                <w:lang w:val="es-ES"/>
              </w:rPr>
              <w:t>Públic</w:t>
            </w:r>
            <w:r w:rsidR="00243E68" w:rsidRPr="004E2B2D">
              <w:rPr>
                <w:sz w:val="22"/>
                <w:szCs w:val="22"/>
                <w:lang w:val="es-ES"/>
              </w:rPr>
              <w:t>a</w:t>
            </w:r>
            <w:r w:rsidRPr="004E2B2D">
              <w:rPr>
                <w:sz w:val="22"/>
                <w:szCs w:val="22"/>
                <w:lang w:val="es-ES"/>
              </w:rPr>
              <w:t xml:space="preserve">; ii) </w:t>
            </w:r>
            <w:r w:rsidR="00243E68" w:rsidRPr="004E2B2D">
              <w:rPr>
                <w:sz w:val="22"/>
                <w:szCs w:val="22"/>
                <w:lang w:val="es-ES"/>
              </w:rPr>
              <w:t>Presupuesto Público; y</w:t>
            </w:r>
            <w:r w:rsidRPr="004E2B2D">
              <w:rPr>
                <w:sz w:val="22"/>
                <w:szCs w:val="22"/>
                <w:lang w:val="es-ES"/>
              </w:rPr>
              <w:t xml:space="preserve"> iii) Produ</w:t>
            </w:r>
            <w:r w:rsidR="00243E68" w:rsidRPr="004E2B2D">
              <w:rPr>
                <w:sz w:val="22"/>
                <w:szCs w:val="22"/>
                <w:lang w:val="es-ES"/>
              </w:rPr>
              <w:t xml:space="preserve">cción </w:t>
            </w:r>
            <w:r w:rsidRPr="004E2B2D">
              <w:rPr>
                <w:sz w:val="22"/>
                <w:szCs w:val="22"/>
                <w:lang w:val="es-ES"/>
              </w:rPr>
              <w:t>d</w:t>
            </w:r>
            <w:r w:rsidR="00243E68" w:rsidRPr="004E2B2D">
              <w:rPr>
                <w:sz w:val="22"/>
                <w:szCs w:val="22"/>
                <w:lang w:val="es-ES"/>
              </w:rPr>
              <w:t xml:space="preserve">e </w:t>
            </w:r>
            <w:r w:rsidRPr="004E2B2D">
              <w:rPr>
                <w:sz w:val="22"/>
                <w:szCs w:val="22"/>
                <w:lang w:val="es-ES"/>
              </w:rPr>
              <w:t>Informa</w:t>
            </w:r>
            <w:r w:rsidR="00243E68" w:rsidRPr="004E2B2D">
              <w:rPr>
                <w:sz w:val="22"/>
                <w:szCs w:val="22"/>
                <w:lang w:val="es-ES"/>
              </w:rPr>
              <w:t>ción y</w:t>
            </w:r>
            <w:r w:rsidRPr="004E2B2D">
              <w:rPr>
                <w:sz w:val="22"/>
                <w:szCs w:val="22"/>
                <w:lang w:val="es-ES"/>
              </w:rPr>
              <w:t xml:space="preserve"> Con</w:t>
            </w:r>
            <w:r w:rsidR="00243E68" w:rsidRPr="004E2B2D">
              <w:rPr>
                <w:sz w:val="22"/>
                <w:szCs w:val="22"/>
                <w:lang w:val="es-ES"/>
              </w:rPr>
              <w:t>ocimiento</w:t>
            </w:r>
            <w:r w:rsidR="002453AD" w:rsidRPr="004E2B2D">
              <w:rPr>
                <w:sz w:val="22"/>
                <w:szCs w:val="22"/>
                <w:lang w:val="es-ES"/>
              </w:rPr>
              <w:t xml:space="preserve"> – certificados co</w:t>
            </w:r>
            <w:r w:rsidR="00243E68" w:rsidRPr="004E2B2D">
              <w:rPr>
                <w:sz w:val="22"/>
                <w:szCs w:val="22"/>
                <w:lang w:val="es-ES"/>
              </w:rPr>
              <w:t>n</w:t>
            </w:r>
            <w:r w:rsidR="002453AD" w:rsidRPr="004E2B2D">
              <w:rPr>
                <w:sz w:val="22"/>
                <w:szCs w:val="22"/>
                <w:lang w:val="es-ES"/>
              </w:rPr>
              <w:t xml:space="preserve"> </w:t>
            </w:r>
            <w:r w:rsidR="00243E68" w:rsidRPr="004E2B2D">
              <w:rPr>
                <w:sz w:val="22"/>
                <w:szCs w:val="22"/>
                <w:lang w:val="es-ES"/>
              </w:rPr>
              <w:t>l</w:t>
            </w:r>
            <w:r w:rsidR="002453AD" w:rsidRPr="004E2B2D">
              <w:rPr>
                <w:sz w:val="22"/>
                <w:szCs w:val="22"/>
                <w:lang w:val="es-ES"/>
              </w:rPr>
              <w:t>a NBR</w:t>
            </w:r>
            <w:r w:rsidR="00243E68" w:rsidRPr="004E2B2D">
              <w:rPr>
                <w:sz w:val="22"/>
                <w:szCs w:val="22"/>
                <w:lang w:val="es-ES"/>
              </w:rPr>
              <w:t>-</w:t>
            </w:r>
            <w:r w:rsidR="002453AD" w:rsidRPr="004E2B2D">
              <w:rPr>
                <w:sz w:val="22"/>
                <w:szCs w:val="22"/>
                <w:lang w:val="es-ES"/>
              </w:rPr>
              <w:t>ISO 9001:2008.</w:t>
            </w:r>
          </w:p>
        </w:tc>
      </w:tr>
      <w:tr w:rsidR="00FA55DC" w:rsidRPr="00446EEF" w:rsidTr="00FA55DC">
        <w:tc>
          <w:tcPr>
            <w:tcW w:w="1656" w:type="pct"/>
            <w:shd w:val="clear" w:color="auto" w:fill="FFFFFF"/>
          </w:tcPr>
          <w:p w:rsidR="00AB469F" w:rsidRPr="004F04BF" w:rsidRDefault="00AB469F" w:rsidP="00F9725F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Porta</w:t>
            </w:r>
            <w:r w:rsidR="002C4C60" w:rsidRPr="004F04BF">
              <w:rPr>
                <w:sz w:val="22"/>
                <w:szCs w:val="22"/>
                <w:lang w:val="es-ES"/>
              </w:rPr>
              <w:t>les web</w:t>
            </w:r>
            <w:r w:rsidRPr="004F04BF">
              <w:rPr>
                <w:sz w:val="22"/>
                <w:szCs w:val="22"/>
                <w:lang w:val="es-ES"/>
              </w:rPr>
              <w:t xml:space="preserve"> d</w:t>
            </w:r>
            <w:r w:rsidR="002C4C60" w:rsidRPr="004F04BF">
              <w:rPr>
                <w:sz w:val="22"/>
                <w:szCs w:val="22"/>
                <w:lang w:val="es-ES"/>
              </w:rPr>
              <w:t>e l</w:t>
            </w:r>
            <w:r w:rsidRPr="004F04BF">
              <w:rPr>
                <w:sz w:val="22"/>
                <w:szCs w:val="22"/>
                <w:lang w:val="es-ES"/>
              </w:rPr>
              <w:t xml:space="preserve">os </w:t>
            </w:r>
            <w:r w:rsidR="002C4C60" w:rsidRPr="004F04BF">
              <w:rPr>
                <w:sz w:val="22"/>
                <w:szCs w:val="22"/>
                <w:lang w:val="es-ES"/>
              </w:rPr>
              <w:t>organismos y</w:t>
            </w:r>
            <w:r w:rsidRPr="004F04BF">
              <w:rPr>
                <w:sz w:val="22"/>
                <w:szCs w:val="22"/>
                <w:lang w:val="es-ES"/>
              </w:rPr>
              <w:t xml:space="preserve"> entidades </w:t>
            </w:r>
            <w:r w:rsidR="002C4C60" w:rsidRPr="004F04BF">
              <w:rPr>
                <w:sz w:val="22"/>
                <w:szCs w:val="22"/>
                <w:lang w:val="es-ES"/>
              </w:rPr>
              <w:t>del Estado de Alagoas</w:t>
            </w:r>
            <w:r w:rsidRPr="004F04BF">
              <w:rPr>
                <w:sz w:val="22"/>
                <w:szCs w:val="22"/>
                <w:lang w:val="es-ES"/>
              </w:rPr>
              <w:t xml:space="preserve"> co</w:t>
            </w:r>
            <w:r w:rsidR="002C4C60" w:rsidRPr="004F04BF">
              <w:rPr>
                <w:sz w:val="22"/>
                <w:szCs w:val="22"/>
                <w:lang w:val="es-ES"/>
              </w:rPr>
              <w:t>n</w:t>
            </w:r>
            <w:r w:rsidRPr="004F04BF">
              <w:rPr>
                <w:sz w:val="22"/>
                <w:szCs w:val="22"/>
                <w:lang w:val="es-ES"/>
              </w:rPr>
              <w:t xml:space="preserve"> informa</w:t>
            </w:r>
            <w:r w:rsidR="002C4C60" w:rsidRPr="004F04BF">
              <w:rPr>
                <w:sz w:val="22"/>
                <w:szCs w:val="22"/>
                <w:lang w:val="es-ES"/>
              </w:rPr>
              <w:t xml:space="preserve">ción </w:t>
            </w:r>
            <w:r w:rsidRPr="004F04BF">
              <w:rPr>
                <w:sz w:val="22"/>
                <w:szCs w:val="22"/>
                <w:lang w:val="es-ES"/>
              </w:rPr>
              <w:t>estru</w:t>
            </w:r>
            <w:r w:rsidR="002C4C60" w:rsidRPr="004F04BF">
              <w:rPr>
                <w:sz w:val="22"/>
                <w:szCs w:val="22"/>
                <w:lang w:val="es-ES"/>
              </w:rPr>
              <w:t>c</w:t>
            </w:r>
            <w:r w:rsidRPr="004F04BF">
              <w:rPr>
                <w:sz w:val="22"/>
                <w:szCs w:val="22"/>
                <w:lang w:val="es-ES"/>
              </w:rPr>
              <w:t xml:space="preserve">turada </w:t>
            </w:r>
            <w:r w:rsidR="00F9725F">
              <w:rPr>
                <w:sz w:val="22"/>
                <w:szCs w:val="22"/>
                <w:lang w:val="es-ES"/>
              </w:rPr>
              <w:t>conforme</w:t>
            </w:r>
            <w:r w:rsidR="00F9725F" w:rsidRPr="004F04BF">
              <w:rPr>
                <w:sz w:val="22"/>
                <w:szCs w:val="22"/>
                <w:lang w:val="es-ES"/>
              </w:rPr>
              <w:t xml:space="preserve"> la Ley de Acceso a la Información </w:t>
            </w:r>
            <w:r w:rsidR="002C4C60" w:rsidRPr="004F04BF">
              <w:rPr>
                <w:sz w:val="22"/>
                <w:szCs w:val="22"/>
                <w:lang w:val="es-ES"/>
              </w:rPr>
              <w:t>y</w:t>
            </w:r>
            <w:r w:rsidRPr="004F04BF">
              <w:rPr>
                <w:sz w:val="22"/>
                <w:szCs w:val="22"/>
                <w:lang w:val="es-ES"/>
              </w:rPr>
              <w:t xml:space="preserve"> </w:t>
            </w:r>
            <w:r w:rsidR="003C38F7" w:rsidRPr="004F04BF">
              <w:rPr>
                <w:sz w:val="22"/>
                <w:szCs w:val="22"/>
                <w:lang w:val="es-ES"/>
              </w:rPr>
              <w:t>disponible en línea al público en general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AB469F" w:rsidRPr="004F04BF" w:rsidRDefault="00AB469F" w:rsidP="002C4C60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Porta</w:t>
            </w:r>
            <w:r w:rsidR="002C4C60" w:rsidRPr="004F04BF">
              <w:rPr>
                <w:sz w:val="22"/>
                <w:szCs w:val="22"/>
                <w:lang w:val="es-ES"/>
              </w:rPr>
              <w:t>le</w:t>
            </w:r>
            <w:r w:rsidRPr="004F04BF">
              <w:rPr>
                <w:sz w:val="22"/>
                <w:szCs w:val="22"/>
                <w:lang w:val="es-ES"/>
              </w:rPr>
              <w:t>s</w:t>
            </w:r>
            <w:r w:rsidR="002C4C60" w:rsidRPr="004F04BF">
              <w:rPr>
                <w:sz w:val="22"/>
                <w:szCs w:val="22"/>
                <w:lang w:val="es-ES"/>
              </w:rPr>
              <w:t xml:space="preserve"> web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AB469F" w:rsidRPr="004F04BF" w:rsidRDefault="00536CF4" w:rsidP="000E372E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AB469F" w:rsidRPr="004F04BF" w:rsidRDefault="00536CF4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15</w:t>
            </w:r>
            <w:r w:rsidR="007A4153">
              <w:rPr>
                <w:sz w:val="22"/>
                <w:szCs w:val="22"/>
                <w:lang w:val="es-ES"/>
              </w:rPr>
              <w:t xml:space="preserve"> (2014)</w:t>
            </w:r>
          </w:p>
        </w:tc>
        <w:tc>
          <w:tcPr>
            <w:tcW w:w="2072" w:type="pct"/>
            <w:shd w:val="clear" w:color="auto" w:fill="FFFFFF"/>
          </w:tcPr>
          <w:p w:rsidR="00AB469F" w:rsidRPr="004F04BF" w:rsidDel="00916ABA" w:rsidRDefault="003E4153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Existen 58 Portales de los organismos y entidades del Estado de Alagoas accesibles a la población</w:t>
            </w:r>
            <w:r w:rsidR="00B21002">
              <w:rPr>
                <w:sz w:val="22"/>
                <w:szCs w:val="22"/>
                <w:lang w:val="es-ES"/>
              </w:rPr>
              <w:t xml:space="preserve"> (2012)</w:t>
            </w:r>
            <w:r w:rsidRPr="004F04BF">
              <w:rPr>
                <w:sz w:val="22"/>
                <w:szCs w:val="22"/>
                <w:lang w:val="es-ES"/>
              </w:rPr>
              <w:t xml:space="preserve">. </w:t>
            </w:r>
            <w:r w:rsidR="00536CF4" w:rsidRPr="004F04BF">
              <w:rPr>
                <w:sz w:val="22"/>
                <w:szCs w:val="22"/>
                <w:lang w:val="es-ES"/>
              </w:rPr>
              <w:t xml:space="preserve">Solamente 1 Portal atiende plenamente a </w:t>
            </w:r>
            <w:r w:rsidR="003C38F7" w:rsidRPr="004F04BF">
              <w:rPr>
                <w:sz w:val="22"/>
                <w:szCs w:val="22"/>
                <w:lang w:val="es-ES"/>
              </w:rPr>
              <w:t>los criterios, cobertura y nivel de detalle establecido en la Ley de Acceso a la Información</w:t>
            </w:r>
            <w:r w:rsidR="00536CF4" w:rsidRPr="004F04BF">
              <w:rPr>
                <w:sz w:val="22"/>
                <w:szCs w:val="22"/>
                <w:lang w:val="es-ES"/>
              </w:rPr>
              <w:t>, el de la Contraloría</w:t>
            </w:r>
            <w:r w:rsidR="007A4153">
              <w:rPr>
                <w:sz w:val="22"/>
                <w:szCs w:val="22"/>
                <w:lang w:val="es-ES"/>
              </w:rPr>
              <w:t xml:space="preserve"> General </w:t>
            </w:r>
            <w:r w:rsidR="00536CF4" w:rsidRPr="004F04BF">
              <w:rPr>
                <w:sz w:val="22"/>
                <w:szCs w:val="22"/>
                <w:lang w:val="es-ES"/>
              </w:rPr>
              <w:t>de Alagoas</w:t>
            </w:r>
            <w:r w:rsidR="00917EAA">
              <w:rPr>
                <w:sz w:val="22"/>
                <w:szCs w:val="22"/>
                <w:lang w:val="es-ES"/>
              </w:rPr>
              <w:t xml:space="preserve"> (</w:t>
            </w:r>
            <w:r w:rsidR="002818AE">
              <w:rPr>
                <w:sz w:val="22"/>
                <w:szCs w:val="22"/>
                <w:lang w:val="es-ES"/>
              </w:rPr>
              <w:t>P</w:t>
            </w:r>
            <w:r w:rsidR="00917EAA">
              <w:rPr>
                <w:sz w:val="22"/>
                <w:szCs w:val="22"/>
                <w:lang w:val="es-ES"/>
              </w:rPr>
              <w:t>ortal Ruth Cardoso)</w:t>
            </w:r>
            <w:r w:rsidR="003C38F7" w:rsidRPr="004F04BF">
              <w:rPr>
                <w:sz w:val="22"/>
                <w:szCs w:val="22"/>
                <w:lang w:val="es-ES"/>
              </w:rPr>
              <w:t>.</w:t>
            </w:r>
          </w:p>
        </w:tc>
      </w:tr>
      <w:tr w:rsidR="00FA55DC" w:rsidRPr="00446EEF" w:rsidTr="00FA55DC">
        <w:tc>
          <w:tcPr>
            <w:tcW w:w="1656" w:type="pct"/>
            <w:shd w:val="clear" w:color="auto" w:fill="FFFFFF"/>
          </w:tcPr>
          <w:p w:rsidR="00AB469F" w:rsidRPr="004F04BF" w:rsidRDefault="00AB469F" w:rsidP="007A4153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Ac</w:t>
            </w:r>
            <w:r w:rsidR="003C38F7" w:rsidRPr="004F04BF">
              <w:rPr>
                <w:sz w:val="22"/>
                <w:szCs w:val="22"/>
                <w:lang w:val="es-ES"/>
              </w:rPr>
              <w:t>c</w:t>
            </w:r>
            <w:r w:rsidRPr="004F04BF">
              <w:rPr>
                <w:sz w:val="22"/>
                <w:szCs w:val="22"/>
                <w:lang w:val="es-ES"/>
              </w:rPr>
              <w:t xml:space="preserve">eso </w:t>
            </w:r>
            <w:r w:rsidR="007A4153">
              <w:rPr>
                <w:sz w:val="22"/>
                <w:szCs w:val="22"/>
                <w:lang w:val="es-ES"/>
              </w:rPr>
              <w:t xml:space="preserve">promedio mensual </w:t>
            </w:r>
            <w:r w:rsidRPr="004F04BF">
              <w:rPr>
                <w:sz w:val="22"/>
                <w:szCs w:val="22"/>
                <w:lang w:val="es-ES"/>
              </w:rPr>
              <w:t>a</w:t>
            </w:r>
            <w:r w:rsidR="003C38F7" w:rsidRPr="004F04BF">
              <w:rPr>
                <w:sz w:val="22"/>
                <w:szCs w:val="22"/>
                <w:lang w:val="es-ES"/>
              </w:rPr>
              <w:t>l</w:t>
            </w:r>
            <w:r w:rsidRPr="004F04BF">
              <w:rPr>
                <w:sz w:val="22"/>
                <w:szCs w:val="22"/>
                <w:lang w:val="es-ES"/>
              </w:rPr>
              <w:t xml:space="preserve"> Portal d</w:t>
            </w:r>
            <w:r w:rsidR="003C38F7" w:rsidRPr="004F04BF">
              <w:rPr>
                <w:sz w:val="22"/>
                <w:szCs w:val="22"/>
                <w:lang w:val="es-ES"/>
              </w:rPr>
              <w:t>e l</w:t>
            </w:r>
            <w:r w:rsidRPr="004F04BF">
              <w:rPr>
                <w:sz w:val="22"/>
                <w:szCs w:val="22"/>
                <w:lang w:val="es-ES"/>
              </w:rPr>
              <w:t xml:space="preserve">a </w:t>
            </w:r>
            <w:r w:rsidR="003C38F7" w:rsidRPr="004F04BF">
              <w:rPr>
                <w:sz w:val="22"/>
                <w:szCs w:val="22"/>
                <w:lang w:val="es-ES"/>
              </w:rPr>
              <w:t>Transparencia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AB469F" w:rsidRPr="004F04BF" w:rsidRDefault="00AB469F" w:rsidP="007A4153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A</w:t>
            </w:r>
            <w:r w:rsidR="003C38F7" w:rsidRPr="004F04BF">
              <w:rPr>
                <w:sz w:val="22"/>
                <w:szCs w:val="22"/>
                <w:lang w:val="es-ES"/>
              </w:rPr>
              <w:t>c</w:t>
            </w:r>
            <w:r w:rsidRPr="004F04BF">
              <w:rPr>
                <w:sz w:val="22"/>
                <w:szCs w:val="22"/>
                <w:lang w:val="es-ES"/>
              </w:rPr>
              <w:t>cesos</w:t>
            </w:r>
            <w:r w:rsidR="007A4153">
              <w:rPr>
                <w:sz w:val="22"/>
                <w:szCs w:val="22"/>
                <w:lang w:val="es-ES"/>
              </w:rPr>
              <w:t xml:space="preserve"> en el año</w:t>
            </w:r>
            <w:r w:rsidRPr="004F04BF">
              <w:rPr>
                <w:sz w:val="22"/>
                <w:szCs w:val="22"/>
                <w:lang w:val="es-ES"/>
              </w:rPr>
              <w:t>/</w:t>
            </w:r>
            <w:r w:rsidR="007A4153">
              <w:rPr>
                <w:sz w:val="22"/>
                <w:szCs w:val="22"/>
                <w:lang w:val="es-ES"/>
              </w:rPr>
              <w:t>12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AB469F" w:rsidRPr="004F04BF" w:rsidRDefault="003E4153" w:rsidP="007A4153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3.</w:t>
            </w:r>
            <w:r w:rsidR="007A4153">
              <w:rPr>
                <w:sz w:val="22"/>
                <w:szCs w:val="22"/>
                <w:lang w:val="es-ES"/>
              </w:rPr>
              <w:t>176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AB469F" w:rsidRPr="004F04BF" w:rsidRDefault="00307835" w:rsidP="000E372E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4.800</w:t>
            </w:r>
          </w:p>
        </w:tc>
        <w:tc>
          <w:tcPr>
            <w:tcW w:w="2072" w:type="pct"/>
            <w:shd w:val="clear" w:color="auto" w:fill="FFFFFF"/>
          </w:tcPr>
          <w:p w:rsidR="00AB469F" w:rsidRPr="004E2B2D" w:rsidDel="00916ABA" w:rsidRDefault="0035482B" w:rsidP="00976A07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4F04BF">
              <w:rPr>
                <w:sz w:val="22"/>
                <w:szCs w:val="22"/>
                <w:lang w:val="es-ES"/>
              </w:rPr>
              <w:t>El Portal de la Transparencia incluye mayormente información financiera y presupuestaria del Estado de Alagoas</w:t>
            </w:r>
            <w:r w:rsidR="001C1C70">
              <w:rPr>
                <w:sz w:val="22"/>
                <w:szCs w:val="22"/>
                <w:lang w:val="es-ES"/>
              </w:rPr>
              <w:t>, y es el Portal informativo más consultado del Estado</w:t>
            </w:r>
            <w:r w:rsidRPr="004F04BF">
              <w:rPr>
                <w:sz w:val="22"/>
                <w:szCs w:val="22"/>
                <w:lang w:val="es-ES"/>
              </w:rPr>
              <w:t>.</w:t>
            </w:r>
          </w:p>
        </w:tc>
      </w:tr>
    </w:tbl>
    <w:p w:rsidR="00DC471E" w:rsidRPr="00976A07" w:rsidRDefault="00DC471E">
      <w:pPr>
        <w:rPr>
          <w:lang w:val="es-ES_tradnl"/>
        </w:rPr>
      </w:pPr>
      <w:r w:rsidRPr="00976A07">
        <w:rPr>
          <w:lang w:val="es-ES_tradnl"/>
        </w:rPr>
        <w:br w:type="page"/>
      </w:r>
    </w:p>
    <w:tbl>
      <w:tblPr>
        <w:tblW w:w="4834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167"/>
        <w:gridCol w:w="1167"/>
        <w:gridCol w:w="1260"/>
        <w:gridCol w:w="5856"/>
      </w:tblGrid>
      <w:tr w:rsidR="00AB469F" w:rsidRPr="00446EEF" w:rsidTr="00CD146A">
        <w:trPr>
          <w:trHeight w:val="29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b/>
                <w:sz w:val="22"/>
                <w:szCs w:val="22"/>
                <w:lang w:val="es-ES" w:eastAsia="es-ES_tradnl"/>
              </w:rPr>
            </w:pPr>
            <w:r w:rsidRPr="004E2B2D">
              <w:rPr>
                <w:b/>
                <w:sz w:val="22"/>
                <w:szCs w:val="22"/>
                <w:lang w:val="es-ES" w:eastAsia="es-ES_tradnl"/>
              </w:rPr>
              <w:lastRenderedPageBreak/>
              <w:t>Sub componente 3.2: Gestión de políticas para el desarrollo económico</w:t>
            </w:r>
          </w:p>
        </w:tc>
      </w:tr>
      <w:tr w:rsidR="00AB469F" w:rsidRPr="004E2B2D" w:rsidTr="00CD146A">
        <w:tblPrEx>
          <w:tblLook w:val="0000" w:firstRow="0" w:lastRow="0" w:firstColumn="0" w:lastColumn="0" w:noHBand="0" w:noVBand="0"/>
        </w:tblPrEx>
        <w:tc>
          <w:tcPr>
            <w:tcW w:w="1656" w:type="pct"/>
            <w:shd w:val="clear" w:color="auto" w:fill="auto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Plan Estratégico de Turismo (PET) Implantado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Decreto publicado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B469F" w:rsidRPr="004E2B2D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  <w:shd w:val="clear" w:color="auto" w:fill="auto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E2B2D" w:rsidTr="00CD146A">
        <w:tblPrEx>
          <w:tblLook w:val="0000" w:firstRow="0" w:lastRow="0" w:firstColumn="0" w:lastColumn="0" w:noHBand="0" w:noVBand="0"/>
        </w:tblPrEx>
        <w:tc>
          <w:tcPr>
            <w:tcW w:w="1656" w:type="pct"/>
            <w:shd w:val="clear" w:color="auto" w:fill="auto"/>
          </w:tcPr>
          <w:p w:rsidR="00AB469F" w:rsidRPr="004E2B2D" w:rsidDel="00BB6729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Diagnóstico del sistema estadístico turístico realizado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Diagnóstico realizado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B469F" w:rsidRPr="004E2B2D" w:rsidDel="00BB6729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  <w:shd w:val="clear" w:color="auto" w:fill="auto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E2B2D" w:rsidTr="00CD146A">
        <w:tblPrEx>
          <w:tblLook w:val="0000" w:firstRow="0" w:lastRow="0" w:firstColumn="0" w:lastColumn="0" w:noHBand="0" w:noVBand="0"/>
        </w:tblPrEx>
        <w:tc>
          <w:tcPr>
            <w:tcW w:w="1656" w:type="pct"/>
          </w:tcPr>
          <w:p w:rsidR="00AB469F" w:rsidRPr="004E2B2D" w:rsidDel="00BB6729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Censo de empresas turísticas formales e informales realizado en territorios de </w:t>
            </w:r>
            <w:proofErr w:type="spellStart"/>
            <w:r w:rsidRPr="004E2B2D">
              <w:rPr>
                <w:sz w:val="22"/>
                <w:szCs w:val="22"/>
                <w:lang w:val="es-ES"/>
              </w:rPr>
              <w:t>APLs</w:t>
            </w:r>
            <w:proofErr w:type="spellEnd"/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Censo realizado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Del="00BB6729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E2B2D" w:rsidTr="00CD146A">
        <w:tblPrEx>
          <w:tblLook w:val="0000" w:firstRow="0" w:lastRow="0" w:firstColumn="0" w:lastColumn="0" w:noHBand="0" w:noVBand="0"/>
        </w:tblPrEx>
        <w:tc>
          <w:tcPr>
            <w:tcW w:w="1656" w:type="pct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Planes de Ordenamiento territorial de municipios turísticos 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-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0 </w:t>
            </w:r>
          </w:p>
        </w:tc>
        <w:tc>
          <w:tcPr>
            <w:tcW w:w="446" w:type="pct"/>
            <w:vAlign w:val="center"/>
          </w:tcPr>
          <w:p w:rsidR="00AB469F" w:rsidRPr="004E2B2D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2072" w:type="pct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E2B2D" w:rsidTr="00CD146A">
        <w:tblPrEx>
          <w:tblLook w:val="0000" w:firstRow="0" w:lastRow="0" w:firstColumn="0" w:lastColumn="0" w:noHBand="0" w:noVBand="0"/>
        </w:tblPrEx>
        <w:tc>
          <w:tcPr>
            <w:tcW w:w="1656" w:type="pct"/>
          </w:tcPr>
          <w:p w:rsidR="00AB469F" w:rsidRPr="004E2B2D" w:rsidDel="00BB6729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Estrategia Sectorial de Transporte Vial integrada y aliñada al desarrollo del sector turismo vigente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Estrategia Sectorial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Del="00BB6729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2072" w:type="pct"/>
          </w:tcPr>
          <w:p w:rsidR="00AB469F" w:rsidRPr="004E2B2D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</w:p>
        </w:tc>
      </w:tr>
      <w:tr w:rsidR="00AB469F" w:rsidRPr="00446EEF" w:rsidTr="00976A07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656" w:type="pct"/>
          </w:tcPr>
          <w:p w:rsidR="00AB469F" w:rsidRPr="004E2B2D" w:rsidDel="00BB6729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Contratos programa Vigentes 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Contratos 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31</w:t>
            </w:r>
          </w:p>
        </w:tc>
        <w:tc>
          <w:tcPr>
            <w:tcW w:w="446" w:type="pct"/>
            <w:vAlign w:val="center"/>
          </w:tcPr>
          <w:p w:rsidR="00AB469F" w:rsidRPr="004E2B2D" w:rsidDel="00BB6729" w:rsidRDefault="00AB469F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60</w:t>
            </w:r>
          </w:p>
        </w:tc>
        <w:tc>
          <w:tcPr>
            <w:tcW w:w="2072" w:type="pct"/>
          </w:tcPr>
          <w:p w:rsidR="00AB469F" w:rsidRPr="00E5293A" w:rsidRDefault="00AB469F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E5293A">
              <w:rPr>
                <w:rFonts w:eastAsia="Calibri"/>
                <w:sz w:val="22"/>
                <w:szCs w:val="22"/>
                <w:lang w:val="es-ES"/>
              </w:rPr>
              <w:t>Contratos de Programa (</w:t>
            </w:r>
            <w:r w:rsidR="002B6B70" w:rsidRPr="00E5293A">
              <w:rPr>
                <w:rFonts w:eastAsia="Calibri"/>
                <w:sz w:val="22"/>
                <w:szCs w:val="22"/>
                <w:lang w:val="es-ES"/>
              </w:rPr>
              <w:t>agua y drenaje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 xml:space="preserve">), conforme definido </w:t>
            </w:r>
            <w:r w:rsidR="002B6B70" w:rsidRPr="00E5293A">
              <w:rPr>
                <w:rFonts w:eastAsia="Calibri"/>
                <w:sz w:val="22"/>
                <w:szCs w:val="22"/>
                <w:lang w:val="es-ES"/>
              </w:rPr>
              <w:t>en la Ley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 xml:space="preserve"> Federal, </w:t>
            </w:r>
            <w:r w:rsidR="002B6B70" w:rsidRPr="00E5293A">
              <w:rPr>
                <w:rFonts w:eastAsia="Calibri"/>
                <w:sz w:val="22"/>
                <w:szCs w:val="22"/>
                <w:lang w:val="es-ES"/>
              </w:rPr>
              <w:t>basados en Planes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 xml:space="preserve"> de </w:t>
            </w:r>
            <w:r w:rsidR="002B6B70" w:rsidRPr="00E5293A">
              <w:rPr>
                <w:rFonts w:eastAsia="Calibri"/>
                <w:sz w:val="22"/>
                <w:szCs w:val="22"/>
                <w:lang w:val="es-ES"/>
              </w:rPr>
              <w:t>Saneamiento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 xml:space="preserve"> Municipal (PMS).</w:t>
            </w:r>
          </w:p>
        </w:tc>
      </w:tr>
      <w:tr w:rsidR="00AB469F" w:rsidRPr="00446EEF" w:rsidTr="00976A07">
        <w:tblPrEx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1656" w:type="pct"/>
          </w:tcPr>
          <w:p w:rsidR="00AB469F" w:rsidRPr="004E2B2D" w:rsidDel="00BB6729" w:rsidRDefault="00AB469F" w:rsidP="00787F4C">
            <w:pPr>
              <w:tabs>
                <w:tab w:val="left" w:pos="3870"/>
              </w:tabs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>Planos regionales de Residuos Solidos</w:t>
            </w:r>
          </w:p>
        </w:tc>
        <w:tc>
          <w:tcPr>
            <w:tcW w:w="413" w:type="pct"/>
            <w:vAlign w:val="center"/>
          </w:tcPr>
          <w:p w:rsidR="00AB469F" w:rsidRPr="004E2B2D" w:rsidRDefault="00AB469F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 w:rsidRPr="004E2B2D">
              <w:rPr>
                <w:sz w:val="22"/>
                <w:szCs w:val="22"/>
                <w:lang w:val="es-ES"/>
              </w:rPr>
              <w:t xml:space="preserve">Nº de planes </w:t>
            </w:r>
          </w:p>
        </w:tc>
        <w:tc>
          <w:tcPr>
            <w:tcW w:w="413" w:type="pct"/>
            <w:vAlign w:val="center"/>
          </w:tcPr>
          <w:p w:rsidR="00AB469F" w:rsidRPr="004E2B2D" w:rsidRDefault="00234E49" w:rsidP="00787F4C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0</w:t>
            </w:r>
          </w:p>
        </w:tc>
        <w:tc>
          <w:tcPr>
            <w:tcW w:w="446" w:type="pct"/>
            <w:vAlign w:val="center"/>
          </w:tcPr>
          <w:p w:rsidR="00AB469F" w:rsidRPr="004E2B2D" w:rsidDel="00BB6729" w:rsidRDefault="00234E49" w:rsidP="00787F4C">
            <w:pPr>
              <w:pStyle w:val="Header"/>
              <w:tabs>
                <w:tab w:val="clear" w:pos="4419"/>
                <w:tab w:val="clear" w:pos="8838"/>
                <w:tab w:val="left" w:pos="387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2072" w:type="pct"/>
          </w:tcPr>
          <w:p w:rsidR="00AB469F" w:rsidRPr="00E5293A" w:rsidRDefault="00AB469F" w:rsidP="00976A07">
            <w:pPr>
              <w:tabs>
                <w:tab w:val="left" w:pos="3870"/>
              </w:tabs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E5293A">
              <w:rPr>
                <w:rFonts w:eastAsia="Calibri"/>
                <w:sz w:val="22"/>
                <w:szCs w:val="22"/>
                <w:lang w:val="es-ES"/>
              </w:rPr>
              <w:t>El Plano Estadual de Residuos Sólidos (PERS) agrup</w:t>
            </w:r>
            <w:r w:rsidR="00CE1577" w:rsidRPr="00E5293A">
              <w:rPr>
                <w:rFonts w:eastAsia="Calibri"/>
                <w:sz w:val="22"/>
                <w:szCs w:val="22"/>
                <w:lang w:val="es-ES"/>
              </w:rPr>
              <w:t>ará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 xml:space="preserve"> los 102 municipios de Alagoas en 7 regiones, que contaran cada una con Planos Regionales (o Intermunicipales</w:t>
            </w:r>
            <w:r w:rsidR="00CE1577" w:rsidRPr="00E5293A">
              <w:rPr>
                <w:rFonts w:eastAsia="Calibri"/>
                <w:sz w:val="22"/>
                <w:szCs w:val="22"/>
                <w:lang w:val="es-ES"/>
              </w:rPr>
              <w:t xml:space="preserve"> - PIGIRS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>) de residuos sólidos.</w:t>
            </w:r>
          </w:p>
          <w:p w:rsidR="00CE1577" w:rsidRPr="00E5293A" w:rsidRDefault="00CE1577" w:rsidP="00976A07">
            <w:pPr>
              <w:tabs>
                <w:tab w:val="left" w:pos="3870"/>
              </w:tabs>
              <w:jc w:val="both"/>
              <w:rPr>
                <w:sz w:val="22"/>
                <w:szCs w:val="22"/>
                <w:lang w:val="es-ES"/>
              </w:rPr>
            </w:pPr>
            <w:r w:rsidRPr="00E5293A">
              <w:rPr>
                <w:rFonts w:eastAsia="Calibri"/>
                <w:sz w:val="22"/>
                <w:szCs w:val="22"/>
                <w:lang w:val="es-ES"/>
              </w:rPr>
              <w:t>El PERS e l</w:t>
            </w:r>
            <w:r w:rsidR="00067226" w:rsidRPr="00E5293A">
              <w:rPr>
                <w:rFonts w:eastAsia="Calibri"/>
                <w:sz w:val="22"/>
                <w:szCs w:val="22"/>
                <w:lang w:val="es-ES"/>
              </w:rPr>
              <w:t xml:space="preserve">os PIGIRS serán presentados por </w:t>
            </w:r>
            <w:r w:rsidRPr="00E5293A">
              <w:rPr>
                <w:rFonts w:eastAsia="Calibri"/>
                <w:sz w:val="22"/>
                <w:szCs w:val="22"/>
                <w:lang w:val="es-ES"/>
              </w:rPr>
              <w:t>la SEMARH</w:t>
            </w:r>
          </w:p>
        </w:tc>
      </w:tr>
    </w:tbl>
    <w:p w:rsidR="00AD2A2E" w:rsidRPr="004E2B2D" w:rsidRDefault="00AD2A2E" w:rsidP="00AD2A2E">
      <w:pPr>
        <w:tabs>
          <w:tab w:val="left" w:pos="3870"/>
        </w:tabs>
        <w:autoSpaceDE w:val="0"/>
        <w:autoSpaceDN w:val="0"/>
        <w:adjustRightInd w:val="0"/>
        <w:rPr>
          <w:sz w:val="22"/>
          <w:szCs w:val="22"/>
          <w:lang w:val="es-ES" w:eastAsia="es-ES_tradnl"/>
        </w:rPr>
      </w:pPr>
    </w:p>
    <w:p w:rsidR="009D023C" w:rsidRPr="004E2B2D" w:rsidRDefault="009D023C" w:rsidP="00EF5571">
      <w:pPr>
        <w:tabs>
          <w:tab w:val="left" w:pos="3870"/>
        </w:tabs>
        <w:autoSpaceDE w:val="0"/>
        <w:autoSpaceDN w:val="0"/>
        <w:adjustRightInd w:val="0"/>
        <w:rPr>
          <w:sz w:val="22"/>
          <w:szCs w:val="22"/>
          <w:lang w:val="es-ES" w:eastAsia="es-ES_tradnl"/>
        </w:rPr>
      </w:pPr>
    </w:p>
    <w:sectPr w:rsidR="009D023C" w:rsidRPr="004E2B2D" w:rsidSect="00976A07">
      <w:headerReference w:type="default" r:id="rId10"/>
      <w:footerReference w:type="even" r:id="rId11"/>
      <w:footerReference w:type="default" r:id="rId12"/>
      <w:pgSz w:w="15840" w:h="12240" w:orient="landscape" w:code="1"/>
      <w:pgMar w:top="126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FC" w:rsidRDefault="00F876FC">
      <w:r>
        <w:separator/>
      </w:r>
    </w:p>
  </w:endnote>
  <w:endnote w:type="continuationSeparator" w:id="0">
    <w:p w:rsidR="00F876FC" w:rsidRDefault="00F876FC">
      <w:r>
        <w:continuationSeparator/>
      </w:r>
      <w:bookmarkStart w:id="0" w:name="DVXParaEnd"/>
      <w:bookmarkEnd w:id="0"/>
    </w:p>
  </w:endnote>
  <w:endnote w:type="continuationNotice" w:id="1">
    <w:p w:rsidR="00F876FC" w:rsidRDefault="00F8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EC" w:rsidRDefault="00CC3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2EC" w:rsidRDefault="00CC32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EC" w:rsidRDefault="00CC32EC" w:rsidP="00006AB7">
    <w:pPr>
      <w:pStyle w:val="Footer"/>
      <w:framePr w:wrap="around" w:vAnchor="text" w:hAnchor="page" w:x="15028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FC" w:rsidRDefault="00F876FC">
      <w:r>
        <w:separator/>
      </w:r>
    </w:p>
  </w:footnote>
  <w:footnote w:type="continuationSeparator" w:id="0">
    <w:p w:rsidR="00F876FC" w:rsidRDefault="00F876FC">
      <w:r>
        <w:continuationSeparator/>
      </w:r>
    </w:p>
  </w:footnote>
  <w:footnote w:type="continuationNotice" w:id="1">
    <w:p w:rsidR="00F876FC" w:rsidRDefault="00F876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8152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C471E" w:rsidRPr="00976A07" w:rsidRDefault="00DC471E" w:rsidP="00976A07">
        <w:pPr>
          <w:pStyle w:val="Header"/>
          <w:ind w:right="270"/>
          <w:jc w:val="right"/>
          <w:rPr>
            <w:sz w:val="22"/>
            <w:szCs w:val="22"/>
          </w:rPr>
        </w:pPr>
        <w:r>
          <w:t xml:space="preserve"> BR-L1374 │ </w:t>
        </w:r>
        <w:proofErr w:type="spellStart"/>
        <w:r w:rsidRPr="00976A07">
          <w:rPr>
            <w:sz w:val="22"/>
            <w:szCs w:val="22"/>
          </w:rPr>
          <w:t>Página</w:t>
        </w:r>
        <w:proofErr w:type="spellEnd"/>
        <w:r w:rsidRPr="00976A07">
          <w:rPr>
            <w:sz w:val="22"/>
            <w:szCs w:val="22"/>
          </w:rPr>
          <w:t xml:space="preserve"> </w:t>
        </w:r>
        <w:r w:rsidRPr="00976A07">
          <w:rPr>
            <w:bCs/>
            <w:sz w:val="22"/>
            <w:szCs w:val="22"/>
          </w:rPr>
          <w:fldChar w:fldCharType="begin"/>
        </w:r>
        <w:r w:rsidRPr="00976A07">
          <w:rPr>
            <w:bCs/>
            <w:sz w:val="22"/>
            <w:szCs w:val="22"/>
          </w:rPr>
          <w:instrText xml:space="preserve"> PAGE </w:instrText>
        </w:r>
        <w:r w:rsidRPr="00976A07">
          <w:rPr>
            <w:bCs/>
            <w:sz w:val="22"/>
            <w:szCs w:val="22"/>
          </w:rPr>
          <w:fldChar w:fldCharType="separate"/>
        </w:r>
        <w:r w:rsidR="00741EB7">
          <w:rPr>
            <w:bCs/>
            <w:noProof/>
            <w:sz w:val="22"/>
            <w:szCs w:val="22"/>
          </w:rPr>
          <w:t>1</w:t>
        </w:r>
        <w:r w:rsidRPr="00976A07">
          <w:rPr>
            <w:bCs/>
            <w:sz w:val="22"/>
            <w:szCs w:val="22"/>
          </w:rPr>
          <w:fldChar w:fldCharType="end"/>
        </w:r>
        <w:r w:rsidRPr="00976A07">
          <w:rPr>
            <w:bCs/>
            <w:sz w:val="22"/>
            <w:szCs w:val="22"/>
          </w:rPr>
          <w:t xml:space="preserve"> de </w:t>
        </w:r>
        <w:r w:rsidRPr="00976A07">
          <w:rPr>
            <w:bCs/>
            <w:sz w:val="22"/>
            <w:szCs w:val="22"/>
          </w:rPr>
          <w:fldChar w:fldCharType="begin"/>
        </w:r>
        <w:r w:rsidRPr="00976A07">
          <w:rPr>
            <w:bCs/>
            <w:sz w:val="22"/>
            <w:szCs w:val="22"/>
          </w:rPr>
          <w:instrText xml:space="preserve"> NUMPAGES  </w:instrText>
        </w:r>
        <w:r w:rsidRPr="00976A07">
          <w:rPr>
            <w:bCs/>
            <w:sz w:val="22"/>
            <w:szCs w:val="22"/>
          </w:rPr>
          <w:fldChar w:fldCharType="separate"/>
        </w:r>
        <w:r w:rsidR="00741EB7">
          <w:rPr>
            <w:bCs/>
            <w:noProof/>
            <w:sz w:val="22"/>
            <w:szCs w:val="22"/>
          </w:rPr>
          <w:t>9</w:t>
        </w:r>
        <w:r w:rsidRPr="00976A07">
          <w:rPr>
            <w:bCs/>
            <w:sz w:val="22"/>
            <w:szCs w:val="22"/>
          </w:rPr>
          <w:fldChar w:fldCharType="end"/>
        </w:r>
      </w:p>
    </w:sdtContent>
  </w:sdt>
  <w:p w:rsidR="00CC32EC" w:rsidRPr="006452F9" w:rsidRDefault="00CC32EC" w:rsidP="00976A0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B252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92E85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0E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9AC1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D290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E41A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7E84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445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588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706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703"/>
    <w:multiLevelType w:val="hybridMultilevel"/>
    <w:tmpl w:val="652E06CA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B0679"/>
    <w:multiLevelType w:val="hybridMultilevel"/>
    <w:tmpl w:val="DBEEFC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DAB7FC9"/>
    <w:multiLevelType w:val="multilevel"/>
    <w:tmpl w:val="85F69478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firstLine="288"/>
      </w:pPr>
      <w:rPr>
        <w:rFonts w:cs="Times New Roman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>
    <w:nsid w:val="0FD929D1"/>
    <w:multiLevelType w:val="hybridMultilevel"/>
    <w:tmpl w:val="706E8DF0"/>
    <w:lvl w:ilvl="0" w:tplc="5D3072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A3828"/>
    <w:multiLevelType w:val="multilevel"/>
    <w:tmpl w:val="1DF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D6C89"/>
    <w:multiLevelType w:val="hybridMultilevel"/>
    <w:tmpl w:val="9638786C"/>
    <w:lvl w:ilvl="0" w:tplc="5D76D8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58B0"/>
    <w:multiLevelType w:val="multilevel"/>
    <w:tmpl w:val="D610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>
    <w:nsid w:val="3F544BA6"/>
    <w:multiLevelType w:val="hybridMultilevel"/>
    <w:tmpl w:val="72D83F70"/>
    <w:lvl w:ilvl="0" w:tplc="310E6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3210"/>
    <w:multiLevelType w:val="hybridMultilevel"/>
    <w:tmpl w:val="BC80EB36"/>
    <w:lvl w:ilvl="0" w:tplc="0C5EB65E">
      <w:start w:val="16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0FC7"/>
    <w:multiLevelType w:val="hybridMultilevel"/>
    <w:tmpl w:val="DF14BD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74592"/>
    <w:multiLevelType w:val="multilevel"/>
    <w:tmpl w:val="151E851A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B0536C2"/>
    <w:multiLevelType w:val="multilevel"/>
    <w:tmpl w:val="D610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2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A5"/>
    <w:rsid w:val="000007B2"/>
    <w:rsid w:val="000015C1"/>
    <w:rsid w:val="00001657"/>
    <w:rsid w:val="00002B4E"/>
    <w:rsid w:val="00006539"/>
    <w:rsid w:val="0000689F"/>
    <w:rsid w:val="00006AB7"/>
    <w:rsid w:val="000128B4"/>
    <w:rsid w:val="00020286"/>
    <w:rsid w:val="00023170"/>
    <w:rsid w:val="00023DCE"/>
    <w:rsid w:val="00025B09"/>
    <w:rsid w:val="00026BB3"/>
    <w:rsid w:val="0002757D"/>
    <w:rsid w:val="00027FC4"/>
    <w:rsid w:val="00030175"/>
    <w:rsid w:val="0003153D"/>
    <w:rsid w:val="00031E00"/>
    <w:rsid w:val="00034521"/>
    <w:rsid w:val="0003469F"/>
    <w:rsid w:val="000378C8"/>
    <w:rsid w:val="000404F8"/>
    <w:rsid w:val="000524C3"/>
    <w:rsid w:val="00062389"/>
    <w:rsid w:val="00067226"/>
    <w:rsid w:val="0006741C"/>
    <w:rsid w:val="00074ECC"/>
    <w:rsid w:val="000753B1"/>
    <w:rsid w:val="00075F4C"/>
    <w:rsid w:val="00077933"/>
    <w:rsid w:val="00080458"/>
    <w:rsid w:val="00081B08"/>
    <w:rsid w:val="000825C8"/>
    <w:rsid w:val="000869F4"/>
    <w:rsid w:val="000877BA"/>
    <w:rsid w:val="00091291"/>
    <w:rsid w:val="000920B4"/>
    <w:rsid w:val="00093AD9"/>
    <w:rsid w:val="000949B1"/>
    <w:rsid w:val="000950EE"/>
    <w:rsid w:val="000954F7"/>
    <w:rsid w:val="00095C41"/>
    <w:rsid w:val="00096BF6"/>
    <w:rsid w:val="000A021A"/>
    <w:rsid w:val="000A198E"/>
    <w:rsid w:val="000A2188"/>
    <w:rsid w:val="000A3816"/>
    <w:rsid w:val="000A763C"/>
    <w:rsid w:val="000B0712"/>
    <w:rsid w:val="000B23FC"/>
    <w:rsid w:val="000B3E5B"/>
    <w:rsid w:val="000B6D38"/>
    <w:rsid w:val="000C080E"/>
    <w:rsid w:val="000C2790"/>
    <w:rsid w:val="000C52AC"/>
    <w:rsid w:val="000D06C2"/>
    <w:rsid w:val="000D41EC"/>
    <w:rsid w:val="000D5493"/>
    <w:rsid w:val="000D5D94"/>
    <w:rsid w:val="000D7796"/>
    <w:rsid w:val="000E293F"/>
    <w:rsid w:val="000E372E"/>
    <w:rsid w:val="000E5D52"/>
    <w:rsid w:val="000F26BD"/>
    <w:rsid w:val="0010415F"/>
    <w:rsid w:val="0010556E"/>
    <w:rsid w:val="0010596E"/>
    <w:rsid w:val="00107D5E"/>
    <w:rsid w:val="00111689"/>
    <w:rsid w:val="00111DE4"/>
    <w:rsid w:val="00122026"/>
    <w:rsid w:val="00131761"/>
    <w:rsid w:val="0014114E"/>
    <w:rsid w:val="00141759"/>
    <w:rsid w:val="0014565A"/>
    <w:rsid w:val="00153259"/>
    <w:rsid w:val="001545C6"/>
    <w:rsid w:val="00161A6C"/>
    <w:rsid w:val="00166437"/>
    <w:rsid w:val="00171DBF"/>
    <w:rsid w:val="00174B58"/>
    <w:rsid w:val="00177AA8"/>
    <w:rsid w:val="0018401C"/>
    <w:rsid w:val="00186E97"/>
    <w:rsid w:val="00187D89"/>
    <w:rsid w:val="0019247B"/>
    <w:rsid w:val="00197B15"/>
    <w:rsid w:val="001A289D"/>
    <w:rsid w:val="001A5910"/>
    <w:rsid w:val="001A6475"/>
    <w:rsid w:val="001B0E4C"/>
    <w:rsid w:val="001B0E56"/>
    <w:rsid w:val="001B6C4B"/>
    <w:rsid w:val="001C08A9"/>
    <w:rsid w:val="001C1C70"/>
    <w:rsid w:val="001D1304"/>
    <w:rsid w:val="001D33A8"/>
    <w:rsid w:val="001D389A"/>
    <w:rsid w:val="001D38D8"/>
    <w:rsid w:val="001D5A7E"/>
    <w:rsid w:val="001E2508"/>
    <w:rsid w:val="001E2D40"/>
    <w:rsid w:val="001E7782"/>
    <w:rsid w:val="001F2345"/>
    <w:rsid w:val="001F2D27"/>
    <w:rsid w:val="001F56FB"/>
    <w:rsid w:val="001F7C4F"/>
    <w:rsid w:val="00200EB8"/>
    <w:rsid w:val="00204270"/>
    <w:rsid w:val="002051EB"/>
    <w:rsid w:val="00205DDD"/>
    <w:rsid w:val="00211F40"/>
    <w:rsid w:val="00213E77"/>
    <w:rsid w:val="00214732"/>
    <w:rsid w:val="002154F4"/>
    <w:rsid w:val="00217A45"/>
    <w:rsid w:val="00217AA6"/>
    <w:rsid w:val="00223F29"/>
    <w:rsid w:val="00225AFB"/>
    <w:rsid w:val="002313AB"/>
    <w:rsid w:val="00231559"/>
    <w:rsid w:val="00234E49"/>
    <w:rsid w:val="00236C4D"/>
    <w:rsid w:val="00237479"/>
    <w:rsid w:val="00240199"/>
    <w:rsid w:val="0024318A"/>
    <w:rsid w:val="00243E68"/>
    <w:rsid w:val="002453AD"/>
    <w:rsid w:val="002476C4"/>
    <w:rsid w:val="00250689"/>
    <w:rsid w:val="002533DA"/>
    <w:rsid w:val="002579FF"/>
    <w:rsid w:val="00257CF7"/>
    <w:rsid w:val="002651EA"/>
    <w:rsid w:val="00266807"/>
    <w:rsid w:val="00267B3D"/>
    <w:rsid w:val="00270F52"/>
    <w:rsid w:val="00276F0E"/>
    <w:rsid w:val="002818AE"/>
    <w:rsid w:val="00281C70"/>
    <w:rsid w:val="00283537"/>
    <w:rsid w:val="0028426E"/>
    <w:rsid w:val="002844AB"/>
    <w:rsid w:val="002848D6"/>
    <w:rsid w:val="00290CCF"/>
    <w:rsid w:val="002913C8"/>
    <w:rsid w:val="00292421"/>
    <w:rsid w:val="00295940"/>
    <w:rsid w:val="00297F85"/>
    <w:rsid w:val="002A0514"/>
    <w:rsid w:val="002A0A59"/>
    <w:rsid w:val="002A10BC"/>
    <w:rsid w:val="002A12E9"/>
    <w:rsid w:val="002A1B8A"/>
    <w:rsid w:val="002A2C8F"/>
    <w:rsid w:val="002A3253"/>
    <w:rsid w:val="002A34C5"/>
    <w:rsid w:val="002A3FBB"/>
    <w:rsid w:val="002A6B4D"/>
    <w:rsid w:val="002B03BD"/>
    <w:rsid w:val="002B6B70"/>
    <w:rsid w:val="002B71F5"/>
    <w:rsid w:val="002C1705"/>
    <w:rsid w:val="002C4C60"/>
    <w:rsid w:val="002C4DF7"/>
    <w:rsid w:val="002C6D17"/>
    <w:rsid w:val="002D0EA5"/>
    <w:rsid w:val="002D3BC5"/>
    <w:rsid w:val="002D4B4B"/>
    <w:rsid w:val="002D5048"/>
    <w:rsid w:val="002D5945"/>
    <w:rsid w:val="002D5AEA"/>
    <w:rsid w:val="002D6FEC"/>
    <w:rsid w:val="002E1417"/>
    <w:rsid w:val="002E2FC7"/>
    <w:rsid w:val="002E6FAA"/>
    <w:rsid w:val="002F21E4"/>
    <w:rsid w:val="002F260E"/>
    <w:rsid w:val="002F6A75"/>
    <w:rsid w:val="002F766B"/>
    <w:rsid w:val="00300803"/>
    <w:rsid w:val="00300B99"/>
    <w:rsid w:val="00300D0C"/>
    <w:rsid w:val="00303DC0"/>
    <w:rsid w:val="00304408"/>
    <w:rsid w:val="003049D6"/>
    <w:rsid w:val="003070FC"/>
    <w:rsid w:val="003076C2"/>
    <w:rsid w:val="00307835"/>
    <w:rsid w:val="00311E18"/>
    <w:rsid w:val="003174CC"/>
    <w:rsid w:val="00322C5B"/>
    <w:rsid w:val="003235DC"/>
    <w:rsid w:val="003307D9"/>
    <w:rsid w:val="00334045"/>
    <w:rsid w:val="003350BE"/>
    <w:rsid w:val="00337C77"/>
    <w:rsid w:val="00341D5D"/>
    <w:rsid w:val="00344194"/>
    <w:rsid w:val="00353EC9"/>
    <w:rsid w:val="0035482B"/>
    <w:rsid w:val="00355B63"/>
    <w:rsid w:val="003614C0"/>
    <w:rsid w:val="0036307C"/>
    <w:rsid w:val="0036398E"/>
    <w:rsid w:val="003654A1"/>
    <w:rsid w:val="00375BBF"/>
    <w:rsid w:val="003772C2"/>
    <w:rsid w:val="00377DBF"/>
    <w:rsid w:val="00381959"/>
    <w:rsid w:val="00382CCB"/>
    <w:rsid w:val="00384D4F"/>
    <w:rsid w:val="0038763F"/>
    <w:rsid w:val="00391E4B"/>
    <w:rsid w:val="00393636"/>
    <w:rsid w:val="00395F7C"/>
    <w:rsid w:val="0039625B"/>
    <w:rsid w:val="00396E86"/>
    <w:rsid w:val="003A084F"/>
    <w:rsid w:val="003A221B"/>
    <w:rsid w:val="003A28E0"/>
    <w:rsid w:val="003A389E"/>
    <w:rsid w:val="003A516A"/>
    <w:rsid w:val="003A6750"/>
    <w:rsid w:val="003B7998"/>
    <w:rsid w:val="003C38F7"/>
    <w:rsid w:val="003C3CA8"/>
    <w:rsid w:val="003C4451"/>
    <w:rsid w:val="003C7411"/>
    <w:rsid w:val="003D7280"/>
    <w:rsid w:val="003E4153"/>
    <w:rsid w:val="003E4296"/>
    <w:rsid w:val="003E6A60"/>
    <w:rsid w:val="003E7828"/>
    <w:rsid w:val="003F4350"/>
    <w:rsid w:val="003F66CA"/>
    <w:rsid w:val="003F677C"/>
    <w:rsid w:val="00401FEC"/>
    <w:rsid w:val="00406547"/>
    <w:rsid w:val="00410387"/>
    <w:rsid w:val="00414A99"/>
    <w:rsid w:val="00415558"/>
    <w:rsid w:val="00417E49"/>
    <w:rsid w:val="0042690A"/>
    <w:rsid w:val="00427C16"/>
    <w:rsid w:val="0043134D"/>
    <w:rsid w:val="004342D2"/>
    <w:rsid w:val="004407B7"/>
    <w:rsid w:val="00444229"/>
    <w:rsid w:val="00446E82"/>
    <w:rsid w:val="00446EEF"/>
    <w:rsid w:val="00451464"/>
    <w:rsid w:val="0045210A"/>
    <w:rsid w:val="004541D2"/>
    <w:rsid w:val="00457337"/>
    <w:rsid w:val="004575C3"/>
    <w:rsid w:val="004605FC"/>
    <w:rsid w:val="00462633"/>
    <w:rsid w:val="00463F12"/>
    <w:rsid w:val="00465BCE"/>
    <w:rsid w:val="00465D4C"/>
    <w:rsid w:val="00466507"/>
    <w:rsid w:val="00467913"/>
    <w:rsid w:val="00471293"/>
    <w:rsid w:val="00476E20"/>
    <w:rsid w:val="00476F92"/>
    <w:rsid w:val="004816BA"/>
    <w:rsid w:val="0048264D"/>
    <w:rsid w:val="004859DA"/>
    <w:rsid w:val="00487E40"/>
    <w:rsid w:val="00487F8F"/>
    <w:rsid w:val="00494122"/>
    <w:rsid w:val="004943F7"/>
    <w:rsid w:val="004A0DCA"/>
    <w:rsid w:val="004A255B"/>
    <w:rsid w:val="004A4E72"/>
    <w:rsid w:val="004A7A6B"/>
    <w:rsid w:val="004B0CA0"/>
    <w:rsid w:val="004B1FF9"/>
    <w:rsid w:val="004B2F15"/>
    <w:rsid w:val="004B31EB"/>
    <w:rsid w:val="004C008B"/>
    <w:rsid w:val="004C0CFD"/>
    <w:rsid w:val="004C1556"/>
    <w:rsid w:val="004C310E"/>
    <w:rsid w:val="004C64E3"/>
    <w:rsid w:val="004D1C7F"/>
    <w:rsid w:val="004D46F5"/>
    <w:rsid w:val="004D5B25"/>
    <w:rsid w:val="004D70EE"/>
    <w:rsid w:val="004D7EFC"/>
    <w:rsid w:val="004E112B"/>
    <w:rsid w:val="004E2081"/>
    <w:rsid w:val="004E2B2D"/>
    <w:rsid w:val="004E385A"/>
    <w:rsid w:val="004E6C30"/>
    <w:rsid w:val="004E6D15"/>
    <w:rsid w:val="004E7FBC"/>
    <w:rsid w:val="004F04BF"/>
    <w:rsid w:val="004F1A0E"/>
    <w:rsid w:val="004F4C34"/>
    <w:rsid w:val="00501800"/>
    <w:rsid w:val="0050556C"/>
    <w:rsid w:val="0051199D"/>
    <w:rsid w:val="0051430A"/>
    <w:rsid w:val="005202D7"/>
    <w:rsid w:val="00523EB2"/>
    <w:rsid w:val="0052646D"/>
    <w:rsid w:val="0053394C"/>
    <w:rsid w:val="00536CF4"/>
    <w:rsid w:val="00540640"/>
    <w:rsid w:val="00542CCB"/>
    <w:rsid w:val="005533B7"/>
    <w:rsid w:val="005546D1"/>
    <w:rsid w:val="00556141"/>
    <w:rsid w:val="005571C6"/>
    <w:rsid w:val="00571D69"/>
    <w:rsid w:val="00576522"/>
    <w:rsid w:val="005765D7"/>
    <w:rsid w:val="00576A23"/>
    <w:rsid w:val="0058143C"/>
    <w:rsid w:val="0058209E"/>
    <w:rsid w:val="00584145"/>
    <w:rsid w:val="00591CE3"/>
    <w:rsid w:val="005934DE"/>
    <w:rsid w:val="0059648D"/>
    <w:rsid w:val="00597E9C"/>
    <w:rsid w:val="005A0FC2"/>
    <w:rsid w:val="005A4EA8"/>
    <w:rsid w:val="005A786F"/>
    <w:rsid w:val="005A7B98"/>
    <w:rsid w:val="005B1622"/>
    <w:rsid w:val="005B1878"/>
    <w:rsid w:val="005B5CED"/>
    <w:rsid w:val="005B5E71"/>
    <w:rsid w:val="005C0304"/>
    <w:rsid w:val="005C108F"/>
    <w:rsid w:val="005C19CE"/>
    <w:rsid w:val="005C52CD"/>
    <w:rsid w:val="005C6B6F"/>
    <w:rsid w:val="005D09EA"/>
    <w:rsid w:val="005D7C5F"/>
    <w:rsid w:val="005E1462"/>
    <w:rsid w:val="005E513E"/>
    <w:rsid w:val="005F5C4A"/>
    <w:rsid w:val="00601171"/>
    <w:rsid w:val="00603D1F"/>
    <w:rsid w:val="00604B42"/>
    <w:rsid w:val="0060549C"/>
    <w:rsid w:val="006066C3"/>
    <w:rsid w:val="00612837"/>
    <w:rsid w:val="00616FC7"/>
    <w:rsid w:val="0062473A"/>
    <w:rsid w:val="006248F0"/>
    <w:rsid w:val="00630797"/>
    <w:rsid w:val="00630A10"/>
    <w:rsid w:val="0063366D"/>
    <w:rsid w:val="00637671"/>
    <w:rsid w:val="00641AB4"/>
    <w:rsid w:val="00642D9D"/>
    <w:rsid w:val="00643917"/>
    <w:rsid w:val="00643BBF"/>
    <w:rsid w:val="006452F9"/>
    <w:rsid w:val="00647153"/>
    <w:rsid w:val="006505A9"/>
    <w:rsid w:val="00652E35"/>
    <w:rsid w:val="00653FFD"/>
    <w:rsid w:val="0065439C"/>
    <w:rsid w:val="00654E7F"/>
    <w:rsid w:val="006651CB"/>
    <w:rsid w:val="006660F7"/>
    <w:rsid w:val="006712EF"/>
    <w:rsid w:val="00676839"/>
    <w:rsid w:val="00681F5C"/>
    <w:rsid w:val="006825AA"/>
    <w:rsid w:val="006851D9"/>
    <w:rsid w:val="0068538D"/>
    <w:rsid w:val="00686231"/>
    <w:rsid w:val="0069175D"/>
    <w:rsid w:val="00694A73"/>
    <w:rsid w:val="0069638B"/>
    <w:rsid w:val="006A0573"/>
    <w:rsid w:val="006A4E3F"/>
    <w:rsid w:val="006A5C3E"/>
    <w:rsid w:val="006B048D"/>
    <w:rsid w:val="006B09FF"/>
    <w:rsid w:val="006B125D"/>
    <w:rsid w:val="006B3892"/>
    <w:rsid w:val="006B4CEF"/>
    <w:rsid w:val="006B6BF8"/>
    <w:rsid w:val="006C1B04"/>
    <w:rsid w:val="006C53CB"/>
    <w:rsid w:val="006C5617"/>
    <w:rsid w:val="006D10AC"/>
    <w:rsid w:val="006D1B23"/>
    <w:rsid w:val="006E1998"/>
    <w:rsid w:val="006E365E"/>
    <w:rsid w:val="006E42A0"/>
    <w:rsid w:val="006E77DE"/>
    <w:rsid w:val="006F41CC"/>
    <w:rsid w:val="006F75FA"/>
    <w:rsid w:val="00702724"/>
    <w:rsid w:val="00702CD7"/>
    <w:rsid w:val="00702EA5"/>
    <w:rsid w:val="007044E1"/>
    <w:rsid w:val="007067FB"/>
    <w:rsid w:val="0071601B"/>
    <w:rsid w:val="0071725C"/>
    <w:rsid w:val="00720C00"/>
    <w:rsid w:val="00720ED8"/>
    <w:rsid w:val="00723A1E"/>
    <w:rsid w:val="00730574"/>
    <w:rsid w:val="007310DF"/>
    <w:rsid w:val="00731C84"/>
    <w:rsid w:val="00733039"/>
    <w:rsid w:val="00734305"/>
    <w:rsid w:val="007357FF"/>
    <w:rsid w:val="00737F1C"/>
    <w:rsid w:val="00741EB7"/>
    <w:rsid w:val="00744A9E"/>
    <w:rsid w:val="0074616B"/>
    <w:rsid w:val="00755898"/>
    <w:rsid w:val="00757222"/>
    <w:rsid w:val="007647E7"/>
    <w:rsid w:val="007717F0"/>
    <w:rsid w:val="007736C1"/>
    <w:rsid w:val="00774BD7"/>
    <w:rsid w:val="0077787B"/>
    <w:rsid w:val="00780F3B"/>
    <w:rsid w:val="0078420E"/>
    <w:rsid w:val="0078433B"/>
    <w:rsid w:val="00784A0D"/>
    <w:rsid w:val="00787F4C"/>
    <w:rsid w:val="00790A42"/>
    <w:rsid w:val="00790A7C"/>
    <w:rsid w:val="00791D0A"/>
    <w:rsid w:val="00791D0C"/>
    <w:rsid w:val="00792CBD"/>
    <w:rsid w:val="00795DD6"/>
    <w:rsid w:val="00796D5C"/>
    <w:rsid w:val="007A4153"/>
    <w:rsid w:val="007A4573"/>
    <w:rsid w:val="007A5590"/>
    <w:rsid w:val="007B5279"/>
    <w:rsid w:val="007C00F4"/>
    <w:rsid w:val="007C2B42"/>
    <w:rsid w:val="007C6D19"/>
    <w:rsid w:val="007D06A9"/>
    <w:rsid w:val="007D1719"/>
    <w:rsid w:val="007D269D"/>
    <w:rsid w:val="007D42FA"/>
    <w:rsid w:val="007D438B"/>
    <w:rsid w:val="007D5020"/>
    <w:rsid w:val="007E075C"/>
    <w:rsid w:val="007E07A7"/>
    <w:rsid w:val="007E3E50"/>
    <w:rsid w:val="007E6A84"/>
    <w:rsid w:val="007E7DC9"/>
    <w:rsid w:val="007F02FC"/>
    <w:rsid w:val="007F53AC"/>
    <w:rsid w:val="007F5EA8"/>
    <w:rsid w:val="008011C0"/>
    <w:rsid w:val="00802291"/>
    <w:rsid w:val="008038C4"/>
    <w:rsid w:val="00806A85"/>
    <w:rsid w:val="00812D26"/>
    <w:rsid w:val="00813F4C"/>
    <w:rsid w:val="00820F22"/>
    <w:rsid w:val="00825CBB"/>
    <w:rsid w:val="008269AF"/>
    <w:rsid w:val="00832F3D"/>
    <w:rsid w:val="008352BF"/>
    <w:rsid w:val="00835C98"/>
    <w:rsid w:val="00836A7A"/>
    <w:rsid w:val="00844EE0"/>
    <w:rsid w:val="00851626"/>
    <w:rsid w:val="00852F48"/>
    <w:rsid w:val="00855CD5"/>
    <w:rsid w:val="00857951"/>
    <w:rsid w:val="008647DC"/>
    <w:rsid w:val="008659A2"/>
    <w:rsid w:val="00867306"/>
    <w:rsid w:val="008724C3"/>
    <w:rsid w:val="0087731C"/>
    <w:rsid w:val="00877EF4"/>
    <w:rsid w:val="00884088"/>
    <w:rsid w:val="00892CB0"/>
    <w:rsid w:val="00897194"/>
    <w:rsid w:val="008B5C30"/>
    <w:rsid w:val="008C2260"/>
    <w:rsid w:val="008C22A8"/>
    <w:rsid w:val="008C32B7"/>
    <w:rsid w:val="008C5E83"/>
    <w:rsid w:val="008D1DBE"/>
    <w:rsid w:val="008D4D42"/>
    <w:rsid w:val="008E1851"/>
    <w:rsid w:val="008F15BC"/>
    <w:rsid w:val="008F54A6"/>
    <w:rsid w:val="00900C48"/>
    <w:rsid w:val="009029A7"/>
    <w:rsid w:val="00904DBB"/>
    <w:rsid w:val="00905412"/>
    <w:rsid w:val="00905724"/>
    <w:rsid w:val="00911E88"/>
    <w:rsid w:val="009130B1"/>
    <w:rsid w:val="00913684"/>
    <w:rsid w:val="00914F0D"/>
    <w:rsid w:val="00917E4F"/>
    <w:rsid w:val="00917EAA"/>
    <w:rsid w:val="00917EDF"/>
    <w:rsid w:val="0092263B"/>
    <w:rsid w:val="00922C2B"/>
    <w:rsid w:val="009355B9"/>
    <w:rsid w:val="00940A5B"/>
    <w:rsid w:val="00942786"/>
    <w:rsid w:val="00942950"/>
    <w:rsid w:val="009430CD"/>
    <w:rsid w:val="0094377F"/>
    <w:rsid w:val="00944F4C"/>
    <w:rsid w:val="00945BE2"/>
    <w:rsid w:val="00946C84"/>
    <w:rsid w:val="00950262"/>
    <w:rsid w:val="00953616"/>
    <w:rsid w:val="00954519"/>
    <w:rsid w:val="009549CA"/>
    <w:rsid w:val="00956175"/>
    <w:rsid w:val="00957E99"/>
    <w:rsid w:val="009659EA"/>
    <w:rsid w:val="009701AF"/>
    <w:rsid w:val="00971B3B"/>
    <w:rsid w:val="00971C69"/>
    <w:rsid w:val="00973626"/>
    <w:rsid w:val="00973A17"/>
    <w:rsid w:val="00974884"/>
    <w:rsid w:val="00974F48"/>
    <w:rsid w:val="00976A07"/>
    <w:rsid w:val="00976E04"/>
    <w:rsid w:val="009851B1"/>
    <w:rsid w:val="0099089B"/>
    <w:rsid w:val="009909B8"/>
    <w:rsid w:val="0099292A"/>
    <w:rsid w:val="00992C64"/>
    <w:rsid w:val="00993D65"/>
    <w:rsid w:val="00994BD2"/>
    <w:rsid w:val="00996A30"/>
    <w:rsid w:val="009A5B25"/>
    <w:rsid w:val="009A6203"/>
    <w:rsid w:val="009B1C7E"/>
    <w:rsid w:val="009C0A4E"/>
    <w:rsid w:val="009C17C9"/>
    <w:rsid w:val="009C3AD4"/>
    <w:rsid w:val="009C4381"/>
    <w:rsid w:val="009C54B4"/>
    <w:rsid w:val="009D023C"/>
    <w:rsid w:val="009D0708"/>
    <w:rsid w:val="009D0BBC"/>
    <w:rsid w:val="009D4C89"/>
    <w:rsid w:val="009D6DCB"/>
    <w:rsid w:val="009D7A3A"/>
    <w:rsid w:val="009E07F7"/>
    <w:rsid w:val="009E4389"/>
    <w:rsid w:val="009E4F77"/>
    <w:rsid w:val="009E575F"/>
    <w:rsid w:val="009E7F62"/>
    <w:rsid w:val="009F136B"/>
    <w:rsid w:val="009F1833"/>
    <w:rsid w:val="009F42C7"/>
    <w:rsid w:val="009F48E4"/>
    <w:rsid w:val="00A00DA9"/>
    <w:rsid w:val="00A02DE2"/>
    <w:rsid w:val="00A05DE4"/>
    <w:rsid w:val="00A1111A"/>
    <w:rsid w:val="00A11634"/>
    <w:rsid w:val="00A145DE"/>
    <w:rsid w:val="00A152DD"/>
    <w:rsid w:val="00A22883"/>
    <w:rsid w:val="00A2300A"/>
    <w:rsid w:val="00A27A88"/>
    <w:rsid w:val="00A30055"/>
    <w:rsid w:val="00A30E13"/>
    <w:rsid w:val="00A33ACF"/>
    <w:rsid w:val="00A372CC"/>
    <w:rsid w:val="00A4485E"/>
    <w:rsid w:val="00A4612C"/>
    <w:rsid w:val="00A56C15"/>
    <w:rsid w:val="00A606E0"/>
    <w:rsid w:val="00A6359B"/>
    <w:rsid w:val="00A666EE"/>
    <w:rsid w:val="00A70180"/>
    <w:rsid w:val="00A71004"/>
    <w:rsid w:val="00A742A0"/>
    <w:rsid w:val="00A74B48"/>
    <w:rsid w:val="00A765BE"/>
    <w:rsid w:val="00A7673C"/>
    <w:rsid w:val="00A7700B"/>
    <w:rsid w:val="00A77F34"/>
    <w:rsid w:val="00A951B0"/>
    <w:rsid w:val="00A97146"/>
    <w:rsid w:val="00AA030E"/>
    <w:rsid w:val="00AA0AD2"/>
    <w:rsid w:val="00AA1380"/>
    <w:rsid w:val="00AA564A"/>
    <w:rsid w:val="00AB469F"/>
    <w:rsid w:val="00AB7EFF"/>
    <w:rsid w:val="00AC19BF"/>
    <w:rsid w:val="00AC2461"/>
    <w:rsid w:val="00AD0037"/>
    <w:rsid w:val="00AD2A2E"/>
    <w:rsid w:val="00AD493D"/>
    <w:rsid w:val="00AD7C66"/>
    <w:rsid w:val="00AE608C"/>
    <w:rsid w:val="00AE7A4F"/>
    <w:rsid w:val="00AF2ECA"/>
    <w:rsid w:val="00AF32CB"/>
    <w:rsid w:val="00AF5133"/>
    <w:rsid w:val="00AF64F2"/>
    <w:rsid w:val="00AF7B10"/>
    <w:rsid w:val="00B00943"/>
    <w:rsid w:val="00B00E29"/>
    <w:rsid w:val="00B053D4"/>
    <w:rsid w:val="00B11D32"/>
    <w:rsid w:val="00B12F3B"/>
    <w:rsid w:val="00B13169"/>
    <w:rsid w:val="00B15DA4"/>
    <w:rsid w:val="00B21002"/>
    <w:rsid w:val="00B210FF"/>
    <w:rsid w:val="00B21ED3"/>
    <w:rsid w:val="00B230C3"/>
    <w:rsid w:val="00B2641C"/>
    <w:rsid w:val="00B275BD"/>
    <w:rsid w:val="00B33941"/>
    <w:rsid w:val="00B42525"/>
    <w:rsid w:val="00B43C0E"/>
    <w:rsid w:val="00B448FB"/>
    <w:rsid w:val="00B464D1"/>
    <w:rsid w:val="00B475F3"/>
    <w:rsid w:val="00B52BF8"/>
    <w:rsid w:val="00B61AEA"/>
    <w:rsid w:val="00B6795D"/>
    <w:rsid w:val="00B75E5C"/>
    <w:rsid w:val="00B905C0"/>
    <w:rsid w:val="00B90856"/>
    <w:rsid w:val="00B93A9D"/>
    <w:rsid w:val="00B96FC2"/>
    <w:rsid w:val="00BA1EA2"/>
    <w:rsid w:val="00BA2D21"/>
    <w:rsid w:val="00BA675A"/>
    <w:rsid w:val="00BA70D4"/>
    <w:rsid w:val="00BA74A7"/>
    <w:rsid w:val="00BB1C2E"/>
    <w:rsid w:val="00BB1EA4"/>
    <w:rsid w:val="00BB6729"/>
    <w:rsid w:val="00BC236E"/>
    <w:rsid w:val="00BC2EF4"/>
    <w:rsid w:val="00BD0A65"/>
    <w:rsid w:val="00BD2BCB"/>
    <w:rsid w:val="00BD320C"/>
    <w:rsid w:val="00BD4F7A"/>
    <w:rsid w:val="00BE0708"/>
    <w:rsid w:val="00BE6363"/>
    <w:rsid w:val="00BF22C4"/>
    <w:rsid w:val="00C02506"/>
    <w:rsid w:val="00C049D8"/>
    <w:rsid w:val="00C07B7A"/>
    <w:rsid w:val="00C1210C"/>
    <w:rsid w:val="00C12ECE"/>
    <w:rsid w:val="00C14FF5"/>
    <w:rsid w:val="00C15CE8"/>
    <w:rsid w:val="00C227F0"/>
    <w:rsid w:val="00C23C33"/>
    <w:rsid w:val="00C30192"/>
    <w:rsid w:val="00C32D2B"/>
    <w:rsid w:val="00C50D16"/>
    <w:rsid w:val="00C609B8"/>
    <w:rsid w:val="00C61FA8"/>
    <w:rsid w:val="00C62E34"/>
    <w:rsid w:val="00C70C1E"/>
    <w:rsid w:val="00C716B2"/>
    <w:rsid w:val="00C73177"/>
    <w:rsid w:val="00C741FC"/>
    <w:rsid w:val="00C751F6"/>
    <w:rsid w:val="00C77008"/>
    <w:rsid w:val="00C82992"/>
    <w:rsid w:val="00C86FEA"/>
    <w:rsid w:val="00C94BCA"/>
    <w:rsid w:val="00C952E7"/>
    <w:rsid w:val="00CA0D88"/>
    <w:rsid w:val="00CA1B7F"/>
    <w:rsid w:val="00CA1C92"/>
    <w:rsid w:val="00CA382E"/>
    <w:rsid w:val="00CA3CBE"/>
    <w:rsid w:val="00CA6E73"/>
    <w:rsid w:val="00CB2D8E"/>
    <w:rsid w:val="00CB2F4A"/>
    <w:rsid w:val="00CB41DD"/>
    <w:rsid w:val="00CB45C1"/>
    <w:rsid w:val="00CC287C"/>
    <w:rsid w:val="00CC32EC"/>
    <w:rsid w:val="00CC33CC"/>
    <w:rsid w:val="00CC5399"/>
    <w:rsid w:val="00CC7BB9"/>
    <w:rsid w:val="00CD146A"/>
    <w:rsid w:val="00CD7F0D"/>
    <w:rsid w:val="00CE01D9"/>
    <w:rsid w:val="00CE1577"/>
    <w:rsid w:val="00CE6C79"/>
    <w:rsid w:val="00CF45F4"/>
    <w:rsid w:val="00CF7A1C"/>
    <w:rsid w:val="00D02964"/>
    <w:rsid w:val="00D02E02"/>
    <w:rsid w:val="00D065CE"/>
    <w:rsid w:val="00D06EF8"/>
    <w:rsid w:val="00D23DC2"/>
    <w:rsid w:val="00D25FEA"/>
    <w:rsid w:val="00D26D9E"/>
    <w:rsid w:val="00D3157C"/>
    <w:rsid w:val="00D33056"/>
    <w:rsid w:val="00D34808"/>
    <w:rsid w:val="00D352C4"/>
    <w:rsid w:val="00D3709F"/>
    <w:rsid w:val="00D41FEE"/>
    <w:rsid w:val="00D42E25"/>
    <w:rsid w:val="00D45C22"/>
    <w:rsid w:val="00D45FD4"/>
    <w:rsid w:val="00D51743"/>
    <w:rsid w:val="00D5565D"/>
    <w:rsid w:val="00D55D13"/>
    <w:rsid w:val="00D574E1"/>
    <w:rsid w:val="00D62EF8"/>
    <w:rsid w:val="00D63EC2"/>
    <w:rsid w:val="00D64BF2"/>
    <w:rsid w:val="00D64C18"/>
    <w:rsid w:val="00D65932"/>
    <w:rsid w:val="00D66D57"/>
    <w:rsid w:val="00D7471A"/>
    <w:rsid w:val="00D74805"/>
    <w:rsid w:val="00D74CC7"/>
    <w:rsid w:val="00D82214"/>
    <w:rsid w:val="00D85B03"/>
    <w:rsid w:val="00D90301"/>
    <w:rsid w:val="00DA25FB"/>
    <w:rsid w:val="00DA3CA0"/>
    <w:rsid w:val="00DB4520"/>
    <w:rsid w:val="00DB7043"/>
    <w:rsid w:val="00DC33DC"/>
    <w:rsid w:val="00DC471E"/>
    <w:rsid w:val="00DD023B"/>
    <w:rsid w:val="00DD0751"/>
    <w:rsid w:val="00DE25CB"/>
    <w:rsid w:val="00DE6A77"/>
    <w:rsid w:val="00DE7234"/>
    <w:rsid w:val="00DE7EA2"/>
    <w:rsid w:val="00DF03E8"/>
    <w:rsid w:val="00DF171B"/>
    <w:rsid w:val="00DF5029"/>
    <w:rsid w:val="00DF5594"/>
    <w:rsid w:val="00DF7C98"/>
    <w:rsid w:val="00E157D7"/>
    <w:rsid w:val="00E178F7"/>
    <w:rsid w:val="00E2025D"/>
    <w:rsid w:val="00E20F47"/>
    <w:rsid w:val="00E22709"/>
    <w:rsid w:val="00E24750"/>
    <w:rsid w:val="00E3122C"/>
    <w:rsid w:val="00E32243"/>
    <w:rsid w:val="00E32BD6"/>
    <w:rsid w:val="00E34115"/>
    <w:rsid w:val="00E3436D"/>
    <w:rsid w:val="00E34E79"/>
    <w:rsid w:val="00E358BB"/>
    <w:rsid w:val="00E35FF3"/>
    <w:rsid w:val="00E40694"/>
    <w:rsid w:val="00E43E9C"/>
    <w:rsid w:val="00E44414"/>
    <w:rsid w:val="00E45B83"/>
    <w:rsid w:val="00E50BD8"/>
    <w:rsid w:val="00E50D5C"/>
    <w:rsid w:val="00E513E0"/>
    <w:rsid w:val="00E5293A"/>
    <w:rsid w:val="00E554B8"/>
    <w:rsid w:val="00E562D4"/>
    <w:rsid w:val="00E56BDF"/>
    <w:rsid w:val="00E60216"/>
    <w:rsid w:val="00E65EF1"/>
    <w:rsid w:val="00E66CFE"/>
    <w:rsid w:val="00E70B5D"/>
    <w:rsid w:val="00E73C2E"/>
    <w:rsid w:val="00E7447D"/>
    <w:rsid w:val="00E76DDC"/>
    <w:rsid w:val="00E8015C"/>
    <w:rsid w:val="00E8297D"/>
    <w:rsid w:val="00E83CF5"/>
    <w:rsid w:val="00E84BDC"/>
    <w:rsid w:val="00E903E7"/>
    <w:rsid w:val="00E90705"/>
    <w:rsid w:val="00E93842"/>
    <w:rsid w:val="00E93F12"/>
    <w:rsid w:val="00E946A9"/>
    <w:rsid w:val="00E959B5"/>
    <w:rsid w:val="00EA26C8"/>
    <w:rsid w:val="00EA5C46"/>
    <w:rsid w:val="00EA6080"/>
    <w:rsid w:val="00EA7680"/>
    <w:rsid w:val="00EB36ED"/>
    <w:rsid w:val="00EB52B7"/>
    <w:rsid w:val="00EC1799"/>
    <w:rsid w:val="00EC4A87"/>
    <w:rsid w:val="00EC5188"/>
    <w:rsid w:val="00EC5C5B"/>
    <w:rsid w:val="00ED03AC"/>
    <w:rsid w:val="00ED2855"/>
    <w:rsid w:val="00ED6BEB"/>
    <w:rsid w:val="00EE67EC"/>
    <w:rsid w:val="00EF5571"/>
    <w:rsid w:val="00F1326C"/>
    <w:rsid w:val="00F142AE"/>
    <w:rsid w:val="00F1723C"/>
    <w:rsid w:val="00F231DE"/>
    <w:rsid w:val="00F25462"/>
    <w:rsid w:val="00F30AA5"/>
    <w:rsid w:val="00F311D7"/>
    <w:rsid w:val="00F3152B"/>
    <w:rsid w:val="00F3163A"/>
    <w:rsid w:val="00F33607"/>
    <w:rsid w:val="00F34376"/>
    <w:rsid w:val="00F4791C"/>
    <w:rsid w:val="00F55C5F"/>
    <w:rsid w:val="00F60354"/>
    <w:rsid w:val="00F60AB3"/>
    <w:rsid w:val="00F632CA"/>
    <w:rsid w:val="00F64150"/>
    <w:rsid w:val="00F66189"/>
    <w:rsid w:val="00F70BC7"/>
    <w:rsid w:val="00F835C5"/>
    <w:rsid w:val="00F84239"/>
    <w:rsid w:val="00F876FC"/>
    <w:rsid w:val="00F878C7"/>
    <w:rsid w:val="00F93D17"/>
    <w:rsid w:val="00F95049"/>
    <w:rsid w:val="00F9618A"/>
    <w:rsid w:val="00F9725F"/>
    <w:rsid w:val="00FA0E91"/>
    <w:rsid w:val="00FA4CDE"/>
    <w:rsid w:val="00FA55DC"/>
    <w:rsid w:val="00FB49D1"/>
    <w:rsid w:val="00FB7EA8"/>
    <w:rsid w:val="00FC08D6"/>
    <w:rsid w:val="00FC0A5E"/>
    <w:rsid w:val="00FC0DF1"/>
    <w:rsid w:val="00FC1C1B"/>
    <w:rsid w:val="00FC4F1A"/>
    <w:rsid w:val="00FC7FCD"/>
    <w:rsid w:val="00FD0A8B"/>
    <w:rsid w:val="00FD2B6F"/>
    <w:rsid w:val="00FD4D72"/>
    <w:rsid w:val="00FD7236"/>
    <w:rsid w:val="00FD7A0D"/>
    <w:rsid w:val="00FE0C42"/>
    <w:rsid w:val="00FE4011"/>
    <w:rsid w:val="00FE52D1"/>
    <w:rsid w:val="00FE6374"/>
    <w:rsid w:val="00FE7869"/>
    <w:rsid w:val="00FF08A5"/>
    <w:rsid w:val="00FF1838"/>
    <w:rsid w:val="00FF3F63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4CC"/>
    <w:rPr>
      <w:lang w:val="en-US" w:eastAsia="en-US"/>
    </w:rPr>
  </w:style>
  <w:style w:type="paragraph" w:styleId="Heading1">
    <w:name w:val="heading 1"/>
    <w:basedOn w:val="Normal"/>
    <w:next w:val="Normal"/>
    <w:qFormat/>
    <w:rsid w:val="003174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174CC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174CC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174CC"/>
    <w:pPr>
      <w:keepNext/>
      <w:tabs>
        <w:tab w:val="num" w:pos="0"/>
      </w:tabs>
      <w:spacing w:before="240" w:after="60"/>
      <w:ind w:left="2520" w:hanging="3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174CC"/>
    <w:pPr>
      <w:tabs>
        <w:tab w:val="num" w:pos="0"/>
      </w:tabs>
      <w:spacing w:before="240" w:after="60"/>
      <w:ind w:left="3240" w:hanging="3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174CC"/>
    <w:pPr>
      <w:tabs>
        <w:tab w:val="num" w:pos="36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174CC"/>
    <w:pPr>
      <w:tabs>
        <w:tab w:val="num" w:pos="360"/>
      </w:tabs>
      <w:spacing w:before="240" w:after="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3174CC"/>
    <w:pPr>
      <w:tabs>
        <w:tab w:val="num" w:pos="360"/>
      </w:tabs>
      <w:spacing w:before="240" w:after="60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3174CC"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3174CC"/>
    <w:rPr>
      <w:caps/>
      <w:sz w:val="24"/>
    </w:rPr>
  </w:style>
  <w:style w:type="paragraph" w:styleId="Subtitle">
    <w:name w:val="Subtitle"/>
    <w:basedOn w:val="Normal"/>
    <w:qFormat/>
    <w:rsid w:val="003174CC"/>
    <w:pPr>
      <w:jc w:val="center"/>
    </w:pPr>
    <w:rPr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3174C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3174CC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3174CC"/>
    <w:rPr>
      <w:b/>
      <w:sz w:val="24"/>
      <w:szCs w:val="24"/>
      <w:lang w:val="es-ES_tradnl" w:eastAsia="x-none"/>
    </w:rPr>
  </w:style>
  <w:style w:type="paragraph" w:styleId="BodyText2">
    <w:name w:val="Body Text 2"/>
    <w:basedOn w:val="Normal"/>
    <w:rsid w:val="003174CC"/>
    <w:rPr>
      <w:i/>
      <w:iCs/>
      <w:sz w:val="18"/>
      <w:lang w:val="es-ES_tradnl"/>
    </w:rPr>
  </w:style>
  <w:style w:type="character" w:styleId="CommentReference">
    <w:name w:val="annotation reference"/>
    <w:semiHidden/>
    <w:rsid w:val="00317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74CC"/>
  </w:style>
  <w:style w:type="paragraph" w:styleId="BalloonText">
    <w:name w:val="Balloon Text"/>
    <w:basedOn w:val="Normal"/>
    <w:semiHidden/>
    <w:rsid w:val="003174CC"/>
    <w:rPr>
      <w:rFonts w:ascii="Tahoma" w:hAnsi="Tahoma" w:cs="Verdana"/>
      <w:sz w:val="16"/>
      <w:szCs w:val="16"/>
    </w:rPr>
  </w:style>
  <w:style w:type="paragraph" w:customStyle="1" w:styleId="Chapter">
    <w:name w:val="Chapter"/>
    <w:basedOn w:val="Normal"/>
    <w:next w:val="Normal"/>
    <w:autoRedefine/>
    <w:rsid w:val="003174CC"/>
    <w:pPr>
      <w:numPr>
        <w:numId w:val="4"/>
      </w:numPr>
      <w:tabs>
        <w:tab w:val="left" w:pos="1440"/>
      </w:tabs>
      <w:spacing w:before="240" w:after="240"/>
      <w:jc w:val="center"/>
    </w:pPr>
    <w:rPr>
      <w:rFonts w:ascii="Verdana" w:hAnsi="Verdana"/>
      <w:b/>
      <w:smallCaps/>
      <w:noProof/>
      <w:sz w:val="24"/>
      <w:szCs w:val="16"/>
      <w:lang w:val="es-ES_tradnl"/>
    </w:rPr>
  </w:style>
  <w:style w:type="paragraph" w:customStyle="1" w:styleId="Paragraph">
    <w:name w:val="Paragraph"/>
    <w:basedOn w:val="BodyTextIndent"/>
    <w:rsid w:val="003174CC"/>
    <w:pPr>
      <w:numPr>
        <w:ilvl w:val="1"/>
        <w:numId w:val="4"/>
      </w:numPr>
      <w:spacing w:before="120"/>
      <w:jc w:val="both"/>
      <w:outlineLvl w:val="1"/>
    </w:pPr>
    <w:rPr>
      <w:rFonts w:ascii="Verdana" w:hAnsi="Verdana"/>
      <w:sz w:val="24"/>
      <w:szCs w:val="16"/>
      <w:lang w:val="es-ES_tradnl"/>
    </w:rPr>
  </w:style>
  <w:style w:type="paragraph" w:customStyle="1" w:styleId="subpar">
    <w:name w:val="subpar"/>
    <w:basedOn w:val="BodyTextIndent3"/>
    <w:rsid w:val="003174CC"/>
    <w:pPr>
      <w:numPr>
        <w:ilvl w:val="2"/>
        <w:numId w:val="4"/>
      </w:numPr>
      <w:spacing w:before="120"/>
      <w:jc w:val="both"/>
      <w:outlineLvl w:val="2"/>
    </w:pPr>
    <w:rPr>
      <w:rFonts w:ascii="Verdana" w:hAnsi="Verdana"/>
      <w:sz w:val="24"/>
      <w:lang w:val="es-ES_tradnl"/>
    </w:rPr>
  </w:style>
  <w:style w:type="paragraph" w:customStyle="1" w:styleId="SubSubPar">
    <w:name w:val="SubSubPar"/>
    <w:basedOn w:val="subpar"/>
    <w:rsid w:val="003174CC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rsid w:val="003174CC"/>
    <w:pPr>
      <w:spacing w:after="120"/>
      <w:ind w:left="283"/>
    </w:pPr>
  </w:style>
  <w:style w:type="paragraph" w:styleId="BodyTextIndent3">
    <w:name w:val="Body Text Indent 3"/>
    <w:basedOn w:val="Normal"/>
    <w:rsid w:val="003174CC"/>
    <w:pPr>
      <w:spacing w:after="120"/>
      <w:ind w:left="283"/>
    </w:pPr>
    <w:rPr>
      <w:sz w:val="16"/>
      <w:szCs w:val="16"/>
    </w:rPr>
  </w:style>
  <w:style w:type="character" w:styleId="PageNumber">
    <w:name w:val="page number"/>
    <w:rsid w:val="003174CC"/>
    <w:rPr>
      <w:rFonts w:cs="Times New Roman"/>
    </w:rPr>
  </w:style>
  <w:style w:type="paragraph" w:styleId="FootnoteText">
    <w:name w:val="footnote text"/>
    <w:basedOn w:val="Normal"/>
    <w:link w:val="FootnoteTextChar"/>
    <w:rsid w:val="003174CC"/>
  </w:style>
  <w:style w:type="character" w:styleId="FootnoteReference">
    <w:name w:val="footnote reference"/>
    <w:semiHidden/>
    <w:rsid w:val="003174CC"/>
    <w:rPr>
      <w:rFonts w:cs="Times New Roman"/>
      <w:vertAlign w:val="superscript"/>
    </w:rPr>
  </w:style>
  <w:style w:type="paragraph" w:styleId="BodyText3">
    <w:name w:val="Body Text 3"/>
    <w:basedOn w:val="Normal"/>
    <w:rsid w:val="003174CC"/>
    <w:rPr>
      <w:sz w:val="18"/>
      <w:lang w:val="es-ES_tradnl"/>
    </w:rPr>
  </w:style>
  <w:style w:type="paragraph" w:customStyle="1" w:styleId="Contedodatabela">
    <w:name w:val="Conteúdo da tabela"/>
    <w:basedOn w:val="Normal"/>
    <w:rsid w:val="003235DC"/>
    <w:pPr>
      <w:widowControl w:val="0"/>
      <w:suppressLineNumbers/>
      <w:suppressAutoHyphens/>
    </w:pPr>
    <w:rPr>
      <w:rFonts w:eastAsia="Arial Unicode MS" w:cs="Tahoma"/>
      <w:sz w:val="24"/>
      <w:szCs w:val="24"/>
      <w:lang w:val="es-ES_tradnl"/>
    </w:rPr>
  </w:style>
  <w:style w:type="character" w:customStyle="1" w:styleId="FootnoteTextChar">
    <w:name w:val="Footnote Text Char"/>
    <w:link w:val="FootnoteText"/>
    <w:locked/>
    <w:rsid w:val="0078420E"/>
    <w:rPr>
      <w:rFonts w:cs="Times New Roman"/>
      <w:lang w:val="en-US" w:eastAsia="en-US" w:bidi="ar-SA"/>
    </w:rPr>
  </w:style>
  <w:style w:type="paragraph" w:customStyle="1" w:styleId="Newpage">
    <w:name w:val="Newpage"/>
    <w:basedOn w:val="Chapter"/>
    <w:rsid w:val="00D45C22"/>
    <w:pPr>
      <w:numPr>
        <w:numId w:val="0"/>
      </w:numPr>
      <w:tabs>
        <w:tab w:val="clear" w:pos="1440"/>
        <w:tab w:val="left" w:pos="3060"/>
      </w:tabs>
      <w:spacing w:before="0" w:after="0"/>
    </w:pPr>
    <w:rPr>
      <w:rFonts w:ascii="Times New Roman" w:hAnsi="Times New Roman" w:cs="Arial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5724"/>
  </w:style>
  <w:style w:type="character" w:styleId="FollowedHyperlink">
    <w:name w:val="FollowedHyperlink"/>
    <w:rsid w:val="002C4DF7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B00943"/>
  </w:style>
  <w:style w:type="paragraph" w:styleId="BlockText">
    <w:name w:val="Block Text"/>
    <w:basedOn w:val="Normal"/>
    <w:rsid w:val="00B00943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B00943"/>
    <w:pPr>
      <w:spacing w:after="120"/>
      <w:ind w:firstLine="210"/>
    </w:pPr>
    <w:rPr>
      <w:b w:val="0"/>
      <w:sz w:val="20"/>
      <w:szCs w:val="20"/>
      <w:lang w:val="en-US"/>
    </w:rPr>
  </w:style>
  <w:style w:type="character" w:customStyle="1" w:styleId="BodyTextChar">
    <w:name w:val="Body Text Char"/>
    <w:link w:val="BodyText"/>
    <w:rsid w:val="00B00943"/>
    <w:rPr>
      <w:b/>
      <w:sz w:val="24"/>
      <w:szCs w:val="24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B00943"/>
    <w:rPr>
      <w:b/>
      <w:sz w:val="24"/>
      <w:szCs w:val="24"/>
      <w:lang w:val="es-ES_tradnl"/>
    </w:rPr>
  </w:style>
  <w:style w:type="paragraph" w:styleId="BodyTextFirstIndent2">
    <w:name w:val="Body Text First Indent 2"/>
    <w:basedOn w:val="BodyTextIndent"/>
    <w:link w:val="BodyTextFirstIndent2Char"/>
    <w:rsid w:val="00B00943"/>
    <w:pPr>
      <w:ind w:left="360" w:firstLine="210"/>
    </w:pPr>
  </w:style>
  <w:style w:type="character" w:customStyle="1" w:styleId="BodyTextIndentChar">
    <w:name w:val="Body Text Indent Char"/>
    <w:basedOn w:val="DefaultParagraphFont"/>
    <w:link w:val="BodyTextIndent"/>
    <w:rsid w:val="00B00943"/>
  </w:style>
  <w:style w:type="character" w:customStyle="1" w:styleId="BodyTextFirstIndent2Char">
    <w:name w:val="Body Text First Indent 2 Char"/>
    <w:basedOn w:val="BodyTextIndentChar"/>
    <w:link w:val="BodyTextFirstIndent2"/>
    <w:rsid w:val="00B00943"/>
  </w:style>
  <w:style w:type="paragraph" w:styleId="BodyTextIndent2">
    <w:name w:val="Body Text Indent 2"/>
    <w:basedOn w:val="Normal"/>
    <w:link w:val="BodyTextIndent2Char"/>
    <w:rsid w:val="00B009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943"/>
  </w:style>
  <w:style w:type="paragraph" w:styleId="Caption">
    <w:name w:val="caption"/>
    <w:basedOn w:val="Normal"/>
    <w:next w:val="Normal"/>
    <w:qFormat/>
    <w:rsid w:val="00B00943"/>
    <w:rPr>
      <w:b/>
      <w:bCs/>
    </w:rPr>
  </w:style>
  <w:style w:type="paragraph" w:styleId="Closing">
    <w:name w:val="Closing"/>
    <w:basedOn w:val="Normal"/>
    <w:link w:val="ClosingChar"/>
    <w:rsid w:val="00B00943"/>
    <w:pPr>
      <w:ind w:left="4320"/>
    </w:pPr>
  </w:style>
  <w:style w:type="character" w:customStyle="1" w:styleId="ClosingChar">
    <w:name w:val="Closing Char"/>
    <w:basedOn w:val="DefaultParagraphFont"/>
    <w:link w:val="Closing"/>
    <w:rsid w:val="00B00943"/>
  </w:style>
  <w:style w:type="paragraph" w:styleId="CommentSubject">
    <w:name w:val="annotation subject"/>
    <w:basedOn w:val="CommentText"/>
    <w:next w:val="CommentText"/>
    <w:link w:val="CommentSubjectChar"/>
    <w:rsid w:val="00B0094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0943"/>
  </w:style>
  <w:style w:type="character" w:customStyle="1" w:styleId="CommentSubjectChar">
    <w:name w:val="Comment Subject Char"/>
    <w:basedOn w:val="CommentTextChar"/>
    <w:link w:val="CommentSubject"/>
    <w:rsid w:val="00B00943"/>
  </w:style>
  <w:style w:type="paragraph" w:styleId="Date">
    <w:name w:val="Date"/>
    <w:basedOn w:val="Normal"/>
    <w:next w:val="Normal"/>
    <w:link w:val="DateChar"/>
    <w:rsid w:val="00B00943"/>
  </w:style>
  <w:style w:type="character" w:customStyle="1" w:styleId="DateChar">
    <w:name w:val="Date Char"/>
    <w:basedOn w:val="DefaultParagraphFont"/>
    <w:link w:val="Date"/>
    <w:rsid w:val="00B00943"/>
  </w:style>
  <w:style w:type="paragraph" w:styleId="DocumentMap">
    <w:name w:val="Document Map"/>
    <w:basedOn w:val="Normal"/>
    <w:link w:val="DocumentMapChar"/>
    <w:rsid w:val="00B0094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0094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00943"/>
  </w:style>
  <w:style w:type="character" w:customStyle="1" w:styleId="E-mailSignatureChar">
    <w:name w:val="E-mail Signature Char"/>
    <w:basedOn w:val="DefaultParagraphFont"/>
    <w:link w:val="E-mailSignature"/>
    <w:rsid w:val="00B00943"/>
  </w:style>
  <w:style w:type="paragraph" w:styleId="EndnoteText">
    <w:name w:val="endnote text"/>
    <w:basedOn w:val="Normal"/>
    <w:link w:val="EndnoteTextChar"/>
    <w:rsid w:val="00B00943"/>
  </w:style>
  <w:style w:type="character" w:customStyle="1" w:styleId="EndnoteTextChar">
    <w:name w:val="Endnote Text Char"/>
    <w:basedOn w:val="DefaultParagraphFont"/>
    <w:link w:val="EndnoteText"/>
    <w:rsid w:val="00B00943"/>
  </w:style>
  <w:style w:type="paragraph" w:styleId="EnvelopeAddress">
    <w:name w:val="envelope address"/>
    <w:basedOn w:val="Normal"/>
    <w:rsid w:val="00B0094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B00943"/>
    <w:rPr>
      <w:rFonts w:ascii="Cambria" w:hAnsi="Cambria"/>
    </w:rPr>
  </w:style>
  <w:style w:type="paragraph" w:styleId="HTMLAddress">
    <w:name w:val="HTML Address"/>
    <w:basedOn w:val="Normal"/>
    <w:link w:val="HTMLAddressChar"/>
    <w:rsid w:val="00B00943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B00943"/>
    <w:rPr>
      <w:i/>
      <w:iCs/>
    </w:rPr>
  </w:style>
  <w:style w:type="paragraph" w:styleId="HTMLPreformatted">
    <w:name w:val="HTML Preformatted"/>
    <w:basedOn w:val="Normal"/>
    <w:link w:val="HTMLPreformattedChar"/>
    <w:rsid w:val="00B00943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B0094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00943"/>
    <w:pPr>
      <w:ind w:left="200" w:hanging="200"/>
    </w:pPr>
  </w:style>
  <w:style w:type="paragraph" w:styleId="Index2">
    <w:name w:val="index 2"/>
    <w:basedOn w:val="Normal"/>
    <w:next w:val="Normal"/>
    <w:autoRedefine/>
    <w:rsid w:val="00B00943"/>
    <w:pPr>
      <w:ind w:left="400" w:hanging="200"/>
    </w:pPr>
  </w:style>
  <w:style w:type="paragraph" w:styleId="Index3">
    <w:name w:val="index 3"/>
    <w:basedOn w:val="Normal"/>
    <w:next w:val="Normal"/>
    <w:autoRedefine/>
    <w:rsid w:val="00B00943"/>
    <w:pPr>
      <w:ind w:left="600" w:hanging="200"/>
    </w:pPr>
  </w:style>
  <w:style w:type="paragraph" w:styleId="Index4">
    <w:name w:val="index 4"/>
    <w:basedOn w:val="Normal"/>
    <w:next w:val="Normal"/>
    <w:autoRedefine/>
    <w:rsid w:val="00B00943"/>
    <w:pPr>
      <w:ind w:left="800" w:hanging="200"/>
    </w:pPr>
  </w:style>
  <w:style w:type="paragraph" w:styleId="Index5">
    <w:name w:val="index 5"/>
    <w:basedOn w:val="Normal"/>
    <w:next w:val="Normal"/>
    <w:autoRedefine/>
    <w:rsid w:val="00B00943"/>
    <w:pPr>
      <w:ind w:left="1000" w:hanging="200"/>
    </w:pPr>
  </w:style>
  <w:style w:type="paragraph" w:styleId="Index6">
    <w:name w:val="index 6"/>
    <w:basedOn w:val="Normal"/>
    <w:next w:val="Normal"/>
    <w:autoRedefine/>
    <w:rsid w:val="00B00943"/>
    <w:pPr>
      <w:ind w:left="1200" w:hanging="200"/>
    </w:pPr>
  </w:style>
  <w:style w:type="paragraph" w:styleId="Index7">
    <w:name w:val="index 7"/>
    <w:basedOn w:val="Normal"/>
    <w:next w:val="Normal"/>
    <w:autoRedefine/>
    <w:rsid w:val="00B00943"/>
    <w:pPr>
      <w:ind w:left="1400" w:hanging="200"/>
    </w:pPr>
  </w:style>
  <w:style w:type="paragraph" w:styleId="Index8">
    <w:name w:val="index 8"/>
    <w:basedOn w:val="Normal"/>
    <w:next w:val="Normal"/>
    <w:autoRedefine/>
    <w:rsid w:val="00B00943"/>
    <w:pPr>
      <w:ind w:left="1600" w:hanging="200"/>
    </w:pPr>
  </w:style>
  <w:style w:type="paragraph" w:styleId="Index9">
    <w:name w:val="index 9"/>
    <w:basedOn w:val="Normal"/>
    <w:next w:val="Normal"/>
    <w:autoRedefine/>
    <w:rsid w:val="00B00943"/>
    <w:pPr>
      <w:ind w:left="1800" w:hanging="200"/>
    </w:pPr>
  </w:style>
  <w:style w:type="paragraph" w:styleId="IndexHeading">
    <w:name w:val="index heading"/>
    <w:basedOn w:val="Normal"/>
    <w:next w:val="Index1"/>
    <w:rsid w:val="00B00943"/>
    <w:rPr>
      <w:rFonts w:ascii="Cambria" w:hAnsi="Cambria"/>
      <w:b/>
      <w:b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009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1"/>
    <w:uiPriority w:val="30"/>
    <w:rsid w:val="00B00943"/>
    <w:rPr>
      <w:b/>
      <w:bCs/>
      <w:i/>
      <w:iCs/>
      <w:color w:val="4F81BD"/>
    </w:rPr>
  </w:style>
  <w:style w:type="paragraph" w:styleId="List">
    <w:name w:val="List"/>
    <w:basedOn w:val="Normal"/>
    <w:rsid w:val="00B00943"/>
    <w:pPr>
      <w:ind w:left="360" w:hanging="360"/>
      <w:contextualSpacing/>
    </w:pPr>
  </w:style>
  <w:style w:type="paragraph" w:styleId="List2">
    <w:name w:val="List 2"/>
    <w:basedOn w:val="Normal"/>
    <w:rsid w:val="00B00943"/>
    <w:pPr>
      <w:ind w:left="720" w:hanging="360"/>
      <w:contextualSpacing/>
    </w:pPr>
  </w:style>
  <w:style w:type="paragraph" w:styleId="List3">
    <w:name w:val="List 3"/>
    <w:basedOn w:val="Normal"/>
    <w:rsid w:val="00B00943"/>
    <w:pPr>
      <w:ind w:left="1080" w:hanging="360"/>
      <w:contextualSpacing/>
    </w:pPr>
  </w:style>
  <w:style w:type="paragraph" w:styleId="List4">
    <w:name w:val="List 4"/>
    <w:basedOn w:val="Normal"/>
    <w:rsid w:val="00B00943"/>
    <w:pPr>
      <w:ind w:left="1440" w:hanging="360"/>
      <w:contextualSpacing/>
    </w:pPr>
  </w:style>
  <w:style w:type="paragraph" w:styleId="List5">
    <w:name w:val="List 5"/>
    <w:basedOn w:val="Normal"/>
    <w:rsid w:val="00B00943"/>
    <w:pPr>
      <w:ind w:left="1800" w:hanging="360"/>
      <w:contextualSpacing/>
    </w:pPr>
  </w:style>
  <w:style w:type="paragraph" w:styleId="ListBullet">
    <w:name w:val="List Bullet"/>
    <w:basedOn w:val="Normal"/>
    <w:rsid w:val="00B00943"/>
    <w:pPr>
      <w:numPr>
        <w:numId w:val="8"/>
      </w:numPr>
      <w:contextualSpacing/>
    </w:pPr>
  </w:style>
  <w:style w:type="paragraph" w:styleId="ListBullet2">
    <w:name w:val="List Bullet 2"/>
    <w:basedOn w:val="Normal"/>
    <w:rsid w:val="00B00943"/>
    <w:pPr>
      <w:numPr>
        <w:numId w:val="9"/>
      </w:numPr>
      <w:contextualSpacing/>
    </w:pPr>
  </w:style>
  <w:style w:type="paragraph" w:styleId="ListBullet3">
    <w:name w:val="List Bullet 3"/>
    <w:basedOn w:val="Normal"/>
    <w:rsid w:val="00B00943"/>
    <w:pPr>
      <w:numPr>
        <w:numId w:val="10"/>
      </w:numPr>
      <w:contextualSpacing/>
    </w:pPr>
  </w:style>
  <w:style w:type="paragraph" w:styleId="ListBullet4">
    <w:name w:val="List Bullet 4"/>
    <w:basedOn w:val="Normal"/>
    <w:rsid w:val="00B00943"/>
    <w:pPr>
      <w:numPr>
        <w:numId w:val="11"/>
      </w:numPr>
      <w:contextualSpacing/>
    </w:pPr>
  </w:style>
  <w:style w:type="paragraph" w:styleId="ListBullet5">
    <w:name w:val="List Bullet 5"/>
    <w:basedOn w:val="Normal"/>
    <w:rsid w:val="00B00943"/>
    <w:pPr>
      <w:numPr>
        <w:numId w:val="12"/>
      </w:numPr>
      <w:contextualSpacing/>
    </w:pPr>
  </w:style>
  <w:style w:type="paragraph" w:styleId="ListContinue">
    <w:name w:val="List Continue"/>
    <w:basedOn w:val="Normal"/>
    <w:rsid w:val="00B0094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0094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0094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0094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00943"/>
    <w:pPr>
      <w:spacing w:after="120"/>
      <w:ind w:left="1800"/>
      <w:contextualSpacing/>
    </w:pPr>
  </w:style>
  <w:style w:type="paragraph" w:styleId="ListNumber">
    <w:name w:val="List Number"/>
    <w:basedOn w:val="Normal"/>
    <w:rsid w:val="00B00943"/>
    <w:pPr>
      <w:numPr>
        <w:numId w:val="13"/>
      </w:numPr>
      <w:contextualSpacing/>
    </w:pPr>
  </w:style>
  <w:style w:type="paragraph" w:styleId="ListNumber2">
    <w:name w:val="List Number 2"/>
    <w:basedOn w:val="Normal"/>
    <w:rsid w:val="00B00943"/>
    <w:pPr>
      <w:numPr>
        <w:numId w:val="14"/>
      </w:numPr>
      <w:contextualSpacing/>
    </w:pPr>
  </w:style>
  <w:style w:type="paragraph" w:styleId="ListNumber3">
    <w:name w:val="List Number 3"/>
    <w:basedOn w:val="Normal"/>
    <w:rsid w:val="00B00943"/>
    <w:pPr>
      <w:numPr>
        <w:numId w:val="15"/>
      </w:numPr>
      <w:contextualSpacing/>
    </w:pPr>
  </w:style>
  <w:style w:type="paragraph" w:styleId="ListNumber4">
    <w:name w:val="List Number 4"/>
    <w:basedOn w:val="Normal"/>
    <w:rsid w:val="00B00943"/>
    <w:pPr>
      <w:numPr>
        <w:numId w:val="16"/>
      </w:numPr>
      <w:contextualSpacing/>
    </w:pPr>
  </w:style>
  <w:style w:type="paragraph" w:styleId="ListNumber5">
    <w:name w:val="List Number 5"/>
    <w:basedOn w:val="Normal"/>
    <w:rsid w:val="00B00943"/>
    <w:pPr>
      <w:numPr>
        <w:numId w:val="17"/>
      </w:numPr>
      <w:contextualSpacing/>
    </w:pPr>
  </w:style>
  <w:style w:type="paragraph" w:customStyle="1" w:styleId="ListParagraph1">
    <w:name w:val="List Paragraph1"/>
    <w:basedOn w:val="Normal"/>
    <w:uiPriority w:val="34"/>
    <w:qFormat/>
    <w:rsid w:val="00B00943"/>
    <w:pPr>
      <w:ind w:left="720"/>
    </w:pPr>
  </w:style>
  <w:style w:type="paragraph" w:styleId="MacroText">
    <w:name w:val="macro"/>
    <w:link w:val="MacroTextChar"/>
    <w:rsid w:val="00B00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B0094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00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B0094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B00943"/>
    <w:rPr>
      <w:lang w:val="en-US" w:eastAsia="en-US"/>
    </w:rPr>
  </w:style>
  <w:style w:type="paragraph" w:styleId="NormalWeb">
    <w:name w:val="Normal (Web)"/>
    <w:basedOn w:val="Normal"/>
    <w:rsid w:val="00B00943"/>
    <w:rPr>
      <w:sz w:val="24"/>
      <w:szCs w:val="24"/>
    </w:rPr>
  </w:style>
  <w:style w:type="paragraph" w:styleId="NormalIndent">
    <w:name w:val="Normal Indent"/>
    <w:basedOn w:val="Normal"/>
    <w:rsid w:val="00B009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00943"/>
  </w:style>
  <w:style w:type="character" w:customStyle="1" w:styleId="NoteHeadingChar">
    <w:name w:val="Note Heading Char"/>
    <w:basedOn w:val="DefaultParagraphFont"/>
    <w:link w:val="NoteHeading"/>
    <w:rsid w:val="00B00943"/>
  </w:style>
  <w:style w:type="paragraph" w:styleId="PlainText">
    <w:name w:val="Plain Text"/>
    <w:basedOn w:val="Normal"/>
    <w:link w:val="PlainTextChar"/>
    <w:rsid w:val="00B0094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B00943"/>
    <w:rPr>
      <w:rFonts w:ascii="Courier New" w:hAnsi="Courier New" w:cs="Courier New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B00943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1"/>
    <w:uiPriority w:val="29"/>
    <w:rsid w:val="00B0094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B00943"/>
  </w:style>
  <w:style w:type="character" w:customStyle="1" w:styleId="SalutationChar">
    <w:name w:val="Salutation Char"/>
    <w:basedOn w:val="DefaultParagraphFont"/>
    <w:link w:val="Salutation"/>
    <w:rsid w:val="00B00943"/>
  </w:style>
  <w:style w:type="paragraph" w:styleId="Signature">
    <w:name w:val="Signature"/>
    <w:basedOn w:val="Normal"/>
    <w:link w:val="SignatureChar"/>
    <w:rsid w:val="00B0094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00943"/>
  </w:style>
  <w:style w:type="paragraph" w:styleId="TableofAuthorities">
    <w:name w:val="table of authorities"/>
    <w:basedOn w:val="Normal"/>
    <w:next w:val="Normal"/>
    <w:rsid w:val="00B00943"/>
    <w:pPr>
      <w:ind w:left="200" w:hanging="200"/>
    </w:pPr>
  </w:style>
  <w:style w:type="paragraph" w:styleId="TableofFigures">
    <w:name w:val="table of figures"/>
    <w:basedOn w:val="Normal"/>
    <w:next w:val="Normal"/>
    <w:rsid w:val="00B00943"/>
  </w:style>
  <w:style w:type="paragraph" w:styleId="Title">
    <w:name w:val="Title"/>
    <w:basedOn w:val="Normal"/>
    <w:next w:val="Normal"/>
    <w:link w:val="TitleChar"/>
    <w:qFormat/>
    <w:rsid w:val="00B009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B009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00943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00943"/>
  </w:style>
  <w:style w:type="paragraph" w:styleId="TOC2">
    <w:name w:val="toc 2"/>
    <w:basedOn w:val="Normal"/>
    <w:next w:val="Normal"/>
    <w:autoRedefine/>
    <w:rsid w:val="00B00943"/>
    <w:pPr>
      <w:ind w:left="200"/>
    </w:pPr>
  </w:style>
  <w:style w:type="paragraph" w:styleId="TOC3">
    <w:name w:val="toc 3"/>
    <w:basedOn w:val="Normal"/>
    <w:next w:val="Normal"/>
    <w:autoRedefine/>
    <w:rsid w:val="00B00943"/>
    <w:pPr>
      <w:ind w:left="400"/>
    </w:pPr>
  </w:style>
  <w:style w:type="paragraph" w:styleId="TOC4">
    <w:name w:val="toc 4"/>
    <w:basedOn w:val="Normal"/>
    <w:next w:val="Normal"/>
    <w:autoRedefine/>
    <w:rsid w:val="00B00943"/>
    <w:pPr>
      <w:ind w:left="600"/>
    </w:pPr>
  </w:style>
  <w:style w:type="paragraph" w:styleId="TOC5">
    <w:name w:val="toc 5"/>
    <w:basedOn w:val="Normal"/>
    <w:next w:val="Normal"/>
    <w:autoRedefine/>
    <w:rsid w:val="00B00943"/>
    <w:pPr>
      <w:ind w:left="800"/>
    </w:pPr>
  </w:style>
  <w:style w:type="paragraph" w:styleId="TOC6">
    <w:name w:val="toc 6"/>
    <w:basedOn w:val="Normal"/>
    <w:next w:val="Normal"/>
    <w:autoRedefine/>
    <w:rsid w:val="00B00943"/>
    <w:pPr>
      <w:ind w:left="1000"/>
    </w:pPr>
  </w:style>
  <w:style w:type="paragraph" w:styleId="TOC7">
    <w:name w:val="toc 7"/>
    <w:basedOn w:val="Normal"/>
    <w:next w:val="Normal"/>
    <w:autoRedefine/>
    <w:rsid w:val="00B00943"/>
    <w:pPr>
      <w:ind w:left="1200"/>
    </w:pPr>
  </w:style>
  <w:style w:type="paragraph" w:styleId="TOC8">
    <w:name w:val="toc 8"/>
    <w:basedOn w:val="Normal"/>
    <w:next w:val="Normal"/>
    <w:autoRedefine/>
    <w:rsid w:val="00B00943"/>
    <w:pPr>
      <w:ind w:left="1400"/>
    </w:pPr>
  </w:style>
  <w:style w:type="paragraph" w:styleId="TOC9">
    <w:name w:val="toc 9"/>
    <w:basedOn w:val="Normal"/>
    <w:next w:val="Normal"/>
    <w:autoRedefine/>
    <w:rsid w:val="00B00943"/>
    <w:pPr>
      <w:ind w:left="160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00943"/>
    <w:pPr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HeaderChar1">
    <w:name w:val="Header Char1"/>
    <w:uiPriority w:val="99"/>
    <w:locked/>
    <w:rsid w:val="00F25462"/>
    <w:rPr>
      <w:lang w:val="es-ES"/>
    </w:rPr>
  </w:style>
  <w:style w:type="table" w:styleId="TableGrid">
    <w:name w:val="Table Grid"/>
    <w:basedOn w:val="TableNormal"/>
    <w:uiPriority w:val="59"/>
    <w:rsid w:val="00CE6C7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34419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6EF8"/>
  </w:style>
  <w:style w:type="paragraph" w:styleId="Revision">
    <w:name w:val="Revision"/>
    <w:hidden/>
    <w:uiPriority w:val="99"/>
    <w:semiHidden/>
    <w:rsid w:val="00B52BF8"/>
    <w:rPr>
      <w:lang w:val="en-US" w:eastAsia="en-US"/>
    </w:rPr>
  </w:style>
  <w:style w:type="paragraph" w:customStyle="1" w:styleId="Default">
    <w:name w:val="Default"/>
    <w:rsid w:val="00FD7A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4CC"/>
    <w:rPr>
      <w:lang w:val="en-US" w:eastAsia="en-US"/>
    </w:rPr>
  </w:style>
  <w:style w:type="paragraph" w:styleId="Heading1">
    <w:name w:val="heading 1"/>
    <w:basedOn w:val="Normal"/>
    <w:next w:val="Normal"/>
    <w:qFormat/>
    <w:rsid w:val="003174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174CC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174CC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174CC"/>
    <w:pPr>
      <w:keepNext/>
      <w:tabs>
        <w:tab w:val="num" w:pos="0"/>
      </w:tabs>
      <w:spacing w:before="240" w:after="60"/>
      <w:ind w:left="2520" w:hanging="3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174CC"/>
    <w:pPr>
      <w:tabs>
        <w:tab w:val="num" w:pos="0"/>
      </w:tabs>
      <w:spacing w:before="240" w:after="60"/>
      <w:ind w:left="3240" w:hanging="3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174CC"/>
    <w:pPr>
      <w:tabs>
        <w:tab w:val="num" w:pos="36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174CC"/>
    <w:pPr>
      <w:tabs>
        <w:tab w:val="num" w:pos="360"/>
      </w:tabs>
      <w:spacing w:before="240" w:after="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3174CC"/>
    <w:pPr>
      <w:tabs>
        <w:tab w:val="num" w:pos="360"/>
      </w:tabs>
      <w:spacing w:before="240" w:after="60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3174CC"/>
    <w:p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3174CC"/>
    <w:rPr>
      <w:caps/>
      <w:sz w:val="24"/>
    </w:rPr>
  </w:style>
  <w:style w:type="paragraph" w:styleId="Subtitle">
    <w:name w:val="Subtitle"/>
    <w:basedOn w:val="Normal"/>
    <w:qFormat/>
    <w:rsid w:val="003174CC"/>
    <w:pPr>
      <w:jc w:val="center"/>
    </w:pPr>
    <w:rPr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3174C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3174CC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3174CC"/>
    <w:rPr>
      <w:b/>
      <w:sz w:val="24"/>
      <w:szCs w:val="24"/>
      <w:lang w:val="es-ES_tradnl" w:eastAsia="x-none"/>
    </w:rPr>
  </w:style>
  <w:style w:type="paragraph" w:styleId="BodyText2">
    <w:name w:val="Body Text 2"/>
    <w:basedOn w:val="Normal"/>
    <w:rsid w:val="003174CC"/>
    <w:rPr>
      <w:i/>
      <w:iCs/>
      <w:sz w:val="18"/>
      <w:lang w:val="es-ES_tradnl"/>
    </w:rPr>
  </w:style>
  <w:style w:type="character" w:styleId="CommentReference">
    <w:name w:val="annotation reference"/>
    <w:semiHidden/>
    <w:rsid w:val="003174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74CC"/>
  </w:style>
  <w:style w:type="paragraph" w:styleId="BalloonText">
    <w:name w:val="Balloon Text"/>
    <w:basedOn w:val="Normal"/>
    <w:semiHidden/>
    <w:rsid w:val="003174CC"/>
    <w:rPr>
      <w:rFonts w:ascii="Tahoma" w:hAnsi="Tahoma" w:cs="Verdana"/>
      <w:sz w:val="16"/>
      <w:szCs w:val="16"/>
    </w:rPr>
  </w:style>
  <w:style w:type="paragraph" w:customStyle="1" w:styleId="Chapter">
    <w:name w:val="Chapter"/>
    <w:basedOn w:val="Normal"/>
    <w:next w:val="Normal"/>
    <w:autoRedefine/>
    <w:rsid w:val="003174CC"/>
    <w:pPr>
      <w:numPr>
        <w:numId w:val="4"/>
      </w:numPr>
      <w:tabs>
        <w:tab w:val="left" w:pos="1440"/>
      </w:tabs>
      <w:spacing w:before="240" w:after="240"/>
      <w:jc w:val="center"/>
    </w:pPr>
    <w:rPr>
      <w:rFonts w:ascii="Verdana" w:hAnsi="Verdana"/>
      <w:b/>
      <w:smallCaps/>
      <w:noProof/>
      <w:sz w:val="24"/>
      <w:szCs w:val="16"/>
      <w:lang w:val="es-ES_tradnl"/>
    </w:rPr>
  </w:style>
  <w:style w:type="paragraph" w:customStyle="1" w:styleId="Paragraph">
    <w:name w:val="Paragraph"/>
    <w:basedOn w:val="BodyTextIndent"/>
    <w:rsid w:val="003174CC"/>
    <w:pPr>
      <w:numPr>
        <w:ilvl w:val="1"/>
        <w:numId w:val="4"/>
      </w:numPr>
      <w:spacing w:before="120"/>
      <w:jc w:val="both"/>
      <w:outlineLvl w:val="1"/>
    </w:pPr>
    <w:rPr>
      <w:rFonts w:ascii="Verdana" w:hAnsi="Verdana"/>
      <w:sz w:val="24"/>
      <w:szCs w:val="16"/>
      <w:lang w:val="es-ES_tradnl"/>
    </w:rPr>
  </w:style>
  <w:style w:type="paragraph" w:customStyle="1" w:styleId="subpar">
    <w:name w:val="subpar"/>
    <w:basedOn w:val="BodyTextIndent3"/>
    <w:rsid w:val="003174CC"/>
    <w:pPr>
      <w:numPr>
        <w:ilvl w:val="2"/>
        <w:numId w:val="4"/>
      </w:numPr>
      <w:spacing w:before="120"/>
      <w:jc w:val="both"/>
      <w:outlineLvl w:val="2"/>
    </w:pPr>
    <w:rPr>
      <w:rFonts w:ascii="Verdana" w:hAnsi="Verdana"/>
      <w:sz w:val="24"/>
      <w:lang w:val="es-ES_tradnl"/>
    </w:rPr>
  </w:style>
  <w:style w:type="paragraph" w:customStyle="1" w:styleId="SubSubPar">
    <w:name w:val="SubSubPar"/>
    <w:basedOn w:val="subpar"/>
    <w:rsid w:val="003174CC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rsid w:val="003174CC"/>
    <w:pPr>
      <w:spacing w:after="120"/>
      <w:ind w:left="283"/>
    </w:pPr>
  </w:style>
  <w:style w:type="paragraph" w:styleId="BodyTextIndent3">
    <w:name w:val="Body Text Indent 3"/>
    <w:basedOn w:val="Normal"/>
    <w:rsid w:val="003174CC"/>
    <w:pPr>
      <w:spacing w:after="120"/>
      <w:ind w:left="283"/>
    </w:pPr>
    <w:rPr>
      <w:sz w:val="16"/>
      <w:szCs w:val="16"/>
    </w:rPr>
  </w:style>
  <w:style w:type="character" w:styleId="PageNumber">
    <w:name w:val="page number"/>
    <w:rsid w:val="003174CC"/>
    <w:rPr>
      <w:rFonts w:cs="Times New Roman"/>
    </w:rPr>
  </w:style>
  <w:style w:type="paragraph" w:styleId="FootnoteText">
    <w:name w:val="footnote text"/>
    <w:basedOn w:val="Normal"/>
    <w:link w:val="FootnoteTextChar"/>
    <w:rsid w:val="003174CC"/>
  </w:style>
  <w:style w:type="character" w:styleId="FootnoteReference">
    <w:name w:val="footnote reference"/>
    <w:semiHidden/>
    <w:rsid w:val="003174CC"/>
    <w:rPr>
      <w:rFonts w:cs="Times New Roman"/>
      <w:vertAlign w:val="superscript"/>
    </w:rPr>
  </w:style>
  <w:style w:type="paragraph" w:styleId="BodyText3">
    <w:name w:val="Body Text 3"/>
    <w:basedOn w:val="Normal"/>
    <w:rsid w:val="003174CC"/>
    <w:rPr>
      <w:sz w:val="18"/>
      <w:lang w:val="es-ES_tradnl"/>
    </w:rPr>
  </w:style>
  <w:style w:type="paragraph" w:customStyle="1" w:styleId="Contedodatabela">
    <w:name w:val="Conteúdo da tabela"/>
    <w:basedOn w:val="Normal"/>
    <w:rsid w:val="003235DC"/>
    <w:pPr>
      <w:widowControl w:val="0"/>
      <w:suppressLineNumbers/>
      <w:suppressAutoHyphens/>
    </w:pPr>
    <w:rPr>
      <w:rFonts w:eastAsia="Arial Unicode MS" w:cs="Tahoma"/>
      <w:sz w:val="24"/>
      <w:szCs w:val="24"/>
      <w:lang w:val="es-ES_tradnl"/>
    </w:rPr>
  </w:style>
  <w:style w:type="character" w:customStyle="1" w:styleId="FootnoteTextChar">
    <w:name w:val="Footnote Text Char"/>
    <w:link w:val="FootnoteText"/>
    <w:locked/>
    <w:rsid w:val="0078420E"/>
    <w:rPr>
      <w:rFonts w:cs="Times New Roman"/>
      <w:lang w:val="en-US" w:eastAsia="en-US" w:bidi="ar-SA"/>
    </w:rPr>
  </w:style>
  <w:style w:type="paragraph" w:customStyle="1" w:styleId="Newpage">
    <w:name w:val="Newpage"/>
    <w:basedOn w:val="Chapter"/>
    <w:rsid w:val="00D45C22"/>
    <w:pPr>
      <w:numPr>
        <w:numId w:val="0"/>
      </w:numPr>
      <w:tabs>
        <w:tab w:val="clear" w:pos="1440"/>
        <w:tab w:val="left" w:pos="3060"/>
      </w:tabs>
      <w:spacing w:before="0" w:after="0"/>
    </w:pPr>
    <w:rPr>
      <w:rFonts w:ascii="Times New Roman" w:hAnsi="Times New Roman" w:cs="Arial"/>
      <w:noProof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5724"/>
  </w:style>
  <w:style w:type="character" w:styleId="FollowedHyperlink">
    <w:name w:val="FollowedHyperlink"/>
    <w:rsid w:val="002C4DF7"/>
    <w:rPr>
      <w:color w:val="0000FF"/>
      <w:u w:val="single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B00943"/>
  </w:style>
  <w:style w:type="paragraph" w:styleId="BlockText">
    <w:name w:val="Block Text"/>
    <w:basedOn w:val="Normal"/>
    <w:rsid w:val="00B00943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B00943"/>
    <w:pPr>
      <w:spacing w:after="120"/>
      <w:ind w:firstLine="210"/>
    </w:pPr>
    <w:rPr>
      <w:b w:val="0"/>
      <w:sz w:val="20"/>
      <w:szCs w:val="20"/>
      <w:lang w:val="en-US"/>
    </w:rPr>
  </w:style>
  <w:style w:type="character" w:customStyle="1" w:styleId="BodyTextChar">
    <w:name w:val="Body Text Char"/>
    <w:link w:val="BodyText"/>
    <w:rsid w:val="00B00943"/>
    <w:rPr>
      <w:b/>
      <w:sz w:val="24"/>
      <w:szCs w:val="24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B00943"/>
    <w:rPr>
      <w:b/>
      <w:sz w:val="24"/>
      <w:szCs w:val="24"/>
      <w:lang w:val="es-ES_tradnl"/>
    </w:rPr>
  </w:style>
  <w:style w:type="paragraph" w:styleId="BodyTextFirstIndent2">
    <w:name w:val="Body Text First Indent 2"/>
    <w:basedOn w:val="BodyTextIndent"/>
    <w:link w:val="BodyTextFirstIndent2Char"/>
    <w:rsid w:val="00B00943"/>
    <w:pPr>
      <w:ind w:left="360" w:firstLine="210"/>
    </w:pPr>
  </w:style>
  <w:style w:type="character" w:customStyle="1" w:styleId="BodyTextIndentChar">
    <w:name w:val="Body Text Indent Char"/>
    <w:basedOn w:val="DefaultParagraphFont"/>
    <w:link w:val="BodyTextIndent"/>
    <w:rsid w:val="00B00943"/>
  </w:style>
  <w:style w:type="character" w:customStyle="1" w:styleId="BodyTextFirstIndent2Char">
    <w:name w:val="Body Text First Indent 2 Char"/>
    <w:basedOn w:val="BodyTextIndentChar"/>
    <w:link w:val="BodyTextFirstIndent2"/>
    <w:rsid w:val="00B00943"/>
  </w:style>
  <w:style w:type="paragraph" w:styleId="BodyTextIndent2">
    <w:name w:val="Body Text Indent 2"/>
    <w:basedOn w:val="Normal"/>
    <w:link w:val="BodyTextIndent2Char"/>
    <w:rsid w:val="00B009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943"/>
  </w:style>
  <w:style w:type="paragraph" w:styleId="Caption">
    <w:name w:val="caption"/>
    <w:basedOn w:val="Normal"/>
    <w:next w:val="Normal"/>
    <w:qFormat/>
    <w:rsid w:val="00B00943"/>
    <w:rPr>
      <w:b/>
      <w:bCs/>
    </w:rPr>
  </w:style>
  <w:style w:type="paragraph" w:styleId="Closing">
    <w:name w:val="Closing"/>
    <w:basedOn w:val="Normal"/>
    <w:link w:val="ClosingChar"/>
    <w:rsid w:val="00B00943"/>
    <w:pPr>
      <w:ind w:left="4320"/>
    </w:pPr>
  </w:style>
  <w:style w:type="character" w:customStyle="1" w:styleId="ClosingChar">
    <w:name w:val="Closing Char"/>
    <w:basedOn w:val="DefaultParagraphFont"/>
    <w:link w:val="Closing"/>
    <w:rsid w:val="00B00943"/>
  </w:style>
  <w:style w:type="paragraph" w:styleId="CommentSubject">
    <w:name w:val="annotation subject"/>
    <w:basedOn w:val="CommentText"/>
    <w:next w:val="CommentText"/>
    <w:link w:val="CommentSubjectChar"/>
    <w:rsid w:val="00B0094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0943"/>
  </w:style>
  <w:style w:type="character" w:customStyle="1" w:styleId="CommentSubjectChar">
    <w:name w:val="Comment Subject Char"/>
    <w:basedOn w:val="CommentTextChar"/>
    <w:link w:val="CommentSubject"/>
    <w:rsid w:val="00B00943"/>
  </w:style>
  <w:style w:type="paragraph" w:styleId="Date">
    <w:name w:val="Date"/>
    <w:basedOn w:val="Normal"/>
    <w:next w:val="Normal"/>
    <w:link w:val="DateChar"/>
    <w:rsid w:val="00B00943"/>
  </w:style>
  <w:style w:type="character" w:customStyle="1" w:styleId="DateChar">
    <w:name w:val="Date Char"/>
    <w:basedOn w:val="DefaultParagraphFont"/>
    <w:link w:val="Date"/>
    <w:rsid w:val="00B00943"/>
  </w:style>
  <w:style w:type="paragraph" w:styleId="DocumentMap">
    <w:name w:val="Document Map"/>
    <w:basedOn w:val="Normal"/>
    <w:link w:val="DocumentMapChar"/>
    <w:rsid w:val="00B0094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B0094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B00943"/>
  </w:style>
  <w:style w:type="character" w:customStyle="1" w:styleId="E-mailSignatureChar">
    <w:name w:val="E-mail Signature Char"/>
    <w:basedOn w:val="DefaultParagraphFont"/>
    <w:link w:val="E-mailSignature"/>
    <w:rsid w:val="00B00943"/>
  </w:style>
  <w:style w:type="paragraph" w:styleId="EndnoteText">
    <w:name w:val="endnote text"/>
    <w:basedOn w:val="Normal"/>
    <w:link w:val="EndnoteTextChar"/>
    <w:rsid w:val="00B00943"/>
  </w:style>
  <w:style w:type="character" w:customStyle="1" w:styleId="EndnoteTextChar">
    <w:name w:val="Endnote Text Char"/>
    <w:basedOn w:val="DefaultParagraphFont"/>
    <w:link w:val="EndnoteText"/>
    <w:rsid w:val="00B00943"/>
  </w:style>
  <w:style w:type="paragraph" w:styleId="EnvelopeAddress">
    <w:name w:val="envelope address"/>
    <w:basedOn w:val="Normal"/>
    <w:rsid w:val="00B0094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B00943"/>
    <w:rPr>
      <w:rFonts w:ascii="Cambria" w:hAnsi="Cambria"/>
    </w:rPr>
  </w:style>
  <w:style w:type="paragraph" w:styleId="HTMLAddress">
    <w:name w:val="HTML Address"/>
    <w:basedOn w:val="Normal"/>
    <w:link w:val="HTMLAddressChar"/>
    <w:rsid w:val="00B00943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B00943"/>
    <w:rPr>
      <w:i/>
      <w:iCs/>
    </w:rPr>
  </w:style>
  <w:style w:type="paragraph" w:styleId="HTMLPreformatted">
    <w:name w:val="HTML Preformatted"/>
    <w:basedOn w:val="Normal"/>
    <w:link w:val="HTMLPreformattedChar"/>
    <w:rsid w:val="00B00943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B0094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00943"/>
    <w:pPr>
      <w:ind w:left="200" w:hanging="200"/>
    </w:pPr>
  </w:style>
  <w:style w:type="paragraph" w:styleId="Index2">
    <w:name w:val="index 2"/>
    <w:basedOn w:val="Normal"/>
    <w:next w:val="Normal"/>
    <w:autoRedefine/>
    <w:rsid w:val="00B00943"/>
    <w:pPr>
      <w:ind w:left="400" w:hanging="200"/>
    </w:pPr>
  </w:style>
  <w:style w:type="paragraph" w:styleId="Index3">
    <w:name w:val="index 3"/>
    <w:basedOn w:val="Normal"/>
    <w:next w:val="Normal"/>
    <w:autoRedefine/>
    <w:rsid w:val="00B00943"/>
    <w:pPr>
      <w:ind w:left="600" w:hanging="200"/>
    </w:pPr>
  </w:style>
  <w:style w:type="paragraph" w:styleId="Index4">
    <w:name w:val="index 4"/>
    <w:basedOn w:val="Normal"/>
    <w:next w:val="Normal"/>
    <w:autoRedefine/>
    <w:rsid w:val="00B00943"/>
    <w:pPr>
      <w:ind w:left="800" w:hanging="200"/>
    </w:pPr>
  </w:style>
  <w:style w:type="paragraph" w:styleId="Index5">
    <w:name w:val="index 5"/>
    <w:basedOn w:val="Normal"/>
    <w:next w:val="Normal"/>
    <w:autoRedefine/>
    <w:rsid w:val="00B00943"/>
    <w:pPr>
      <w:ind w:left="1000" w:hanging="200"/>
    </w:pPr>
  </w:style>
  <w:style w:type="paragraph" w:styleId="Index6">
    <w:name w:val="index 6"/>
    <w:basedOn w:val="Normal"/>
    <w:next w:val="Normal"/>
    <w:autoRedefine/>
    <w:rsid w:val="00B00943"/>
    <w:pPr>
      <w:ind w:left="1200" w:hanging="200"/>
    </w:pPr>
  </w:style>
  <w:style w:type="paragraph" w:styleId="Index7">
    <w:name w:val="index 7"/>
    <w:basedOn w:val="Normal"/>
    <w:next w:val="Normal"/>
    <w:autoRedefine/>
    <w:rsid w:val="00B00943"/>
    <w:pPr>
      <w:ind w:left="1400" w:hanging="200"/>
    </w:pPr>
  </w:style>
  <w:style w:type="paragraph" w:styleId="Index8">
    <w:name w:val="index 8"/>
    <w:basedOn w:val="Normal"/>
    <w:next w:val="Normal"/>
    <w:autoRedefine/>
    <w:rsid w:val="00B00943"/>
    <w:pPr>
      <w:ind w:left="1600" w:hanging="200"/>
    </w:pPr>
  </w:style>
  <w:style w:type="paragraph" w:styleId="Index9">
    <w:name w:val="index 9"/>
    <w:basedOn w:val="Normal"/>
    <w:next w:val="Normal"/>
    <w:autoRedefine/>
    <w:rsid w:val="00B00943"/>
    <w:pPr>
      <w:ind w:left="1800" w:hanging="200"/>
    </w:pPr>
  </w:style>
  <w:style w:type="paragraph" w:styleId="IndexHeading">
    <w:name w:val="index heading"/>
    <w:basedOn w:val="Normal"/>
    <w:next w:val="Index1"/>
    <w:rsid w:val="00B00943"/>
    <w:rPr>
      <w:rFonts w:ascii="Cambria" w:hAnsi="Cambria"/>
      <w:b/>
      <w:bCs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009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1"/>
    <w:uiPriority w:val="30"/>
    <w:rsid w:val="00B00943"/>
    <w:rPr>
      <w:b/>
      <w:bCs/>
      <w:i/>
      <w:iCs/>
      <w:color w:val="4F81BD"/>
    </w:rPr>
  </w:style>
  <w:style w:type="paragraph" w:styleId="List">
    <w:name w:val="List"/>
    <w:basedOn w:val="Normal"/>
    <w:rsid w:val="00B00943"/>
    <w:pPr>
      <w:ind w:left="360" w:hanging="360"/>
      <w:contextualSpacing/>
    </w:pPr>
  </w:style>
  <w:style w:type="paragraph" w:styleId="List2">
    <w:name w:val="List 2"/>
    <w:basedOn w:val="Normal"/>
    <w:rsid w:val="00B00943"/>
    <w:pPr>
      <w:ind w:left="720" w:hanging="360"/>
      <w:contextualSpacing/>
    </w:pPr>
  </w:style>
  <w:style w:type="paragraph" w:styleId="List3">
    <w:name w:val="List 3"/>
    <w:basedOn w:val="Normal"/>
    <w:rsid w:val="00B00943"/>
    <w:pPr>
      <w:ind w:left="1080" w:hanging="360"/>
      <w:contextualSpacing/>
    </w:pPr>
  </w:style>
  <w:style w:type="paragraph" w:styleId="List4">
    <w:name w:val="List 4"/>
    <w:basedOn w:val="Normal"/>
    <w:rsid w:val="00B00943"/>
    <w:pPr>
      <w:ind w:left="1440" w:hanging="360"/>
      <w:contextualSpacing/>
    </w:pPr>
  </w:style>
  <w:style w:type="paragraph" w:styleId="List5">
    <w:name w:val="List 5"/>
    <w:basedOn w:val="Normal"/>
    <w:rsid w:val="00B00943"/>
    <w:pPr>
      <w:ind w:left="1800" w:hanging="360"/>
      <w:contextualSpacing/>
    </w:pPr>
  </w:style>
  <w:style w:type="paragraph" w:styleId="ListBullet">
    <w:name w:val="List Bullet"/>
    <w:basedOn w:val="Normal"/>
    <w:rsid w:val="00B00943"/>
    <w:pPr>
      <w:numPr>
        <w:numId w:val="8"/>
      </w:numPr>
      <w:contextualSpacing/>
    </w:pPr>
  </w:style>
  <w:style w:type="paragraph" w:styleId="ListBullet2">
    <w:name w:val="List Bullet 2"/>
    <w:basedOn w:val="Normal"/>
    <w:rsid w:val="00B00943"/>
    <w:pPr>
      <w:numPr>
        <w:numId w:val="9"/>
      </w:numPr>
      <w:contextualSpacing/>
    </w:pPr>
  </w:style>
  <w:style w:type="paragraph" w:styleId="ListBullet3">
    <w:name w:val="List Bullet 3"/>
    <w:basedOn w:val="Normal"/>
    <w:rsid w:val="00B00943"/>
    <w:pPr>
      <w:numPr>
        <w:numId w:val="10"/>
      </w:numPr>
      <w:contextualSpacing/>
    </w:pPr>
  </w:style>
  <w:style w:type="paragraph" w:styleId="ListBullet4">
    <w:name w:val="List Bullet 4"/>
    <w:basedOn w:val="Normal"/>
    <w:rsid w:val="00B00943"/>
    <w:pPr>
      <w:numPr>
        <w:numId w:val="11"/>
      </w:numPr>
      <w:contextualSpacing/>
    </w:pPr>
  </w:style>
  <w:style w:type="paragraph" w:styleId="ListBullet5">
    <w:name w:val="List Bullet 5"/>
    <w:basedOn w:val="Normal"/>
    <w:rsid w:val="00B00943"/>
    <w:pPr>
      <w:numPr>
        <w:numId w:val="12"/>
      </w:numPr>
      <w:contextualSpacing/>
    </w:pPr>
  </w:style>
  <w:style w:type="paragraph" w:styleId="ListContinue">
    <w:name w:val="List Continue"/>
    <w:basedOn w:val="Normal"/>
    <w:rsid w:val="00B0094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0094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B0094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B0094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B00943"/>
    <w:pPr>
      <w:spacing w:after="120"/>
      <w:ind w:left="1800"/>
      <w:contextualSpacing/>
    </w:pPr>
  </w:style>
  <w:style w:type="paragraph" w:styleId="ListNumber">
    <w:name w:val="List Number"/>
    <w:basedOn w:val="Normal"/>
    <w:rsid w:val="00B00943"/>
    <w:pPr>
      <w:numPr>
        <w:numId w:val="13"/>
      </w:numPr>
      <w:contextualSpacing/>
    </w:pPr>
  </w:style>
  <w:style w:type="paragraph" w:styleId="ListNumber2">
    <w:name w:val="List Number 2"/>
    <w:basedOn w:val="Normal"/>
    <w:rsid w:val="00B00943"/>
    <w:pPr>
      <w:numPr>
        <w:numId w:val="14"/>
      </w:numPr>
      <w:contextualSpacing/>
    </w:pPr>
  </w:style>
  <w:style w:type="paragraph" w:styleId="ListNumber3">
    <w:name w:val="List Number 3"/>
    <w:basedOn w:val="Normal"/>
    <w:rsid w:val="00B00943"/>
    <w:pPr>
      <w:numPr>
        <w:numId w:val="15"/>
      </w:numPr>
      <w:contextualSpacing/>
    </w:pPr>
  </w:style>
  <w:style w:type="paragraph" w:styleId="ListNumber4">
    <w:name w:val="List Number 4"/>
    <w:basedOn w:val="Normal"/>
    <w:rsid w:val="00B00943"/>
    <w:pPr>
      <w:numPr>
        <w:numId w:val="16"/>
      </w:numPr>
      <w:contextualSpacing/>
    </w:pPr>
  </w:style>
  <w:style w:type="paragraph" w:styleId="ListNumber5">
    <w:name w:val="List Number 5"/>
    <w:basedOn w:val="Normal"/>
    <w:rsid w:val="00B00943"/>
    <w:pPr>
      <w:numPr>
        <w:numId w:val="17"/>
      </w:numPr>
      <w:contextualSpacing/>
    </w:pPr>
  </w:style>
  <w:style w:type="paragraph" w:customStyle="1" w:styleId="ListParagraph1">
    <w:name w:val="List Paragraph1"/>
    <w:basedOn w:val="Normal"/>
    <w:uiPriority w:val="34"/>
    <w:qFormat/>
    <w:rsid w:val="00B00943"/>
    <w:pPr>
      <w:ind w:left="720"/>
    </w:pPr>
  </w:style>
  <w:style w:type="paragraph" w:styleId="MacroText">
    <w:name w:val="macro"/>
    <w:link w:val="MacroTextChar"/>
    <w:rsid w:val="00B00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rsid w:val="00B0094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B00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B0094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NoSpacing1">
    <w:name w:val="No Spacing1"/>
    <w:uiPriority w:val="1"/>
    <w:qFormat/>
    <w:rsid w:val="00B00943"/>
    <w:rPr>
      <w:lang w:val="en-US" w:eastAsia="en-US"/>
    </w:rPr>
  </w:style>
  <w:style w:type="paragraph" w:styleId="NormalWeb">
    <w:name w:val="Normal (Web)"/>
    <w:basedOn w:val="Normal"/>
    <w:rsid w:val="00B00943"/>
    <w:rPr>
      <w:sz w:val="24"/>
      <w:szCs w:val="24"/>
    </w:rPr>
  </w:style>
  <w:style w:type="paragraph" w:styleId="NormalIndent">
    <w:name w:val="Normal Indent"/>
    <w:basedOn w:val="Normal"/>
    <w:rsid w:val="00B009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00943"/>
  </w:style>
  <w:style w:type="character" w:customStyle="1" w:styleId="NoteHeadingChar">
    <w:name w:val="Note Heading Char"/>
    <w:basedOn w:val="DefaultParagraphFont"/>
    <w:link w:val="NoteHeading"/>
    <w:rsid w:val="00B00943"/>
  </w:style>
  <w:style w:type="paragraph" w:styleId="PlainText">
    <w:name w:val="Plain Text"/>
    <w:basedOn w:val="Normal"/>
    <w:link w:val="PlainTextChar"/>
    <w:rsid w:val="00B0094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B00943"/>
    <w:rPr>
      <w:rFonts w:ascii="Courier New" w:hAnsi="Courier New" w:cs="Courier New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B00943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1"/>
    <w:uiPriority w:val="29"/>
    <w:rsid w:val="00B0094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B00943"/>
  </w:style>
  <w:style w:type="character" w:customStyle="1" w:styleId="SalutationChar">
    <w:name w:val="Salutation Char"/>
    <w:basedOn w:val="DefaultParagraphFont"/>
    <w:link w:val="Salutation"/>
    <w:rsid w:val="00B00943"/>
  </w:style>
  <w:style w:type="paragraph" w:styleId="Signature">
    <w:name w:val="Signature"/>
    <w:basedOn w:val="Normal"/>
    <w:link w:val="SignatureChar"/>
    <w:rsid w:val="00B0094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B00943"/>
  </w:style>
  <w:style w:type="paragraph" w:styleId="TableofAuthorities">
    <w:name w:val="table of authorities"/>
    <w:basedOn w:val="Normal"/>
    <w:next w:val="Normal"/>
    <w:rsid w:val="00B00943"/>
    <w:pPr>
      <w:ind w:left="200" w:hanging="200"/>
    </w:pPr>
  </w:style>
  <w:style w:type="paragraph" w:styleId="TableofFigures">
    <w:name w:val="table of figures"/>
    <w:basedOn w:val="Normal"/>
    <w:next w:val="Normal"/>
    <w:rsid w:val="00B00943"/>
  </w:style>
  <w:style w:type="paragraph" w:styleId="Title">
    <w:name w:val="Title"/>
    <w:basedOn w:val="Normal"/>
    <w:next w:val="Normal"/>
    <w:link w:val="TitleChar"/>
    <w:qFormat/>
    <w:rsid w:val="00B009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B009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B00943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B00943"/>
  </w:style>
  <w:style w:type="paragraph" w:styleId="TOC2">
    <w:name w:val="toc 2"/>
    <w:basedOn w:val="Normal"/>
    <w:next w:val="Normal"/>
    <w:autoRedefine/>
    <w:rsid w:val="00B00943"/>
    <w:pPr>
      <w:ind w:left="200"/>
    </w:pPr>
  </w:style>
  <w:style w:type="paragraph" w:styleId="TOC3">
    <w:name w:val="toc 3"/>
    <w:basedOn w:val="Normal"/>
    <w:next w:val="Normal"/>
    <w:autoRedefine/>
    <w:rsid w:val="00B00943"/>
    <w:pPr>
      <w:ind w:left="400"/>
    </w:pPr>
  </w:style>
  <w:style w:type="paragraph" w:styleId="TOC4">
    <w:name w:val="toc 4"/>
    <w:basedOn w:val="Normal"/>
    <w:next w:val="Normal"/>
    <w:autoRedefine/>
    <w:rsid w:val="00B00943"/>
    <w:pPr>
      <w:ind w:left="600"/>
    </w:pPr>
  </w:style>
  <w:style w:type="paragraph" w:styleId="TOC5">
    <w:name w:val="toc 5"/>
    <w:basedOn w:val="Normal"/>
    <w:next w:val="Normal"/>
    <w:autoRedefine/>
    <w:rsid w:val="00B00943"/>
    <w:pPr>
      <w:ind w:left="800"/>
    </w:pPr>
  </w:style>
  <w:style w:type="paragraph" w:styleId="TOC6">
    <w:name w:val="toc 6"/>
    <w:basedOn w:val="Normal"/>
    <w:next w:val="Normal"/>
    <w:autoRedefine/>
    <w:rsid w:val="00B00943"/>
    <w:pPr>
      <w:ind w:left="1000"/>
    </w:pPr>
  </w:style>
  <w:style w:type="paragraph" w:styleId="TOC7">
    <w:name w:val="toc 7"/>
    <w:basedOn w:val="Normal"/>
    <w:next w:val="Normal"/>
    <w:autoRedefine/>
    <w:rsid w:val="00B00943"/>
    <w:pPr>
      <w:ind w:left="1200"/>
    </w:pPr>
  </w:style>
  <w:style w:type="paragraph" w:styleId="TOC8">
    <w:name w:val="toc 8"/>
    <w:basedOn w:val="Normal"/>
    <w:next w:val="Normal"/>
    <w:autoRedefine/>
    <w:rsid w:val="00B00943"/>
    <w:pPr>
      <w:ind w:left="1400"/>
    </w:pPr>
  </w:style>
  <w:style w:type="paragraph" w:styleId="TOC9">
    <w:name w:val="toc 9"/>
    <w:basedOn w:val="Normal"/>
    <w:next w:val="Normal"/>
    <w:autoRedefine/>
    <w:rsid w:val="00B00943"/>
    <w:pPr>
      <w:ind w:left="160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00943"/>
    <w:pPr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HeaderChar1">
    <w:name w:val="Header Char1"/>
    <w:uiPriority w:val="99"/>
    <w:locked/>
    <w:rsid w:val="00F25462"/>
    <w:rPr>
      <w:lang w:val="es-ES"/>
    </w:rPr>
  </w:style>
  <w:style w:type="table" w:styleId="TableGrid">
    <w:name w:val="Table Grid"/>
    <w:basedOn w:val="TableNormal"/>
    <w:uiPriority w:val="59"/>
    <w:rsid w:val="00CE6C7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34419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6EF8"/>
  </w:style>
  <w:style w:type="paragraph" w:styleId="Revision">
    <w:name w:val="Revision"/>
    <w:hidden/>
    <w:uiPriority w:val="99"/>
    <w:semiHidden/>
    <w:rsid w:val="00B52BF8"/>
    <w:rPr>
      <w:lang w:val="en-US" w:eastAsia="en-US"/>
    </w:rPr>
  </w:style>
  <w:style w:type="paragraph" w:customStyle="1" w:styleId="Default">
    <w:name w:val="Default"/>
    <w:rsid w:val="00FD7A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4CF6-9A7E-4C92-9DBE-ECBC639C3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23589-8D02-431B-9705-6FC08C99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2208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)</vt:lpstr>
      <vt:lpstr>)</vt:lpstr>
    </vt:vector>
  </TitlesOfParts>
  <Company>Inter-American Development Bank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Regional Operations Departments</dc:creator>
  <cp:lastModifiedBy>Inter-American Development Bank</cp:lastModifiedBy>
  <cp:revision>6</cp:revision>
  <cp:lastPrinted>2013-04-05T22:48:00Z</cp:lastPrinted>
  <dcterms:created xsi:type="dcterms:W3CDTF">2013-05-20T13:29:00Z</dcterms:created>
  <dcterms:modified xsi:type="dcterms:W3CDTF">2013-06-24T17:19:00Z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-12909551</vt:i4>
  </property>
</Properties>
</file>