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A10" w:rsidRPr="00BB52F3" w:rsidRDefault="00F60DF1" w:rsidP="008A4A10">
      <w:pPr>
        <w:keepNext/>
        <w:tabs>
          <w:tab w:val="num" w:pos="648"/>
          <w:tab w:val="left" w:pos="3060"/>
        </w:tabs>
        <w:spacing w:before="240" w:after="0" w:line="240" w:lineRule="auto"/>
        <w:ind w:firstLine="288"/>
        <w:jc w:val="center"/>
        <w:rPr>
          <w:rFonts w:ascii="Arial" w:eastAsia="Times New Roman" w:hAnsi="Arial" w:cs="Arial"/>
          <w:smallCaps/>
        </w:rPr>
      </w:pPr>
      <w:bookmarkStart w:id="0" w:name="_GoBack"/>
      <w:bookmarkEnd w:id="0"/>
      <w:r w:rsidRPr="00BB52F3">
        <w:rPr>
          <w:rFonts w:ascii="Arial" w:eastAsia="Times New Roman" w:hAnsi="Arial" w:cs="Arial"/>
          <w:smallCaps/>
        </w:rPr>
        <w:t>Document of the Inter-American Development Bank</w:t>
      </w:r>
    </w:p>
    <w:p w:rsidR="008A4A10" w:rsidRPr="00BB52F3" w:rsidRDefault="008A4A10" w:rsidP="008A4A10">
      <w:pPr>
        <w:keepNext/>
        <w:tabs>
          <w:tab w:val="num" w:pos="648"/>
          <w:tab w:val="left" w:pos="3060"/>
        </w:tabs>
        <w:spacing w:before="240" w:after="0" w:line="240" w:lineRule="auto"/>
        <w:ind w:firstLine="288"/>
        <w:jc w:val="center"/>
        <w:rPr>
          <w:rFonts w:ascii="Arial" w:eastAsia="Times New Roman" w:hAnsi="Arial" w:cs="Arial"/>
          <w:b/>
          <w:smallCaps/>
          <w:sz w:val="24"/>
          <w:szCs w:val="24"/>
        </w:rPr>
      </w:pPr>
    </w:p>
    <w:p w:rsidR="008A4A10" w:rsidRPr="00BB52F3" w:rsidRDefault="008A4A10" w:rsidP="008A4A10">
      <w:pPr>
        <w:tabs>
          <w:tab w:val="left" w:pos="1440"/>
          <w:tab w:val="left" w:pos="3060"/>
        </w:tabs>
        <w:spacing w:after="0" w:line="240" w:lineRule="auto"/>
        <w:jc w:val="center"/>
        <w:rPr>
          <w:rFonts w:ascii="Arial" w:eastAsia="Times New Roman" w:hAnsi="Arial" w:cs="Arial"/>
          <w:smallCaps/>
          <w:sz w:val="24"/>
          <w:szCs w:val="24"/>
        </w:rPr>
      </w:pPr>
    </w:p>
    <w:p w:rsidR="008A4A10" w:rsidRPr="00BB52F3" w:rsidRDefault="008A4A10" w:rsidP="008A4A10">
      <w:pPr>
        <w:tabs>
          <w:tab w:val="left" w:pos="1440"/>
          <w:tab w:val="left" w:pos="3060"/>
        </w:tabs>
        <w:spacing w:after="0" w:line="240" w:lineRule="auto"/>
        <w:jc w:val="center"/>
        <w:rPr>
          <w:rFonts w:ascii="Arial" w:eastAsia="Times New Roman" w:hAnsi="Arial" w:cs="Arial"/>
          <w:smallCaps/>
          <w:sz w:val="24"/>
          <w:szCs w:val="24"/>
        </w:rPr>
      </w:pPr>
    </w:p>
    <w:p w:rsidR="008A4A10" w:rsidRPr="00BB52F3" w:rsidRDefault="008A4A10" w:rsidP="008A4A10">
      <w:pPr>
        <w:tabs>
          <w:tab w:val="left" w:pos="1440"/>
          <w:tab w:val="left" w:pos="3060"/>
        </w:tabs>
        <w:spacing w:after="0" w:line="240" w:lineRule="auto"/>
        <w:jc w:val="center"/>
        <w:rPr>
          <w:rFonts w:ascii="Arial" w:eastAsia="Times New Roman" w:hAnsi="Arial" w:cs="Arial"/>
          <w:smallCaps/>
          <w:sz w:val="24"/>
          <w:szCs w:val="24"/>
        </w:rPr>
      </w:pPr>
    </w:p>
    <w:p w:rsidR="008A4A10" w:rsidRPr="00BB52F3" w:rsidRDefault="008A4A10" w:rsidP="008A4A10">
      <w:pPr>
        <w:tabs>
          <w:tab w:val="left" w:pos="1440"/>
          <w:tab w:val="left" w:pos="3060"/>
        </w:tabs>
        <w:spacing w:after="0" w:line="240" w:lineRule="auto"/>
        <w:jc w:val="center"/>
        <w:rPr>
          <w:rFonts w:ascii="Arial" w:eastAsia="Times New Roman" w:hAnsi="Arial" w:cs="Arial"/>
          <w:smallCaps/>
          <w:sz w:val="24"/>
          <w:szCs w:val="24"/>
        </w:rPr>
      </w:pPr>
    </w:p>
    <w:p w:rsidR="008A4A10" w:rsidRPr="00BB52F3" w:rsidRDefault="008A4A10" w:rsidP="008A4A10">
      <w:pPr>
        <w:tabs>
          <w:tab w:val="left" w:pos="1440"/>
          <w:tab w:val="left" w:pos="3060"/>
        </w:tabs>
        <w:spacing w:after="0" w:line="240" w:lineRule="auto"/>
        <w:jc w:val="center"/>
        <w:rPr>
          <w:rFonts w:ascii="Arial" w:eastAsia="Times New Roman" w:hAnsi="Arial" w:cs="Arial"/>
          <w:smallCaps/>
          <w:sz w:val="24"/>
          <w:szCs w:val="24"/>
        </w:rPr>
      </w:pPr>
    </w:p>
    <w:p w:rsidR="008A4A10" w:rsidRPr="00BB52F3" w:rsidRDefault="008A4A10" w:rsidP="008A4A10">
      <w:pPr>
        <w:tabs>
          <w:tab w:val="left" w:pos="1440"/>
          <w:tab w:val="left" w:pos="3060"/>
        </w:tabs>
        <w:spacing w:after="0" w:line="240" w:lineRule="auto"/>
        <w:jc w:val="center"/>
        <w:rPr>
          <w:rFonts w:ascii="Arial" w:eastAsia="Times New Roman" w:hAnsi="Arial" w:cs="Arial"/>
          <w:smallCaps/>
          <w:sz w:val="24"/>
          <w:szCs w:val="24"/>
        </w:rPr>
      </w:pPr>
    </w:p>
    <w:p w:rsidR="008A4A10" w:rsidRPr="00BB52F3" w:rsidRDefault="008A4A10" w:rsidP="008A4A10">
      <w:pPr>
        <w:tabs>
          <w:tab w:val="left" w:pos="1440"/>
          <w:tab w:val="left" w:pos="3060"/>
        </w:tabs>
        <w:spacing w:after="0" w:line="240" w:lineRule="auto"/>
        <w:jc w:val="center"/>
        <w:rPr>
          <w:rFonts w:ascii="Arial" w:eastAsia="Times New Roman" w:hAnsi="Arial" w:cs="Arial"/>
          <w:smallCaps/>
          <w:sz w:val="24"/>
          <w:szCs w:val="24"/>
        </w:rPr>
      </w:pPr>
    </w:p>
    <w:p w:rsidR="008A4A10" w:rsidRPr="00BB52F3" w:rsidRDefault="008A4A10" w:rsidP="008A4A10">
      <w:pPr>
        <w:tabs>
          <w:tab w:val="left" w:pos="1440"/>
          <w:tab w:val="left" w:pos="3060"/>
        </w:tabs>
        <w:spacing w:after="0" w:line="240" w:lineRule="auto"/>
        <w:jc w:val="center"/>
        <w:rPr>
          <w:rFonts w:ascii="Arial" w:eastAsia="Times New Roman" w:hAnsi="Arial" w:cs="Arial"/>
          <w:smallCaps/>
          <w:sz w:val="24"/>
          <w:szCs w:val="24"/>
        </w:rPr>
      </w:pPr>
    </w:p>
    <w:p w:rsidR="0001267D" w:rsidRPr="00DF20F3" w:rsidRDefault="00E75D6A" w:rsidP="0001267D">
      <w:pPr>
        <w:spacing w:after="0" w:line="240" w:lineRule="auto"/>
        <w:jc w:val="center"/>
        <w:rPr>
          <w:rFonts w:ascii="Arial" w:eastAsia="Times New Roman" w:hAnsi="Arial" w:cs="Arial"/>
          <w:b/>
          <w:smallCaps/>
          <w:sz w:val="28"/>
          <w:szCs w:val="28"/>
        </w:rPr>
      </w:pPr>
      <w:r w:rsidRPr="00DF20F3">
        <w:rPr>
          <w:rFonts w:ascii="Arial" w:eastAsia="Times New Roman" w:hAnsi="Arial" w:cs="Arial"/>
          <w:b/>
          <w:smallCaps/>
          <w:sz w:val="28"/>
          <w:szCs w:val="28"/>
        </w:rPr>
        <w:t>Regional</w:t>
      </w:r>
    </w:p>
    <w:p w:rsidR="0001267D" w:rsidRPr="00DF20F3" w:rsidRDefault="0001267D" w:rsidP="0001267D">
      <w:pPr>
        <w:spacing w:after="0" w:line="240" w:lineRule="auto"/>
        <w:jc w:val="center"/>
        <w:rPr>
          <w:rFonts w:ascii="Arial" w:eastAsia="Times New Roman" w:hAnsi="Arial" w:cs="Arial"/>
          <w:b/>
          <w:smallCaps/>
          <w:sz w:val="28"/>
          <w:szCs w:val="28"/>
        </w:rPr>
      </w:pPr>
    </w:p>
    <w:p w:rsidR="0001267D" w:rsidRPr="00DF20F3" w:rsidRDefault="0001267D" w:rsidP="0001267D">
      <w:pPr>
        <w:spacing w:after="0" w:line="240" w:lineRule="auto"/>
        <w:jc w:val="center"/>
        <w:rPr>
          <w:rFonts w:ascii="Arial" w:eastAsia="Times New Roman" w:hAnsi="Arial" w:cs="Arial"/>
          <w:b/>
          <w:smallCaps/>
          <w:sz w:val="28"/>
          <w:szCs w:val="28"/>
        </w:rPr>
      </w:pPr>
    </w:p>
    <w:p w:rsidR="0001267D" w:rsidRPr="00DF20F3" w:rsidRDefault="0001267D" w:rsidP="0001267D">
      <w:pPr>
        <w:spacing w:after="0" w:line="240" w:lineRule="auto"/>
        <w:jc w:val="center"/>
        <w:rPr>
          <w:rFonts w:ascii="Arial" w:eastAsia="Times New Roman" w:hAnsi="Arial" w:cs="Arial"/>
          <w:b/>
          <w:smallCaps/>
          <w:sz w:val="28"/>
          <w:szCs w:val="28"/>
        </w:rPr>
      </w:pPr>
    </w:p>
    <w:p w:rsidR="0001267D" w:rsidRPr="00DF20F3" w:rsidRDefault="00E75D6A" w:rsidP="0001267D">
      <w:pPr>
        <w:spacing w:after="0" w:line="240" w:lineRule="auto"/>
        <w:jc w:val="center"/>
        <w:rPr>
          <w:rFonts w:ascii="Arial" w:eastAsia="Times New Roman" w:hAnsi="Arial" w:cs="Arial"/>
          <w:b/>
          <w:smallCaps/>
          <w:sz w:val="28"/>
          <w:szCs w:val="28"/>
        </w:rPr>
      </w:pPr>
      <w:r w:rsidRPr="00DF20F3">
        <w:rPr>
          <w:rFonts w:ascii="Arial" w:eastAsia="Times New Roman" w:hAnsi="Arial" w:cs="Arial"/>
          <w:b/>
          <w:smallCaps/>
          <w:sz w:val="28"/>
          <w:szCs w:val="28"/>
        </w:rPr>
        <w:t>Sustainable Energy Facility for the Easter</w:t>
      </w:r>
      <w:r w:rsidR="00331F1B">
        <w:rPr>
          <w:rFonts w:ascii="Arial" w:eastAsia="Times New Roman" w:hAnsi="Arial" w:cs="Arial"/>
          <w:b/>
          <w:smallCaps/>
          <w:sz w:val="28"/>
          <w:szCs w:val="28"/>
        </w:rPr>
        <w:t>n</w:t>
      </w:r>
      <w:r w:rsidRPr="00DF20F3">
        <w:rPr>
          <w:rFonts w:ascii="Arial" w:eastAsia="Times New Roman" w:hAnsi="Arial" w:cs="Arial"/>
          <w:b/>
          <w:smallCaps/>
          <w:sz w:val="28"/>
          <w:szCs w:val="28"/>
        </w:rPr>
        <w:t xml:space="preserve"> Caribbean</w:t>
      </w:r>
    </w:p>
    <w:p w:rsidR="0001267D" w:rsidRPr="00DF20F3" w:rsidRDefault="0001267D" w:rsidP="0001267D">
      <w:pPr>
        <w:spacing w:after="0" w:line="240" w:lineRule="auto"/>
        <w:jc w:val="center"/>
        <w:rPr>
          <w:rFonts w:ascii="Arial" w:eastAsia="Times New Roman" w:hAnsi="Arial" w:cs="Arial"/>
          <w:b/>
          <w:smallCaps/>
          <w:sz w:val="28"/>
          <w:szCs w:val="28"/>
        </w:rPr>
      </w:pPr>
    </w:p>
    <w:p w:rsidR="00BB52F3" w:rsidRPr="00DF20F3" w:rsidRDefault="00BB52F3" w:rsidP="0001267D">
      <w:pPr>
        <w:spacing w:after="0" w:line="240" w:lineRule="auto"/>
        <w:jc w:val="center"/>
        <w:rPr>
          <w:rFonts w:ascii="Arial" w:eastAsia="Times New Roman" w:hAnsi="Arial" w:cs="Arial"/>
          <w:b/>
          <w:smallCaps/>
        </w:rPr>
      </w:pPr>
    </w:p>
    <w:p w:rsidR="00BB52F3" w:rsidRPr="00DF20F3" w:rsidRDefault="00BB52F3" w:rsidP="0001267D">
      <w:pPr>
        <w:spacing w:after="0" w:line="240" w:lineRule="auto"/>
        <w:jc w:val="center"/>
        <w:rPr>
          <w:rFonts w:ascii="Arial" w:eastAsia="Times New Roman" w:hAnsi="Arial" w:cs="Arial"/>
          <w:b/>
          <w:smallCaps/>
        </w:rPr>
      </w:pPr>
    </w:p>
    <w:p w:rsidR="00BB52F3" w:rsidRPr="00DF20F3" w:rsidRDefault="00BB52F3" w:rsidP="0001267D">
      <w:pPr>
        <w:spacing w:after="0" w:line="240" w:lineRule="auto"/>
        <w:jc w:val="center"/>
        <w:rPr>
          <w:rFonts w:ascii="Arial" w:eastAsia="Times New Roman" w:hAnsi="Arial" w:cs="Arial"/>
          <w:b/>
          <w:smallCaps/>
        </w:rPr>
      </w:pPr>
    </w:p>
    <w:p w:rsidR="0001267D" w:rsidRPr="00DF20F3" w:rsidRDefault="0001267D" w:rsidP="0001267D">
      <w:pPr>
        <w:spacing w:after="0" w:line="240" w:lineRule="auto"/>
        <w:jc w:val="center"/>
        <w:rPr>
          <w:rFonts w:ascii="Arial" w:eastAsia="Times New Roman" w:hAnsi="Arial" w:cs="Arial"/>
          <w:b/>
          <w:smallCaps/>
        </w:rPr>
      </w:pPr>
      <w:r w:rsidRPr="00DF20F3">
        <w:rPr>
          <w:rFonts w:ascii="Arial" w:eastAsia="Times New Roman" w:hAnsi="Arial" w:cs="Arial"/>
          <w:b/>
          <w:smallCaps/>
        </w:rPr>
        <w:t>(</w:t>
      </w:r>
      <w:r w:rsidR="00E96555" w:rsidRPr="00DF20F3">
        <w:rPr>
          <w:rFonts w:ascii="Arial" w:eastAsia="Times New Roman" w:hAnsi="Arial" w:cs="Arial"/>
          <w:b/>
          <w:smallCaps/>
        </w:rPr>
        <w:t>RG-L1071</w:t>
      </w:r>
      <w:r w:rsidRPr="00DF20F3">
        <w:rPr>
          <w:rFonts w:ascii="Arial" w:eastAsia="Times New Roman" w:hAnsi="Arial" w:cs="Arial"/>
          <w:b/>
          <w:smallCaps/>
        </w:rPr>
        <w:t>)</w:t>
      </w:r>
    </w:p>
    <w:p w:rsidR="0001267D" w:rsidRPr="00DF20F3" w:rsidRDefault="0001267D" w:rsidP="0001267D">
      <w:pPr>
        <w:spacing w:after="0" w:line="240" w:lineRule="auto"/>
        <w:jc w:val="center"/>
        <w:rPr>
          <w:rFonts w:ascii="Arial" w:eastAsia="Times New Roman" w:hAnsi="Arial" w:cs="Arial"/>
          <w:b/>
          <w:smallCaps/>
        </w:rPr>
      </w:pPr>
    </w:p>
    <w:p w:rsidR="008A4A10" w:rsidRPr="00DF20F3" w:rsidRDefault="00E96555" w:rsidP="0001267D">
      <w:pPr>
        <w:spacing w:after="0" w:line="240" w:lineRule="auto"/>
        <w:jc w:val="center"/>
        <w:rPr>
          <w:rFonts w:ascii="Arial" w:eastAsia="Times New Roman" w:hAnsi="Arial" w:cs="Arial"/>
          <w:b/>
        </w:rPr>
      </w:pPr>
      <w:r w:rsidRPr="00DF20F3">
        <w:rPr>
          <w:rFonts w:ascii="Arial" w:eastAsia="Times New Roman" w:hAnsi="Arial" w:cs="Arial"/>
          <w:b/>
        </w:rPr>
        <w:t>Environmental and Social Management Report</w:t>
      </w:r>
    </w:p>
    <w:p w:rsidR="008A4A10" w:rsidRPr="00DF20F3" w:rsidRDefault="008A4A10" w:rsidP="008A4A10">
      <w:pPr>
        <w:spacing w:after="0" w:line="240" w:lineRule="auto"/>
        <w:jc w:val="center"/>
        <w:rPr>
          <w:rFonts w:ascii="Arial" w:eastAsia="Times New Roman" w:hAnsi="Arial" w:cs="Arial"/>
          <w:b/>
        </w:rPr>
      </w:pPr>
      <w:r w:rsidRPr="00DF20F3">
        <w:rPr>
          <w:rFonts w:ascii="Arial" w:eastAsia="Times New Roman" w:hAnsi="Arial" w:cs="Arial"/>
          <w:b/>
        </w:rPr>
        <w:br/>
        <w:t>(</w:t>
      </w:r>
      <w:r w:rsidR="00E96555" w:rsidRPr="00DF20F3">
        <w:rPr>
          <w:rFonts w:ascii="Arial" w:eastAsia="Times New Roman" w:hAnsi="Arial" w:cs="Arial"/>
          <w:b/>
        </w:rPr>
        <w:t>ESMR</w:t>
      </w:r>
      <w:r w:rsidRPr="00DF20F3">
        <w:rPr>
          <w:rFonts w:ascii="Arial" w:eastAsia="Times New Roman" w:hAnsi="Arial" w:cs="Arial"/>
          <w:b/>
        </w:rPr>
        <w:t>)</w:t>
      </w:r>
    </w:p>
    <w:p w:rsidR="008A4A10" w:rsidRPr="00DF20F3" w:rsidRDefault="008A4A10" w:rsidP="008A4A10">
      <w:pPr>
        <w:tabs>
          <w:tab w:val="left" w:pos="1440"/>
          <w:tab w:val="left" w:pos="3060"/>
        </w:tabs>
        <w:spacing w:after="0" w:line="240" w:lineRule="auto"/>
        <w:jc w:val="center"/>
        <w:rPr>
          <w:rFonts w:ascii="Arial" w:eastAsia="Times New Roman" w:hAnsi="Arial" w:cs="Arial"/>
          <w:sz w:val="24"/>
          <w:szCs w:val="24"/>
        </w:rPr>
      </w:pPr>
    </w:p>
    <w:p w:rsidR="008A4A10" w:rsidRPr="00DF20F3" w:rsidRDefault="008A4A10" w:rsidP="008A4A10">
      <w:pPr>
        <w:tabs>
          <w:tab w:val="left" w:pos="1440"/>
          <w:tab w:val="left" w:pos="3060"/>
        </w:tabs>
        <w:spacing w:after="0" w:line="240" w:lineRule="auto"/>
        <w:jc w:val="center"/>
        <w:rPr>
          <w:rFonts w:ascii="Arial" w:eastAsia="Times New Roman" w:hAnsi="Arial" w:cs="Arial"/>
          <w:sz w:val="24"/>
          <w:szCs w:val="24"/>
        </w:rPr>
      </w:pPr>
    </w:p>
    <w:p w:rsidR="008A4A10" w:rsidRPr="00DF20F3" w:rsidRDefault="008A4A10" w:rsidP="008A4A10">
      <w:pPr>
        <w:tabs>
          <w:tab w:val="left" w:pos="1440"/>
          <w:tab w:val="left" w:pos="3060"/>
        </w:tabs>
        <w:spacing w:after="0" w:line="240" w:lineRule="auto"/>
        <w:jc w:val="center"/>
        <w:rPr>
          <w:rFonts w:ascii="Arial" w:eastAsia="Times New Roman" w:hAnsi="Arial" w:cs="Arial"/>
          <w:sz w:val="24"/>
          <w:szCs w:val="24"/>
        </w:rPr>
      </w:pPr>
    </w:p>
    <w:p w:rsidR="008A4A10" w:rsidRPr="00DF20F3" w:rsidRDefault="008A4A10" w:rsidP="008A4A10">
      <w:pPr>
        <w:tabs>
          <w:tab w:val="left" w:pos="1440"/>
          <w:tab w:val="left" w:pos="3060"/>
        </w:tabs>
        <w:spacing w:after="0" w:line="240" w:lineRule="auto"/>
        <w:jc w:val="center"/>
        <w:rPr>
          <w:rFonts w:ascii="Arial" w:eastAsia="Times New Roman" w:hAnsi="Arial" w:cs="Arial"/>
          <w:sz w:val="24"/>
          <w:szCs w:val="24"/>
        </w:rPr>
      </w:pPr>
    </w:p>
    <w:p w:rsidR="008A4A10" w:rsidRDefault="008A4A10" w:rsidP="008A4A10">
      <w:pPr>
        <w:tabs>
          <w:tab w:val="left" w:pos="1440"/>
          <w:tab w:val="left" w:pos="3060"/>
        </w:tabs>
        <w:spacing w:after="0" w:line="240" w:lineRule="auto"/>
        <w:jc w:val="center"/>
        <w:rPr>
          <w:rFonts w:ascii="Arial" w:eastAsia="Times New Roman" w:hAnsi="Arial" w:cs="Arial"/>
          <w:sz w:val="24"/>
          <w:szCs w:val="24"/>
        </w:rPr>
      </w:pPr>
    </w:p>
    <w:p w:rsidR="00864E96" w:rsidRDefault="00864E96" w:rsidP="008A4A10">
      <w:pPr>
        <w:tabs>
          <w:tab w:val="left" w:pos="1440"/>
          <w:tab w:val="left" w:pos="3060"/>
        </w:tabs>
        <w:spacing w:after="0" w:line="240" w:lineRule="auto"/>
        <w:jc w:val="center"/>
        <w:rPr>
          <w:rFonts w:ascii="Arial" w:eastAsia="Times New Roman" w:hAnsi="Arial" w:cs="Arial"/>
          <w:sz w:val="24"/>
          <w:szCs w:val="24"/>
        </w:rPr>
      </w:pPr>
    </w:p>
    <w:p w:rsidR="00864E96" w:rsidRDefault="00864E96" w:rsidP="008A4A10">
      <w:pPr>
        <w:tabs>
          <w:tab w:val="left" w:pos="1440"/>
          <w:tab w:val="left" w:pos="3060"/>
        </w:tabs>
        <w:spacing w:after="0" w:line="240" w:lineRule="auto"/>
        <w:jc w:val="center"/>
        <w:rPr>
          <w:rFonts w:ascii="Arial" w:eastAsia="Times New Roman" w:hAnsi="Arial" w:cs="Arial"/>
          <w:sz w:val="24"/>
          <w:szCs w:val="24"/>
        </w:rPr>
      </w:pPr>
    </w:p>
    <w:p w:rsidR="00864E96" w:rsidRDefault="00864E96" w:rsidP="008A4A10">
      <w:pPr>
        <w:tabs>
          <w:tab w:val="left" w:pos="1440"/>
          <w:tab w:val="left" w:pos="3060"/>
        </w:tabs>
        <w:spacing w:after="0" w:line="240" w:lineRule="auto"/>
        <w:jc w:val="center"/>
        <w:rPr>
          <w:rFonts w:ascii="Arial" w:eastAsia="Times New Roman" w:hAnsi="Arial" w:cs="Arial"/>
          <w:sz w:val="24"/>
          <w:szCs w:val="24"/>
        </w:rPr>
      </w:pPr>
    </w:p>
    <w:p w:rsidR="00864E96" w:rsidRPr="00DF20F3" w:rsidRDefault="00864E96" w:rsidP="008A4A10">
      <w:pPr>
        <w:tabs>
          <w:tab w:val="left" w:pos="1440"/>
          <w:tab w:val="left" w:pos="3060"/>
        </w:tabs>
        <w:spacing w:after="0" w:line="240" w:lineRule="auto"/>
        <w:jc w:val="center"/>
        <w:rPr>
          <w:rFonts w:ascii="Arial" w:eastAsia="Times New Roman" w:hAnsi="Arial" w:cs="Arial"/>
          <w:sz w:val="24"/>
          <w:szCs w:val="24"/>
        </w:rPr>
      </w:pPr>
    </w:p>
    <w:p w:rsidR="008A4A10" w:rsidRPr="00DF20F3" w:rsidRDefault="008A4A10" w:rsidP="008A4A10">
      <w:pPr>
        <w:tabs>
          <w:tab w:val="left" w:pos="1440"/>
          <w:tab w:val="left" w:pos="3060"/>
        </w:tabs>
        <w:spacing w:after="0" w:line="240" w:lineRule="auto"/>
        <w:jc w:val="center"/>
        <w:rPr>
          <w:rFonts w:ascii="Arial" w:eastAsia="Times New Roman" w:hAnsi="Arial" w:cs="Arial"/>
          <w:sz w:val="24"/>
          <w:szCs w:val="24"/>
        </w:rPr>
      </w:pPr>
    </w:p>
    <w:p w:rsidR="008A4A10" w:rsidRPr="00DF20F3" w:rsidRDefault="008A4A10" w:rsidP="008A4A10">
      <w:pPr>
        <w:tabs>
          <w:tab w:val="left" w:pos="1440"/>
          <w:tab w:val="left" w:pos="3060"/>
        </w:tabs>
        <w:spacing w:after="0" w:line="240" w:lineRule="auto"/>
        <w:jc w:val="center"/>
        <w:rPr>
          <w:rFonts w:ascii="Arial" w:eastAsia="Times New Roman" w:hAnsi="Arial" w:cs="Arial"/>
        </w:rPr>
      </w:pPr>
    </w:p>
    <w:p w:rsidR="008A4A10" w:rsidRPr="00DF20F3" w:rsidRDefault="00DF20F3" w:rsidP="00B40805">
      <w:pPr>
        <w:pBdr>
          <w:top w:val="single" w:sz="4" w:space="1" w:color="auto"/>
          <w:left w:val="single" w:sz="4" w:space="4" w:color="auto"/>
          <w:bottom w:val="single" w:sz="4" w:space="1" w:color="auto"/>
          <w:right w:val="single" w:sz="4" w:space="4" w:color="auto"/>
        </w:pBdr>
        <w:jc w:val="both"/>
        <w:rPr>
          <w:rFonts w:ascii="Arial" w:eastAsia="Times New Roman" w:hAnsi="Arial" w:cs="Arial"/>
          <w:sz w:val="24"/>
          <w:szCs w:val="24"/>
        </w:rPr>
      </w:pPr>
      <w:r w:rsidRPr="00DF20F3">
        <w:rPr>
          <w:rFonts w:ascii="Arial" w:hAnsi="Arial" w:cs="Arial"/>
          <w:sz w:val="20"/>
          <w:szCs w:val="20"/>
        </w:rPr>
        <w:t>Project Team</w:t>
      </w:r>
      <w:r w:rsidR="00472D74" w:rsidRPr="00DF20F3">
        <w:rPr>
          <w:rFonts w:ascii="Arial" w:hAnsi="Arial" w:cs="Arial"/>
          <w:sz w:val="20"/>
          <w:szCs w:val="20"/>
        </w:rPr>
        <w:t xml:space="preserve">: </w:t>
      </w:r>
      <w:r w:rsidR="00B40805" w:rsidRPr="00B40805">
        <w:rPr>
          <w:rFonts w:ascii="Arial" w:hAnsi="Arial" w:cs="Arial"/>
          <w:sz w:val="20"/>
          <w:szCs w:val="20"/>
        </w:rPr>
        <w:t>Christiaan Gischler (INE/ENE), Project Team Leader; Jaiwattie Anganu (CMF/CJA)Maria Florencia Attademo (IFD/CMF), Alternate Team Leader; Emilio Sawada (INE/CUR); Adriana Valencia, Shohei Tada, Camila Gonzalez, Stephanie Suber, and Wilkferg Vanegas (INE/ENE); Maria Florencia Attademo (IFD/CMF)Jaiwattie Anganu (CMF/CJA); Maria Isabel Haro (IFD/CMF); Claudio Alatorre and Christoph Tagwerker (INE/CCS); Betina Hennig (LEG/SGO); Colin McKee and Genevieve Beaulac (VPS/ESG); Jacob Veverka (INE/TSP); Seth Stevens Colby (VPP/VPP); Paloma Marcos (SCL/GDI); Lesley Cassar (CCB/CCB); Christel Saab (CCB/CBA); Denise Salabie (FMP/CBA); Roy Parahoo (FMP/CBA); Maria Camila Padilla (FMP/CBA); Camilo Osorio (CCB/CBA); and Rochelle Franklin (CCB/CBA).</w:t>
      </w:r>
    </w:p>
    <w:p w:rsidR="008A4A10" w:rsidRPr="00BB52F3" w:rsidRDefault="00E96555" w:rsidP="00DC4734">
      <w:pPr>
        <w:numPr>
          <w:ilvl w:val="0"/>
          <w:numId w:val="1"/>
        </w:numPr>
        <w:suppressAutoHyphens/>
        <w:autoSpaceDN w:val="0"/>
        <w:spacing w:before="120" w:after="120" w:line="240" w:lineRule="auto"/>
        <w:ind w:hanging="900"/>
        <w:jc w:val="both"/>
        <w:textAlignment w:val="baseline"/>
        <w:outlineLvl w:val="1"/>
        <w:rPr>
          <w:rFonts w:ascii="Arial" w:eastAsia="Times New Roman" w:hAnsi="Arial" w:cs="Arial"/>
          <w:b/>
        </w:rPr>
      </w:pPr>
      <w:r w:rsidRPr="00DF20F3">
        <w:rPr>
          <w:rFonts w:ascii="Arial" w:eastAsia="Times New Roman" w:hAnsi="Arial" w:cs="Arial"/>
          <w:sz w:val="24"/>
          <w:szCs w:val="24"/>
        </w:rPr>
        <w:br w:type="page"/>
      </w:r>
      <w:r w:rsidR="00640849" w:rsidRPr="00BB52F3">
        <w:rPr>
          <w:rFonts w:ascii="Arial" w:eastAsia="Times New Roman" w:hAnsi="Arial" w:cs="Arial"/>
          <w:b/>
        </w:rPr>
        <w:lastRenderedPageBreak/>
        <w:t>Introduction</w:t>
      </w:r>
    </w:p>
    <w:tbl>
      <w:tblPr>
        <w:tblW w:w="9108" w:type="dxa"/>
        <w:tblInd w:w="482" w:type="dxa"/>
        <w:tblLayout w:type="fixed"/>
        <w:tblCellMar>
          <w:left w:w="122" w:type="dxa"/>
          <w:right w:w="122" w:type="dxa"/>
        </w:tblCellMar>
        <w:tblLook w:val="0000" w:firstRow="0" w:lastRow="0" w:firstColumn="0" w:lastColumn="0" w:noHBand="0" w:noVBand="0"/>
      </w:tblPr>
      <w:tblGrid>
        <w:gridCol w:w="90"/>
        <w:gridCol w:w="3060"/>
        <w:gridCol w:w="5130"/>
        <w:gridCol w:w="828"/>
      </w:tblGrid>
      <w:tr w:rsidR="00A56F4F" w:rsidRPr="00BB52F3" w:rsidTr="009116CD">
        <w:trPr>
          <w:gridAfter w:val="1"/>
          <w:wAfter w:w="828" w:type="dxa"/>
          <w:cantSplit/>
          <w:trHeight w:val="233"/>
        </w:trPr>
        <w:tc>
          <w:tcPr>
            <w:tcW w:w="8280" w:type="dxa"/>
            <w:gridSpan w:val="3"/>
          </w:tcPr>
          <w:p w:rsidR="00A56F4F" w:rsidRPr="00BB52F3" w:rsidRDefault="00A56F4F" w:rsidP="00A56F4F">
            <w:pPr>
              <w:spacing w:after="0" w:line="240" w:lineRule="auto"/>
              <w:rPr>
                <w:rFonts w:ascii="Arial" w:eastAsia="Times New Roman" w:hAnsi="Arial" w:cs="Arial"/>
              </w:rPr>
            </w:pPr>
          </w:p>
        </w:tc>
      </w:tr>
      <w:tr w:rsidR="00A56F4F" w:rsidRPr="00BB52F3" w:rsidTr="00911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90" w:type="dxa"/>
        </w:trPr>
        <w:tc>
          <w:tcPr>
            <w:tcW w:w="3060" w:type="dxa"/>
            <w:shd w:val="clear" w:color="auto" w:fill="auto"/>
          </w:tcPr>
          <w:p w:rsidR="00A56F4F" w:rsidRPr="00BB52F3" w:rsidRDefault="007F7A84"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rPr>
                <w:rFonts w:ascii="Arial" w:eastAsia="Arial Unicode MS" w:hAnsi="Arial" w:cs="Arial"/>
              </w:rPr>
            </w:pPr>
            <w:r w:rsidRPr="00BB52F3">
              <w:rPr>
                <w:rFonts w:ascii="Arial" w:eastAsia="Arial Unicode MS" w:hAnsi="Arial" w:cs="Arial"/>
              </w:rPr>
              <w:t>Country</w:t>
            </w:r>
          </w:p>
        </w:tc>
        <w:tc>
          <w:tcPr>
            <w:tcW w:w="5958" w:type="dxa"/>
            <w:gridSpan w:val="2"/>
            <w:shd w:val="clear" w:color="auto" w:fill="auto"/>
          </w:tcPr>
          <w:p w:rsidR="00A56F4F" w:rsidRPr="00BB52F3" w:rsidRDefault="007F7A84"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jc w:val="both"/>
              <w:rPr>
                <w:rFonts w:ascii="Arial" w:eastAsia="Arial Unicode MS" w:hAnsi="Arial" w:cs="Arial"/>
              </w:rPr>
            </w:pPr>
            <w:r w:rsidRPr="00BB52F3">
              <w:rPr>
                <w:rFonts w:ascii="Arial" w:eastAsia="Arial Unicode MS" w:hAnsi="Arial" w:cs="Arial"/>
              </w:rPr>
              <w:t>Regional</w:t>
            </w:r>
          </w:p>
        </w:tc>
      </w:tr>
      <w:tr w:rsidR="00A56F4F" w:rsidRPr="00BB52F3" w:rsidTr="00911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90" w:type="dxa"/>
        </w:trPr>
        <w:tc>
          <w:tcPr>
            <w:tcW w:w="3060" w:type="dxa"/>
            <w:shd w:val="clear" w:color="auto" w:fill="auto"/>
          </w:tcPr>
          <w:p w:rsidR="00A56F4F" w:rsidRPr="00BB52F3" w:rsidRDefault="00A56F4F"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rPr>
                <w:rFonts w:ascii="Arial" w:eastAsia="Arial Unicode MS" w:hAnsi="Arial" w:cs="Arial"/>
              </w:rPr>
            </w:pPr>
            <w:r w:rsidRPr="00BB52F3">
              <w:rPr>
                <w:rFonts w:ascii="Arial" w:eastAsia="Arial Unicode MS" w:hAnsi="Arial" w:cs="Arial"/>
              </w:rPr>
              <w:t>Sector</w:t>
            </w:r>
          </w:p>
        </w:tc>
        <w:tc>
          <w:tcPr>
            <w:tcW w:w="5958" w:type="dxa"/>
            <w:gridSpan w:val="2"/>
            <w:shd w:val="clear" w:color="auto" w:fill="auto"/>
          </w:tcPr>
          <w:p w:rsidR="00A56F4F" w:rsidRPr="00BB52F3" w:rsidRDefault="003C5BA6"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jc w:val="both"/>
              <w:rPr>
                <w:rFonts w:ascii="Arial" w:eastAsia="Arial Unicode MS" w:hAnsi="Arial" w:cs="Arial"/>
              </w:rPr>
            </w:pPr>
            <w:r w:rsidRPr="00BB52F3">
              <w:rPr>
                <w:rFonts w:ascii="Arial" w:eastAsia="Arial Unicode MS" w:hAnsi="Arial" w:cs="Arial"/>
              </w:rPr>
              <w:t>Financial Markets</w:t>
            </w:r>
          </w:p>
        </w:tc>
      </w:tr>
      <w:tr w:rsidR="00A56F4F" w:rsidRPr="00BB52F3" w:rsidTr="00911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90" w:type="dxa"/>
        </w:trPr>
        <w:tc>
          <w:tcPr>
            <w:tcW w:w="3060" w:type="dxa"/>
            <w:shd w:val="clear" w:color="auto" w:fill="auto"/>
          </w:tcPr>
          <w:p w:rsidR="00A56F4F" w:rsidRPr="00BB52F3" w:rsidRDefault="003C5BA6"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rPr>
                <w:rFonts w:ascii="Arial" w:eastAsia="Arial Unicode MS" w:hAnsi="Arial" w:cs="Arial"/>
              </w:rPr>
            </w:pPr>
            <w:r w:rsidRPr="00BB52F3">
              <w:rPr>
                <w:rFonts w:ascii="Arial" w:eastAsia="Arial Unicode MS" w:hAnsi="Arial" w:cs="Arial"/>
              </w:rPr>
              <w:t>Project Name</w:t>
            </w:r>
          </w:p>
        </w:tc>
        <w:tc>
          <w:tcPr>
            <w:tcW w:w="5958" w:type="dxa"/>
            <w:gridSpan w:val="2"/>
            <w:shd w:val="clear" w:color="auto" w:fill="auto"/>
          </w:tcPr>
          <w:p w:rsidR="00A56F4F" w:rsidRPr="00BB52F3" w:rsidRDefault="003C5BA6"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jc w:val="both"/>
              <w:rPr>
                <w:rFonts w:ascii="Arial" w:eastAsia="Arial Unicode MS" w:hAnsi="Arial" w:cs="Arial"/>
              </w:rPr>
            </w:pPr>
            <w:r w:rsidRPr="00BB52F3">
              <w:rPr>
                <w:rFonts w:ascii="Arial" w:eastAsia="Arial Unicode MS" w:hAnsi="Arial" w:cs="Arial"/>
              </w:rPr>
              <w:t>Sustainable Energy Facility for the Eastern Caribbean</w:t>
            </w:r>
          </w:p>
        </w:tc>
      </w:tr>
      <w:tr w:rsidR="007F7A84" w:rsidRPr="00BB52F3" w:rsidTr="00911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90" w:type="dxa"/>
        </w:trPr>
        <w:tc>
          <w:tcPr>
            <w:tcW w:w="3060" w:type="dxa"/>
            <w:shd w:val="clear" w:color="auto" w:fill="auto"/>
          </w:tcPr>
          <w:p w:rsidR="007F7A84" w:rsidRPr="00BB52F3" w:rsidRDefault="007F7A84"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rPr>
                <w:rFonts w:ascii="Arial" w:eastAsia="Arial Unicode MS" w:hAnsi="Arial" w:cs="Arial"/>
              </w:rPr>
            </w:pPr>
            <w:r w:rsidRPr="00BB52F3">
              <w:rPr>
                <w:rFonts w:ascii="Arial" w:hAnsi="Arial" w:cs="Arial"/>
              </w:rPr>
              <w:t>Borrower</w:t>
            </w:r>
          </w:p>
        </w:tc>
        <w:tc>
          <w:tcPr>
            <w:tcW w:w="5958" w:type="dxa"/>
            <w:gridSpan w:val="2"/>
            <w:shd w:val="clear" w:color="auto" w:fill="auto"/>
          </w:tcPr>
          <w:p w:rsidR="007F7A84" w:rsidRPr="00BB52F3" w:rsidRDefault="007F7A84"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jc w:val="both"/>
              <w:rPr>
                <w:rFonts w:ascii="Arial" w:eastAsia="Arial Unicode MS" w:hAnsi="Arial" w:cs="Arial"/>
              </w:rPr>
            </w:pPr>
            <w:r w:rsidRPr="00BB52F3">
              <w:rPr>
                <w:rFonts w:ascii="Arial" w:hAnsi="Arial" w:cs="Arial"/>
              </w:rPr>
              <w:t>Caribbean Development Bank</w:t>
            </w:r>
          </w:p>
        </w:tc>
      </w:tr>
      <w:tr w:rsidR="00A56F4F" w:rsidRPr="00BB52F3" w:rsidTr="00911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90" w:type="dxa"/>
        </w:trPr>
        <w:tc>
          <w:tcPr>
            <w:tcW w:w="3060" w:type="dxa"/>
            <w:shd w:val="clear" w:color="auto" w:fill="auto"/>
          </w:tcPr>
          <w:p w:rsidR="00A56F4F" w:rsidRPr="00BB52F3" w:rsidRDefault="007F7A84"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rPr>
                <w:rFonts w:ascii="Arial" w:eastAsia="Arial Unicode MS" w:hAnsi="Arial" w:cs="Arial"/>
              </w:rPr>
            </w:pPr>
            <w:r w:rsidRPr="00BB52F3">
              <w:rPr>
                <w:rFonts w:ascii="Arial" w:hAnsi="Arial" w:cs="Arial"/>
              </w:rPr>
              <w:t>Executing Agency</w:t>
            </w:r>
          </w:p>
        </w:tc>
        <w:tc>
          <w:tcPr>
            <w:tcW w:w="5958" w:type="dxa"/>
            <w:gridSpan w:val="2"/>
            <w:shd w:val="clear" w:color="auto" w:fill="auto"/>
          </w:tcPr>
          <w:p w:rsidR="00A56F4F" w:rsidRPr="00BB52F3" w:rsidRDefault="007F7A84"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jc w:val="both"/>
              <w:rPr>
                <w:rFonts w:ascii="Arial" w:eastAsia="Arial Unicode MS" w:hAnsi="Arial" w:cs="Arial"/>
              </w:rPr>
            </w:pPr>
            <w:r w:rsidRPr="00BB52F3">
              <w:rPr>
                <w:rFonts w:ascii="Arial" w:hAnsi="Arial" w:cs="Arial"/>
              </w:rPr>
              <w:t>Caribbean Development Bank</w:t>
            </w:r>
          </w:p>
        </w:tc>
      </w:tr>
      <w:tr w:rsidR="00A56F4F" w:rsidRPr="00BB52F3" w:rsidTr="00911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90" w:type="dxa"/>
        </w:trPr>
        <w:tc>
          <w:tcPr>
            <w:tcW w:w="3060" w:type="dxa"/>
            <w:shd w:val="clear" w:color="auto" w:fill="auto"/>
          </w:tcPr>
          <w:p w:rsidR="00A56F4F" w:rsidRPr="00BB52F3" w:rsidRDefault="003C5BA6"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rPr>
                <w:rFonts w:ascii="Arial" w:eastAsia="Arial Unicode MS" w:hAnsi="Arial" w:cs="Arial"/>
              </w:rPr>
            </w:pPr>
            <w:r w:rsidRPr="00BB52F3">
              <w:rPr>
                <w:rFonts w:ascii="Arial" w:eastAsia="Arial Unicode MS" w:hAnsi="Arial" w:cs="Arial"/>
              </w:rPr>
              <w:t>Transaction Type</w:t>
            </w:r>
          </w:p>
        </w:tc>
        <w:tc>
          <w:tcPr>
            <w:tcW w:w="5958" w:type="dxa"/>
            <w:gridSpan w:val="2"/>
            <w:shd w:val="clear" w:color="auto" w:fill="auto"/>
          </w:tcPr>
          <w:p w:rsidR="00A56F4F" w:rsidRPr="00BB52F3" w:rsidRDefault="003C5BA6"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jc w:val="both"/>
              <w:rPr>
                <w:rFonts w:ascii="Arial" w:eastAsia="Arial Unicode MS" w:hAnsi="Arial" w:cs="Arial"/>
              </w:rPr>
            </w:pPr>
            <w:r w:rsidRPr="00BB52F3">
              <w:rPr>
                <w:rFonts w:ascii="Arial" w:eastAsia="Arial Unicode MS" w:hAnsi="Arial" w:cs="Arial"/>
              </w:rPr>
              <w:t>Loan with Sovereign Guarantee</w:t>
            </w:r>
          </w:p>
        </w:tc>
      </w:tr>
      <w:tr w:rsidR="00A56F4F" w:rsidRPr="00BB52F3" w:rsidTr="00911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90" w:type="dxa"/>
        </w:trPr>
        <w:tc>
          <w:tcPr>
            <w:tcW w:w="3060" w:type="dxa"/>
            <w:shd w:val="clear" w:color="auto" w:fill="auto"/>
          </w:tcPr>
          <w:p w:rsidR="00A56F4F" w:rsidRPr="00BB52F3" w:rsidRDefault="003C5BA6" w:rsidP="003C5BA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rPr>
                <w:rFonts w:ascii="Arial" w:eastAsia="Arial Unicode MS" w:hAnsi="Arial" w:cs="Arial"/>
              </w:rPr>
            </w:pPr>
            <w:r w:rsidRPr="00BB52F3">
              <w:rPr>
                <w:rFonts w:ascii="Arial" w:eastAsia="Arial Unicode MS" w:hAnsi="Arial" w:cs="Arial"/>
              </w:rPr>
              <w:t>Project Cost</w:t>
            </w:r>
            <w:r w:rsidR="00A56F4F" w:rsidRPr="00BB52F3">
              <w:rPr>
                <w:rFonts w:ascii="Arial" w:eastAsia="Arial Unicode MS" w:hAnsi="Arial" w:cs="Arial"/>
              </w:rPr>
              <w:t xml:space="preserve"> (</w:t>
            </w:r>
            <w:r w:rsidRPr="00BB52F3">
              <w:rPr>
                <w:rFonts w:ascii="Arial" w:eastAsia="Arial Unicode MS" w:hAnsi="Arial" w:cs="Arial"/>
              </w:rPr>
              <w:t>in US Dollars</w:t>
            </w:r>
            <w:r w:rsidR="00A56F4F" w:rsidRPr="00BB52F3">
              <w:rPr>
                <w:rFonts w:ascii="Arial" w:eastAsia="Arial Unicode MS" w:hAnsi="Arial" w:cs="Arial"/>
              </w:rPr>
              <w:t>)</w:t>
            </w:r>
          </w:p>
        </w:tc>
        <w:tc>
          <w:tcPr>
            <w:tcW w:w="5958" w:type="dxa"/>
            <w:gridSpan w:val="2"/>
            <w:shd w:val="clear" w:color="auto" w:fill="auto"/>
          </w:tcPr>
          <w:p w:rsidR="00A56F4F" w:rsidRPr="00DC3BC8" w:rsidRDefault="00DC3BC8"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jc w:val="both"/>
              <w:rPr>
                <w:rFonts w:ascii="Arial" w:eastAsia="Arial Unicode MS" w:hAnsi="Arial" w:cs="Arial"/>
              </w:rPr>
            </w:pPr>
            <w:r w:rsidRPr="00DC3BC8">
              <w:rPr>
                <w:rFonts w:ascii="Arial" w:eastAsia="Arial Unicode MS" w:hAnsi="Arial" w:cs="Arial"/>
              </w:rPr>
              <w:t>71,498,698</w:t>
            </w:r>
          </w:p>
        </w:tc>
      </w:tr>
      <w:tr w:rsidR="00A56F4F" w:rsidRPr="00BB52F3" w:rsidTr="00911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90" w:type="dxa"/>
        </w:trPr>
        <w:tc>
          <w:tcPr>
            <w:tcW w:w="3060" w:type="dxa"/>
            <w:shd w:val="clear" w:color="auto" w:fill="auto"/>
          </w:tcPr>
          <w:p w:rsidR="00A56F4F" w:rsidRPr="00BB52F3" w:rsidRDefault="003C5BA6" w:rsidP="00A56F4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rPr>
                <w:rFonts w:ascii="Arial" w:eastAsia="Arial Unicode MS" w:hAnsi="Arial" w:cs="Arial"/>
              </w:rPr>
            </w:pPr>
            <w:r w:rsidRPr="00BB52F3">
              <w:rPr>
                <w:rFonts w:ascii="Arial" w:eastAsia="Arial Unicode MS" w:hAnsi="Arial" w:cs="Arial"/>
              </w:rPr>
              <w:t>Environmental Category</w:t>
            </w:r>
          </w:p>
        </w:tc>
        <w:tc>
          <w:tcPr>
            <w:tcW w:w="5958" w:type="dxa"/>
            <w:gridSpan w:val="2"/>
            <w:shd w:val="clear" w:color="auto" w:fill="auto"/>
          </w:tcPr>
          <w:p w:rsidR="00A56F4F" w:rsidRPr="00BB52F3" w:rsidRDefault="003C5BA6" w:rsidP="00467BD8">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after="0" w:line="240" w:lineRule="auto"/>
              <w:jc w:val="both"/>
              <w:rPr>
                <w:rFonts w:ascii="Arial" w:eastAsia="Arial Unicode MS" w:hAnsi="Arial" w:cs="Arial"/>
              </w:rPr>
            </w:pPr>
            <w:r w:rsidRPr="00BB52F3">
              <w:rPr>
                <w:rFonts w:ascii="Arial" w:eastAsia="Arial Unicode MS" w:hAnsi="Arial" w:cs="Arial"/>
              </w:rPr>
              <w:t xml:space="preserve">Directive </w:t>
            </w:r>
            <w:r w:rsidR="00A56F4F" w:rsidRPr="00BB52F3">
              <w:rPr>
                <w:rFonts w:ascii="Arial" w:eastAsia="Arial Unicode MS" w:hAnsi="Arial" w:cs="Arial"/>
              </w:rPr>
              <w:t>B13</w:t>
            </w:r>
            <w:r w:rsidR="007F5C08" w:rsidRPr="00BB52F3">
              <w:rPr>
                <w:rFonts w:ascii="Arial" w:eastAsia="Arial Unicode MS" w:hAnsi="Arial" w:cs="Arial"/>
              </w:rPr>
              <w:t xml:space="preserve"> (</w:t>
            </w:r>
            <w:r w:rsidR="00467BD8" w:rsidRPr="00BB52F3">
              <w:rPr>
                <w:rFonts w:ascii="Arial" w:eastAsia="Arial Unicode MS" w:hAnsi="Arial" w:cs="Arial"/>
              </w:rPr>
              <w:t>High risk</w:t>
            </w:r>
            <w:r w:rsidR="007F5C08" w:rsidRPr="00BB52F3">
              <w:rPr>
                <w:rFonts w:ascii="Arial" w:eastAsia="Arial Unicode MS" w:hAnsi="Arial" w:cs="Arial"/>
              </w:rPr>
              <w:t>, FI-1)</w:t>
            </w:r>
          </w:p>
        </w:tc>
      </w:tr>
      <w:tr w:rsidR="00A56F4F" w:rsidRPr="00BB52F3" w:rsidTr="009116CD">
        <w:trPr>
          <w:gridAfter w:val="1"/>
          <w:wAfter w:w="828" w:type="dxa"/>
          <w:cantSplit/>
          <w:trHeight w:val="226"/>
        </w:trPr>
        <w:tc>
          <w:tcPr>
            <w:tcW w:w="8280" w:type="dxa"/>
            <w:gridSpan w:val="3"/>
          </w:tcPr>
          <w:p w:rsidR="00A56F4F" w:rsidRPr="00BB52F3" w:rsidRDefault="00A56F4F" w:rsidP="00A56F4F">
            <w:pPr>
              <w:spacing w:after="0" w:line="240" w:lineRule="auto"/>
              <w:rPr>
                <w:rFonts w:ascii="Arial" w:eastAsia="Times New Roman" w:hAnsi="Arial" w:cs="Arial"/>
              </w:rPr>
            </w:pPr>
          </w:p>
        </w:tc>
      </w:tr>
      <w:tr w:rsidR="00A56F4F" w:rsidRPr="00BB52F3" w:rsidTr="009116CD">
        <w:trPr>
          <w:gridAfter w:val="1"/>
          <w:wAfter w:w="828" w:type="dxa"/>
          <w:cantSplit/>
          <w:trHeight w:val="234"/>
        </w:trPr>
        <w:tc>
          <w:tcPr>
            <w:tcW w:w="8280" w:type="dxa"/>
            <w:gridSpan w:val="3"/>
          </w:tcPr>
          <w:p w:rsidR="00A56F4F" w:rsidRPr="00BB52F3" w:rsidRDefault="00A56F4F" w:rsidP="00A56F4F">
            <w:pPr>
              <w:spacing w:after="0" w:line="240" w:lineRule="auto"/>
              <w:rPr>
                <w:rFonts w:ascii="Arial" w:eastAsia="Times New Roman" w:hAnsi="Arial" w:cs="Arial"/>
              </w:rPr>
            </w:pPr>
          </w:p>
        </w:tc>
      </w:tr>
    </w:tbl>
    <w:p w:rsidR="00640849" w:rsidRPr="00BB52F3" w:rsidRDefault="00640849" w:rsidP="00640849">
      <w:pPr>
        <w:numPr>
          <w:ilvl w:val="0"/>
          <w:numId w:val="1"/>
        </w:numPr>
        <w:suppressAutoHyphens/>
        <w:autoSpaceDN w:val="0"/>
        <w:spacing w:before="120" w:after="120" w:line="240" w:lineRule="auto"/>
        <w:ind w:hanging="900"/>
        <w:jc w:val="both"/>
        <w:textAlignment w:val="baseline"/>
        <w:outlineLvl w:val="1"/>
        <w:rPr>
          <w:rFonts w:ascii="Arial" w:eastAsia="Times New Roman" w:hAnsi="Arial" w:cs="Arial"/>
          <w:b/>
        </w:rPr>
      </w:pPr>
      <w:r w:rsidRPr="00BB52F3">
        <w:rPr>
          <w:rFonts w:ascii="Arial" w:eastAsia="Times New Roman" w:hAnsi="Arial" w:cs="Arial"/>
          <w:b/>
        </w:rPr>
        <w:t>Project Description</w:t>
      </w:r>
    </w:p>
    <w:p w:rsidR="00B40805" w:rsidRPr="005976A0" w:rsidRDefault="00B40805" w:rsidP="00B40805">
      <w:pPr>
        <w:pStyle w:val="Paragraph"/>
        <w:numPr>
          <w:ilvl w:val="1"/>
          <w:numId w:val="13"/>
        </w:numPr>
        <w:rPr>
          <w:rFonts w:ascii="Arial" w:hAnsi="Arial" w:cs="Arial"/>
          <w:sz w:val="22"/>
          <w:szCs w:val="22"/>
          <w:lang w:val="en-US"/>
        </w:rPr>
      </w:pPr>
      <w:bookmarkStart w:id="1" w:name="_Ref424906874"/>
      <w:r>
        <w:rPr>
          <w:rFonts w:ascii="Arial" w:hAnsi="Arial" w:cs="Arial"/>
          <w:sz w:val="22"/>
          <w:szCs w:val="22"/>
          <w:lang w:val="en-US"/>
        </w:rPr>
        <w:t xml:space="preserve">The </w:t>
      </w:r>
      <w:r w:rsidRPr="00050479">
        <w:rPr>
          <w:rFonts w:ascii="Arial" w:hAnsi="Arial" w:cs="Arial"/>
          <w:bCs/>
          <w:sz w:val="22"/>
          <w:szCs w:val="22"/>
          <w:lang w:val="en-US"/>
        </w:rPr>
        <w:t xml:space="preserve">objective of the </w:t>
      </w:r>
      <w:r w:rsidRPr="00BB52F3">
        <w:rPr>
          <w:rFonts w:ascii="Arial" w:hAnsi="Arial" w:cs="Arial"/>
          <w:sz w:val="22"/>
          <w:szCs w:val="22"/>
          <w:lang w:val="en-US"/>
        </w:rPr>
        <w:t>S</w:t>
      </w:r>
      <w:r>
        <w:rPr>
          <w:rFonts w:ascii="Arial" w:hAnsi="Arial" w:cs="Arial"/>
          <w:sz w:val="22"/>
          <w:szCs w:val="22"/>
          <w:lang w:val="en-US"/>
        </w:rPr>
        <w:t xml:space="preserve">ustainable </w:t>
      </w:r>
      <w:r w:rsidRPr="00BB52F3">
        <w:rPr>
          <w:rFonts w:ascii="Arial" w:hAnsi="Arial" w:cs="Arial"/>
          <w:sz w:val="22"/>
          <w:szCs w:val="22"/>
          <w:lang w:val="en-US"/>
        </w:rPr>
        <w:t>E</w:t>
      </w:r>
      <w:r>
        <w:rPr>
          <w:rFonts w:ascii="Arial" w:hAnsi="Arial" w:cs="Arial"/>
          <w:sz w:val="22"/>
          <w:szCs w:val="22"/>
          <w:lang w:val="en-US"/>
        </w:rPr>
        <w:t xml:space="preserve">nergy </w:t>
      </w:r>
      <w:r w:rsidRPr="00BB52F3">
        <w:rPr>
          <w:rFonts w:ascii="Arial" w:hAnsi="Arial" w:cs="Arial"/>
          <w:sz w:val="22"/>
          <w:szCs w:val="22"/>
          <w:lang w:val="en-US"/>
        </w:rPr>
        <w:t>F</w:t>
      </w:r>
      <w:r>
        <w:rPr>
          <w:rFonts w:ascii="Arial" w:hAnsi="Arial" w:cs="Arial"/>
          <w:sz w:val="22"/>
          <w:szCs w:val="22"/>
          <w:lang w:val="en-US"/>
        </w:rPr>
        <w:t>acility (SEF)</w:t>
      </w:r>
      <w:r w:rsidRPr="00050479">
        <w:rPr>
          <w:rFonts w:ascii="Arial" w:hAnsi="Arial" w:cs="Arial"/>
          <w:bCs/>
          <w:sz w:val="22"/>
          <w:szCs w:val="22"/>
          <w:lang w:val="en-US"/>
        </w:rPr>
        <w:t xml:space="preserve"> for the </w:t>
      </w:r>
      <w:r>
        <w:rPr>
          <w:rFonts w:ascii="Arial" w:hAnsi="Arial" w:cs="Arial"/>
          <w:bCs/>
          <w:sz w:val="22"/>
          <w:szCs w:val="22"/>
          <w:lang w:val="en-US"/>
        </w:rPr>
        <w:t>Eastern Caribbean</w:t>
      </w:r>
      <w:r w:rsidRPr="00050479">
        <w:rPr>
          <w:rFonts w:ascii="Arial" w:hAnsi="Arial" w:cs="Arial"/>
          <w:bCs/>
          <w:sz w:val="22"/>
          <w:szCs w:val="22"/>
          <w:lang w:val="en-US"/>
        </w:rPr>
        <w:t xml:space="preserve"> is to contribute to the diversification of the energy matrix in the ECC) in an effort to reduce the cost of power generation and electricity tariffs by promoting the implementation of </w:t>
      </w:r>
      <w:r w:rsidRPr="00BB52F3">
        <w:rPr>
          <w:rFonts w:ascii="Arial" w:hAnsi="Arial" w:cs="Arial"/>
          <w:sz w:val="22"/>
          <w:szCs w:val="22"/>
          <w:lang w:val="en-US"/>
        </w:rPr>
        <w:t>E</w:t>
      </w:r>
      <w:r>
        <w:rPr>
          <w:rFonts w:ascii="Arial" w:hAnsi="Arial" w:cs="Arial"/>
          <w:sz w:val="22"/>
          <w:szCs w:val="22"/>
          <w:lang w:val="en-US"/>
        </w:rPr>
        <w:t>nergy Efficiency</w:t>
      </w:r>
      <w:r w:rsidRPr="00BB52F3">
        <w:rPr>
          <w:rFonts w:ascii="Arial" w:hAnsi="Arial" w:cs="Arial"/>
          <w:sz w:val="22"/>
          <w:szCs w:val="22"/>
          <w:lang w:val="en-US"/>
        </w:rPr>
        <w:t xml:space="preserve"> </w:t>
      </w:r>
      <w:r>
        <w:rPr>
          <w:rFonts w:ascii="Arial" w:hAnsi="Arial" w:cs="Arial"/>
          <w:sz w:val="22"/>
          <w:szCs w:val="22"/>
          <w:lang w:val="en-US"/>
        </w:rPr>
        <w:t xml:space="preserve">(EE) </w:t>
      </w:r>
      <w:r w:rsidRPr="00BB52F3">
        <w:rPr>
          <w:rFonts w:ascii="Arial" w:hAnsi="Arial" w:cs="Arial"/>
          <w:sz w:val="22"/>
          <w:szCs w:val="22"/>
          <w:lang w:val="en-US"/>
        </w:rPr>
        <w:t xml:space="preserve">and </w:t>
      </w:r>
      <w:r>
        <w:rPr>
          <w:rFonts w:ascii="Arial" w:hAnsi="Arial" w:cs="Arial"/>
          <w:sz w:val="22"/>
          <w:szCs w:val="22"/>
          <w:lang w:val="en-US"/>
        </w:rPr>
        <w:t>Renewable Energy (</w:t>
      </w:r>
      <w:r w:rsidRPr="00BB52F3">
        <w:rPr>
          <w:rFonts w:ascii="Arial" w:hAnsi="Arial" w:cs="Arial"/>
          <w:sz w:val="22"/>
          <w:szCs w:val="22"/>
          <w:lang w:val="en-US"/>
        </w:rPr>
        <w:t>RE</w:t>
      </w:r>
      <w:r>
        <w:rPr>
          <w:rFonts w:ascii="Arial" w:hAnsi="Arial" w:cs="Arial"/>
          <w:sz w:val="22"/>
          <w:szCs w:val="22"/>
          <w:lang w:val="en-US"/>
        </w:rPr>
        <w:t>)</w:t>
      </w:r>
      <w:r w:rsidRPr="00BB52F3">
        <w:rPr>
          <w:rFonts w:ascii="Arial" w:hAnsi="Arial" w:cs="Arial"/>
          <w:sz w:val="22"/>
          <w:szCs w:val="22"/>
          <w:lang w:val="en-US"/>
        </w:rPr>
        <w:t xml:space="preserve"> </w:t>
      </w:r>
      <w:r w:rsidRPr="00050479">
        <w:rPr>
          <w:rFonts w:ascii="Arial" w:hAnsi="Arial" w:cs="Arial"/>
          <w:bCs/>
          <w:sz w:val="22"/>
          <w:szCs w:val="22"/>
          <w:lang w:val="en-US"/>
        </w:rPr>
        <w:t>technologies to reduce the region’s dependency on liquid fossil fuels.</w:t>
      </w:r>
      <w:bookmarkEnd w:id="1"/>
    </w:p>
    <w:p w:rsidR="00E96555" w:rsidRPr="00BB52F3" w:rsidRDefault="00E96555" w:rsidP="00B126B3">
      <w:pPr>
        <w:pStyle w:val="Paragraph"/>
        <w:numPr>
          <w:ilvl w:val="1"/>
          <w:numId w:val="13"/>
        </w:numPr>
        <w:rPr>
          <w:rFonts w:ascii="Arial" w:hAnsi="Arial" w:cs="Arial"/>
          <w:sz w:val="22"/>
          <w:szCs w:val="22"/>
          <w:lang w:val="en-US"/>
        </w:rPr>
      </w:pPr>
      <w:r w:rsidRPr="00BB52F3">
        <w:rPr>
          <w:rFonts w:ascii="Arial" w:hAnsi="Arial" w:cs="Arial"/>
          <w:sz w:val="22"/>
          <w:szCs w:val="22"/>
          <w:lang w:val="en-US"/>
        </w:rPr>
        <w:t xml:space="preserve">The </w:t>
      </w:r>
      <w:r w:rsidR="00B40805">
        <w:rPr>
          <w:rFonts w:ascii="Arial" w:hAnsi="Arial" w:cs="Arial"/>
          <w:sz w:val="22"/>
          <w:szCs w:val="22"/>
          <w:lang w:val="en-US"/>
        </w:rPr>
        <w:t xml:space="preserve">Bank will provide </w:t>
      </w:r>
      <w:r w:rsidRPr="00BB52F3">
        <w:rPr>
          <w:rFonts w:ascii="Arial" w:hAnsi="Arial" w:cs="Arial"/>
          <w:sz w:val="22"/>
          <w:szCs w:val="22"/>
          <w:lang w:val="en-US"/>
        </w:rPr>
        <w:t>a Global Credit Loan (GCL</w:t>
      </w:r>
      <w:r w:rsidR="00DF20F3">
        <w:rPr>
          <w:rFonts w:ascii="Arial" w:hAnsi="Arial" w:cs="Arial"/>
          <w:sz w:val="22"/>
          <w:szCs w:val="22"/>
          <w:lang w:val="en-US"/>
        </w:rPr>
        <w:t xml:space="preserve"> or the ‘Facility’</w:t>
      </w:r>
      <w:r w:rsidRPr="00BB52F3">
        <w:rPr>
          <w:rFonts w:ascii="Arial" w:hAnsi="Arial" w:cs="Arial"/>
          <w:sz w:val="22"/>
          <w:szCs w:val="22"/>
          <w:lang w:val="en-US"/>
        </w:rPr>
        <w:t xml:space="preserve">) to the CDB, </w:t>
      </w:r>
      <w:r w:rsidR="00B40805" w:rsidRPr="005976A0">
        <w:rPr>
          <w:rFonts w:ascii="Arial" w:hAnsi="Arial" w:cs="Arial"/>
          <w:sz w:val="22"/>
          <w:szCs w:val="22"/>
          <w:lang w:val="en-US"/>
        </w:rPr>
        <w:t>which will be complemented w</w:t>
      </w:r>
      <w:r w:rsidR="00B40805">
        <w:rPr>
          <w:rFonts w:ascii="Arial" w:hAnsi="Arial" w:cs="Arial"/>
          <w:sz w:val="22"/>
          <w:szCs w:val="22"/>
          <w:lang w:val="en-US"/>
        </w:rPr>
        <w:t>ith resources from other donors. The CDB</w:t>
      </w:r>
      <w:r w:rsidRPr="00BB52F3">
        <w:rPr>
          <w:rFonts w:ascii="Arial" w:hAnsi="Arial" w:cs="Arial"/>
          <w:sz w:val="22"/>
          <w:szCs w:val="22"/>
          <w:lang w:val="en-US"/>
        </w:rPr>
        <w:t xml:space="preserve"> </w:t>
      </w:r>
      <w:r w:rsidR="00B40805">
        <w:rPr>
          <w:rFonts w:ascii="Arial" w:hAnsi="Arial" w:cs="Arial"/>
          <w:sz w:val="22"/>
          <w:szCs w:val="22"/>
          <w:lang w:val="en-US"/>
        </w:rPr>
        <w:t>will</w:t>
      </w:r>
      <w:r w:rsidRPr="00BB52F3">
        <w:rPr>
          <w:rFonts w:ascii="Arial" w:hAnsi="Arial" w:cs="Arial"/>
          <w:sz w:val="22"/>
          <w:szCs w:val="22"/>
          <w:lang w:val="en-US"/>
        </w:rPr>
        <w:t xml:space="preserve"> on-lend the resources to finance eligible sub-loans in all beneficiary countries according to the following SEF components: </w:t>
      </w:r>
    </w:p>
    <w:p w:rsidR="00E96555" w:rsidRPr="00BB52F3" w:rsidRDefault="00E96555" w:rsidP="00E96555">
      <w:pPr>
        <w:pStyle w:val="Paragraph"/>
        <w:tabs>
          <w:tab w:val="clear" w:pos="720"/>
        </w:tabs>
        <w:ind w:firstLine="0"/>
        <w:rPr>
          <w:rFonts w:ascii="Arial" w:hAnsi="Arial" w:cs="Arial"/>
          <w:sz w:val="22"/>
          <w:szCs w:val="22"/>
          <w:lang w:val="en-US"/>
        </w:rPr>
      </w:pPr>
      <w:r w:rsidRPr="00BB52F3">
        <w:rPr>
          <w:rFonts w:ascii="Arial" w:hAnsi="Arial" w:cs="Arial"/>
          <w:sz w:val="22"/>
          <w:szCs w:val="22"/>
          <w:lang w:val="en-US"/>
        </w:rPr>
        <w:t xml:space="preserve">Component 1: Energy Efficiency – will provide loans to public sector actors to promote EE measures such as: </w:t>
      </w:r>
      <w:r w:rsidR="00B40805" w:rsidRPr="005976A0">
        <w:rPr>
          <w:rFonts w:ascii="Arial" w:hAnsi="Arial" w:cs="Arial"/>
          <w:sz w:val="22"/>
          <w:szCs w:val="22"/>
          <w:lang w:val="en-US"/>
        </w:rPr>
        <w:t>will provide loans to promote EE measures such as: (i) retrofitting government buildings; (ii) installing new or replacing existing streetlights with more efficient ones; and (iii) increasing power generation efficiency, including transmission and distribution loss reduction programs.</w:t>
      </w:r>
      <w:r w:rsidRPr="00BB52F3">
        <w:rPr>
          <w:rFonts w:ascii="Arial" w:hAnsi="Arial" w:cs="Arial"/>
          <w:sz w:val="22"/>
          <w:szCs w:val="22"/>
          <w:lang w:val="en-US"/>
        </w:rPr>
        <w:t xml:space="preserve"> </w:t>
      </w:r>
    </w:p>
    <w:p w:rsidR="00B40805" w:rsidRPr="005976A0" w:rsidRDefault="00E96555" w:rsidP="00B40805">
      <w:pPr>
        <w:pStyle w:val="Paragraph"/>
        <w:numPr>
          <w:ilvl w:val="1"/>
          <w:numId w:val="13"/>
        </w:numPr>
        <w:rPr>
          <w:rFonts w:ascii="Arial" w:hAnsi="Arial" w:cs="Arial"/>
          <w:sz w:val="22"/>
          <w:szCs w:val="22"/>
          <w:lang w:val="en-US"/>
        </w:rPr>
      </w:pPr>
      <w:r w:rsidRPr="00BB52F3">
        <w:rPr>
          <w:rFonts w:ascii="Arial" w:hAnsi="Arial" w:cs="Arial"/>
          <w:sz w:val="22"/>
          <w:szCs w:val="22"/>
          <w:lang w:val="en-US"/>
        </w:rPr>
        <w:t xml:space="preserve">Component 2: Regulatory framework, institutional strengthening and capacity building – </w:t>
      </w:r>
      <w:r w:rsidR="00B40805" w:rsidRPr="005976A0">
        <w:rPr>
          <w:rFonts w:ascii="Arial" w:hAnsi="Arial" w:cs="Arial"/>
          <w:sz w:val="22"/>
          <w:szCs w:val="22"/>
          <w:lang w:val="en-US"/>
        </w:rPr>
        <w:t>will provide technical assistance to the Executing Agency (</w:t>
      </w:r>
      <w:r w:rsidR="00B40805" w:rsidRPr="004763B5">
        <w:rPr>
          <w:rFonts w:ascii="Arial" w:hAnsi="Arial" w:cs="Arial"/>
          <w:sz w:val="22"/>
          <w:szCs w:val="22"/>
          <w:lang w:val="en-US"/>
        </w:rPr>
        <w:t>EA), and to</w:t>
      </w:r>
      <w:r w:rsidR="00B40805" w:rsidRPr="005976A0">
        <w:rPr>
          <w:rFonts w:ascii="Arial" w:hAnsi="Arial" w:cs="Arial"/>
          <w:sz w:val="22"/>
          <w:szCs w:val="22"/>
          <w:lang w:val="en-US"/>
        </w:rPr>
        <w:t xml:space="preserve"> the ECC, including their ministries responsible for energy and electric utilities. Support for the EA will focus on strengthening its capacity as required to implement the SEF including: (i) consulting services to provide specific skills and advisory services as and when required for sub-project preparation; (ii) drafting of legal documents (i.e. loan contracts for GE sub-loans); and (iii) further developing staff capacity to evaluate and execute sub-loans. Support for the ECC will include: (i) developing an effective legal, policy and regulatory framework for the implementation of SE projects; (ii) strengthening their technical, institutional, environmental and regulatory capacity; (iii) transaction advisory support to structure projects and negotiate with private partners; and (iv) acquiring the necessary skills to enable SE development and execute SE projects.</w:t>
      </w:r>
    </w:p>
    <w:p w:rsidR="00E96555" w:rsidRPr="00BB52F3" w:rsidRDefault="00B40805" w:rsidP="00E96555">
      <w:pPr>
        <w:pStyle w:val="Paragraph"/>
        <w:tabs>
          <w:tab w:val="clear" w:pos="720"/>
        </w:tabs>
        <w:ind w:firstLine="0"/>
        <w:rPr>
          <w:rFonts w:ascii="Arial" w:hAnsi="Arial" w:cs="Arial"/>
          <w:sz w:val="22"/>
          <w:szCs w:val="22"/>
          <w:lang w:val="en-US"/>
        </w:rPr>
      </w:pPr>
      <w:r w:rsidRPr="00B40805">
        <w:rPr>
          <w:rFonts w:ascii="Arial" w:hAnsi="Arial" w:cs="Arial"/>
          <w:sz w:val="22"/>
          <w:szCs w:val="22"/>
          <w:lang w:val="en-US"/>
        </w:rPr>
        <w:t>Component 3: R</w:t>
      </w:r>
      <w:r>
        <w:rPr>
          <w:rFonts w:ascii="Arial" w:hAnsi="Arial" w:cs="Arial"/>
          <w:sz w:val="22"/>
          <w:szCs w:val="22"/>
          <w:lang w:val="en-US"/>
        </w:rPr>
        <w:t xml:space="preserve">enewable </w:t>
      </w:r>
      <w:r w:rsidRPr="00B40805">
        <w:rPr>
          <w:rFonts w:ascii="Arial" w:hAnsi="Arial" w:cs="Arial"/>
          <w:sz w:val="22"/>
          <w:szCs w:val="22"/>
          <w:lang w:val="en-US"/>
        </w:rPr>
        <w:t>E</w:t>
      </w:r>
      <w:r>
        <w:rPr>
          <w:rFonts w:ascii="Arial" w:hAnsi="Arial" w:cs="Arial"/>
          <w:sz w:val="22"/>
          <w:szCs w:val="22"/>
          <w:lang w:val="en-US"/>
        </w:rPr>
        <w:t>nergy</w:t>
      </w:r>
      <w:r w:rsidRPr="005976A0">
        <w:rPr>
          <w:rFonts w:ascii="Arial" w:hAnsi="Arial" w:cs="Arial"/>
          <w:sz w:val="22"/>
          <w:szCs w:val="22"/>
          <w:lang w:val="en-US"/>
        </w:rPr>
        <w:t xml:space="preserve"> –</w:t>
      </w:r>
      <w:r>
        <w:rPr>
          <w:rFonts w:ascii="Arial" w:hAnsi="Arial" w:cs="Arial"/>
          <w:sz w:val="22"/>
          <w:szCs w:val="22"/>
          <w:lang w:val="en-US"/>
        </w:rPr>
        <w:t xml:space="preserve"> </w:t>
      </w:r>
      <w:r w:rsidRPr="005976A0">
        <w:rPr>
          <w:rFonts w:ascii="Arial" w:hAnsi="Arial" w:cs="Arial"/>
          <w:sz w:val="22"/>
          <w:szCs w:val="22"/>
          <w:lang w:val="en-US"/>
        </w:rPr>
        <w:t xml:space="preserve">will finance </w:t>
      </w:r>
      <w:r>
        <w:rPr>
          <w:rFonts w:ascii="Arial" w:hAnsi="Arial" w:cs="Arial"/>
          <w:sz w:val="22"/>
          <w:szCs w:val="22"/>
          <w:lang w:val="en-US"/>
        </w:rPr>
        <w:t xml:space="preserve">(i) </w:t>
      </w:r>
      <w:r w:rsidRPr="005976A0">
        <w:rPr>
          <w:rFonts w:ascii="Arial" w:hAnsi="Arial" w:cs="Arial"/>
          <w:sz w:val="22"/>
          <w:szCs w:val="22"/>
          <w:lang w:val="en-US"/>
        </w:rPr>
        <w:t xml:space="preserve">intermittent RE projects such as wind power and solar PV; </w:t>
      </w:r>
      <w:r>
        <w:rPr>
          <w:rFonts w:ascii="Arial" w:hAnsi="Arial" w:cs="Arial"/>
          <w:sz w:val="22"/>
          <w:szCs w:val="22"/>
          <w:lang w:val="en-US"/>
        </w:rPr>
        <w:t xml:space="preserve">and </w:t>
      </w:r>
      <w:r w:rsidRPr="005976A0">
        <w:rPr>
          <w:rFonts w:ascii="Arial" w:hAnsi="Arial" w:cs="Arial"/>
          <w:sz w:val="22"/>
          <w:szCs w:val="22"/>
          <w:lang w:val="en-US"/>
        </w:rPr>
        <w:t xml:space="preserve">(ii) baseload projects such as GE, hydro and waste to energy projects. Since the risk levels involved in GE projects are inherent to each of the development stages, the program will offer financial instruments tailored for each stage to enable projects to advance to subsequent stages through to plant construction. Funds for GE projects will be made available through a facility called the GeoSmart Facility to address the specific challenges that GE development faces given its risk profile. The GeoSmart Facility will provide a range of financial support to public sector actors and/or </w:t>
      </w:r>
      <w:r w:rsidRPr="005976A0">
        <w:rPr>
          <w:rFonts w:ascii="Arial" w:hAnsi="Arial" w:cs="Arial"/>
          <w:sz w:val="22"/>
          <w:szCs w:val="22"/>
          <w:lang w:val="en-US"/>
        </w:rPr>
        <w:lastRenderedPageBreak/>
        <w:t>PPP,</w:t>
      </w:r>
      <w:r w:rsidRPr="005976A0">
        <w:rPr>
          <w:rFonts w:ascii="Arial" w:hAnsi="Arial" w:cs="Arial"/>
          <w:sz w:val="22"/>
          <w:szCs w:val="22"/>
          <w:vertAlign w:val="superscript"/>
          <w:lang w:val="en-US"/>
        </w:rPr>
        <w:footnoteReference w:id="1"/>
      </w:r>
      <w:r w:rsidRPr="005976A0">
        <w:rPr>
          <w:rFonts w:ascii="Arial" w:hAnsi="Arial" w:cs="Arial"/>
          <w:sz w:val="22"/>
          <w:szCs w:val="22"/>
          <w:lang w:val="en-US"/>
        </w:rPr>
        <w:t xml:space="preserve"> customized for each stage of geothermal development: (i) pre-investment activities for which a mix of grants and concessional lending</w:t>
      </w:r>
      <w:r w:rsidRPr="005976A0">
        <w:rPr>
          <w:rFonts w:ascii="Arial" w:hAnsi="Arial" w:cs="Arial"/>
          <w:sz w:val="22"/>
          <w:szCs w:val="22"/>
          <w:vertAlign w:val="superscript"/>
          <w:lang w:val="en-US"/>
        </w:rPr>
        <w:footnoteReference w:id="2"/>
      </w:r>
      <w:r w:rsidRPr="005976A0">
        <w:rPr>
          <w:rFonts w:ascii="Arial" w:hAnsi="Arial" w:cs="Arial"/>
          <w:sz w:val="22"/>
          <w:szCs w:val="22"/>
          <w:lang w:val="en-US"/>
        </w:rPr>
        <w:t xml:space="preserve"> are best suited to unlock investments will include: (a) surface studies (geology, geophysics and geochemistry- 3Gs) and ESIA, and studies on the feasibility of power interconnections between neighboring islands; and (b) drilling of early exploration wells (slim holes); (ii) exploration activities, for which risk mitigation instruments such as contingent recovery grants are essential, will include: (a) exploration drilling program (full size wells); and (b) feasibility studies for targeted reservoirs, including ESIA for this phase; and (iii) field and power plant development activities funded with concessional lending for: (a) production drilling (production and reinjection wells); (b) engineering and construction of power plants; and (c) access roads, substations and transmission lines.</w:t>
      </w:r>
      <w:r w:rsidR="00E96555" w:rsidRPr="00BB52F3">
        <w:rPr>
          <w:rFonts w:ascii="Arial" w:hAnsi="Arial" w:cs="Arial"/>
          <w:sz w:val="22"/>
          <w:szCs w:val="22"/>
          <w:lang w:val="en-US"/>
        </w:rPr>
        <w:t xml:space="preserve"> </w:t>
      </w:r>
    </w:p>
    <w:p w:rsidR="00E96555" w:rsidRDefault="00E96555" w:rsidP="00E96555">
      <w:pPr>
        <w:pStyle w:val="Paragraph"/>
        <w:numPr>
          <w:ilvl w:val="1"/>
          <w:numId w:val="13"/>
        </w:numPr>
        <w:rPr>
          <w:rFonts w:ascii="Arial" w:hAnsi="Arial" w:cs="Arial"/>
          <w:sz w:val="22"/>
          <w:szCs w:val="22"/>
          <w:lang w:val="en-US"/>
        </w:rPr>
      </w:pPr>
      <w:r w:rsidRPr="00BB52F3">
        <w:rPr>
          <w:rFonts w:ascii="Arial" w:hAnsi="Arial" w:cs="Arial"/>
          <w:sz w:val="22"/>
          <w:szCs w:val="22"/>
          <w:lang w:val="en-US"/>
        </w:rPr>
        <w:t>The GeoSmart Facility will support the development of GE in the EC, which will contribute to the development of 10MW (±5)</w:t>
      </w:r>
      <w:r w:rsidRPr="00BB52F3">
        <w:rPr>
          <w:rFonts w:ascii="Arial" w:hAnsi="Arial" w:cs="Arial"/>
          <w:sz w:val="22"/>
          <w:szCs w:val="22"/>
          <w:lang w:val="en-US" w:eastAsia="ja-JP"/>
        </w:rPr>
        <w:t xml:space="preserve"> </w:t>
      </w:r>
      <w:r w:rsidRPr="00BB52F3">
        <w:rPr>
          <w:rFonts w:ascii="Arial" w:hAnsi="Arial" w:cs="Arial"/>
          <w:sz w:val="22"/>
          <w:szCs w:val="22"/>
          <w:lang w:val="en-US"/>
        </w:rPr>
        <w:t>geothermal power plants in the five Eastern Caribbean islands with geothermal potential.</w:t>
      </w:r>
      <w:r w:rsidRPr="00BB52F3">
        <w:rPr>
          <w:rStyle w:val="EndnoteReference"/>
          <w:rFonts w:ascii="Arial" w:hAnsi="Arial" w:cs="Arial"/>
          <w:sz w:val="22"/>
          <w:szCs w:val="22"/>
          <w:lang w:val="en-US"/>
        </w:rPr>
        <w:endnoteReference w:id="1"/>
      </w:r>
      <w:r w:rsidRPr="00BB52F3">
        <w:rPr>
          <w:rFonts w:ascii="Arial" w:hAnsi="Arial" w:cs="Arial"/>
          <w:sz w:val="22"/>
          <w:szCs w:val="22"/>
          <w:lang w:val="en-US"/>
        </w:rPr>
        <w:t xml:space="preserve"> However, the actual size of the plant built will be based on Government’s planned initiatives, the size of the geothermal resources, and the availability of additional grant resources and private funding for each individual plant. The </w:t>
      </w:r>
      <w:r w:rsidR="00DF20F3">
        <w:rPr>
          <w:rFonts w:ascii="Arial" w:hAnsi="Arial" w:cs="Arial"/>
          <w:sz w:val="22"/>
          <w:szCs w:val="22"/>
          <w:lang w:val="en-US"/>
        </w:rPr>
        <w:t>Facility</w:t>
      </w:r>
      <w:r w:rsidRPr="00BB52F3">
        <w:rPr>
          <w:rFonts w:ascii="Arial" w:hAnsi="Arial" w:cs="Arial"/>
          <w:sz w:val="22"/>
          <w:szCs w:val="22"/>
          <w:lang w:val="en-US"/>
        </w:rPr>
        <w:t xml:space="preserve"> will finance pre-investment studies through power plant development. Table 1 shows the current status and estimated </w:t>
      </w:r>
      <w:r w:rsidRPr="00BB52F3">
        <w:rPr>
          <w:rFonts w:ascii="Arial" w:hAnsi="Arial" w:cs="Arial"/>
          <w:sz w:val="22"/>
          <w:szCs w:val="22"/>
          <w:lang w:val="en-US" w:eastAsia="ja-JP"/>
        </w:rPr>
        <w:t xml:space="preserve">cost </w:t>
      </w:r>
      <w:r w:rsidRPr="00BB52F3">
        <w:rPr>
          <w:rFonts w:ascii="Arial" w:hAnsi="Arial" w:cs="Arial"/>
          <w:sz w:val="22"/>
          <w:szCs w:val="22"/>
          <w:lang w:val="en-US"/>
        </w:rPr>
        <w:t>to develop</w:t>
      </w:r>
      <w:r w:rsidRPr="00BB52F3">
        <w:rPr>
          <w:rFonts w:ascii="Arial" w:hAnsi="Arial" w:cs="Arial"/>
          <w:sz w:val="22"/>
          <w:szCs w:val="22"/>
          <w:lang w:val="en-US" w:eastAsia="ja-JP"/>
        </w:rPr>
        <w:t xml:space="preserve"> GE in the EC, which is approximately </w:t>
      </w:r>
      <w:r w:rsidRPr="00BB52F3">
        <w:rPr>
          <w:rFonts w:ascii="Arial" w:hAnsi="Arial" w:cs="Arial"/>
          <w:sz w:val="22"/>
          <w:szCs w:val="22"/>
          <w:lang w:val="en-US"/>
        </w:rPr>
        <w:t>US$</w:t>
      </w:r>
      <w:r w:rsidR="00BA4CE6">
        <w:rPr>
          <w:rFonts w:ascii="Arial" w:hAnsi="Arial" w:cs="Arial"/>
          <w:sz w:val="22"/>
          <w:szCs w:val="22"/>
          <w:lang w:val="en-US"/>
        </w:rPr>
        <w:t>526</w:t>
      </w:r>
      <w:r w:rsidR="00AF04DB" w:rsidRPr="00BB52F3">
        <w:rPr>
          <w:rFonts w:ascii="Arial" w:hAnsi="Arial" w:cs="Arial"/>
          <w:sz w:val="22"/>
          <w:szCs w:val="22"/>
          <w:lang w:val="en-US"/>
        </w:rPr>
        <w:t xml:space="preserve"> </w:t>
      </w:r>
      <w:r w:rsidRPr="00BB52F3">
        <w:rPr>
          <w:rFonts w:ascii="Arial" w:hAnsi="Arial" w:cs="Arial"/>
          <w:sz w:val="22"/>
          <w:szCs w:val="22"/>
          <w:lang w:val="en-US"/>
        </w:rPr>
        <w:t>million</w:t>
      </w:r>
      <w:r w:rsidR="00BA4CE6">
        <w:rPr>
          <w:rFonts w:ascii="Arial" w:hAnsi="Arial" w:cs="Arial"/>
          <w:sz w:val="22"/>
          <w:szCs w:val="22"/>
          <w:lang w:val="en-US"/>
        </w:rPr>
        <w:t xml:space="preserve"> including transmission, distribution and access roads</w:t>
      </w:r>
      <w:r w:rsidRPr="00BB52F3">
        <w:rPr>
          <w:rFonts w:ascii="Arial" w:hAnsi="Arial" w:cs="Arial"/>
          <w:sz w:val="22"/>
          <w:szCs w:val="22"/>
          <w:lang w:val="en-US"/>
        </w:rPr>
        <w:t>.</w:t>
      </w:r>
    </w:p>
    <w:p w:rsidR="00DF20F3" w:rsidRPr="00BB52F3" w:rsidRDefault="00DF20F3" w:rsidP="00DF20F3">
      <w:pPr>
        <w:pStyle w:val="Paragraph"/>
        <w:tabs>
          <w:tab w:val="clear" w:pos="720"/>
        </w:tabs>
        <w:spacing w:before="0" w:after="0"/>
        <w:ind w:firstLine="0"/>
        <w:rPr>
          <w:rFonts w:ascii="Arial" w:hAnsi="Arial" w:cs="Arial"/>
          <w:b/>
          <w:sz w:val="22"/>
          <w:szCs w:val="22"/>
          <w:lang w:val="en-US"/>
        </w:rPr>
      </w:pPr>
      <w:r w:rsidRPr="00BB52F3">
        <w:rPr>
          <w:rFonts w:ascii="Arial" w:hAnsi="Arial" w:cs="Arial"/>
          <w:b/>
          <w:sz w:val="22"/>
          <w:szCs w:val="22"/>
          <w:lang w:val="en-US"/>
        </w:rPr>
        <w:t xml:space="preserve">Table 1: Current Status and estimated </w:t>
      </w:r>
      <w:r w:rsidRPr="00BB52F3">
        <w:rPr>
          <w:rFonts w:ascii="Arial" w:hAnsi="Arial" w:cs="Arial"/>
          <w:b/>
          <w:sz w:val="22"/>
          <w:szCs w:val="22"/>
          <w:lang w:val="en-US" w:eastAsia="ja-JP"/>
        </w:rPr>
        <w:t xml:space="preserve">cost </w:t>
      </w:r>
      <w:r w:rsidRPr="00BB52F3">
        <w:rPr>
          <w:rFonts w:ascii="Arial" w:hAnsi="Arial" w:cs="Arial"/>
          <w:b/>
          <w:sz w:val="22"/>
          <w:szCs w:val="22"/>
          <w:lang w:val="en-US"/>
        </w:rPr>
        <w:t>to develop</w:t>
      </w:r>
      <w:r w:rsidRPr="00BB52F3">
        <w:rPr>
          <w:rFonts w:ascii="Arial" w:hAnsi="Arial" w:cs="Arial"/>
          <w:b/>
          <w:sz w:val="22"/>
          <w:szCs w:val="22"/>
          <w:lang w:val="en-US" w:eastAsia="ja-JP"/>
        </w:rPr>
        <w:t xml:space="preserve"> 10MW </w:t>
      </w:r>
      <w:r w:rsidRPr="00BB52F3">
        <w:rPr>
          <w:rFonts w:ascii="Arial" w:hAnsi="Arial" w:cs="Arial"/>
          <w:b/>
          <w:sz w:val="22"/>
          <w:szCs w:val="22"/>
          <w:lang w:val="en-US"/>
        </w:rPr>
        <w:t>GE</w:t>
      </w:r>
      <w:r w:rsidRPr="00BB52F3">
        <w:rPr>
          <w:rFonts w:ascii="Arial" w:hAnsi="Arial" w:cs="Arial"/>
          <w:b/>
          <w:sz w:val="22"/>
          <w:szCs w:val="22"/>
          <w:lang w:val="en-US" w:eastAsia="ja-JP"/>
        </w:rPr>
        <w:t xml:space="preserve"> </w:t>
      </w:r>
      <w:r w:rsidRPr="00BB52F3">
        <w:rPr>
          <w:rFonts w:ascii="Arial" w:hAnsi="Arial" w:cs="Arial"/>
          <w:b/>
          <w:sz w:val="22"/>
          <w:szCs w:val="22"/>
          <w:lang w:val="en-US"/>
        </w:rPr>
        <w:t>by stage</w:t>
      </w:r>
    </w:p>
    <w:p w:rsidR="00DF20F3" w:rsidRDefault="00DF20F3" w:rsidP="00DF20F3">
      <w:pPr>
        <w:pStyle w:val="Paragraph"/>
        <w:tabs>
          <w:tab w:val="clear" w:pos="720"/>
        </w:tabs>
        <w:spacing w:before="0" w:after="0"/>
        <w:ind w:left="3150" w:firstLine="0"/>
        <w:rPr>
          <w:rFonts w:ascii="Arial" w:hAnsi="Arial" w:cs="Arial"/>
          <w:b/>
          <w:sz w:val="22"/>
          <w:szCs w:val="22"/>
          <w:lang w:val="en-US"/>
        </w:rPr>
      </w:pPr>
      <w:r w:rsidRPr="00BB52F3">
        <w:rPr>
          <w:rFonts w:ascii="Arial" w:hAnsi="Arial" w:cs="Arial"/>
          <w:b/>
          <w:sz w:val="22"/>
          <w:szCs w:val="22"/>
          <w:lang w:val="en-US"/>
        </w:rPr>
        <w:t>(US$ millions)</w:t>
      </w:r>
    </w:p>
    <w:p w:rsidR="00132032" w:rsidRPr="00BB52F3" w:rsidRDefault="00132032" w:rsidP="00DF20F3">
      <w:pPr>
        <w:pStyle w:val="Paragraph"/>
        <w:tabs>
          <w:tab w:val="clear" w:pos="720"/>
        </w:tabs>
        <w:spacing w:before="0" w:after="0"/>
        <w:ind w:left="3150" w:firstLine="0"/>
        <w:rPr>
          <w:rFonts w:ascii="Arial" w:hAnsi="Arial" w:cs="Arial"/>
          <w:b/>
          <w:sz w:val="22"/>
          <w:szCs w:val="22"/>
          <w:lang w:val="en-US"/>
        </w:rPr>
      </w:pPr>
    </w:p>
    <w:tbl>
      <w:tblPr>
        <w:tblW w:w="8100" w:type="dxa"/>
        <w:tblInd w:w="828" w:type="dxa"/>
        <w:tblLayout w:type="fixed"/>
        <w:tblLook w:val="04A0" w:firstRow="1" w:lastRow="0" w:firstColumn="1" w:lastColumn="0" w:noHBand="0" w:noVBand="1"/>
      </w:tblPr>
      <w:tblGrid>
        <w:gridCol w:w="907"/>
        <w:gridCol w:w="1073"/>
        <w:gridCol w:w="990"/>
        <w:gridCol w:w="1260"/>
        <w:gridCol w:w="1260"/>
        <w:gridCol w:w="810"/>
        <w:gridCol w:w="990"/>
        <w:gridCol w:w="810"/>
      </w:tblGrid>
      <w:tr w:rsidR="00BA4CE6" w:rsidRPr="00BA4CE6" w:rsidTr="00BA4CE6">
        <w:trPr>
          <w:trHeight w:val="720"/>
        </w:trPr>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Country</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Stage 1a: Pre-Invest-ment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Stage 1b: Pre-investment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Stage 2: Exploration</w:t>
            </w:r>
          </w:p>
        </w:tc>
        <w:tc>
          <w:tcPr>
            <w:tcW w:w="2070" w:type="dxa"/>
            <w:gridSpan w:val="2"/>
            <w:tcBorders>
              <w:top w:val="single" w:sz="4" w:space="0" w:color="auto"/>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Stage 3: Field Development</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T&amp;D and Access Roads</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Total</w:t>
            </w:r>
          </w:p>
        </w:tc>
      </w:tr>
      <w:tr w:rsidR="00BA4CE6" w:rsidRPr="00BA4CE6" w:rsidTr="00BA4CE6">
        <w:trPr>
          <w:trHeight w:val="720"/>
        </w:trPr>
        <w:tc>
          <w:tcPr>
            <w:tcW w:w="907" w:type="dxa"/>
            <w:vMerge/>
            <w:tcBorders>
              <w:top w:val="single" w:sz="4" w:space="0" w:color="auto"/>
              <w:left w:val="single" w:sz="4" w:space="0" w:color="auto"/>
              <w:bottom w:val="single" w:sz="4" w:space="0" w:color="auto"/>
              <w:right w:val="single" w:sz="4" w:space="0" w:color="auto"/>
            </w:tcBorders>
            <w:vAlign w:val="center"/>
            <w:hideMark/>
          </w:tcPr>
          <w:p w:rsidR="00BA4CE6" w:rsidRPr="00BA4CE6" w:rsidRDefault="00BA4CE6" w:rsidP="003563FA">
            <w:pPr>
              <w:rPr>
                <w:rFonts w:ascii="Arial" w:hAnsi="Arial" w:cs="Arial"/>
                <w:b/>
                <w:bCs/>
                <w:sz w:val="18"/>
                <w:szCs w:val="20"/>
              </w:rPr>
            </w:pPr>
          </w:p>
        </w:tc>
        <w:tc>
          <w:tcPr>
            <w:tcW w:w="1073"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(Studies)</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(Slim hole drillings)</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(Full scale drillings)</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sz w:val="18"/>
                <w:szCs w:val="20"/>
              </w:rPr>
            </w:pPr>
            <w:r w:rsidRPr="00BA4CE6">
              <w:rPr>
                <w:rFonts w:ascii="Arial" w:hAnsi="Arial" w:cs="Arial"/>
                <w:b/>
                <w:sz w:val="18"/>
                <w:szCs w:val="20"/>
              </w:rPr>
              <w:t>(Production/re-injection wells)</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sz w:val="18"/>
                <w:szCs w:val="20"/>
              </w:rPr>
            </w:pPr>
            <w:r w:rsidRPr="00BA4CE6">
              <w:rPr>
                <w:rFonts w:ascii="Arial" w:hAnsi="Arial" w:cs="Arial"/>
                <w:b/>
                <w:sz w:val="18"/>
                <w:szCs w:val="20"/>
              </w:rPr>
              <w:t>(Plant)</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BA4CE6" w:rsidRPr="00BA4CE6" w:rsidRDefault="00BA4CE6" w:rsidP="003563FA">
            <w:pPr>
              <w:rPr>
                <w:rFonts w:ascii="Arial" w:hAnsi="Arial" w:cs="Arial"/>
                <w:b/>
                <w:bCs/>
                <w:sz w:val="18"/>
                <w:szCs w:val="2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BA4CE6" w:rsidRPr="00BA4CE6" w:rsidRDefault="00BA4CE6" w:rsidP="003563FA">
            <w:pPr>
              <w:rPr>
                <w:rFonts w:ascii="Arial" w:hAnsi="Arial" w:cs="Arial"/>
                <w:b/>
                <w:bCs/>
                <w:sz w:val="18"/>
                <w:szCs w:val="20"/>
              </w:rPr>
            </w:pPr>
          </w:p>
        </w:tc>
      </w:tr>
      <w:tr w:rsidR="00BA4CE6" w:rsidRPr="00BA4CE6" w:rsidTr="00BA4CE6">
        <w:trPr>
          <w:trHeight w:val="240"/>
        </w:trPr>
        <w:tc>
          <w:tcPr>
            <w:tcW w:w="907" w:type="dxa"/>
            <w:tcBorders>
              <w:top w:val="nil"/>
              <w:left w:val="single" w:sz="4" w:space="0" w:color="auto"/>
              <w:bottom w:val="single" w:sz="4" w:space="0" w:color="auto"/>
              <w:right w:val="single" w:sz="4" w:space="0" w:color="auto"/>
            </w:tcBorders>
            <w:shd w:val="clear" w:color="auto" w:fill="auto"/>
            <w:vAlign w:val="center"/>
            <w:hideMark/>
          </w:tcPr>
          <w:p w:rsidR="00BA4CE6" w:rsidRPr="00BA4CE6" w:rsidRDefault="00BA4CE6" w:rsidP="003563FA">
            <w:pPr>
              <w:rPr>
                <w:rFonts w:ascii="Arial" w:hAnsi="Arial" w:cs="Arial"/>
                <w:b/>
                <w:bCs/>
                <w:sz w:val="18"/>
                <w:szCs w:val="20"/>
              </w:rPr>
            </w:pPr>
            <w:r w:rsidRPr="00BA4CE6">
              <w:rPr>
                <w:rFonts w:ascii="Arial" w:hAnsi="Arial" w:cs="Arial"/>
                <w:b/>
                <w:bCs/>
                <w:sz w:val="18"/>
                <w:szCs w:val="20"/>
              </w:rPr>
              <w:t>SL</w:t>
            </w:r>
          </w:p>
        </w:tc>
        <w:tc>
          <w:tcPr>
            <w:tcW w:w="1073"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(done)</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6</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14</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42</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90</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16.3</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168.3</w:t>
            </w:r>
          </w:p>
        </w:tc>
      </w:tr>
      <w:tr w:rsidR="00BA4CE6" w:rsidRPr="00BA4CE6" w:rsidTr="00BA4CE6">
        <w:trPr>
          <w:trHeight w:val="240"/>
        </w:trPr>
        <w:tc>
          <w:tcPr>
            <w:tcW w:w="907" w:type="dxa"/>
            <w:tcBorders>
              <w:top w:val="nil"/>
              <w:left w:val="single" w:sz="4" w:space="0" w:color="auto"/>
              <w:bottom w:val="single" w:sz="4" w:space="0" w:color="auto"/>
              <w:right w:val="single" w:sz="4" w:space="0" w:color="auto"/>
            </w:tcBorders>
            <w:shd w:val="clear" w:color="auto" w:fill="auto"/>
            <w:vAlign w:val="center"/>
            <w:hideMark/>
          </w:tcPr>
          <w:p w:rsidR="00BA4CE6" w:rsidRPr="00BA4CE6" w:rsidRDefault="00BA4CE6" w:rsidP="003563FA">
            <w:pPr>
              <w:rPr>
                <w:rFonts w:ascii="Arial" w:hAnsi="Arial" w:cs="Arial"/>
                <w:b/>
                <w:bCs/>
                <w:sz w:val="18"/>
                <w:szCs w:val="20"/>
              </w:rPr>
            </w:pPr>
            <w:r w:rsidRPr="00BA4CE6">
              <w:rPr>
                <w:rFonts w:ascii="Arial" w:hAnsi="Arial" w:cs="Arial"/>
                <w:b/>
                <w:bCs/>
                <w:sz w:val="18"/>
                <w:szCs w:val="20"/>
              </w:rPr>
              <w:t>SVG</w:t>
            </w:r>
          </w:p>
        </w:tc>
        <w:tc>
          <w:tcPr>
            <w:tcW w:w="1073"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(done)</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(skip)</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14</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21</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45</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16.3</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96.3</w:t>
            </w:r>
          </w:p>
        </w:tc>
      </w:tr>
      <w:tr w:rsidR="00BA4CE6" w:rsidRPr="00BA4CE6" w:rsidTr="00BA4CE6">
        <w:trPr>
          <w:trHeight w:val="240"/>
        </w:trPr>
        <w:tc>
          <w:tcPr>
            <w:tcW w:w="907" w:type="dxa"/>
            <w:tcBorders>
              <w:top w:val="nil"/>
              <w:left w:val="single" w:sz="4" w:space="0" w:color="auto"/>
              <w:bottom w:val="single" w:sz="4" w:space="0" w:color="auto"/>
              <w:right w:val="single" w:sz="4" w:space="0" w:color="auto"/>
            </w:tcBorders>
            <w:shd w:val="clear" w:color="auto" w:fill="auto"/>
            <w:vAlign w:val="center"/>
            <w:hideMark/>
          </w:tcPr>
          <w:p w:rsidR="00BA4CE6" w:rsidRPr="00BA4CE6" w:rsidRDefault="00BA4CE6" w:rsidP="003563FA">
            <w:pPr>
              <w:rPr>
                <w:rFonts w:ascii="Arial" w:hAnsi="Arial" w:cs="Arial"/>
                <w:b/>
                <w:bCs/>
                <w:sz w:val="18"/>
                <w:szCs w:val="20"/>
              </w:rPr>
            </w:pPr>
            <w:r w:rsidRPr="00BA4CE6">
              <w:rPr>
                <w:rFonts w:ascii="Arial" w:hAnsi="Arial" w:cs="Arial"/>
                <w:b/>
                <w:bCs/>
                <w:sz w:val="18"/>
                <w:szCs w:val="20"/>
              </w:rPr>
              <w:t>GRE</w:t>
            </w:r>
          </w:p>
        </w:tc>
        <w:tc>
          <w:tcPr>
            <w:tcW w:w="1073"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(done)</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6</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14</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21</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45</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16.3</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102.3</w:t>
            </w:r>
          </w:p>
        </w:tc>
      </w:tr>
      <w:tr w:rsidR="00BA4CE6" w:rsidRPr="00BA4CE6" w:rsidTr="00BA4CE6">
        <w:trPr>
          <w:trHeight w:val="240"/>
        </w:trPr>
        <w:tc>
          <w:tcPr>
            <w:tcW w:w="907" w:type="dxa"/>
            <w:tcBorders>
              <w:top w:val="nil"/>
              <w:left w:val="single" w:sz="4" w:space="0" w:color="auto"/>
              <w:bottom w:val="single" w:sz="4" w:space="0" w:color="auto"/>
              <w:right w:val="single" w:sz="4" w:space="0" w:color="auto"/>
            </w:tcBorders>
            <w:shd w:val="clear" w:color="auto" w:fill="auto"/>
            <w:vAlign w:val="center"/>
            <w:hideMark/>
          </w:tcPr>
          <w:p w:rsidR="00BA4CE6" w:rsidRPr="00BA4CE6" w:rsidRDefault="00BA4CE6" w:rsidP="003563FA">
            <w:pPr>
              <w:rPr>
                <w:rFonts w:ascii="Arial" w:hAnsi="Arial" w:cs="Arial"/>
                <w:b/>
                <w:bCs/>
                <w:sz w:val="18"/>
                <w:szCs w:val="20"/>
              </w:rPr>
            </w:pPr>
            <w:r w:rsidRPr="00BA4CE6">
              <w:rPr>
                <w:rFonts w:ascii="Arial" w:hAnsi="Arial" w:cs="Arial"/>
                <w:b/>
                <w:bCs/>
                <w:sz w:val="18"/>
                <w:szCs w:val="20"/>
              </w:rPr>
              <w:t>SKN</w:t>
            </w:r>
          </w:p>
        </w:tc>
        <w:tc>
          <w:tcPr>
            <w:tcW w:w="1073"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(done)</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(done)</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14</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21</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45</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12.1</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92.1</w:t>
            </w:r>
          </w:p>
        </w:tc>
      </w:tr>
      <w:tr w:rsidR="00BA4CE6" w:rsidRPr="00BA4CE6" w:rsidTr="00BA4CE6">
        <w:trPr>
          <w:trHeight w:val="240"/>
        </w:trPr>
        <w:tc>
          <w:tcPr>
            <w:tcW w:w="907" w:type="dxa"/>
            <w:tcBorders>
              <w:top w:val="nil"/>
              <w:left w:val="single" w:sz="4" w:space="0" w:color="auto"/>
              <w:bottom w:val="single" w:sz="4" w:space="0" w:color="auto"/>
              <w:right w:val="single" w:sz="4" w:space="0" w:color="auto"/>
            </w:tcBorders>
            <w:shd w:val="clear" w:color="auto" w:fill="auto"/>
            <w:vAlign w:val="center"/>
            <w:hideMark/>
          </w:tcPr>
          <w:p w:rsidR="00BA4CE6" w:rsidRPr="00BA4CE6" w:rsidRDefault="00BA4CE6" w:rsidP="003563FA">
            <w:pPr>
              <w:rPr>
                <w:rFonts w:ascii="Arial" w:hAnsi="Arial" w:cs="Arial"/>
                <w:b/>
                <w:bCs/>
                <w:sz w:val="18"/>
                <w:szCs w:val="20"/>
              </w:rPr>
            </w:pPr>
            <w:r w:rsidRPr="00BA4CE6">
              <w:rPr>
                <w:rFonts w:ascii="Arial" w:hAnsi="Arial" w:cs="Arial"/>
                <w:b/>
                <w:bCs/>
                <w:sz w:val="18"/>
                <w:szCs w:val="20"/>
              </w:rPr>
              <w:t>DOM</w:t>
            </w:r>
          </w:p>
        </w:tc>
        <w:tc>
          <w:tcPr>
            <w:tcW w:w="1073"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(done)</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(done)</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(done)</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7</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45</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sz w:val="18"/>
                <w:szCs w:val="20"/>
              </w:rPr>
            </w:pPr>
            <w:r w:rsidRPr="00BA4CE6">
              <w:rPr>
                <w:rFonts w:ascii="Arial" w:hAnsi="Arial" w:cs="Arial"/>
                <w:sz w:val="18"/>
                <w:szCs w:val="20"/>
              </w:rPr>
              <w:t>15.0</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67.0</w:t>
            </w:r>
          </w:p>
        </w:tc>
      </w:tr>
      <w:tr w:rsidR="00BA4CE6" w:rsidRPr="00BA4CE6" w:rsidTr="00BA4CE6">
        <w:trPr>
          <w:trHeight w:val="240"/>
        </w:trPr>
        <w:tc>
          <w:tcPr>
            <w:tcW w:w="907" w:type="dxa"/>
            <w:tcBorders>
              <w:top w:val="nil"/>
              <w:left w:val="single" w:sz="4" w:space="0" w:color="auto"/>
              <w:bottom w:val="single" w:sz="4" w:space="0" w:color="auto"/>
              <w:right w:val="single" w:sz="4" w:space="0" w:color="auto"/>
            </w:tcBorders>
            <w:shd w:val="clear" w:color="auto" w:fill="auto"/>
            <w:vAlign w:val="center"/>
            <w:hideMark/>
          </w:tcPr>
          <w:p w:rsidR="00BA4CE6" w:rsidRPr="00BA4CE6" w:rsidRDefault="00BA4CE6" w:rsidP="003563FA">
            <w:pPr>
              <w:rPr>
                <w:rFonts w:ascii="Arial" w:hAnsi="Arial" w:cs="Arial"/>
                <w:b/>
                <w:bCs/>
                <w:sz w:val="18"/>
                <w:szCs w:val="20"/>
              </w:rPr>
            </w:pPr>
            <w:r w:rsidRPr="00BA4CE6">
              <w:rPr>
                <w:rFonts w:ascii="Arial" w:hAnsi="Arial" w:cs="Arial"/>
                <w:b/>
                <w:bCs/>
                <w:sz w:val="18"/>
                <w:szCs w:val="20"/>
              </w:rPr>
              <w:t>Total</w:t>
            </w:r>
          </w:p>
        </w:tc>
        <w:tc>
          <w:tcPr>
            <w:tcW w:w="1073"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0</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12</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56</w:t>
            </w:r>
          </w:p>
        </w:tc>
        <w:tc>
          <w:tcPr>
            <w:tcW w:w="126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112</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270</w:t>
            </w:r>
          </w:p>
        </w:tc>
        <w:tc>
          <w:tcPr>
            <w:tcW w:w="99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80.2</w:t>
            </w:r>
          </w:p>
        </w:tc>
        <w:tc>
          <w:tcPr>
            <w:tcW w:w="810" w:type="dxa"/>
            <w:tcBorders>
              <w:top w:val="nil"/>
              <w:left w:val="nil"/>
              <w:bottom w:val="single" w:sz="4" w:space="0" w:color="auto"/>
              <w:right w:val="single" w:sz="4" w:space="0" w:color="auto"/>
            </w:tcBorders>
            <w:shd w:val="clear" w:color="auto" w:fill="auto"/>
            <w:vAlign w:val="center"/>
            <w:hideMark/>
          </w:tcPr>
          <w:p w:rsidR="00BA4CE6" w:rsidRPr="00BA4CE6" w:rsidRDefault="00BA4CE6" w:rsidP="003563FA">
            <w:pPr>
              <w:jc w:val="center"/>
              <w:rPr>
                <w:rFonts w:ascii="Arial" w:hAnsi="Arial" w:cs="Arial"/>
                <w:b/>
                <w:bCs/>
                <w:sz w:val="18"/>
                <w:szCs w:val="20"/>
              </w:rPr>
            </w:pPr>
            <w:r w:rsidRPr="00BA4CE6">
              <w:rPr>
                <w:rFonts w:ascii="Arial" w:hAnsi="Arial" w:cs="Arial"/>
                <w:b/>
                <w:bCs/>
                <w:sz w:val="18"/>
                <w:szCs w:val="20"/>
              </w:rPr>
              <w:t>526.0</w:t>
            </w:r>
          </w:p>
        </w:tc>
      </w:tr>
    </w:tbl>
    <w:p w:rsidR="00DF20F3" w:rsidRDefault="00DF20F3" w:rsidP="00DF20F3">
      <w:pPr>
        <w:pStyle w:val="Paragraph"/>
        <w:tabs>
          <w:tab w:val="clear" w:pos="720"/>
        </w:tabs>
        <w:ind w:firstLine="0"/>
        <w:rPr>
          <w:rFonts w:ascii="Arial" w:hAnsi="Arial" w:cs="Arial"/>
          <w:sz w:val="22"/>
          <w:szCs w:val="22"/>
          <w:lang w:val="en-US"/>
        </w:rPr>
      </w:pPr>
    </w:p>
    <w:p w:rsidR="00DF20F3" w:rsidRDefault="00DF20F3" w:rsidP="00DF20F3">
      <w:pPr>
        <w:pStyle w:val="Paragraph"/>
        <w:tabs>
          <w:tab w:val="clear" w:pos="720"/>
        </w:tabs>
        <w:ind w:firstLine="0"/>
        <w:rPr>
          <w:rFonts w:ascii="Arial" w:hAnsi="Arial" w:cs="Arial"/>
          <w:sz w:val="22"/>
          <w:szCs w:val="22"/>
          <w:lang w:val="en-US"/>
        </w:rPr>
      </w:pPr>
    </w:p>
    <w:p w:rsidR="00DF20F3" w:rsidRPr="00BB52F3" w:rsidRDefault="00DF20F3" w:rsidP="00DF20F3">
      <w:pPr>
        <w:pStyle w:val="Paragraph"/>
        <w:numPr>
          <w:ilvl w:val="1"/>
          <w:numId w:val="13"/>
        </w:numPr>
        <w:rPr>
          <w:rFonts w:ascii="Arial" w:hAnsi="Arial" w:cs="Arial"/>
          <w:sz w:val="22"/>
          <w:szCs w:val="22"/>
          <w:lang w:val="en-US"/>
        </w:rPr>
      </w:pPr>
      <w:r w:rsidRPr="00BB52F3">
        <w:rPr>
          <w:rFonts w:ascii="Arial" w:hAnsi="Arial" w:cs="Arial"/>
          <w:sz w:val="22"/>
          <w:szCs w:val="22"/>
          <w:lang w:val="en-US"/>
        </w:rPr>
        <w:lastRenderedPageBreak/>
        <w:t xml:space="preserve">The Caribbean Development Bank (CDB) would be the executing agency and borrower for the </w:t>
      </w:r>
      <w:r>
        <w:rPr>
          <w:rFonts w:ascii="Arial" w:hAnsi="Arial" w:cs="Arial"/>
          <w:sz w:val="22"/>
          <w:szCs w:val="22"/>
          <w:lang w:val="en-US"/>
        </w:rPr>
        <w:t>Facility</w:t>
      </w:r>
      <w:r w:rsidRPr="00BB52F3">
        <w:rPr>
          <w:rFonts w:ascii="Arial" w:hAnsi="Arial" w:cs="Arial"/>
          <w:sz w:val="22"/>
          <w:szCs w:val="22"/>
          <w:lang w:val="en-US"/>
        </w:rPr>
        <w:t xml:space="preserve"> that would implement a comprehensive initiative to support EE and RE in the region. The </w:t>
      </w:r>
      <w:r>
        <w:rPr>
          <w:rFonts w:ascii="Arial" w:hAnsi="Arial" w:cs="Arial"/>
          <w:sz w:val="22"/>
          <w:szCs w:val="22"/>
          <w:lang w:val="en-US"/>
        </w:rPr>
        <w:t>Facility</w:t>
      </w:r>
      <w:r w:rsidRPr="00BB52F3">
        <w:rPr>
          <w:rFonts w:ascii="Arial" w:hAnsi="Arial" w:cs="Arial"/>
          <w:sz w:val="22"/>
          <w:szCs w:val="22"/>
          <w:lang w:val="en-US"/>
        </w:rPr>
        <w:t>’s support for geothermal development will involve using innovative financial instruments and the technical and financial assistance of IDB, JICA, and other potential donors. All grant and loan resources to support geothermal development in the EC would be channeled by the CDB, with the exception of the grant resources from JICA, which would be channeled directly to the beneficiary countries.</w:t>
      </w:r>
    </w:p>
    <w:p w:rsidR="00DF20F3" w:rsidRPr="00DF20F3" w:rsidRDefault="00DF20F3" w:rsidP="00DF20F3">
      <w:pPr>
        <w:pStyle w:val="Paragraph"/>
        <w:numPr>
          <w:ilvl w:val="1"/>
          <w:numId w:val="13"/>
        </w:numPr>
        <w:rPr>
          <w:rFonts w:ascii="Arial" w:hAnsi="Arial" w:cs="Arial"/>
          <w:sz w:val="22"/>
          <w:szCs w:val="22"/>
          <w:lang w:val="en-US"/>
        </w:rPr>
      </w:pPr>
      <w:r w:rsidRPr="00BB52F3">
        <w:rPr>
          <w:rFonts w:ascii="Arial" w:hAnsi="Arial" w:cs="Arial"/>
          <w:sz w:val="22"/>
          <w:szCs w:val="22"/>
          <w:lang w:val="en-US"/>
        </w:rPr>
        <w:t>Based on the concentration of these sub-loans in geothermal energy exploration and development, along with the sensitive physical locations (proximity of protected areas) of the projects under consideration, this operation is characterized as high risk (FI-1) with the potential for significant environmental and social (E&amp;S) impacts.</w:t>
      </w:r>
    </w:p>
    <w:p w:rsidR="008F278A" w:rsidRPr="00BB52F3" w:rsidRDefault="008F278A" w:rsidP="008F278A">
      <w:pPr>
        <w:pStyle w:val="Paragraph"/>
        <w:tabs>
          <w:tab w:val="clear" w:pos="720"/>
        </w:tabs>
        <w:ind w:left="0" w:firstLine="0"/>
        <w:rPr>
          <w:rFonts w:ascii="Arial" w:hAnsi="Arial" w:cs="Arial"/>
          <w:sz w:val="22"/>
          <w:szCs w:val="22"/>
          <w:lang w:val="en-US"/>
        </w:rPr>
      </w:pPr>
    </w:p>
    <w:p w:rsidR="00DA200A" w:rsidRPr="00BB52F3" w:rsidRDefault="00640849" w:rsidP="0005212E">
      <w:pPr>
        <w:numPr>
          <w:ilvl w:val="0"/>
          <w:numId w:val="1"/>
        </w:numPr>
        <w:tabs>
          <w:tab w:val="left" w:pos="810"/>
        </w:tabs>
        <w:suppressAutoHyphens/>
        <w:autoSpaceDN w:val="0"/>
        <w:spacing w:before="120" w:after="120" w:line="240" w:lineRule="auto"/>
        <w:ind w:left="720" w:hanging="720"/>
        <w:jc w:val="both"/>
        <w:textAlignment w:val="baseline"/>
        <w:outlineLvl w:val="1"/>
        <w:rPr>
          <w:rFonts w:ascii="Arial" w:eastAsia="Times New Roman" w:hAnsi="Arial" w:cs="Arial"/>
          <w:b/>
        </w:rPr>
      </w:pPr>
      <w:r w:rsidRPr="00BB52F3">
        <w:rPr>
          <w:rFonts w:ascii="Arial" w:eastAsia="Times New Roman" w:hAnsi="Arial" w:cs="Arial"/>
          <w:b/>
        </w:rPr>
        <w:t>Compliance Status and Project Standards</w:t>
      </w:r>
    </w:p>
    <w:p w:rsidR="00AC34F0" w:rsidRDefault="00640849" w:rsidP="00C90F9A">
      <w:pPr>
        <w:pStyle w:val="Paragraph"/>
        <w:numPr>
          <w:ilvl w:val="1"/>
          <w:numId w:val="1"/>
        </w:numPr>
        <w:ind w:left="720" w:hanging="900"/>
        <w:rPr>
          <w:rFonts w:ascii="Arial" w:hAnsi="Arial" w:cs="Arial"/>
          <w:sz w:val="22"/>
          <w:szCs w:val="22"/>
          <w:lang w:val="en-US"/>
        </w:rPr>
      </w:pPr>
      <w:r w:rsidRPr="00BB52F3">
        <w:rPr>
          <w:rFonts w:ascii="Arial" w:hAnsi="Arial" w:cs="Arial"/>
          <w:sz w:val="22"/>
          <w:szCs w:val="22"/>
          <w:lang w:val="en-US"/>
        </w:rPr>
        <w:t xml:space="preserve">Based on Directive B.13 of the Environment and Safeguards Compliance Policy (OP-703), the Facility is classified as a Financial Intermediary and as such this operation is not categorized according to its potential </w:t>
      </w:r>
      <w:r w:rsidR="00BB56AD" w:rsidRPr="00BB52F3">
        <w:rPr>
          <w:rFonts w:ascii="Arial" w:hAnsi="Arial" w:cs="Arial"/>
          <w:sz w:val="22"/>
          <w:szCs w:val="22"/>
          <w:lang w:val="en-US"/>
        </w:rPr>
        <w:t>E&amp;S</w:t>
      </w:r>
      <w:r w:rsidRPr="00BB52F3">
        <w:rPr>
          <w:rFonts w:ascii="Arial" w:hAnsi="Arial" w:cs="Arial"/>
          <w:sz w:val="22"/>
          <w:szCs w:val="22"/>
          <w:lang w:val="en-US"/>
        </w:rPr>
        <w:t xml:space="preserve"> impacts and risks. The Facility’s target investments include energy efficiency and renewable energy.</w:t>
      </w:r>
      <w:r w:rsidR="00020639" w:rsidRPr="00BB52F3">
        <w:rPr>
          <w:rFonts w:ascii="Arial" w:hAnsi="Arial" w:cs="Arial"/>
          <w:sz w:val="22"/>
          <w:szCs w:val="22"/>
          <w:lang w:val="en-US"/>
        </w:rPr>
        <w:t xml:space="preserve"> </w:t>
      </w:r>
      <w:r w:rsidRPr="00BB52F3">
        <w:rPr>
          <w:rFonts w:ascii="Arial" w:hAnsi="Arial" w:cs="Arial"/>
          <w:sz w:val="22"/>
          <w:szCs w:val="22"/>
          <w:lang w:val="en-US"/>
        </w:rPr>
        <w:t xml:space="preserve">The renewable energy component of the Facility is most dominant and comprised largely of geothermal sub-projects, presenting the potential for significant </w:t>
      </w:r>
      <w:r w:rsidR="00BB56AD" w:rsidRPr="00BB52F3">
        <w:rPr>
          <w:rFonts w:ascii="Arial" w:hAnsi="Arial" w:cs="Arial"/>
          <w:sz w:val="22"/>
          <w:szCs w:val="22"/>
          <w:lang w:val="en-US"/>
        </w:rPr>
        <w:t>E&amp;S</w:t>
      </w:r>
      <w:r w:rsidRPr="00BB52F3">
        <w:rPr>
          <w:rFonts w:ascii="Arial" w:hAnsi="Arial" w:cs="Arial"/>
          <w:sz w:val="22"/>
          <w:szCs w:val="22"/>
          <w:lang w:val="en-US"/>
        </w:rPr>
        <w:t xml:space="preserve"> risks. </w:t>
      </w:r>
      <w:r w:rsidR="00AC34F0" w:rsidRPr="00BB52F3">
        <w:rPr>
          <w:rFonts w:ascii="Arial" w:hAnsi="Arial" w:cs="Arial"/>
          <w:sz w:val="22"/>
          <w:szCs w:val="22"/>
          <w:lang w:val="en-US"/>
        </w:rPr>
        <w:t>Of</w:t>
      </w:r>
      <w:r w:rsidRPr="00BB52F3">
        <w:rPr>
          <w:rFonts w:ascii="Arial" w:hAnsi="Arial" w:cs="Arial"/>
          <w:sz w:val="22"/>
          <w:szCs w:val="22"/>
          <w:lang w:val="en-US"/>
        </w:rPr>
        <w:t xml:space="preserve"> the five geothermal projects located respectively in Dominica, Grenada, St-Lucia, St-Kitts and Nevis and. St Vincent and Grenadines</w:t>
      </w:r>
      <w:r w:rsidR="00AC34F0" w:rsidRPr="00BB52F3">
        <w:rPr>
          <w:rFonts w:ascii="Arial" w:hAnsi="Arial" w:cs="Arial"/>
          <w:sz w:val="22"/>
          <w:szCs w:val="22"/>
          <w:lang w:val="en-US"/>
        </w:rPr>
        <w:t>, the developments of Dominica and Nevis are most advanced with developed production and reinjection wells</w:t>
      </w:r>
      <w:r w:rsidR="00AF04DB" w:rsidRPr="00BB52F3">
        <w:rPr>
          <w:rFonts w:ascii="Arial" w:hAnsi="Arial" w:cs="Arial"/>
          <w:sz w:val="22"/>
          <w:szCs w:val="22"/>
          <w:lang w:val="en-US"/>
        </w:rPr>
        <w:t>, and slim-hole wells respectively</w:t>
      </w:r>
      <w:r w:rsidR="00AC34F0" w:rsidRPr="00BB52F3">
        <w:rPr>
          <w:rFonts w:ascii="Arial" w:hAnsi="Arial" w:cs="Arial"/>
          <w:sz w:val="22"/>
          <w:szCs w:val="22"/>
          <w:lang w:val="en-US"/>
        </w:rPr>
        <w:t>.</w:t>
      </w:r>
      <w:r w:rsidR="00020639" w:rsidRPr="00BB52F3">
        <w:rPr>
          <w:rFonts w:ascii="Arial" w:hAnsi="Arial" w:cs="Arial"/>
          <w:sz w:val="22"/>
          <w:szCs w:val="22"/>
          <w:lang w:val="en-US"/>
        </w:rPr>
        <w:t xml:space="preserve"> </w:t>
      </w:r>
      <w:r w:rsidR="00AC34F0" w:rsidRPr="00BB52F3">
        <w:rPr>
          <w:rFonts w:ascii="Arial" w:hAnsi="Arial" w:cs="Arial"/>
          <w:sz w:val="22"/>
          <w:szCs w:val="22"/>
          <w:lang w:val="en-US"/>
        </w:rPr>
        <w:t xml:space="preserve">Both countries are seeking financing for the </w:t>
      </w:r>
      <w:r w:rsidR="00AF04DB" w:rsidRPr="00BB52F3">
        <w:rPr>
          <w:rFonts w:ascii="Arial" w:hAnsi="Arial" w:cs="Arial"/>
          <w:sz w:val="22"/>
          <w:szCs w:val="22"/>
          <w:lang w:val="en-US"/>
        </w:rPr>
        <w:t xml:space="preserve">next development stage which is </w:t>
      </w:r>
      <w:r w:rsidR="00AC34F0" w:rsidRPr="00BB52F3">
        <w:rPr>
          <w:rFonts w:ascii="Arial" w:hAnsi="Arial" w:cs="Arial"/>
          <w:sz w:val="22"/>
          <w:szCs w:val="22"/>
          <w:lang w:val="en-US"/>
        </w:rPr>
        <w:t xml:space="preserve">construction of </w:t>
      </w:r>
      <w:r w:rsidR="00AF04DB" w:rsidRPr="00BB52F3">
        <w:rPr>
          <w:rFonts w:ascii="Arial" w:hAnsi="Arial" w:cs="Arial"/>
          <w:sz w:val="22"/>
          <w:szCs w:val="22"/>
          <w:lang w:val="en-US"/>
        </w:rPr>
        <w:t xml:space="preserve">the </w:t>
      </w:r>
      <w:r w:rsidR="00AC34F0" w:rsidRPr="00BB52F3">
        <w:rPr>
          <w:rFonts w:ascii="Arial" w:hAnsi="Arial" w:cs="Arial"/>
          <w:sz w:val="22"/>
          <w:szCs w:val="22"/>
          <w:lang w:val="en-US"/>
        </w:rPr>
        <w:t>production plant</w:t>
      </w:r>
      <w:r w:rsidR="00AF04DB" w:rsidRPr="00BB52F3">
        <w:rPr>
          <w:rFonts w:ascii="Arial" w:hAnsi="Arial" w:cs="Arial"/>
          <w:sz w:val="22"/>
          <w:szCs w:val="22"/>
          <w:lang w:val="en-US"/>
        </w:rPr>
        <w:t xml:space="preserve"> in Dominica and exploratory drilling in Nevis</w:t>
      </w:r>
      <w:r w:rsidRPr="00BB52F3">
        <w:rPr>
          <w:rFonts w:ascii="Arial" w:hAnsi="Arial" w:cs="Arial"/>
          <w:sz w:val="22"/>
          <w:szCs w:val="22"/>
          <w:lang w:val="en-US"/>
        </w:rPr>
        <w:t xml:space="preserve">. </w:t>
      </w:r>
      <w:r w:rsidR="00AC34F0" w:rsidRPr="00BB52F3">
        <w:rPr>
          <w:rFonts w:ascii="Arial" w:hAnsi="Arial" w:cs="Arial"/>
          <w:sz w:val="22"/>
          <w:szCs w:val="22"/>
          <w:lang w:val="en-US"/>
        </w:rPr>
        <w:t>These projects</w:t>
      </w:r>
      <w:r w:rsidR="00A43C2E" w:rsidRPr="00BB52F3">
        <w:rPr>
          <w:rFonts w:ascii="Arial" w:hAnsi="Arial" w:cs="Arial"/>
          <w:sz w:val="22"/>
          <w:szCs w:val="22"/>
          <w:lang w:val="en-US"/>
        </w:rPr>
        <w:t xml:space="preserve"> are considered high risk and are likely to be</w:t>
      </w:r>
      <w:r w:rsidR="00AC34F0" w:rsidRPr="00BB52F3">
        <w:rPr>
          <w:rFonts w:ascii="Arial" w:hAnsi="Arial" w:cs="Arial"/>
          <w:sz w:val="22"/>
          <w:szCs w:val="22"/>
          <w:lang w:val="en-US"/>
        </w:rPr>
        <w:t xml:space="preserve"> classified Category </w:t>
      </w:r>
      <w:r w:rsidRPr="00BB52F3">
        <w:rPr>
          <w:rFonts w:ascii="Arial" w:hAnsi="Arial" w:cs="Arial"/>
          <w:sz w:val="22"/>
          <w:szCs w:val="22"/>
          <w:lang w:val="en-US"/>
        </w:rPr>
        <w:t xml:space="preserve">A </w:t>
      </w:r>
      <w:r w:rsidR="00A43C2E" w:rsidRPr="00BB52F3">
        <w:rPr>
          <w:rFonts w:ascii="Arial" w:hAnsi="Arial" w:cs="Arial"/>
          <w:sz w:val="22"/>
          <w:szCs w:val="22"/>
          <w:lang w:val="en-US"/>
        </w:rPr>
        <w:t>investments. T</w:t>
      </w:r>
      <w:r w:rsidR="00AC34F0" w:rsidRPr="00BB52F3">
        <w:rPr>
          <w:rFonts w:ascii="Arial" w:hAnsi="Arial" w:cs="Arial"/>
          <w:sz w:val="22"/>
          <w:szCs w:val="22"/>
          <w:lang w:val="en-US"/>
        </w:rPr>
        <w:t xml:space="preserve">he other geothermal </w:t>
      </w:r>
      <w:r w:rsidR="00AF04DB" w:rsidRPr="00BB52F3">
        <w:rPr>
          <w:rFonts w:ascii="Arial" w:hAnsi="Arial" w:cs="Arial"/>
          <w:sz w:val="22"/>
          <w:szCs w:val="22"/>
          <w:lang w:val="en-US"/>
        </w:rPr>
        <w:t xml:space="preserve">projects in St. Lucia, Grenada, and St. Vincent &amp; The Grenadines </w:t>
      </w:r>
      <w:r w:rsidR="00AC34F0" w:rsidRPr="00BB52F3">
        <w:rPr>
          <w:rFonts w:ascii="Arial" w:hAnsi="Arial" w:cs="Arial"/>
          <w:sz w:val="22"/>
          <w:szCs w:val="22"/>
          <w:lang w:val="en-US"/>
        </w:rPr>
        <w:t xml:space="preserve">will also likely be </w:t>
      </w:r>
      <w:r w:rsidRPr="00BB52F3">
        <w:rPr>
          <w:rFonts w:ascii="Arial" w:hAnsi="Arial" w:cs="Arial"/>
          <w:sz w:val="22"/>
          <w:szCs w:val="22"/>
          <w:lang w:val="en-US"/>
        </w:rPr>
        <w:t xml:space="preserve">Category A </w:t>
      </w:r>
      <w:r w:rsidR="00AF04DB" w:rsidRPr="00BB52F3">
        <w:rPr>
          <w:rFonts w:ascii="Arial" w:hAnsi="Arial" w:cs="Arial"/>
          <w:sz w:val="22"/>
          <w:szCs w:val="22"/>
          <w:lang w:val="en-US"/>
        </w:rPr>
        <w:t xml:space="preserve">or </w:t>
      </w:r>
      <w:r w:rsidRPr="00BB52F3">
        <w:rPr>
          <w:rFonts w:ascii="Arial" w:hAnsi="Arial" w:cs="Arial"/>
          <w:sz w:val="22"/>
          <w:szCs w:val="22"/>
          <w:lang w:val="en-US"/>
        </w:rPr>
        <w:t xml:space="preserve">high risk Category B operations under the IDB’s environmental and social impact classification system. Based on the information presented, this Facility is categorized as high risk (FI-1). </w:t>
      </w:r>
    </w:p>
    <w:p w:rsidR="00A05729" w:rsidRDefault="00AC34F0" w:rsidP="00A05729">
      <w:pPr>
        <w:pStyle w:val="Paragraph"/>
        <w:numPr>
          <w:ilvl w:val="1"/>
          <w:numId w:val="1"/>
        </w:numPr>
        <w:ind w:left="720" w:hanging="900"/>
        <w:rPr>
          <w:rFonts w:ascii="Arial" w:hAnsi="Arial" w:cs="Arial"/>
          <w:sz w:val="22"/>
          <w:szCs w:val="22"/>
          <w:lang w:val="en-US"/>
        </w:rPr>
      </w:pPr>
      <w:r w:rsidRPr="00BB52F3">
        <w:rPr>
          <w:rFonts w:ascii="Arial" w:hAnsi="Arial" w:cs="Arial"/>
          <w:sz w:val="22"/>
          <w:szCs w:val="22"/>
          <w:lang w:val="en-US"/>
        </w:rPr>
        <w:t>The project was granted eligibility by the Eligibility Review Meeting Committee</w:t>
      </w:r>
      <w:r w:rsidR="00AF04DB" w:rsidRPr="00BB52F3">
        <w:rPr>
          <w:rFonts w:ascii="Arial" w:hAnsi="Arial" w:cs="Arial"/>
          <w:sz w:val="22"/>
          <w:szCs w:val="22"/>
          <w:lang w:val="en-US"/>
        </w:rPr>
        <w:t xml:space="preserve"> with the approval on June 9, 2015 of the Project Profile (PP)</w:t>
      </w:r>
      <w:r w:rsidRPr="00BB52F3">
        <w:rPr>
          <w:rFonts w:ascii="Arial" w:hAnsi="Arial" w:cs="Arial"/>
          <w:sz w:val="22"/>
          <w:szCs w:val="22"/>
          <w:lang w:val="en-US"/>
        </w:rPr>
        <w:t>. As part of this</w:t>
      </w:r>
      <w:r w:rsidR="00AF04DB" w:rsidRPr="00BB52F3">
        <w:rPr>
          <w:rFonts w:ascii="Arial" w:hAnsi="Arial" w:cs="Arial"/>
          <w:sz w:val="22"/>
          <w:szCs w:val="22"/>
          <w:lang w:val="en-US"/>
        </w:rPr>
        <w:t xml:space="preserve"> PP</w:t>
      </w:r>
      <w:r w:rsidRPr="00BB52F3">
        <w:rPr>
          <w:rFonts w:ascii="Arial" w:hAnsi="Arial" w:cs="Arial"/>
          <w:sz w:val="22"/>
          <w:szCs w:val="22"/>
          <w:lang w:val="en-US"/>
        </w:rPr>
        <w:t xml:space="preserve"> a strategy for </w:t>
      </w:r>
      <w:r w:rsidR="00BB56AD" w:rsidRPr="00BB52F3">
        <w:rPr>
          <w:rFonts w:ascii="Arial" w:hAnsi="Arial" w:cs="Arial"/>
          <w:sz w:val="22"/>
          <w:szCs w:val="22"/>
          <w:lang w:val="en-US"/>
        </w:rPr>
        <w:t>E&amp;S</w:t>
      </w:r>
      <w:r w:rsidRPr="00BB52F3">
        <w:rPr>
          <w:rFonts w:ascii="Arial" w:hAnsi="Arial" w:cs="Arial"/>
          <w:sz w:val="22"/>
          <w:szCs w:val="22"/>
          <w:lang w:val="en-US"/>
        </w:rPr>
        <w:t xml:space="preserve"> due diligence was </w:t>
      </w:r>
      <w:r w:rsidR="00BB56AD" w:rsidRPr="00BB52F3">
        <w:rPr>
          <w:rFonts w:ascii="Arial" w:hAnsi="Arial" w:cs="Arial"/>
          <w:sz w:val="22"/>
          <w:szCs w:val="22"/>
          <w:lang w:val="en-US"/>
        </w:rPr>
        <w:t>defined</w:t>
      </w:r>
      <w:r w:rsidR="00335717" w:rsidRPr="00BB52F3">
        <w:rPr>
          <w:rFonts w:ascii="Arial" w:hAnsi="Arial" w:cs="Arial"/>
          <w:sz w:val="22"/>
          <w:szCs w:val="22"/>
          <w:lang w:val="en-US"/>
        </w:rPr>
        <w:t xml:space="preserve"> and</w:t>
      </w:r>
      <w:r w:rsidRPr="00BB52F3">
        <w:rPr>
          <w:rFonts w:ascii="Arial" w:hAnsi="Arial" w:cs="Arial"/>
          <w:sz w:val="22"/>
          <w:szCs w:val="22"/>
          <w:lang w:val="en-US"/>
        </w:rPr>
        <w:t xml:space="preserve"> focused on an assessment of CDB’s pipeline and capacity to manage </w:t>
      </w:r>
      <w:r w:rsidR="00BB56AD" w:rsidRPr="00BB52F3">
        <w:rPr>
          <w:rFonts w:ascii="Arial" w:hAnsi="Arial" w:cs="Arial"/>
          <w:sz w:val="22"/>
          <w:szCs w:val="22"/>
          <w:lang w:val="en-US"/>
        </w:rPr>
        <w:t>E&amp;S</w:t>
      </w:r>
      <w:r w:rsidRPr="00BB52F3">
        <w:rPr>
          <w:rFonts w:ascii="Arial" w:hAnsi="Arial" w:cs="Arial"/>
          <w:sz w:val="22"/>
          <w:szCs w:val="22"/>
          <w:lang w:val="en-US"/>
        </w:rPr>
        <w:t xml:space="preserve"> aspects</w:t>
      </w:r>
      <w:r w:rsidR="00BB56AD" w:rsidRPr="00BB52F3">
        <w:rPr>
          <w:rFonts w:ascii="Arial" w:hAnsi="Arial" w:cs="Arial"/>
          <w:sz w:val="22"/>
          <w:szCs w:val="22"/>
          <w:lang w:val="en-US"/>
        </w:rPr>
        <w:t xml:space="preserve"> in high risk projects, as well as the process and standards that would apply in reviewing, managing and monitoring the particular risks </w:t>
      </w:r>
      <w:r w:rsidR="00335717" w:rsidRPr="00BB52F3">
        <w:rPr>
          <w:rFonts w:ascii="Arial" w:hAnsi="Arial" w:cs="Arial"/>
          <w:sz w:val="22"/>
          <w:szCs w:val="22"/>
          <w:lang w:val="en-US"/>
        </w:rPr>
        <w:t>pertaining to geothermal exploration and development</w:t>
      </w:r>
      <w:r w:rsidR="00BB56AD" w:rsidRPr="00BB52F3">
        <w:rPr>
          <w:rFonts w:ascii="Arial" w:hAnsi="Arial" w:cs="Arial"/>
          <w:sz w:val="22"/>
          <w:szCs w:val="22"/>
          <w:lang w:val="en-US"/>
        </w:rPr>
        <w:t>.</w:t>
      </w:r>
      <w:r w:rsidR="00020639" w:rsidRPr="00BB52F3">
        <w:rPr>
          <w:rFonts w:ascii="Arial" w:hAnsi="Arial" w:cs="Arial"/>
          <w:sz w:val="22"/>
          <w:szCs w:val="22"/>
          <w:lang w:val="en-US"/>
        </w:rPr>
        <w:t xml:space="preserve"> </w:t>
      </w:r>
      <w:r w:rsidR="00BB56AD" w:rsidRPr="00BB52F3">
        <w:rPr>
          <w:rFonts w:ascii="Arial" w:hAnsi="Arial" w:cs="Arial"/>
          <w:sz w:val="22"/>
          <w:szCs w:val="22"/>
          <w:lang w:val="en-US"/>
        </w:rPr>
        <w:t>It was agreed that for this Facility</w:t>
      </w:r>
      <w:r w:rsidR="00335717" w:rsidRPr="00BB52F3">
        <w:rPr>
          <w:rFonts w:ascii="Arial" w:hAnsi="Arial" w:cs="Arial"/>
          <w:sz w:val="22"/>
          <w:szCs w:val="22"/>
          <w:lang w:val="en-US"/>
        </w:rPr>
        <w:t xml:space="preserve"> and all sub-projects under it</w:t>
      </w:r>
      <w:r w:rsidR="00BB56AD" w:rsidRPr="00BB52F3">
        <w:rPr>
          <w:rFonts w:ascii="Arial" w:hAnsi="Arial" w:cs="Arial"/>
          <w:sz w:val="22"/>
          <w:szCs w:val="22"/>
          <w:lang w:val="en-US"/>
        </w:rPr>
        <w:t xml:space="preserve">, the </w:t>
      </w:r>
      <w:r w:rsidR="00AF04DB" w:rsidRPr="00BB52F3">
        <w:rPr>
          <w:rFonts w:ascii="Arial" w:hAnsi="Arial" w:cs="Arial"/>
          <w:sz w:val="22"/>
          <w:szCs w:val="22"/>
          <w:lang w:val="en-US"/>
        </w:rPr>
        <w:t>International Finance Corporation (</w:t>
      </w:r>
      <w:r w:rsidR="00BB56AD" w:rsidRPr="00BB52F3">
        <w:rPr>
          <w:rFonts w:ascii="Arial" w:hAnsi="Arial" w:cs="Arial"/>
          <w:sz w:val="22"/>
          <w:szCs w:val="22"/>
          <w:lang w:val="en-US"/>
        </w:rPr>
        <w:t>IFC</w:t>
      </w:r>
      <w:r w:rsidR="00AF04DB" w:rsidRPr="00BB52F3">
        <w:rPr>
          <w:rFonts w:ascii="Arial" w:hAnsi="Arial" w:cs="Arial"/>
          <w:sz w:val="22"/>
          <w:szCs w:val="22"/>
          <w:lang w:val="en-US"/>
        </w:rPr>
        <w:t>)</w:t>
      </w:r>
      <w:r w:rsidR="00BB56AD" w:rsidRPr="00BB52F3">
        <w:rPr>
          <w:rFonts w:ascii="Arial" w:hAnsi="Arial" w:cs="Arial"/>
          <w:sz w:val="22"/>
          <w:szCs w:val="22"/>
          <w:lang w:val="en-US"/>
        </w:rPr>
        <w:t xml:space="preserve"> Performance Standards and World Bank Environmental, Health and Safety </w:t>
      </w:r>
      <w:r w:rsidR="00335717" w:rsidRPr="00BB52F3">
        <w:rPr>
          <w:rFonts w:ascii="Arial" w:hAnsi="Arial" w:cs="Arial"/>
          <w:sz w:val="22"/>
          <w:szCs w:val="22"/>
          <w:lang w:val="en-US"/>
        </w:rPr>
        <w:t xml:space="preserve">(EHS) </w:t>
      </w:r>
      <w:r w:rsidR="00BB56AD" w:rsidRPr="00BB52F3">
        <w:rPr>
          <w:rFonts w:ascii="Arial" w:hAnsi="Arial" w:cs="Arial"/>
          <w:sz w:val="22"/>
          <w:szCs w:val="22"/>
          <w:lang w:val="en-US"/>
        </w:rPr>
        <w:t xml:space="preserve">Guidelines </w:t>
      </w:r>
      <w:r w:rsidR="00DC1797" w:rsidRPr="00BB52F3">
        <w:rPr>
          <w:rFonts w:ascii="Arial" w:hAnsi="Arial" w:cs="Arial"/>
          <w:sz w:val="22"/>
          <w:szCs w:val="22"/>
          <w:lang w:val="en-US"/>
        </w:rPr>
        <w:t xml:space="preserve">(i.e. : General EHS; Geothermal Power Generation; and Electric Power Transmission and Distribution) </w:t>
      </w:r>
      <w:r w:rsidR="00BB56AD" w:rsidRPr="00BB52F3">
        <w:rPr>
          <w:rFonts w:ascii="Arial" w:hAnsi="Arial" w:cs="Arial"/>
          <w:sz w:val="22"/>
          <w:szCs w:val="22"/>
          <w:lang w:val="en-US"/>
        </w:rPr>
        <w:t>will be the applicable standards in screening and managing E&amp;S risks and impacts.</w:t>
      </w:r>
      <w:r w:rsidR="00020639" w:rsidRPr="00BB52F3">
        <w:rPr>
          <w:rFonts w:ascii="Arial" w:hAnsi="Arial" w:cs="Arial"/>
          <w:sz w:val="22"/>
          <w:szCs w:val="22"/>
          <w:lang w:val="en-US"/>
        </w:rPr>
        <w:t xml:space="preserve"> </w:t>
      </w:r>
      <w:r w:rsidR="00BB56AD" w:rsidRPr="00BB52F3">
        <w:rPr>
          <w:rFonts w:ascii="Arial" w:hAnsi="Arial" w:cs="Arial"/>
          <w:sz w:val="22"/>
          <w:szCs w:val="22"/>
          <w:lang w:val="en-US"/>
        </w:rPr>
        <w:t xml:space="preserve">Additionally, on all Category A sub-projects, IDB and CDB will undertake a hand-in-hand due diligence approach in order to ensure the comprehensive application of E&amp;S standards consistent </w:t>
      </w:r>
      <w:r w:rsidR="00AF3E19" w:rsidRPr="00BB52F3">
        <w:rPr>
          <w:rFonts w:ascii="Arial" w:hAnsi="Arial" w:cs="Arial"/>
          <w:sz w:val="22"/>
          <w:szCs w:val="22"/>
          <w:lang w:val="en-US"/>
        </w:rPr>
        <w:t>aforementioned standards</w:t>
      </w:r>
      <w:r w:rsidR="00BB56AD" w:rsidRPr="00BB52F3">
        <w:rPr>
          <w:rFonts w:ascii="Arial" w:hAnsi="Arial" w:cs="Arial"/>
          <w:sz w:val="22"/>
          <w:szCs w:val="22"/>
          <w:lang w:val="en-US"/>
        </w:rPr>
        <w:t>.</w:t>
      </w:r>
      <w:r w:rsidR="00020639" w:rsidRPr="00BB52F3">
        <w:rPr>
          <w:rFonts w:ascii="Arial" w:hAnsi="Arial" w:cs="Arial"/>
          <w:sz w:val="22"/>
          <w:szCs w:val="22"/>
          <w:lang w:val="en-US"/>
        </w:rPr>
        <w:t xml:space="preserve"> </w:t>
      </w:r>
    </w:p>
    <w:p w:rsidR="00A05729" w:rsidRPr="00BB52F3" w:rsidRDefault="00A05729" w:rsidP="00A05729">
      <w:pPr>
        <w:pStyle w:val="Paragraph"/>
        <w:numPr>
          <w:ilvl w:val="1"/>
          <w:numId w:val="1"/>
        </w:numPr>
        <w:ind w:left="720" w:hanging="900"/>
        <w:rPr>
          <w:rFonts w:ascii="Arial" w:hAnsi="Arial" w:cs="Arial"/>
          <w:sz w:val="22"/>
          <w:szCs w:val="22"/>
          <w:lang w:val="en-US"/>
        </w:rPr>
      </w:pPr>
      <w:r>
        <w:rPr>
          <w:rFonts w:ascii="Arial" w:hAnsi="Arial" w:cs="Arial"/>
          <w:sz w:val="22"/>
          <w:szCs w:val="22"/>
          <w:lang w:val="en-US"/>
        </w:rPr>
        <w:t xml:space="preserve">The geothermal sub-projects are in different stages of development.  While some projects have completed EIAs, it is expected that should they be considered eligible for CDB financing, updates to the EIAs and additional studies will likely be required under the conditions defined within this loan agreements. </w:t>
      </w:r>
    </w:p>
    <w:p w:rsidR="00B52120" w:rsidRPr="00BB52F3" w:rsidRDefault="00B52120" w:rsidP="00A05729">
      <w:pPr>
        <w:pStyle w:val="Paragraph"/>
        <w:tabs>
          <w:tab w:val="clear" w:pos="720"/>
        </w:tabs>
        <w:ind w:left="-180" w:firstLine="0"/>
        <w:rPr>
          <w:rFonts w:ascii="Arial" w:hAnsi="Arial" w:cs="Arial"/>
          <w:sz w:val="22"/>
          <w:szCs w:val="22"/>
          <w:lang w:val="en-US"/>
        </w:rPr>
      </w:pPr>
    </w:p>
    <w:p w:rsidR="008A4A10" w:rsidRPr="00BB52F3" w:rsidRDefault="00AF3E19" w:rsidP="00683F8B">
      <w:pPr>
        <w:numPr>
          <w:ilvl w:val="0"/>
          <w:numId w:val="1"/>
        </w:numPr>
        <w:tabs>
          <w:tab w:val="left" w:pos="810"/>
        </w:tabs>
        <w:suppressAutoHyphens/>
        <w:autoSpaceDN w:val="0"/>
        <w:spacing w:before="120" w:after="120" w:line="240" w:lineRule="auto"/>
        <w:ind w:left="720" w:hanging="720"/>
        <w:jc w:val="both"/>
        <w:textAlignment w:val="baseline"/>
        <w:outlineLvl w:val="1"/>
        <w:rPr>
          <w:rFonts w:ascii="Arial" w:eastAsia="Times New Roman" w:hAnsi="Arial" w:cs="Arial"/>
          <w:b/>
        </w:rPr>
      </w:pPr>
      <w:r w:rsidRPr="00BB52F3">
        <w:rPr>
          <w:rFonts w:ascii="Arial" w:eastAsia="Times New Roman" w:hAnsi="Arial" w:cs="Arial"/>
          <w:b/>
        </w:rPr>
        <w:lastRenderedPageBreak/>
        <w:t>Key Environmental and Social Impacts, Risks and Mitigation</w:t>
      </w:r>
    </w:p>
    <w:p w:rsidR="008247FA" w:rsidRDefault="00AF3E19" w:rsidP="008247FA">
      <w:pPr>
        <w:pStyle w:val="ListParagraph"/>
        <w:numPr>
          <w:ilvl w:val="0"/>
          <w:numId w:val="3"/>
        </w:numPr>
        <w:autoSpaceDE w:val="0"/>
        <w:autoSpaceDN w:val="0"/>
        <w:adjustRightInd w:val="0"/>
        <w:spacing w:after="0" w:line="240" w:lineRule="auto"/>
        <w:ind w:hanging="900"/>
        <w:jc w:val="both"/>
        <w:rPr>
          <w:rFonts w:ascii="Arial" w:eastAsia="Cambria" w:hAnsi="Arial" w:cs="Arial"/>
          <w:color w:val="000000"/>
        </w:rPr>
      </w:pPr>
      <w:r w:rsidRPr="00BB52F3">
        <w:rPr>
          <w:rFonts w:ascii="Arial" w:eastAsia="Cambria" w:hAnsi="Arial" w:cs="Arial"/>
          <w:color w:val="000000"/>
        </w:rPr>
        <w:t>The potential key environmental, social, health and safety, and labor issues and risks associated with this Facility are mainly those related to sub-projects to be financed directly by the CDB.</w:t>
      </w:r>
      <w:r w:rsidR="00020639" w:rsidRPr="00BB52F3">
        <w:rPr>
          <w:rFonts w:ascii="Arial" w:eastAsia="Cambria" w:hAnsi="Arial" w:cs="Arial"/>
          <w:color w:val="000000"/>
        </w:rPr>
        <w:t xml:space="preserve"> </w:t>
      </w:r>
      <w:r w:rsidRPr="00BB52F3">
        <w:rPr>
          <w:rFonts w:ascii="Arial" w:eastAsia="Cambria" w:hAnsi="Arial" w:cs="Arial"/>
          <w:color w:val="000000"/>
        </w:rPr>
        <w:t>The Facility has been designed such that 20% of the sub-projects might be in energy efficiency, solar or wind, and 80% of the sub-projects will be oriented towards geothermal.</w:t>
      </w:r>
      <w:r w:rsidR="00020639" w:rsidRPr="00BB52F3">
        <w:rPr>
          <w:rFonts w:ascii="Arial" w:eastAsia="Cambria" w:hAnsi="Arial" w:cs="Arial"/>
          <w:color w:val="000000"/>
        </w:rPr>
        <w:t xml:space="preserve"> </w:t>
      </w:r>
      <w:r w:rsidRPr="00BB52F3">
        <w:rPr>
          <w:rFonts w:ascii="Arial" w:eastAsia="Cambria" w:hAnsi="Arial" w:cs="Arial"/>
          <w:color w:val="000000"/>
        </w:rPr>
        <w:t>These would be the only potential sectors eligible for on-lending and their associated risks are as follows:</w:t>
      </w:r>
    </w:p>
    <w:p w:rsidR="00864E96" w:rsidRPr="00BB52F3" w:rsidRDefault="00864E96" w:rsidP="00864E96">
      <w:pPr>
        <w:pStyle w:val="ListParagraph"/>
        <w:autoSpaceDE w:val="0"/>
        <w:autoSpaceDN w:val="0"/>
        <w:adjustRightInd w:val="0"/>
        <w:spacing w:after="0" w:line="240" w:lineRule="auto"/>
        <w:jc w:val="both"/>
        <w:rPr>
          <w:rFonts w:ascii="Arial" w:eastAsia="Cambria" w:hAnsi="Arial" w:cs="Arial"/>
          <w:color w:val="000000"/>
        </w:rPr>
      </w:pPr>
    </w:p>
    <w:p w:rsidR="00DC1797" w:rsidRDefault="00AF3E19" w:rsidP="008247FA">
      <w:pPr>
        <w:pStyle w:val="ListParagraph"/>
        <w:numPr>
          <w:ilvl w:val="0"/>
          <w:numId w:val="3"/>
        </w:numPr>
        <w:autoSpaceDE w:val="0"/>
        <w:autoSpaceDN w:val="0"/>
        <w:adjustRightInd w:val="0"/>
        <w:spacing w:after="0" w:line="240" w:lineRule="auto"/>
        <w:ind w:hanging="900"/>
        <w:jc w:val="both"/>
        <w:rPr>
          <w:rFonts w:ascii="Arial" w:eastAsia="Cambria" w:hAnsi="Arial" w:cs="Arial"/>
          <w:color w:val="000000"/>
        </w:rPr>
      </w:pPr>
      <w:r w:rsidRPr="00BB52F3">
        <w:rPr>
          <w:rFonts w:ascii="Arial" w:eastAsia="Cambria" w:hAnsi="Arial" w:cs="Arial"/>
          <w:b/>
          <w:color w:val="000000"/>
        </w:rPr>
        <w:t>Geothermal:</w:t>
      </w:r>
      <w:r w:rsidR="008247FA" w:rsidRPr="00BB52F3">
        <w:rPr>
          <w:rFonts w:ascii="Arial" w:eastAsia="Cambria" w:hAnsi="Arial" w:cs="Arial"/>
          <w:color w:val="000000"/>
        </w:rPr>
        <w:t xml:space="preserve"> The exploration phase of each project will include possible negative environmental impacts and risks, though the more significant impacts are expected during construction. Each of the projects will involve drilling and testing of new production wells, reinjection wells, construction of the power plants buildings, </w:t>
      </w:r>
      <w:r w:rsidR="00DC1797" w:rsidRPr="00BB52F3">
        <w:rPr>
          <w:rFonts w:ascii="Arial" w:eastAsia="Cambria" w:hAnsi="Arial" w:cs="Arial"/>
          <w:color w:val="000000"/>
        </w:rPr>
        <w:t>and installation</w:t>
      </w:r>
      <w:r w:rsidR="008247FA" w:rsidRPr="00BB52F3">
        <w:rPr>
          <w:rFonts w:ascii="Arial" w:eastAsia="Cambria" w:hAnsi="Arial" w:cs="Arial"/>
          <w:color w:val="000000"/>
        </w:rPr>
        <w:t xml:space="preserve"> of equipment and, potential new access roads and electrical transmission associated facilities</w:t>
      </w:r>
      <w:r w:rsidR="00DC1797" w:rsidRPr="00BB52F3">
        <w:rPr>
          <w:rFonts w:ascii="Arial" w:eastAsia="Cambria" w:hAnsi="Arial" w:cs="Arial"/>
          <w:color w:val="000000"/>
        </w:rPr>
        <w:t xml:space="preserve"> (which may include submarine cables)</w:t>
      </w:r>
      <w:r w:rsidR="008247FA" w:rsidRPr="00BB52F3">
        <w:rPr>
          <w:rFonts w:ascii="Arial" w:eastAsia="Cambria" w:hAnsi="Arial" w:cs="Arial"/>
          <w:color w:val="000000"/>
        </w:rPr>
        <w:t xml:space="preserve">. </w:t>
      </w:r>
    </w:p>
    <w:p w:rsidR="00864E96" w:rsidRPr="00DC4734" w:rsidRDefault="00864E96" w:rsidP="00DC4734">
      <w:pPr>
        <w:autoSpaceDE w:val="0"/>
        <w:autoSpaceDN w:val="0"/>
        <w:adjustRightInd w:val="0"/>
        <w:spacing w:after="0" w:line="240" w:lineRule="auto"/>
        <w:jc w:val="both"/>
        <w:rPr>
          <w:rFonts w:ascii="Arial" w:eastAsia="Cambria" w:hAnsi="Arial" w:cs="Arial"/>
          <w:color w:val="000000"/>
        </w:rPr>
      </w:pPr>
    </w:p>
    <w:p w:rsidR="00DC1797" w:rsidRDefault="008247FA" w:rsidP="008247FA">
      <w:pPr>
        <w:pStyle w:val="ListParagraph"/>
        <w:numPr>
          <w:ilvl w:val="0"/>
          <w:numId w:val="3"/>
        </w:numPr>
        <w:autoSpaceDE w:val="0"/>
        <w:autoSpaceDN w:val="0"/>
        <w:adjustRightInd w:val="0"/>
        <w:spacing w:after="0" w:line="240" w:lineRule="auto"/>
        <w:ind w:hanging="900"/>
        <w:jc w:val="both"/>
        <w:rPr>
          <w:rFonts w:ascii="Arial" w:eastAsia="Cambria" w:hAnsi="Arial" w:cs="Arial"/>
          <w:color w:val="000000"/>
        </w:rPr>
      </w:pPr>
      <w:r w:rsidRPr="00BB52F3">
        <w:rPr>
          <w:rFonts w:ascii="Arial" w:eastAsia="Cambria" w:hAnsi="Arial" w:cs="Arial"/>
          <w:color w:val="000000"/>
        </w:rPr>
        <w:t>Main construction impacts expected are: (i) potential contamination of soil and ground water by drilling mud (essentially a suspension of a natural clay material - bentonite - with some additives added), drilling mud with cuttings, or through the reinjection of the geothermal fluid (essentially a mixture of hot water and steam, at temperatures that can reach 290°C, with dissolved salts and gases); (ii) increased water demand from wells drilling and testing and for the cooling system; (iii) potential land contamination due to the disposal of drilling mud and solid wastes; (iv) noise and vibrations generated during drilling; and (v) effects of drilling on groundwater aquifers, nearby hot springs, natural thermal features, and induced micro-seismicity and/ground subsidence; (vi) increased heavy traffic and potential traffic accidents in the vicinity of the project site; (vii) noise and dust emissions;  (viii) soil erosion and loss of vegetation</w:t>
      </w:r>
      <w:r w:rsidR="00DC1797" w:rsidRPr="00BB52F3">
        <w:rPr>
          <w:rFonts w:ascii="Arial" w:eastAsia="Cambria" w:hAnsi="Arial" w:cs="Arial"/>
          <w:color w:val="000000"/>
        </w:rPr>
        <w:t>; (ix) potential impacts to thermal features; and potential impacts to marine habitat and fauna</w:t>
      </w:r>
      <w:r w:rsidRPr="00BB52F3">
        <w:rPr>
          <w:rFonts w:ascii="Arial" w:eastAsia="Cambria" w:hAnsi="Arial" w:cs="Arial"/>
          <w:color w:val="000000"/>
        </w:rPr>
        <w:t xml:space="preserve"> Most of these construction impacts and risks can be adequately mitigated through the implementation of appropriate environmental, health and safety management plans and standard operating procedures (SOPs). </w:t>
      </w:r>
    </w:p>
    <w:p w:rsidR="00864E96" w:rsidRPr="00BB52F3" w:rsidRDefault="00864E96" w:rsidP="00864E96">
      <w:pPr>
        <w:pStyle w:val="ListParagraph"/>
        <w:autoSpaceDE w:val="0"/>
        <w:autoSpaceDN w:val="0"/>
        <w:adjustRightInd w:val="0"/>
        <w:spacing w:after="0" w:line="240" w:lineRule="auto"/>
        <w:jc w:val="both"/>
        <w:rPr>
          <w:rFonts w:ascii="Arial" w:eastAsia="Cambria" w:hAnsi="Arial" w:cs="Arial"/>
          <w:color w:val="000000"/>
        </w:rPr>
      </w:pPr>
    </w:p>
    <w:p w:rsidR="00870400" w:rsidRDefault="008247FA" w:rsidP="008247FA">
      <w:pPr>
        <w:pStyle w:val="ListParagraph"/>
        <w:numPr>
          <w:ilvl w:val="0"/>
          <w:numId w:val="3"/>
        </w:numPr>
        <w:autoSpaceDE w:val="0"/>
        <w:autoSpaceDN w:val="0"/>
        <w:adjustRightInd w:val="0"/>
        <w:spacing w:after="0" w:line="240" w:lineRule="auto"/>
        <w:ind w:hanging="900"/>
        <w:jc w:val="both"/>
        <w:rPr>
          <w:rFonts w:ascii="Arial" w:eastAsia="Cambria" w:hAnsi="Arial" w:cs="Arial"/>
          <w:color w:val="000000"/>
        </w:rPr>
      </w:pPr>
      <w:r w:rsidRPr="00BB52F3">
        <w:rPr>
          <w:rFonts w:ascii="Arial" w:eastAsia="Cambria" w:hAnsi="Arial" w:cs="Arial"/>
          <w:color w:val="000000"/>
        </w:rPr>
        <w:t>Once in operation, main impacts and risks are: (i) an increased level of micro-seismicity in the region; (ii) land subsidence; (iii) surface and underground water contamination</w:t>
      </w:r>
      <w:r w:rsidR="00B963D9" w:rsidRPr="00BB52F3">
        <w:rPr>
          <w:rFonts w:ascii="Arial" w:eastAsia="Cambria" w:hAnsi="Arial" w:cs="Arial"/>
          <w:color w:val="000000"/>
        </w:rPr>
        <w:t xml:space="preserve"> due to accidental spills; (iv) </w:t>
      </w:r>
      <w:r w:rsidRPr="00BB52F3">
        <w:rPr>
          <w:rFonts w:ascii="Arial" w:eastAsia="Cambria" w:hAnsi="Arial" w:cs="Arial"/>
          <w:color w:val="000000"/>
        </w:rPr>
        <w:t>mud contamination; (v) air emissions of hydrogen sulfide; (vi) health and occupational accidents; and (vii) increased exposure of community and workers to explosions, well blowouts and pipeline failures.</w:t>
      </w:r>
    </w:p>
    <w:p w:rsidR="00864E96" w:rsidRPr="00864E96" w:rsidRDefault="00864E96" w:rsidP="00864E96">
      <w:pPr>
        <w:autoSpaceDE w:val="0"/>
        <w:autoSpaceDN w:val="0"/>
        <w:adjustRightInd w:val="0"/>
        <w:spacing w:after="0" w:line="240" w:lineRule="auto"/>
        <w:jc w:val="both"/>
        <w:rPr>
          <w:rFonts w:ascii="Arial" w:eastAsia="Cambria" w:hAnsi="Arial" w:cs="Arial"/>
          <w:color w:val="000000"/>
        </w:rPr>
      </w:pPr>
    </w:p>
    <w:p w:rsidR="00277D8D" w:rsidRPr="00BB52F3" w:rsidRDefault="00B963D9" w:rsidP="008247FA">
      <w:pPr>
        <w:pStyle w:val="ListParagraph"/>
        <w:numPr>
          <w:ilvl w:val="0"/>
          <w:numId w:val="3"/>
        </w:numPr>
        <w:autoSpaceDE w:val="0"/>
        <w:autoSpaceDN w:val="0"/>
        <w:adjustRightInd w:val="0"/>
        <w:spacing w:after="0" w:line="240" w:lineRule="auto"/>
        <w:ind w:hanging="900"/>
        <w:jc w:val="both"/>
        <w:rPr>
          <w:rFonts w:ascii="Arial" w:eastAsia="Cambria" w:hAnsi="Arial" w:cs="Arial"/>
          <w:color w:val="000000"/>
        </w:rPr>
      </w:pPr>
      <w:r w:rsidRPr="00BB52F3">
        <w:rPr>
          <w:rFonts w:ascii="Arial" w:eastAsia="Cambria" w:hAnsi="Arial" w:cs="Arial"/>
          <w:color w:val="000000"/>
        </w:rPr>
        <w:t>Of the five potential sites, three are most advanced and include Dominica, Nevis and St. Vincent.</w:t>
      </w:r>
      <w:r w:rsidR="00020639" w:rsidRPr="00BB52F3">
        <w:rPr>
          <w:rFonts w:ascii="Arial" w:eastAsia="Cambria" w:hAnsi="Arial" w:cs="Arial"/>
          <w:color w:val="000000"/>
        </w:rPr>
        <w:t xml:space="preserve"> </w:t>
      </w:r>
      <w:r w:rsidRPr="00BB52F3">
        <w:rPr>
          <w:rFonts w:ascii="Arial" w:eastAsia="Cambria" w:hAnsi="Arial" w:cs="Arial"/>
          <w:color w:val="000000"/>
        </w:rPr>
        <w:t xml:space="preserve">In all three, the project team was able to obtain additional </w:t>
      </w:r>
      <w:r w:rsidR="00277D8D" w:rsidRPr="00BB52F3">
        <w:rPr>
          <w:rFonts w:ascii="Arial" w:eastAsia="Cambria" w:hAnsi="Arial" w:cs="Arial"/>
          <w:color w:val="000000"/>
        </w:rPr>
        <w:t xml:space="preserve">E&amp;S </w:t>
      </w:r>
      <w:r w:rsidRPr="00BB52F3">
        <w:rPr>
          <w:rFonts w:ascii="Arial" w:eastAsia="Cambria" w:hAnsi="Arial" w:cs="Arial"/>
          <w:color w:val="000000"/>
        </w:rPr>
        <w:t xml:space="preserve">project information, and </w:t>
      </w:r>
      <w:r w:rsidR="00020639" w:rsidRPr="00BB52F3">
        <w:rPr>
          <w:rFonts w:ascii="Arial" w:eastAsia="Cambria" w:hAnsi="Arial" w:cs="Arial"/>
          <w:color w:val="000000"/>
        </w:rPr>
        <w:t xml:space="preserve">in </w:t>
      </w:r>
      <w:r w:rsidRPr="00BB52F3">
        <w:rPr>
          <w:rFonts w:ascii="Arial" w:eastAsia="Cambria" w:hAnsi="Arial" w:cs="Arial"/>
          <w:color w:val="000000"/>
        </w:rPr>
        <w:t xml:space="preserve">the case of two, Dominica and Nevis, to undertake </w:t>
      </w:r>
      <w:r w:rsidR="00277D8D" w:rsidRPr="00BB52F3">
        <w:rPr>
          <w:rFonts w:ascii="Arial" w:eastAsia="Cambria" w:hAnsi="Arial" w:cs="Arial"/>
          <w:color w:val="000000"/>
        </w:rPr>
        <w:t>site</w:t>
      </w:r>
      <w:r w:rsidRPr="00BB52F3">
        <w:rPr>
          <w:rFonts w:ascii="Arial" w:eastAsia="Cambria" w:hAnsi="Arial" w:cs="Arial"/>
          <w:color w:val="000000"/>
        </w:rPr>
        <w:t xml:space="preserve"> visit</w:t>
      </w:r>
      <w:r w:rsidR="00277D8D" w:rsidRPr="00BB52F3">
        <w:rPr>
          <w:rFonts w:ascii="Arial" w:eastAsia="Cambria" w:hAnsi="Arial" w:cs="Arial"/>
          <w:color w:val="000000"/>
        </w:rPr>
        <w:t>s</w:t>
      </w:r>
      <w:r w:rsidRPr="00BB52F3">
        <w:rPr>
          <w:rFonts w:ascii="Arial" w:eastAsia="Cambria" w:hAnsi="Arial" w:cs="Arial"/>
          <w:color w:val="000000"/>
        </w:rPr>
        <w:t xml:space="preserve"> to </w:t>
      </w:r>
      <w:r w:rsidR="00DC1797" w:rsidRPr="00BB52F3">
        <w:rPr>
          <w:rFonts w:ascii="Arial" w:eastAsia="Cambria" w:hAnsi="Arial" w:cs="Arial"/>
          <w:color w:val="000000"/>
        </w:rPr>
        <w:t xml:space="preserve">gain a better </w:t>
      </w:r>
      <w:r w:rsidRPr="00BB52F3">
        <w:rPr>
          <w:rFonts w:ascii="Arial" w:eastAsia="Cambria" w:hAnsi="Arial" w:cs="Arial"/>
          <w:color w:val="000000"/>
        </w:rPr>
        <w:t xml:space="preserve">understanding of </w:t>
      </w:r>
      <w:r w:rsidR="00DC1797" w:rsidRPr="00BB52F3">
        <w:rPr>
          <w:rFonts w:ascii="Arial" w:eastAsia="Cambria" w:hAnsi="Arial" w:cs="Arial"/>
          <w:color w:val="000000"/>
        </w:rPr>
        <w:t xml:space="preserve">potential </w:t>
      </w:r>
      <w:r w:rsidRPr="00BB52F3">
        <w:rPr>
          <w:rFonts w:ascii="Arial" w:eastAsia="Cambria" w:hAnsi="Arial" w:cs="Arial"/>
          <w:color w:val="000000"/>
        </w:rPr>
        <w:t>environmental and social issues.</w:t>
      </w:r>
      <w:r w:rsidRPr="00BB52F3">
        <w:rPr>
          <w:rStyle w:val="FootnoteReference"/>
          <w:rFonts w:ascii="Arial" w:eastAsia="Cambria" w:hAnsi="Arial" w:cs="Arial"/>
          <w:color w:val="000000"/>
        </w:rPr>
        <w:footnoteReference w:id="3"/>
      </w:r>
      <w:r w:rsidRPr="00BB52F3">
        <w:rPr>
          <w:rFonts w:ascii="Arial" w:eastAsia="Cambria" w:hAnsi="Arial" w:cs="Arial"/>
          <w:color w:val="000000"/>
        </w:rPr>
        <w:t xml:space="preserve"> </w:t>
      </w:r>
      <w:r w:rsidR="00F97F8C" w:rsidRPr="00BB52F3">
        <w:rPr>
          <w:rFonts w:ascii="Arial" w:eastAsia="Cambria" w:hAnsi="Arial" w:cs="Arial"/>
          <w:color w:val="000000"/>
        </w:rPr>
        <w:t xml:space="preserve">It should be </w:t>
      </w:r>
      <w:r w:rsidR="00C608D5" w:rsidRPr="00BB52F3">
        <w:rPr>
          <w:rFonts w:ascii="Arial" w:eastAsia="Cambria" w:hAnsi="Arial" w:cs="Arial"/>
          <w:color w:val="000000"/>
        </w:rPr>
        <w:t>noted that</w:t>
      </w:r>
      <w:r w:rsidR="00F97F8C" w:rsidRPr="00BB52F3">
        <w:rPr>
          <w:rFonts w:ascii="Arial" w:eastAsia="Cambria" w:hAnsi="Arial" w:cs="Arial"/>
          <w:color w:val="000000"/>
        </w:rPr>
        <w:t xml:space="preserve"> whereas site specific information is known, it remains unclear whether the developers will seek financing from CDB</w:t>
      </w:r>
      <w:r w:rsidR="008A01D8" w:rsidRPr="00BB52F3">
        <w:rPr>
          <w:rFonts w:ascii="Arial" w:eastAsia="Cambria" w:hAnsi="Arial" w:cs="Arial"/>
          <w:color w:val="000000"/>
        </w:rPr>
        <w:t xml:space="preserve"> and </w:t>
      </w:r>
      <w:r w:rsidR="00C608D5" w:rsidRPr="00BB52F3">
        <w:rPr>
          <w:rFonts w:ascii="Arial" w:eastAsia="Cambria" w:hAnsi="Arial" w:cs="Arial"/>
          <w:color w:val="000000"/>
        </w:rPr>
        <w:t>for</w:t>
      </w:r>
      <w:r w:rsidR="008A01D8" w:rsidRPr="00BB52F3">
        <w:rPr>
          <w:rFonts w:ascii="Arial" w:eastAsia="Cambria" w:hAnsi="Arial" w:cs="Arial"/>
          <w:color w:val="000000"/>
        </w:rPr>
        <w:t xml:space="preserve"> which stage in the sub-projects</w:t>
      </w:r>
      <w:r w:rsidR="00C608D5" w:rsidRPr="00BB52F3">
        <w:rPr>
          <w:rFonts w:ascii="Arial" w:eastAsia="Cambria" w:hAnsi="Arial" w:cs="Arial"/>
          <w:color w:val="000000"/>
        </w:rPr>
        <w:t>’</w:t>
      </w:r>
      <w:r w:rsidR="008A01D8" w:rsidRPr="00BB52F3">
        <w:rPr>
          <w:rFonts w:ascii="Arial" w:eastAsia="Cambria" w:hAnsi="Arial" w:cs="Arial"/>
          <w:color w:val="000000"/>
        </w:rPr>
        <w:t xml:space="preserve"> development</w:t>
      </w:r>
      <w:r w:rsidR="00F97F8C" w:rsidRPr="00BB52F3">
        <w:rPr>
          <w:rFonts w:ascii="Arial" w:eastAsia="Cambria" w:hAnsi="Arial" w:cs="Arial"/>
          <w:color w:val="000000"/>
        </w:rPr>
        <w:t xml:space="preserve">.  </w:t>
      </w:r>
      <w:r w:rsidR="00C963D6" w:rsidRPr="00BB52F3">
        <w:rPr>
          <w:rFonts w:ascii="Arial" w:eastAsia="Cambria" w:hAnsi="Arial" w:cs="Arial"/>
          <w:color w:val="000000"/>
        </w:rPr>
        <w:t xml:space="preserve">Based on available EIA information obtained for the more advanced </w:t>
      </w:r>
      <w:r w:rsidR="00C963D6" w:rsidRPr="00BB52F3">
        <w:rPr>
          <w:rFonts w:ascii="Arial" w:eastAsia="Cambria" w:hAnsi="Arial" w:cs="Arial"/>
          <w:color w:val="000000"/>
        </w:rPr>
        <w:lastRenderedPageBreak/>
        <w:t xml:space="preserve">projects </w:t>
      </w:r>
      <w:r w:rsidRPr="00BB52F3">
        <w:rPr>
          <w:rFonts w:ascii="Arial" w:eastAsia="Cambria" w:hAnsi="Arial" w:cs="Arial"/>
          <w:color w:val="000000"/>
        </w:rPr>
        <w:t>the following brief overview summarizes</w:t>
      </w:r>
      <w:r w:rsidR="008A01D8" w:rsidRPr="00BB52F3">
        <w:rPr>
          <w:rFonts w:ascii="Arial" w:eastAsia="Cambria" w:hAnsi="Arial" w:cs="Arial"/>
          <w:color w:val="000000"/>
        </w:rPr>
        <w:t xml:space="preserve"> </w:t>
      </w:r>
      <w:r w:rsidR="00C608D5" w:rsidRPr="00BB52F3">
        <w:rPr>
          <w:rFonts w:ascii="Arial" w:eastAsia="Cambria" w:hAnsi="Arial" w:cs="Arial"/>
          <w:color w:val="000000"/>
        </w:rPr>
        <w:t xml:space="preserve">the environmental and social setting and presents </w:t>
      </w:r>
      <w:r w:rsidR="008A01D8" w:rsidRPr="00BB52F3">
        <w:rPr>
          <w:rFonts w:ascii="Arial" w:eastAsia="Cambria" w:hAnsi="Arial" w:cs="Arial"/>
          <w:color w:val="000000"/>
        </w:rPr>
        <w:t>initial</w:t>
      </w:r>
      <w:r w:rsidRPr="00BB52F3">
        <w:rPr>
          <w:rFonts w:ascii="Arial" w:eastAsia="Cambria" w:hAnsi="Arial" w:cs="Arial"/>
          <w:color w:val="000000"/>
        </w:rPr>
        <w:t xml:space="preserve"> issues</w:t>
      </w:r>
      <w:r w:rsidR="00277D8D" w:rsidRPr="00BB52F3">
        <w:rPr>
          <w:rFonts w:ascii="Arial" w:eastAsia="Cambria" w:hAnsi="Arial" w:cs="Arial"/>
          <w:color w:val="000000"/>
        </w:rPr>
        <w:t xml:space="preserve"> </w:t>
      </w:r>
      <w:r w:rsidR="00C608D5" w:rsidRPr="00BB52F3">
        <w:rPr>
          <w:rFonts w:ascii="Arial" w:eastAsia="Cambria" w:hAnsi="Arial" w:cs="Arial"/>
          <w:color w:val="000000"/>
        </w:rPr>
        <w:t>for future consideration</w:t>
      </w:r>
      <w:r w:rsidR="00277D8D" w:rsidRPr="00BB52F3">
        <w:rPr>
          <w:rFonts w:ascii="Arial" w:eastAsia="Cambria" w:hAnsi="Arial" w:cs="Arial"/>
          <w:color w:val="000000"/>
        </w:rPr>
        <w:t>:</w:t>
      </w:r>
    </w:p>
    <w:p w:rsidR="00495022" w:rsidRPr="00BB52F3" w:rsidRDefault="00277D8D" w:rsidP="00277D8D">
      <w:pPr>
        <w:pStyle w:val="ListParagraph"/>
        <w:numPr>
          <w:ilvl w:val="1"/>
          <w:numId w:val="3"/>
        </w:numPr>
        <w:autoSpaceDE w:val="0"/>
        <w:autoSpaceDN w:val="0"/>
        <w:adjustRightInd w:val="0"/>
        <w:spacing w:after="0" w:line="240" w:lineRule="auto"/>
        <w:jc w:val="both"/>
        <w:rPr>
          <w:rFonts w:ascii="Arial" w:eastAsia="Cambria" w:hAnsi="Arial" w:cs="Arial"/>
          <w:color w:val="000000"/>
        </w:rPr>
      </w:pPr>
      <w:r w:rsidRPr="00BB52F3">
        <w:rPr>
          <w:rFonts w:ascii="Arial" w:eastAsia="Cambria" w:hAnsi="Arial" w:cs="Arial"/>
          <w:b/>
          <w:i/>
          <w:color w:val="000000"/>
        </w:rPr>
        <w:t>Dominica</w:t>
      </w:r>
      <w:r w:rsidRPr="00BB52F3">
        <w:rPr>
          <w:rFonts w:ascii="Arial" w:eastAsia="Cambria" w:hAnsi="Arial" w:cs="Arial"/>
          <w:i/>
          <w:color w:val="000000"/>
        </w:rPr>
        <w:t xml:space="preserve">: </w:t>
      </w:r>
      <w:r w:rsidRPr="00BB52F3">
        <w:rPr>
          <w:rFonts w:ascii="Arial" w:eastAsia="Cambria" w:hAnsi="Arial" w:cs="Arial"/>
          <w:color w:val="000000"/>
        </w:rPr>
        <w:t>The Dominica Geothermal Project, known as the Wotten Waven-Trafalgar-Laudat field in the Roseau Valley, is most advanced</w:t>
      </w:r>
      <w:r w:rsidR="00C73A8F" w:rsidRPr="00BB52F3">
        <w:rPr>
          <w:rFonts w:ascii="Arial" w:eastAsia="Cambria" w:hAnsi="Arial" w:cs="Arial"/>
          <w:color w:val="000000"/>
        </w:rPr>
        <w:t xml:space="preserve"> among the islands, having already developed</w:t>
      </w:r>
      <w:r w:rsidR="00F97F8C" w:rsidRPr="00BB52F3">
        <w:rPr>
          <w:rFonts w:ascii="Arial" w:eastAsia="Cambria" w:hAnsi="Arial" w:cs="Arial"/>
          <w:color w:val="000000"/>
        </w:rPr>
        <w:t xml:space="preserve"> a </w:t>
      </w:r>
      <w:r w:rsidRPr="00BB52F3">
        <w:rPr>
          <w:rFonts w:ascii="Arial" w:eastAsia="Cambria" w:hAnsi="Arial" w:cs="Arial"/>
          <w:color w:val="000000"/>
        </w:rPr>
        <w:t xml:space="preserve">production well (Laudat) </w:t>
      </w:r>
      <w:r w:rsidR="008A01D8" w:rsidRPr="00BB52F3">
        <w:rPr>
          <w:rFonts w:ascii="Arial" w:eastAsia="Cambria" w:hAnsi="Arial" w:cs="Arial"/>
          <w:color w:val="000000"/>
        </w:rPr>
        <w:t xml:space="preserve">with roughly 8-10MW of capacity </w:t>
      </w:r>
      <w:r w:rsidRPr="00BB52F3">
        <w:rPr>
          <w:rFonts w:ascii="Arial" w:eastAsia="Cambria" w:hAnsi="Arial" w:cs="Arial"/>
          <w:color w:val="000000"/>
        </w:rPr>
        <w:t>and two re-injection wells (Wotten Waven and Trafalgar).</w:t>
      </w:r>
      <w:r w:rsidR="00020639" w:rsidRPr="00BB52F3">
        <w:rPr>
          <w:rFonts w:ascii="Arial" w:eastAsia="Cambria" w:hAnsi="Arial" w:cs="Arial"/>
          <w:color w:val="000000"/>
        </w:rPr>
        <w:t xml:space="preserve"> </w:t>
      </w:r>
      <w:r w:rsidR="001E6CB8" w:rsidRPr="00BB52F3">
        <w:rPr>
          <w:rFonts w:ascii="Arial" w:eastAsia="Cambria" w:hAnsi="Arial" w:cs="Arial"/>
          <w:color w:val="000000"/>
        </w:rPr>
        <w:t>The production well pad is located adjacent to an existing hydropower production plant, and in constructing the roughly 2.5 km pipeline to the reinjection sites would make use of the hydro pipeline’s right of way access.</w:t>
      </w:r>
      <w:r w:rsidR="00020639" w:rsidRPr="00BB52F3">
        <w:rPr>
          <w:rFonts w:ascii="Arial" w:eastAsia="Cambria" w:hAnsi="Arial" w:cs="Arial"/>
          <w:color w:val="000000"/>
        </w:rPr>
        <w:t xml:space="preserve"> </w:t>
      </w:r>
      <w:r w:rsidR="008A01D8" w:rsidRPr="00BB52F3">
        <w:rPr>
          <w:rFonts w:ascii="Arial" w:eastAsia="Cambria" w:hAnsi="Arial" w:cs="Arial"/>
          <w:color w:val="000000"/>
        </w:rPr>
        <w:t>The two reinjection sites are each located adjacent to a small community</w:t>
      </w:r>
      <w:r w:rsidR="00C608D5" w:rsidRPr="00BB52F3">
        <w:rPr>
          <w:rFonts w:ascii="Arial" w:eastAsia="Cambria" w:hAnsi="Arial" w:cs="Arial"/>
          <w:color w:val="000000"/>
        </w:rPr>
        <w:t>, while the production site and ultimate production plant are located off an existing road that services the installed hydropower plant (see map in Annex 1</w:t>
      </w:r>
      <w:r w:rsidR="00DC1797" w:rsidRPr="00BB52F3">
        <w:rPr>
          <w:rFonts w:ascii="Arial" w:eastAsia="Cambria" w:hAnsi="Arial" w:cs="Arial"/>
          <w:color w:val="000000"/>
        </w:rPr>
        <w:t xml:space="preserve"> </w:t>
      </w:r>
      <w:r w:rsidR="00C608D5" w:rsidRPr="00BB52F3">
        <w:rPr>
          <w:rFonts w:ascii="Arial" w:eastAsia="Cambria" w:hAnsi="Arial" w:cs="Arial"/>
          <w:color w:val="000000"/>
        </w:rPr>
        <w:t>for general location)</w:t>
      </w:r>
      <w:r w:rsidR="006060D4" w:rsidRPr="00BB52F3">
        <w:rPr>
          <w:rFonts w:ascii="Arial" w:eastAsia="Cambria" w:hAnsi="Arial" w:cs="Arial"/>
          <w:color w:val="000000"/>
        </w:rPr>
        <w:t xml:space="preserve">. The surrounding environment is characterized by a mix of degraded and partly degraded land, comprised of rain forest, wetlands, cultivated land, and swamps. </w:t>
      </w:r>
    </w:p>
    <w:p w:rsidR="00277D8D" w:rsidRPr="00BB52F3" w:rsidRDefault="00277D8D" w:rsidP="00495022">
      <w:pPr>
        <w:pStyle w:val="ListParagraph"/>
        <w:numPr>
          <w:ilvl w:val="1"/>
          <w:numId w:val="3"/>
        </w:numPr>
        <w:autoSpaceDE w:val="0"/>
        <w:autoSpaceDN w:val="0"/>
        <w:adjustRightInd w:val="0"/>
        <w:spacing w:after="0" w:line="240" w:lineRule="auto"/>
        <w:jc w:val="both"/>
        <w:rPr>
          <w:rFonts w:ascii="Arial" w:eastAsia="Cambria" w:hAnsi="Arial" w:cs="Arial"/>
          <w:color w:val="000000"/>
        </w:rPr>
      </w:pPr>
      <w:r w:rsidRPr="00BB52F3">
        <w:rPr>
          <w:rFonts w:ascii="Arial" w:eastAsia="Cambria" w:hAnsi="Arial" w:cs="Arial"/>
          <w:color w:val="000000"/>
        </w:rPr>
        <w:t xml:space="preserve">The Geothermal Development Unit </w:t>
      </w:r>
      <w:r w:rsidR="00831D28" w:rsidRPr="00BB52F3">
        <w:rPr>
          <w:rFonts w:ascii="Arial" w:eastAsia="Cambria" w:hAnsi="Arial" w:cs="Arial"/>
          <w:color w:val="000000"/>
        </w:rPr>
        <w:t xml:space="preserve">(GeoDU) </w:t>
      </w:r>
      <w:r w:rsidRPr="00BB52F3">
        <w:rPr>
          <w:rFonts w:ascii="Arial" w:eastAsia="Cambria" w:hAnsi="Arial" w:cs="Arial"/>
          <w:color w:val="000000"/>
        </w:rPr>
        <w:t xml:space="preserve">under the Ministry of Trade, Energy and Employment </w:t>
      </w:r>
      <w:r w:rsidR="00160E39" w:rsidRPr="00BB52F3">
        <w:rPr>
          <w:rFonts w:ascii="Arial" w:eastAsia="Cambria" w:hAnsi="Arial" w:cs="Arial"/>
          <w:color w:val="000000"/>
        </w:rPr>
        <w:t>has been</w:t>
      </w:r>
      <w:r w:rsidRPr="00BB52F3">
        <w:rPr>
          <w:rFonts w:ascii="Arial" w:eastAsia="Cambria" w:hAnsi="Arial" w:cs="Arial"/>
          <w:color w:val="000000"/>
        </w:rPr>
        <w:t xml:space="preserve"> in discussions with a consortium of devel</w:t>
      </w:r>
      <w:r w:rsidR="00160E39" w:rsidRPr="00BB52F3">
        <w:rPr>
          <w:rFonts w:ascii="Arial" w:eastAsia="Cambria" w:hAnsi="Arial" w:cs="Arial"/>
          <w:color w:val="000000"/>
        </w:rPr>
        <w:t xml:space="preserve">opers for next stage </w:t>
      </w:r>
      <w:r w:rsidR="00831D28" w:rsidRPr="00BB52F3">
        <w:rPr>
          <w:rFonts w:ascii="Arial" w:eastAsia="Cambria" w:hAnsi="Arial" w:cs="Arial"/>
          <w:color w:val="000000"/>
        </w:rPr>
        <w:t>construct</w:t>
      </w:r>
      <w:r w:rsidR="00160E39" w:rsidRPr="00BB52F3">
        <w:rPr>
          <w:rFonts w:ascii="Arial" w:eastAsia="Cambria" w:hAnsi="Arial" w:cs="Arial"/>
          <w:color w:val="000000"/>
        </w:rPr>
        <w:t>ion of</w:t>
      </w:r>
      <w:r w:rsidR="00831D28" w:rsidRPr="00BB52F3">
        <w:rPr>
          <w:rFonts w:ascii="Arial" w:eastAsia="Cambria" w:hAnsi="Arial" w:cs="Arial"/>
          <w:color w:val="000000"/>
        </w:rPr>
        <w:t xml:space="preserve"> a production plant at Laudat, and is seeking international financing.</w:t>
      </w:r>
      <w:r w:rsidR="004D0618" w:rsidRPr="00BB52F3">
        <w:rPr>
          <w:rStyle w:val="FootnoteReference"/>
          <w:rFonts w:ascii="Arial" w:eastAsia="Cambria" w:hAnsi="Arial" w:cs="Arial"/>
          <w:color w:val="000000"/>
        </w:rPr>
        <w:footnoteReference w:id="4"/>
      </w:r>
      <w:r w:rsidR="00831D28" w:rsidRPr="00BB52F3">
        <w:rPr>
          <w:rFonts w:ascii="Arial" w:eastAsia="Cambria" w:hAnsi="Arial" w:cs="Arial"/>
          <w:color w:val="000000"/>
        </w:rPr>
        <w:t xml:space="preserve"> As part of this process, the GeoDU </w:t>
      </w:r>
      <w:r w:rsidR="00A73C96" w:rsidRPr="00BB52F3">
        <w:rPr>
          <w:rFonts w:ascii="Arial" w:eastAsia="Cambria" w:hAnsi="Arial" w:cs="Arial"/>
          <w:color w:val="000000"/>
        </w:rPr>
        <w:t>plans to prepare</w:t>
      </w:r>
      <w:r w:rsidR="00831D28" w:rsidRPr="00BB52F3">
        <w:rPr>
          <w:rFonts w:ascii="Arial" w:eastAsia="Cambria" w:hAnsi="Arial" w:cs="Arial"/>
          <w:color w:val="000000"/>
        </w:rPr>
        <w:t xml:space="preserve"> a new Environmental and Social Impact Assessment (ESIA)</w:t>
      </w:r>
      <w:r w:rsidR="00A73C96" w:rsidRPr="00BB52F3">
        <w:rPr>
          <w:rFonts w:ascii="Arial" w:eastAsia="Cambria" w:hAnsi="Arial" w:cs="Arial"/>
          <w:color w:val="000000"/>
        </w:rPr>
        <w:t>.</w:t>
      </w:r>
      <w:r w:rsidR="00020639" w:rsidRPr="00BB52F3">
        <w:rPr>
          <w:rFonts w:ascii="Arial" w:eastAsia="Cambria" w:hAnsi="Arial" w:cs="Arial"/>
          <w:color w:val="000000"/>
        </w:rPr>
        <w:t xml:space="preserve"> </w:t>
      </w:r>
      <w:r w:rsidR="00A73C96" w:rsidRPr="00BB52F3">
        <w:rPr>
          <w:rFonts w:ascii="Arial" w:eastAsia="Cambria" w:hAnsi="Arial" w:cs="Arial"/>
          <w:color w:val="000000"/>
        </w:rPr>
        <w:t>It</w:t>
      </w:r>
      <w:r w:rsidR="00831D28" w:rsidRPr="00BB52F3">
        <w:rPr>
          <w:rFonts w:ascii="Arial" w:eastAsia="Cambria" w:hAnsi="Arial" w:cs="Arial"/>
          <w:color w:val="000000"/>
        </w:rPr>
        <w:t xml:space="preserve"> would be compliant with international best practice standards and address </w:t>
      </w:r>
      <w:r w:rsidR="006D5C57" w:rsidRPr="00BB52F3">
        <w:rPr>
          <w:rFonts w:ascii="Arial" w:eastAsia="Cambria" w:hAnsi="Arial" w:cs="Arial"/>
          <w:color w:val="000000"/>
        </w:rPr>
        <w:t xml:space="preserve">identified </w:t>
      </w:r>
      <w:r w:rsidR="00831D28" w:rsidRPr="00BB52F3">
        <w:rPr>
          <w:rFonts w:ascii="Arial" w:eastAsia="Cambria" w:hAnsi="Arial" w:cs="Arial"/>
          <w:color w:val="000000"/>
        </w:rPr>
        <w:t xml:space="preserve">gaps </w:t>
      </w:r>
      <w:r w:rsidR="006D5C57" w:rsidRPr="00BB52F3">
        <w:rPr>
          <w:rFonts w:ascii="Arial" w:eastAsia="Cambria" w:hAnsi="Arial" w:cs="Arial"/>
          <w:color w:val="000000"/>
        </w:rPr>
        <w:t xml:space="preserve">defined by the World Bank </w:t>
      </w:r>
      <w:r w:rsidR="00831D28" w:rsidRPr="00BB52F3">
        <w:rPr>
          <w:rFonts w:ascii="Arial" w:eastAsia="Cambria" w:hAnsi="Arial" w:cs="Arial"/>
          <w:color w:val="000000"/>
        </w:rPr>
        <w:t xml:space="preserve">under the earlier </w:t>
      </w:r>
      <w:r w:rsidR="009E64AB" w:rsidRPr="00BB52F3">
        <w:rPr>
          <w:rFonts w:ascii="Arial" w:eastAsia="Cambria" w:hAnsi="Arial" w:cs="Arial"/>
          <w:color w:val="000000"/>
        </w:rPr>
        <w:t>EIA,</w:t>
      </w:r>
      <w:r w:rsidR="00C73A8F" w:rsidRPr="00BB52F3">
        <w:rPr>
          <w:rFonts w:ascii="Arial" w:eastAsia="Cambria" w:hAnsi="Arial" w:cs="Arial"/>
          <w:color w:val="000000"/>
        </w:rPr>
        <w:t xml:space="preserve"> prepared </w:t>
      </w:r>
      <w:r w:rsidR="004D0618" w:rsidRPr="00BB52F3">
        <w:rPr>
          <w:rFonts w:ascii="Arial" w:eastAsia="Cambria" w:hAnsi="Arial" w:cs="Arial"/>
          <w:color w:val="000000"/>
        </w:rPr>
        <w:t xml:space="preserve">in 2013 </w:t>
      </w:r>
      <w:r w:rsidR="00C73A8F" w:rsidRPr="00BB52F3">
        <w:rPr>
          <w:rFonts w:ascii="Arial" w:eastAsia="Cambria" w:hAnsi="Arial" w:cs="Arial"/>
          <w:color w:val="000000"/>
        </w:rPr>
        <w:t>to national</w:t>
      </w:r>
      <w:r w:rsidR="00831D28" w:rsidRPr="00BB52F3">
        <w:rPr>
          <w:rFonts w:ascii="Arial" w:eastAsia="Cambria" w:hAnsi="Arial" w:cs="Arial"/>
          <w:color w:val="000000"/>
        </w:rPr>
        <w:t xml:space="preserve"> standards</w:t>
      </w:r>
      <w:r w:rsidR="00C73A8F" w:rsidRPr="00BB52F3">
        <w:rPr>
          <w:rFonts w:ascii="Arial" w:eastAsia="Cambria" w:hAnsi="Arial" w:cs="Arial"/>
          <w:color w:val="000000"/>
        </w:rPr>
        <w:t xml:space="preserve"> and </w:t>
      </w:r>
      <w:r w:rsidR="00A73C96" w:rsidRPr="00BB52F3">
        <w:rPr>
          <w:rFonts w:ascii="Arial" w:eastAsia="Cambria" w:hAnsi="Arial" w:cs="Arial"/>
          <w:color w:val="000000"/>
        </w:rPr>
        <w:t>in advance of exploratory drilling</w:t>
      </w:r>
      <w:r w:rsidR="00831D28" w:rsidRPr="00BB52F3">
        <w:rPr>
          <w:rFonts w:ascii="Arial" w:eastAsia="Cambria" w:hAnsi="Arial" w:cs="Arial"/>
          <w:color w:val="000000"/>
        </w:rPr>
        <w:t>.</w:t>
      </w:r>
      <w:r w:rsidR="00020639" w:rsidRPr="00BB52F3">
        <w:rPr>
          <w:rFonts w:ascii="Arial" w:eastAsia="Cambria" w:hAnsi="Arial" w:cs="Arial"/>
          <w:color w:val="000000"/>
        </w:rPr>
        <w:t xml:space="preserve"> </w:t>
      </w:r>
      <w:r w:rsidR="00C73A8F" w:rsidRPr="00BB52F3">
        <w:rPr>
          <w:rFonts w:ascii="Arial" w:eastAsia="Cambria" w:hAnsi="Arial" w:cs="Arial"/>
          <w:color w:val="000000"/>
        </w:rPr>
        <w:t xml:space="preserve">Key </w:t>
      </w:r>
      <w:r w:rsidR="00A73C96" w:rsidRPr="00BB52F3">
        <w:rPr>
          <w:rFonts w:ascii="Arial" w:eastAsia="Cambria" w:hAnsi="Arial" w:cs="Arial"/>
          <w:color w:val="000000"/>
        </w:rPr>
        <w:t>issues to address would include</w:t>
      </w:r>
      <w:r w:rsidR="00DB6F84" w:rsidRPr="00BB52F3">
        <w:rPr>
          <w:rFonts w:ascii="Arial" w:eastAsia="Cambria" w:hAnsi="Arial" w:cs="Arial"/>
          <w:color w:val="000000"/>
        </w:rPr>
        <w:t>:</w:t>
      </w:r>
      <w:r w:rsidR="00C73A8F" w:rsidRPr="00BB52F3">
        <w:rPr>
          <w:rFonts w:ascii="Arial" w:eastAsia="Cambria" w:hAnsi="Arial" w:cs="Arial"/>
          <w:color w:val="000000"/>
        </w:rPr>
        <w:t xml:space="preserve"> </w:t>
      </w:r>
      <w:r w:rsidR="006D5C57" w:rsidRPr="00BB52F3">
        <w:rPr>
          <w:rFonts w:ascii="Arial" w:eastAsia="Cambria" w:hAnsi="Arial" w:cs="Arial"/>
          <w:color w:val="000000"/>
        </w:rPr>
        <w:t xml:space="preserve">(i) </w:t>
      </w:r>
      <w:r w:rsidR="00A73C96" w:rsidRPr="00BB52F3">
        <w:rPr>
          <w:rFonts w:ascii="Arial" w:eastAsia="Cambria" w:hAnsi="Arial" w:cs="Arial"/>
          <w:color w:val="000000"/>
        </w:rPr>
        <w:t>an expanded analysis of</w:t>
      </w:r>
      <w:r w:rsidR="00C73A8F" w:rsidRPr="00BB52F3">
        <w:rPr>
          <w:rFonts w:ascii="Arial" w:eastAsia="Cambria" w:hAnsi="Arial" w:cs="Arial"/>
          <w:color w:val="000000"/>
        </w:rPr>
        <w:t xml:space="preserve"> </w:t>
      </w:r>
      <w:r w:rsidR="00160E39" w:rsidRPr="00BB52F3">
        <w:rPr>
          <w:rFonts w:ascii="Arial" w:eastAsia="Cambria" w:hAnsi="Arial" w:cs="Arial"/>
          <w:color w:val="000000"/>
        </w:rPr>
        <w:t xml:space="preserve">the </w:t>
      </w:r>
      <w:r w:rsidR="00C73A8F" w:rsidRPr="00BB52F3">
        <w:rPr>
          <w:rFonts w:ascii="Arial" w:eastAsia="Cambria" w:hAnsi="Arial" w:cs="Arial"/>
          <w:color w:val="000000"/>
        </w:rPr>
        <w:t>project’s zone of influence</w:t>
      </w:r>
      <w:r w:rsidR="00A73C96" w:rsidRPr="00BB52F3">
        <w:rPr>
          <w:rFonts w:ascii="Arial" w:eastAsia="Cambria" w:hAnsi="Arial" w:cs="Arial"/>
          <w:color w:val="000000"/>
        </w:rPr>
        <w:t xml:space="preserve"> particularly relating to the</w:t>
      </w:r>
      <w:r w:rsidR="009E64AB" w:rsidRPr="00BB52F3">
        <w:rPr>
          <w:rFonts w:ascii="Arial" w:eastAsia="Cambria" w:hAnsi="Arial" w:cs="Arial"/>
          <w:color w:val="000000"/>
        </w:rPr>
        <w:t xml:space="preserve"> production plant location, and transmission line impacts</w:t>
      </w:r>
      <w:r w:rsidR="00DB6F84" w:rsidRPr="00BB52F3">
        <w:rPr>
          <w:rFonts w:ascii="Arial" w:eastAsia="Cambria" w:hAnsi="Arial" w:cs="Arial"/>
          <w:color w:val="000000"/>
        </w:rPr>
        <w:t>,</w:t>
      </w:r>
      <w:r w:rsidR="006D5C57" w:rsidRPr="00BB52F3">
        <w:rPr>
          <w:rFonts w:ascii="Arial" w:eastAsia="Cambria" w:hAnsi="Arial" w:cs="Arial"/>
          <w:color w:val="000000"/>
        </w:rPr>
        <w:t xml:space="preserve"> (ii) </w:t>
      </w:r>
      <w:r w:rsidR="00C73A8F" w:rsidRPr="00BB52F3">
        <w:rPr>
          <w:rFonts w:ascii="Arial" w:eastAsia="Cambria" w:hAnsi="Arial" w:cs="Arial"/>
          <w:color w:val="000000"/>
        </w:rPr>
        <w:t>a more comprehensive environmental and social baseline</w:t>
      </w:r>
      <w:r w:rsidR="002548B2" w:rsidRPr="00BB52F3">
        <w:rPr>
          <w:rFonts w:ascii="Arial" w:eastAsia="Cambria" w:hAnsi="Arial" w:cs="Arial"/>
          <w:color w:val="000000"/>
        </w:rPr>
        <w:t>,</w:t>
      </w:r>
      <w:r w:rsidR="00DC1797" w:rsidRPr="00BB52F3">
        <w:rPr>
          <w:rFonts w:ascii="Arial" w:eastAsia="Cambria" w:hAnsi="Arial" w:cs="Arial"/>
          <w:color w:val="000000"/>
        </w:rPr>
        <w:t xml:space="preserve"> </w:t>
      </w:r>
      <w:r w:rsidR="006D5C57" w:rsidRPr="00BB52F3">
        <w:rPr>
          <w:rFonts w:ascii="Arial" w:eastAsia="Cambria" w:hAnsi="Arial" w:cs="Arial"/>
          <w:color w:val="000000"/>
        </w:rPr>
        <w:t xml:space="preserve">(iii) </w:t>
      </w:r>
      <w:r w:rsidR="009E64AB" w:rsidRPr="00BB52F3">
        <w:rPr>
          <w:rFonts w:ascii="Arial" w:eastAsia="Cambria" w:hAnsi="Arial" w:cs="Arial"/>
          <w:color w:val="000000"/>
        </w:rPr>
        <w:t>community perception of</w:t>
      </w:r>
      <w:r w:rsidR="00DC69CC" w:rsidRPr="00BB52F3">
        <w:rPr>
          <w:rFonts w:ascii="Arial" w:eastAsia="Cambria" w:hAnsi="Arial" w:cs="Arial"/>
          <w:color w:val="000000"/>
        </w:rPr>
        <w:t xml:space="preserve"> </w:t>
      </w:r>
      <w:r w:rsidR="00DC1797" w:rsidRPr="00BB52F3">
        <w:rPr>
          <w:rFonts w:ascii="Arial" w:eastAsia="Cambria" w:hAnsi="Arial" w:cs="Arial"/>
          <w:color w:val="000000"/>
        </w:rPr>
        <w:t>potential impacts related to air emissions</w:t>
      </w:r>
      <w:r w:rsidR="009E64AB" w:rsidRPr="00BB52F3">
        <w:rPr>
          <w:rFonts w:ascii="Arial" w:eastAsia="Cambria" w:hAnsi="Arial" w:cs="Arial"/>
          <w:color w:val="000000"/>
        </w:rPr>
        <w:t>, surface and ground water impacts</w:t>
      </w:r>
      <w:r w:rsidR="00D430A1" w:rsidRPr="00BB52F3">
        <w:rPr>
          <w:rFonts w:ascii="Arial" w:eastAsia="Cambria" w:hAnsi="Arial" w:cs="Arial"/>
          <w:color w:val="000000"/>
        </w:rPr>
        <w:t xml:space="preserve">, </w:t>
      </w:r>
      <w:r w:rsidR="006D5C57" w:rsidRPr="00BB52F3">
        <w:rPr>
          <w:rFonts w:ascii="Arial" w:eastAsia="Cambria" w:hAnsi="Arial" w:cs="Arial"/>
          <w:color w:val="000000"/>
        </w:rPr>
        <w:t xml:space="preserve">(iv) and a </w:t>
      </w:r>
      <w:r w:rsidR="00D430A1" w:rsidRPr="00BB52F3">
        <w:rPr>
          <w:rFonts w:ascii="Arial" w:eastAsia="Cambria" w:hAnsi="Arial" w:cs="Arial"/>
          <w:color w:val="000000"/>
        </w:rPr>
        <w:t xml:space="preserve">biodiversity </w:t>
      </w:r>
      <w:r w:rsidR="00DC69CC" w:rsidRPr="00BB52F3">
        <w:rPr>
          <w:rFonts w:ascii="Arial" w:eastAsia="Cambria" w:hAnsi="Arial" w:cs="Arial"/>
          <w:color w:val="000000"/>
        </w:rPr>
        <w:t xml:space="preserve">baseline </w:t>
      </w:r>
      <w:r w:rsidR="00D430A1" w:rsidRPr="00BB52F3">
        <w:rPr>
          <w:rFonts w:ascii="Arial" w:eastAsia="Cambria" w:hAnsi="Arial" w:cs="Arial"/>
          <w:color w:val="000000"/>
        </w:rPr>
        <w:t xml:space="preserve">given location’s </w:t>
      </w:r>
      <w:r w:rsidR="00A05729">
        <w:rPr>
          <w:rFonts w:ascii="Arial" w:eastAsia="Cambria" w:hAnsi="Arial" w:cs="Arial"/>
          <w:color w:val="000000"/>
        </w:rPr>
        <w:t>sensitivity</w:t>
      </w:r>
      <w:r w:rsidR="00DC69CC" w:rsidRPr="00BB52F3">
        <w:rPr>
          <w:rFonts w:ascii="Arial" w:eastAsia="Cambria" w:hAnsi="Arial" w:cs="Arial"/>
          <w:color w:val="000000"/>
        </w:rPr>
        <w:t xml:space="preserve">. </w:t>
      </w:r>
      <w:r w:rsidR="006D5C57" w:rsidRPr="00BB52F3">
        <w:rPr>
          <w:rFonts w:ascii="Arial" w:eastAsia="Cambria" w:hAnsi="Arial" w:cs="Arial"/>
          <w:color w:val="000000"/>
        </w:rPr>
        <w:t>In addition, d</w:t>
      </w:r>
      <w:r w:rsidR="00DC69CC" w:rsidRPr="00BB52F3">
        <w:rPr>
          <w:rFonts w:ascii="Arial" w:eastAsia="Cambria" w:hAnsi="Arial" w:cs="Arial"/>
          <w:color w:val="000000"/>
        </w:rPr>
        <w:t>etailed management plans wi</w:t>
      </w:r>
      <w:r w:rsidR="00A05729">
        <w:rPr>
          <w:rFonts w:ascii="Arial" w:eastAsia="Cambria" w:hAnsi="Arial" w:cs="Arial"/>
          <w:color w:val="000000"/>
        </w:rPr>
        <w:t>ll need to be developed such as</w:t>
      </w:r>
      <w:r w:rsidR="00C73A8F" w:rsidRPr="00BB52F3">
        <w:rPr>
          <w:rFonts w:ascii="Arial" w:eastAsia="Cambria" w:hAnsi="Arial" w:cs="Arial"/>
          <w:color w:val="000000"/>
        </w:rPr>
        <w:t xml:space="preserve"> an improved Stakeholder Engagement Plan</w:t>
      </w:r>
      <w:r w:rsidR="000E04C0" w:rsidRPr="00BB52F3">
        <w:rPr>
          <w:rFonts w:ascii="Arial" w:eastAsia="Cambria" w:hAnsi="Arial" w:cs="Arial"/>
          <w:color w:val="000000"/>
        </w:rPr>
        <w:t xml:space="preserve"> </w:t>
      </w:r>
      <w:r w:rsidR="00DC69CC" w:rsidRPr="00BB52F3">
        <w:rPr>
          <w:rFonts w:ascii="Arial" w:eastAsia="Cambria" w:hAnsi="Arial" w:cs="Arial"/>
          <w:color w:val="000000"/>
        </w:rPr>
        <w:t>includin</w:t>
      </w:r>
      <w:r w:rsidR="00A05729">
        <w:rPr>
          <w:rFonts w:ascii="Arial" w:eastAsia="Cambria" w:hAnsi="Arial" w:cs="Arial"/>
          <w:color w:val="000000"/>
        </w:rPr>
        <w:t>g a consultation program</w:t>
      </w:r>
      <w:r w:rsidR="00C73A8F" w:rsidRPr="00BB52F3">
        <w:rPr>
          <w:rFonts w:ascii="Arial" w:eastAsia="Cambria" w:hAnsi="Arial" w:cs="Arial"/>
          <w:color w:val="000000"/>
        </w:rPr>
        <w:t xml:space="preserve"> preparation of a land acquisition and resettlement </w:t>
      </w:r>
      <w:r w:rsidR="00DC69CC" w:rsidRPr="00BB52F3">
        <w:rPr>
          <w:rFonts w:ascii="Arial" w:eastAsia="Cambria" w:hAnsi="Arial" w:cs="Arial"/>
          <w:color w:val="000000"/>
        </w:rPr>
        <w:t xml:space="preserve">plan </w:t>
      </w:r>
      <w:r w:rsidR="00C73A8F" w:rsidRPr="00BB52F3">
        <w:rPr>
          <w:rFonts w:ascii="Arial" w:eastAsia="Cambria" w:hAnsi="Arial" w:cs="Arial"/>
          <w:color w:val="000000"/>
        </w:rPr>
        <w:t>ach</w:t>
      </w:r>
      <w:r w:rsidR="000E04C0" w:rsidRPr="00BB52F3">
        <w:rPr>
          <w:rFonts w:ascii="Arial" w:eastAsia="Cambria" w:hAnsi="Arial" w:cs="Arial"/>
          <w:color w:val="000000"/>
        </w:rPr>
        <w:t xml:space="preserve"> (a possibility at the Wotten Waven site)</w:t>
      </w:r>
      <w:r w:rsidR="00C73A8F" w:rsidRPr="00BB52F3">
        <w:rPr>
          <w:rFonts w:ascii="Arial" w:eastAsia="Cambria" w:hAnsi="Arial" w:cs="Arial"/>
          <w:color w:val="000000"/>
        </w:rPr>
        <w:t xml:space="preserve">, </w:t>
      </w:r>
      <w:r w:rsidR="00495022" w:rsidRPr="00BB52F3">
        <w:rPr>
          <w:rFonts w:ascii="Arial" w:eastAsia="Cambria" w:hAnsi="Arial" w:cs="Arial"/>
          <w:color w:val="000000"/>
        </w:rPr>
        <w:t xml:space="preserve"> </w:t>
      </w:r>
      <w:r w:rsidR="006D5C57" w:rsidRPr="00BB52F3">
        <w:rPr>
          <w:rFonts w:ascii="Arial" w:eastAsia="Cambria" w:hAnsi="Arial" w:cs="Arial"/>
          <w:color w:val="000000"/>
        </w:rPr>
        <w:t xml:space="preserve">a </w:t>
      </w:r>
      <w:r w:rsidR="00495022" w:rsidRPr="00BB52F3">
        <w:rPr>
          <w:rFonts w:ascii="Arial" w:eastAsia="Cambria" w:hAnsi="Arial" w:cs="Arial"/>
          <w:color w:val="000000"/>
        </w:rPr>
        <w:t xml:space="preserve">land ownership/access arrangements, </w:t>
      </w:r>
      <w:r w:rsidR="00C73A8F" w:rsidRPr="00BB52F3">
        <w:rPr>
          <w:rFonts w:ascii="Arial" w:eastAsia="Cambria" w:hAnsi="Arial" w:cs="Arial"/>
          <w:color w:val="000000"/>
        </w:rPr>
        <w:t xml:space="preserve">and a </w:t>
      </w:r>
      <w:r w:rsidR="00DC69CC" w:rsidRPr="00BB52F3">
        <w:rPr>
          <w:rFonts w:ascii="Arial" w:eastAsia="Cambria" w:hAnsi="Arial" w:cs="Arial"/>
          <w:color w:val="000000"/>
        </w:rPr>
        <w:t xml:space="preserve">comprehensive </w:t>
      </w:r>
      <w:r w:rsidR="00C73A8F" w:rsidRPr="00BB52F3">
        <w:rPr>
          <w:rFonts w:ascii="Arial" w:eastAsia="Cambria" w:hAnsi="Arial" w:cs="Arial"/>
          <w:color w:val="000000"/>
        </w:rPr>
        <w:t>Environmental and Social Management Plan.</w:t>
      </w:r>
      <w:r w:rsidR="00020639" w:rsidRPr="00BB52F3">
        <w:rPr>
          <w:rFonts w:ascii="Arial" w:eastAsia="Cambria" w:hAnsi="Arial" w:cs="Arial"/>
          <w:color w:val="000000"/>
        </w:rPr>
        <w:t xml:space="preserve"> </w:t>
      </w:r>
      <w:r w:rsidR="00C73A8F" w:rsidRPr="00BB52F3">
        <w:rPr>
          <w:rFonts w:ascii="Arial" w:eastAsia="Cambria" w:hAnsi="Arial" w:cs="Arial"/>
          <w:color w:val="000000"/>
        </w:rPr>
        <w:t xml:space="preserve">This updated ESIA will also include detail on the development and upgrade of the </w:t>
      </w:r>
      <w:r w:rsidR="004D0618" w:rsidRPr="00BB52F3">
        <w:rPr>
          <w:rFonts w:ascii="Arial" w:eastAsia="Cambria" w:hAnsi="Arial" w:cs="Arial"/>
          <w:color w:val="000000"/>
        </w:rPr>
        <w:t xml:space="preserve">current 11kv transmission line, which would run </w:t>
      </w:r>
      <w:r w:rsidR="00F97F8C" w:rsidRPr="00BB52F3">
        <w:rPr>
          <w:rFonts w:ascii="Arial" w:eastAsia="Cambria" w:hAnsi="Arial" w:cs="Arial"/>
          <w:color w:val="000000"/>
        </w:rPr>
        <w:t xml:space="preserve">approximately </w:t>
      </w:r>
      <w:r w:rsidR="00C73A8F" w:rsidRPr="00BB52F3">
        <w:rPr>
          <w:rFonts w:ascii="Arial" w:eastAsia="Cambria" w:hAnsi="Arial" w:cs="Arial"/>
          <w:color w:val="000000"/>
        </w:rPr>
        <w:t xml:space="preserve">30 km </w:t>
      </w:r>
      <w:r w:rsidR="004D0618" w:rsidRPr="00BB52F3">
        <w:rPr>
          <w:rFonts w:ascii="Arial" w:eastAsia="Cambria" w:hAnsi="Arial" w:cs="Arial"/>
          <w:color w:val="000000"/>
        </w:rPr>
        <w:t>in length and currently services a nearby 6.5MW hydro facility</w:t>
      </w:r>
      <w:r w:rsidR="00C73A8F" w:rsidRPr="00BB52F3">
        <w:rPr>
          <w:rFonts w:ascii="Arial" w:eastAsia="Cambria" w:hAnsi="Arial" w:cs="Arial"/>
          <w:color w:val="000000"/>
        </w:rPr>
        <w:t>.</w:t>
      </w:r>
      <w:r w:rsidR="00020639" w:rsidRPr="00BB52F3">
        <w:rPr>
          <w:rFonts w:ascii="Arial" w:eastAsia="Cambria" w:hAnsi="Arial" w:cs="Arial"/>
          <w:color w:val="000000"/>
        </w:rPr>
        <w:t xml:space="preserve"> </w:t>
      </w:r>
      <w:r w:rsidR="000E04C0" w:rsidRPr="00BB52F3">
        <w:rPr>
          <w:rFonts w:ascii="Arial" w:eastAsia="Cambria" w:hAnsi="Arial" w:cs="Arial"/>
          <w:color w:val="000000"/>
        </w:rPr>
        <w:t>Should CDB’s financing be considered for this next phase of Dominica’s geothermal development, both IDB and CDB would work closely in the</w:t>
      </w:r>
      <w:r w:rsidR="00D430A1" w:rsidRPr="00BB52F3">
        <w:rPr>
          <w:rFonts w:ascii="Arial" w:eastAsia="Cambria" w:hAnsi="Arial" w:cs="Arial"/>
          <w:color w:val="000000"/>
        </w:rPr>
        <w:t xml:space="preserve"> environmental and social analysis and preparation of </w:t>
      </w:r>
      <w:r w:rsidR="00DC69CC" w:rsidRPr="00BB52F3">
        <w:rPr>
          <w:rFonts w:ascii="Arial" w:eastAsia="Cambria" w:hAnsi="Arial" w:cs="Arial"/>
          <w:color w:val="000000"/>
        </w:rPr>
        <w:t xml:space="preserve">the Terms of Reference (TORs) for these </w:t>
      </w:r>
      <w:r w:rsidR="00D430A1" w:rsidRPr="00BB52F3">
        <w:rPr>
          <w:rFonts w:ascii="Arial" w:eastAsia="Cambria" w:hAnsi="Arial" w:cs="Arial"/>
          <w:color w:val="000000"/>
        </w:rPr>
        <w:t xml:space="preserve">additional </w:t>
      </w:r>
      <w:r w:rsidR="00DC69CC" w:rsidRPr="00BB52F3">
        <w:rPr>
          <w:rFonts w:ascii="Arial" w:eastAsia="Cambria" w:hAnsi="Arial" w:cs="Arial"/>
          <w:color w:val="000000"/>
        </w:rPr>
        <w:t xml:space="preserve">baseline studies. </w:t>
      </w:r>
    </w:p>
    <w:p w:rsidR="005F7683" w:rsidRPr="00BB52F3" w:rsidRDefault="00277D8D" w:rsidP="00277D8D">
      <w:pPr>
        <w:pStyle w:val="ListParagraph"/>
        <w:numPr>
          <w:ilvl w:val="1"/>
          <w:numId w:val="3"/>
        </w:numPr>
        <w:autoSpaceDE w:val="0"/>
        <w:autoSpaceDN w:val="0"/>
        <w:adjustRightInd w:val="0"/>
        <w:spacing w:after="0" w:line="240" w:lineRule="auto"/>
        <w:jc w:val="both"/>
        <w:rPr>
          <w:rFonts w:ascii="Arial" w:eastAsia="Cambria" w:hAnsi="Arial" w:cs="Arial"/>
          <w:color w:val="000000"/>
        </w:rPr>
      </w:pPr>
      <w:r w:rsidRPr="00BB52F3">
        <w:rPr>
          <w:rFonts w:ascii="Arial" w:eastAsia="Cambria" w:hAnsi="Arial" w:cs="Arial"/>
          <w:b/>
          <w:i/>
          <w:color w:val="000000"/>
        </w:rPr>
        <w:t>Nevis</w:t>
      </w:r>
      <w:r w:rsidRPr="00BB52F3">
        <w:rPr>
          <w:rFonts w:ascii="Arial" w:eastAsia="Cambria" w:hAnsi="Arial" w:cs="Arial"/>
          <w:i/>
          <w:color w:val="000000"/>
        </w:rPr>
        <w:t>:</w:t>
      </w:r>
      <w:r w:rsidR="00160E39" w:rsidRPr="00BB52F3">
        <w:rPr>
          <w:rFonts w:ascii="Arial" w:eastAsia="Cambria" w:hAnsi="Arial" w:cs="Arial"/>
          <w:color w:val="000000"/>
        </w:rPr>
        <w:t xml:space="preserve"> The field at Nevis is the second most advanced site.</w:t>
      </w:r>
      <w:r w:rsidR="00020639" w:rsidRPr="00BB52F3">
        <w:rPr>
          <w:rFonts w:ascii="Arial" w:eastAsia="Cambria" w:hAnsi="Arial" w:cs="Arial"/>
          <w:color w:val="000000"/>
        </w:rPr>
        <w:t xml:space="preserve"> </w:t>
      </w:r>
      <w:r w:rsidR="00160E39" w:rsidRPr="00BB52F3">
        <w:rPr>
          <w:rFonts w:ascii="Arial" w:eastAsia="Cambria" w:hAnsi="Arial" w:cs="Arial"/>
          <w:color w:val="000000"/>
        </w:rPr>
        <w:t>I</w:t>
      </w:r>
      <w:r w:rsidR="00E24016" w:rsidRPr="00BB52F3">
        <w:rPr>
          <w:rFonts w:ascii="Arial" w:eastAsia="Cambria" w:hAnsi="Arial" w:cs="Arial"/>
          <w:color w:val="000000"/>
        </w:rPr>
        <w:t xml:space="preserve">n 2010, an ESIA was prepared </w:t>
      </w:r>
      <w:r w:rsidR="00495022" w:rsidRPr="00BB52F3">
        <w:rPr>
          <w:rFonts w:ascii="Arial" w:eastAsia="Cambria" w:hAnsi="Arial" w:cs="Arial"/>
          <w:color w:val="000000"/>
        </w:rPr>
        <w:t xml:space="preserve">by an international consultant </w:t>
      </w:r>
      <w:r w:rsidR="00E24016" w:rsidRPr="00BB52F3">
        <w:rPr>
          <w:rFonts w:ascii="Arial" w:eastAsia="Cambria" w:hAnsi="Arial" w:cs="Arial"/>
          <w:color w:val="000000"/>
        </w:rPr>
        <w:t>at the request of US Export-Import Bank and assessed based on World Bank Operating Manual (OP 4.01) and IFC Performance Standard requirements.</w:t>
      </w:r>
      <w:r w:rsidR="00020639" w:rsidRPr="00BB52F3">
        <w:rPr>
          <w:rFonts w:ascii="Arial" w:eastAsia="Cambria" w:hAnsi="Arial" w:cs="Arial"/>
          <w:color w:val="000000"/>
        </w:rPr>
        <w:t xml:space="preserve"> </w:t>
      </w:r>
      <w:r w:rsidR="00E24016" w:rsidRPr="00BB52F3">
        <w:rPr>
          <w:rFonts w:ascii="Arial" w:eastAsia="Cambria" w:hAnsi="Arial" w:cs="Arial"/>
          <w:color w:val="000000"/>
        </w:rPr>
        <w:t xml:space="preserve">While the EIA was prepared in advance of </w:t>
      </w:r>
      <w:r w:rsidR="006D649D" w:rsidRPr="00BB52F3">
        <w:rPr>
          <w:rFonts w:ascii="Arial" w:eastAsia="Cambria" w:hAnsi="Arial" w:cs="Arial"/>
          <w:color w:val="000000"/>
        </w:rPr>
        <w:t xml:space="preserve">just </w:t>
      </w:r>
      <w:r w:rsidR="00E24016" w:rsidRPr="00BB52F3">
        <w:rPr>
          <w:rFonts w:ascii="Arial" w:eastAsia="Cambria" w:hAnsi="Arial" w:cs="Arial"/>
          <w:color w:val="000000"/>
        </w:rPr>
        <w:t xml:space="preserve">the development of the 8MW production wells, the study contemplated additional phases, including the single-flash power plant, the </w:t>
      </w:r>
      <w:r w:rsidR="00A00FC2" w:rsidRPr="00BB52F3">
        <w:rPr>
          <w:rFonts w:ascii="Arial" w:eastAsia="Cambria" w:hAnsi="Arial" w:cs="Arial"/>
          <w:color w:val="000000"/>
        </w:rPr>
        <w:t xml:space="preserve">pipelines, water supply system, </w:t>
      </w:r>
      <w:r w:rsidR="006D649D" w:rsidRPr="00BB52F3">
        <w:rPr>
          <w:rFonts w:ascii="Arial" w:eastAsia="Cambria" w:hAnsi="Arial" w:cs="Arial"/>
          <w:color w:val="000000"/>
        </w:rPr>
        <w:t xml:space="preserve">and </w:t>
      </w:r>
      <w:r w:rsidR="00A00FC2" w:rsidRPr="00BB52F3">
        <w:rPr>
          <w:rFonts w:ascii="Arial" w:eastAsia="Cambria" w:hAnsi="Arial" w:cs="Arial"/>
          <w:color w:val="000000"/>
        </w:rPr>
        <w:t>access roads,</w:t>
      </w:r>
      <w:r w:rsidR="006D649D" w:rsidRPr="00BB52F3">
        <w:rPr>
          <w:rFonts w:ascii="Arial" w:eastAsia="Cambria" w:hAnsi="Arial" w:cs="Arial"/>
          <w:color w:val="000000"/>
        </w:rPr>
        <w:t xml:space="preserve"> (it did not include an assessment of the transmission line</w:t>
      </w:r>
      <w:r w:rsidR="00A00FC2" w:rsidRPr="00BB52F3">
        <w:rPr>
          <w:rFonts w:ascii="Arial" w:eastAsia="Cambria" w:hAnsi="Arial" w:cs="Arial"/>
          <w:color w:val="000000"/>
        </w:rPr>
        <w:t>).</w:t>
      </w:r>
      <w:r w:rsidR="00020639" w:rsidRPr="00BB52F3">
        <w:rPr>
          <w:rFonts w:ascii="Arial" w:eastAsia="Cambria" w:hAnsi="Arial" w:cs="Arial"/>
          <w:color w:val="000000"/>
        </w:rPr>
        <w:t xml:space="preserve"> </w:t>
      </w:r>
      <w:r w:rsidR="00A00FC2" w:rsidRPr="00BB52F3">
        <w:rPr>
          <w:rFonts w:ascii="Arial" w:eastAsia="Cambria" w:hAnsi="Arial" w:cs="Arial"/>
          <w:color w:val="000000"/>
        </w:rPr>
        <w:t xml:space="preserve">Unlike the Dominica site, the 79 acre concession is located </w:t>
      </w:r>
      <w:r w:rsidR="00A00FC2" w:rsidRPr="00BB52F3">
        <w:rPr>
          <w:rFonts w:ascii="Arial" w:eastAsia="Cambria" w:hAnsi="Arial" w:cs="Arial"/>
          <w:color w:val="000000"/>
        </w:rPr>
        <w:lastRenderedPageBreak/>
        <w:t xml:space="preserve">predominantly on </w:t>
      </w:r>
      <w:r w:rsidR="00495022" w:rsidRPr="00BB52F3">
        <w:rPr>
          <w:rFonts w:ascii="Arial" w:eastAsia="Cambria" w:hAnsi="Arial" w:cs="Arial"/>
          <w:color w:val="000000"/>
        </w:rPr>
        <w:t xml:space="preserve">a </w:t>
      </w:r>
      <w:r w:rsidR="00A00FC2" w:rsidRPr="00BB52F3">
        <w:rPr>
          <w:rFonts w:ascii="Arial" w:eastAsia="Cambria" w:hAnsi="Arial" w:cs="Arial"/>
          <w:color w:val="000000"/>
        </w:rPr>
        <w:t>relatively flat expanse of degraded land, previously used for agriculture and livestock grazing</w:t>
      </w:r>
      <w:r w:rsidR="00495022" w:rsidRPr="00BB52F3">
        <w:rPr>
          <w:rFonts w:ascii="Arial" w:eastAsia="Cambria" w:hAnsi="Arial" w:cs="Arial"/>
          <w:color w:val="000000"/>
        </w:rPr>
        <w:t>.</w:t>
      </w:r>
      <w:r w:rsidR="00020639" w:rsidRPr="00BB52F3">
        <w:rPr>
          <w:rFonts w:ascii="Arial" w:eastAsia="Cambria" w:hAnsi="Arial" w:cs="Arial"/>
          <w:color w:val="000000"/>
        </w:rPr>
        <w:t xml:space="preserve"> </w:t>
      </w:r>
      <w:r w:rsidR="00495022" w:rsidRPr="00BB52F3">
        <w:rPr>
          <w:rFonts w:ascii="Arial" w:eastAsia="Cambria" w:hAnsi="Arial" w:cs="Arial"/>
          <w:color w:val="000000"/>
        </w:rPr>
        <w:t xml:space="preserve">Construction of the power plant would involve conversion of roughly 11 acres of land designated as a watershed. </w:t>
      </w:r>
      <w:r w:rsidR="001E6CB8" w:rsidRPr="00BB52F3">
        <w:rPr>
          <w:rFonts w:ascii="Arial" w:eastAsia="Cambria" w:hAnsi="Arial" w:cs="Arial"/>
          <w:color w:val="000000"/>
        </w:rPr>
        <w:t xml:space="preserve">Installation of pipelines between production and reinjection well pads would span between 800-1200 feet depending on site selection. There </w:t>
      </w:r>
      <w:r w:rsidR="005F7683" w:rsidRPr="00BB52F3">
        <w:rPr>
          <w:rFonts w:ascii="Arial" w:eastAsia="Cambria" w:hAnsi="Arial" w:cs="Arial"/>
          <w:color w:val="000000"/>
        </w:rPr>
        <w:t>is a scattering of roughly 40 residents to the east, south and west of the site at roughly 1,000 fe</w:t>
      </w:r>
      <w:r w:rsidR="00AF04DB" w:rsidRPr="00BB52F3">
        <w:rPr>
          <w:rFonts w:ascii="Arial" w:eastAsia="Cambria" w:hAnsi="Arial" w:cs="Arial"/>
          <w:color w:val="000000"/>
        </w:rPr>
        <w:t>e</w:t>
      </w:r>
      <w:r w:rsidR="005F7683" w:rsidRPr="00BB52F3">
        <w:rPr>
          <w:rFonts w:ascii="Arial" w:eastAsia="Cambria" w:hAnsi="Arial" w:cs="Arial"/>
          <w:color w:val="000000"/>
        </w:rPr>
        <w:t>t distance.</w:t>
      </w:r>
      <w:r w:rsidR="001E6CB8" w:rsidRPr="00BB52F3">
        <w:rPr>
          <w:rFonts w:ascii="Arial" w:eastAsia="Cambria" w:hAnsi="Arial" w:cs="Arial"/>
          <w:color w:val="000000"/>
        </w:rPr>
        <w:t xml:space="preserve"> The EIA includes a baseline E&amp;S assessment, an evaluation of impacts,</w:t>
      </w:r>
      <w:r w:rsidR="005F7683" w:rsidRPr="00BB52F3">
        <w:rPr>
          <w:rFonts w:ascii="Arial" w:eastAsia="Cambria" w:hAnsi="Arial" w:cs="Arial"/>
          <w:color w:val="000000"/>
        </w:rPr>
        <w:t xml:space="preserve"> consideration of alternatives, a cultural heritage analysis, a brief assessment of cumulative impacts, and an Environmental Management Plan.</w:t>
      </w:r>
      <w:r w:rsidR="00020639" w:rsidRPr="00BB52F3">
        <w:rPr>
          <w:rFonts w:ascii="Arial" w:eastAsia="Cambria" w:hAnsi="Arial" w:cs="Arial"/>
          <w:color w:val="000000"/>
        </w:rPr>
        <w:t xml:space="preserve"> </w:t>
      </w:r>
    </w:p>
    <w:p w:rsidR="00277D8D" w:rsidRPr="00BB52F3" w:rsidRDefault="005F7683" w:rsidP="00277D8D">
      <w:pPr>
        <w:pStyle w:val="ListParagraph"/>
        <w:numPr>
          <w:ilvl w:val="1"/>
          <w:numId w:val="3"/>
        </w:numPr>
        <w:autoSpaceDE w:val="0"/>
        <w:autoSpaceDN w:val="0"/>
        <w:adjustRightInd w:val="0"/>
        <w:spacing w:after="0" w:line="240" w:lineRule="auto"/>
        <w:jc w:val="both"/>
        <w:rPr>
          <w:rFonts w:ascii="Arial" w:eastAsia="Cambria" w:hAnsi="Arial" w:cs="Arial"/>
          <w:color w:val="000000"/>
        </w:rPr>
      </w:pPr>
      <w:r w:rsidRPr="00BB52F3">
        <w:rPr>
          <w:rFonts w:ascii="Arial" w:eastAsia="Cambria" w:hAnsi="Arial" w:cs="Arial"/>
          <w:color w:val="000000"/>
        </w:rPr>
        <w:t xml:space="preserve">Should CDB financing be considered for the development of a production plant, additional analysis and </w:t>
      </w:r>
      <w:r w:rsidR="00A05729">
        <w:rPr>
          <w:rFonts w:ascii="Arial" w:eastAsia="Cambria" w:hAnsi="Arial" w:cs="Arial"/>
          <w:color w:val="000000"/>
        </w:rPr>
        <w:t>additional baseline studies</w:t>
      </w:r>
      <w:r w:rsidRPr="00BB52F3">
        <w:rPr>
          <w:rFonts w:ascii="Arial" w:eastAsia="Cambria" w:hAnsi="Arial" w:cs="Arial"/>
          <w:color w:val="000000"/>
        </w:rPr>
        <w:t xml:space="preserve"> would be required.</w:t>
      </w:r>
      <w:r w:rsidR="00020639" w:rsidRPr="00BB52F3">
        <w:rPr>
          <w:rFonts w:ascii="Arial" w:eastAsia="Cambria" w:hAnsi="Arial" w:cs="Arial"/>
          <w:color w:val="000000"/>
        </w:rPr>
        <w:t xml:space="preserve"> </w:t>
      </w:r>
      <w:r w:rsidRPr="00BB52F3">
        <w:rPr>
          <w:rFonts w:ascii="Arial" w:eastAsia="Cambria" w:hAnsi="Arial" w:cs="Arial"/>
          <w:color w:val="000000"/>
        </w:rPr>
        <w:t>This should include further study on the wetland conversion, biodiversity impacts, and proposed compensation</w:t>
      </w:r>
      <w:r w:rsidR="00A43C2E" w:rsidRPr="00BB52F3">
        <w:rPr>
          <w:rFonts w:ascii="Arial" w:eastAsia="Cambria" w:hAnsi="Arial" w:cs="Arial"/>
          <w:color w:val="000000"/>
        </w:rPr>
        <w:t xml:space="preserve"> for land use loss</w:t>
      </w:r>
      <w:r w:rsidRPr="00BB52F3">
        <w:rPr>
          <w:rFonts w:ascii="Arial" w:eastAsia="Cambria" w:hAnsi="Arial" w:cs="Arial"/>
          <w:color w:val="000000"/>
        </w:rPr>
        <w:t xml:space="preserve">, a detailed Stakeholder Engagement Plan, </w:t>
      </w:r>
      <w:r w:rsidR="00051FEC" w:rsidRPr="00BB52F3">
        <w:rPr>
          <w:rFonts w:ascii="Arial" w:eastAsia="Cambria" w:hAnsi="Arial" w:cs="Arial"/>
          <w:color w:val="000000"/>
        </w:rPr>
        <w:t>and detailed management plans pertaining to hazardous materials, air emissions and noise monitoring, emergency preparedness, and health and safety among others.</w:t>
      </w:r>
      <w:r w:rsidR="001E6CB8" w:rsidRPr="00BB52F3">
        <w:rPr>
          <w:rFonts w:ascii="Arial" w:eastAsia="Cambria" w:hAnsi="Arial" w:cs="Arial"/>
          <w:color w:val="000000"/>
        </w:rPr>
        <w:t xml:space="preserve"> </w:t>
      </w:r>
    </w:p>
    <w:p w:rsidR="00C963D6" w:rsidRDefault="00277D8D" w:rsidP="008E3044">
      <w:pPr>
        <w:pStyle w:val="ListParagraph"/>
        <w:numPr>
          <w:ilvl w:val="1"/>
          <w:numId w:val="3"/>
        </w:numPr>
        <w:autoSpaceDE w:val="0"/>
        <w:autoSpaceDN w:val="0"/>
        <w:adjustRightInd w:val="0"/>
        <w:spacing w:after="0" w:line="240" w:lineRule="auto"/>
        <w:jc w:val="both"/>
        <w:rPr>
          <w:rFonts w:ascii="Arial" w:eastAsia="Cambria" w:hAnsi="Arial" w:cs="Arial"/>
          <w:color w:val="000000"/>
        </w:rPr>
      </w:pPr>
      <w:r w:rsidRPr="00BB52F3">
        <w:rPr>
          <w:rFonts w:ascii="Arial" w:eastAsia="Cambria" w:hAnsi="Arial" w:cs="Arial"/>
          <w:b/>
          <w:i/>
          <w:color w:val="000000"/>
        </w:rPr>
        <w:t>St Vincent</w:t>
      </w:r>
      <w:r w:rsidRPr="00BB52F3">
        <w:rPr>
          <w:rFonts w:ascii="Arial" w:eastAsia="Cambria" w:hAnsi="Arial" w:cs="Arial"/>
          <w:i/>
          <w:color w:val="000000"/>
        </w:rPr>
        <w:t>:</w:t>
      </w:r>
      <w:r w:rsidR="00AF04DB" w:rsidRPr="00BB52F3">
        <w:rPr>
          <w:rFonts w:ascii="Arial" w:hAnsi="Arial" w:cs="Arial"/>
        </w:rPr>
        <w:t xml:space="preserve"> </w:t>
      </w:r>
      <w:r w:rsidR="00AF04DB" w:rsidRPr="00BB52F3">
        <w:rPr>
          <w:rFonts w:ascii="Arial" w:eastAsia="Cambria" w:hAnsi="Arial" w:cs="Arial"/>
          <w:color w:val="000000"/>
        </w:rPr>
        <w:t>The Government in Saint Vincent and the Grenadines is actively pursui</w:t>
      </w:r>
      <w:r w:rsidR="006060D4" w:rsidRPr="00BB52F3">
        <w:rPr>
          <w:rFonts w:ascii="Arial" w:eastAsia="Cambria" w:hAnsi="Arial" w:cs="Arial"/>
          <w:color w:val="000000"/>
        </w:rPr>
        <w:t>ng the development of a 10-</w:t>
      </w:r>
      <w:r w:rsidR="00AF04DB" w:rsidRPr="00BB52F3">
        <w:rPr>
          <w:rFonts w:ascii="Arial" w:eastAsia="Cambria" w:hAnsi="Arial" w:cs="Arial"/>
          <w:color w:val="000000"/>
        </w:rPr>
        <w:t xml:space="preserve">15MW geothermal plant </w:t>
      </w:r>
      <w:r w:rsidR="008E3044" w:rsidRPr="00BB52F3">
        <w:rPr>
          <w:rFonts w:ascii="Arial" w:eastAsia="Cambria" w:hAnsi="Arial" w:cs="Arial"/>
          <w:color w:val="000000"/>
        </w:rPr>
        <w:t xml:space="preserve">(through the “La Soufriere Geothermal Project”) </w:t>
      </w:r>
      <w:r w:rsidR="00AF04DB" w:rsidRPr="00BB52F3">
        <w:rPr>
          <w:rFonts w:ascii="Arial" w:eastAsia="Cambria" w:hAnsi="Arial" w:cs="Arial"/>
          <w:color w:val="000000"/>
        </w:rPr>
        <w:t xml:space="preserve">with the support of the private sector. The geothermal resources in Saint Vincent have not been explored. Light and Power Holdings (based in Barbados) and Reykjavik Geothermal have </w:t>
      </w:r>
      <w:r w:rsidR="006060D4" w:rsidRPr="00BB52F3">
        <w:rPr>
          <w:rFonts w:ascii="Arial" w:eastAsia="Cambria" w:hAnsi="Arial" w:cs="Arial"/>
          <w:color w:val="000000"/>
        </w:rPr>
        <w:t>conducted</w:t>
      </w:r>
      <w:r w:rsidR="00AF04DB" w:rsidRPr="00BB52F3">
        <w:rPr>
          <w:rFonts w:ascii="Arial" w:eastAsia="Cambria" w:hAnsi="Arial" w:cs="Arial"/>
          <w:color w:val="000000"/>
        </w:rPr>
        <w:t xml:space="preserve"> surface exploration and are getting ready to undertake exploratory drilling</w:t>
      </w:r>
      <w:r w:rsidR="008E3044" w:rsidRPr="00BB52F3">
        <w:rPr>
          <w:rFonts w:ascii="Arial" w:eastAsia="Cambria" w:hAnsi="Arial" w:cs="Arial"/>
          <w:color w:val="000000"/>
        </w:rPr>
        <w:t>. While surface reconnaissance suggests that the resource is of high quality, more detailed information on the size and quality of the resources is needed to accurately estimate the potential cost of developing geothermal power. Since agreeing on a commercial framework and signing a project Letter of Intent (LOI) in early 2013, the Government and its project partners have completed a prefeasibility study, a geothermal resistivity study</w:t>
      </w:r>
      <w:r w:rsidR="00020639" w:rsidRPr="00BB52F3">
        <w:rPr>
          <w:rFonts w:ascii="Arial" w:eastAsia="Cambria" w:hAnsi="Arial" w:cs="Arial"/>
          <w:color w:val="000000"/>
        </w:rPr>
        <w:t>, the baseline study for the ESIA and began work on the ESIA</w:t>
      </w:r>
      <w:r w:rsidR="008E3044" w:rsidRPr="00BB52F3">
        <w:rPr>
          <w:rFonts w:ascii="Arial" w:eastAsia="Cambria" w:hAnsi="Arial" w:cs="Arial"/>
          <w:color w:val="000000"/>
        </w:rPr>
        <w:t xml:space="preserve"> for the project </w:t>
      </w:r>
      <w:r w:rsidR="00020639" w:rsidRPr="00BB52F3">
        <w:rPr>
          <w:rFonts w:ascii="Arial" w:eastAsia="Cambria" w:hAnsi="Arial" w:cs="Arial"/>
          <w:color w:val="000000"/>
        </w:rPr>
        <w:t>holding</w:t>
      </w:r>
      <w:r w:rsidR="008E3044" w:rsidRPr="00BB52F3">
        <w:rPr>
          <w:rFonts w:ascii="Arial" w:eastAsia="Cambria" w:hAnsi="Arial" w:cs="Arial"/>
          <w:color w:val="000000"/>
        </w:rPr>
        <w:t xml:space="preserve"> </w:t>
      </w:r>
      <w:r w:rsidR="00020639" w:rsidRPr="00BB52F3">
        <w:rPr>
          <w:rFonts w:ascii="Arial" w:eastAsia="Cambria" w:hAnsi="Arial" w:cs="Arial"/>
          <w:color w:val="000000"/>
        </w:rPr>
        <w:t>two rounds of</w:t>
      </w:r>
      <w:r w:rsidR="008E3044" w:rsidRPr="00BB52F3">
        <w:rPr>
          <w:rFonts w:ascii="Arial" w:eastAsia="Cambria" w:hAnsi="Arial" w:cs="Arial"/>
          <w:color w:val="000000"/>
        </w:rPr>
        <w:t xml:space="preserve"> stakeholder and community consultations</w:t>
      </w:r>
      <w:r w:rsidR="00C963D6" w:rsidRPr="00BB52F3">
        <w:rPr>
          <w:rFonts w:ascii="Arial" w:eastAsia="Cambria" w:hAnsi="Arial" w:cs="Arial"/>
          <w:color w:val="000000"/>
        </w:rPr>
        <w:t>.</w:t>
      </w:r>
      <w:r w:rsidR="00020639" w:rsidRPr="00BB52F3">
        <w:rPr>
          <w:rFonts w:ascii="Arial" w:eastAsia="Cambria" w:hAnsi="Arial" w:cs="Arial"/>
          <w:color w:val="000000"/>
        </w:rPr>
        <w:t xml:space="preserve"> A third round of public meetings is being prepared for end of June 2015. An infrastructural assessment indicates that upgrades will be required to existing access roads and the cost has been estimated at around US$4 million. </w:t>
      </w:r>
    </w:p>
    <w:p w:rsidR="00864E96" w:rsidRPr="00BB52F3" w:rsidRDefault="00864E96" w:rsidP="00864E96">
      <w:pPr>
        <w:pStyle w:val="ListParagraph"/>
        <w:autoSpaceDE w:val="0"/>
        <w:autoSpaceDN w:val="0"/>
        <w:adjustRightInd w:val="0"/>
        <w:spacing w:after="0" w:line="240" w:lineRule="auto"/>
        <w:ind w:left="1440"/>
        <w:jc w:val="both"/>
        <w:rPr>
          <w:rFonts w:ascii="Arial" w:eastAsia="Cambria" w:hAnsi="Arial" w:cs="Arial"/>
          <w:color w:val="000000"/>
        </w:rPr>
      </w:pPr>
    </w:p>
    <w:p w:rsidR="00E415CF" w:rsidRDefault="00E415CF" w:rsidP="00E415CF">
      <w:pPr>
        <w:pStyle w:val="ListParagraph"/>
        <w:numPr>
          <w:ilvl w:val="0"/>
          <w:numId w:val="3"/>
        </w:numPr>
        <w:autoSpaceDE w:val="0"/>
        <w:autoSpaceDN w:val="0"/>
        <w:adjustRightInd w:val="0"/>
        <w:spacing w:after="0" w:line="240" w:lineRule="auto"/>
        <w:ind w:hanging="900"/>
        <w:jc w:val="both"/>
        <w:rPr>
          <w:rFonts w:ascii="Arial" w:eastAsia="Cambria" w:hAnsi="Arial" w:cs="Arial"/>
          <w:color w:val="000000"/>
        </w:rPr>
      </w:pPr>
      <w:r w:rsidRPr="00BB52F3">
        <w:rPr>
          <w:rFonts w:ascii="Arial" w:eastAsia="Cambria" w:hAnsi="Arial" w:cs="Arial"/>
          <w:b/>
          <w:color w:val="000000"/>
        </w:rPr>
        <w:t>Wind:</w:t>
      </w:r>
      <w:r w:rsidRPr="00BB52F3">
        <w:rPr>
          <w:rFonts w:ascii="Arial" w:eastAsia="Cambria" w:hAnsi="Arial" w:cs="Arial"/>
          <w:color w:val="000000"/>
        </w:rPr>
        <w:t xml:space="preserve"> Wind energy projects can result in adverse environmental or social impacts, which will vary in nature, intensity and duration based on the specific characteristics, location and size of the wind farm and social context.</w:t>
      </w:r>
      <w:r w:rsidR="00020639" w:rsidRPr="00BB52F3">
        <w:rPr>
          <w:rFonts w:ascii="Arial" w:eastAsia="Cambria" w:hAnsi="Arial" w:cs="Arial"/>
          <w:color w:val="000000"/>
        </w:rPr>
        <w:t xml:space="preserve"> </w:t>
      </w:r>
      <w:r w:rsidRPr="00BB52F3">
        <w:rPr>
          <w:rFonts w:ascii="Arial" w:eastAsia="Cambria" w:hAnsi="Arial" w:cs="Arial"/>
          <w:color w:val="000000"/>
        </w:rPr>
        <w:t>The most significant issues relate to bird and bat mortality, noise and land use concerns. Depending on the area, the construction of access roads and transmission lines to connect the wind farms to the grid could intensify the adverse impact of these projects. As no particular sub-projects have been identified, the general risks and impacts during construction could include: (i) habitat disturbance; (ii) soil erosion; (iii) dust generation; (iv) increased heavy traffic; (v) noise; (vi) loss of vegetation and; (vii) occupational health and safety hazards for the workforce.</w:t>
      </w:r>
      <w:r w:rsidR="00020639" w:rsidRPr="00BB52F3">
        <w:rPr>
          <w:rFonts w:ascii="Arial" w:eastAsia="Cambria" w:hAnsi="Arial" w:cs="Arial"/>
          <w:color w:val="000000"/>
        </w:rPr>
        <w:t xml:space="preserve"> </w:t>
      </w:r>
      <w:r w:rsidRPr="00BB52F3">
        <w:rPr>
          <w:rFonts w:ascii="Arial" w:eastAsia="Cambria" w:hAnsi="Arial" w:cs="Arial"/>
          <w:color w:val="000000"/>
        </w:rPr>
        <w:t>During operation, the risks and impacts could include: (i) bird and bat collision; (ii) loss of vegetation; (iii) accidental discharges of hazardous materials; (iv) community health and safety hazards; and (v) noise impacts caused by the wind turbines</w:t>
      </w:r>
      <w:r w:rsidR="00864E96">
        <w:rPr>
          <w:rFonts w:ascii="Arial" w:eastAsia="Cambria" w:hAnsi="Arial" w:cs="Arial"/>
          <w:color w:val="000000"/>
        </w:rPr>
        <w:t>.</w:t>
      </w:r>
    </w:p>
    <w:p w:rsidR="00864E96" w:rsidRPr="00BB52F3" w:rsidRDefault="00864E96" w:rsidP="00864E96">
      <w:pPr>
        <w:pStyle w:val="ListParagraph"/>
        <w:autoSpaceDE w:val="0"/>
        <w:autoSpaceDN w:val="0"/>
        <w:adjustRightInd w:val="0"/>
        <w:spacing w:after="0" w:line="240" w:lineRule="auto"/>
        <w:jc w:val="both"/>
        <w:rPr>
          <w:rFonts w:ascii="Arial" w:eastAsia="Cambria" w:hAnsi="Arial" w:cs="Arial"/>
          <w:color w:val="000000"/>
        </w:rPr>
      </w:pPr>
    </w:p>
    <w:p w:rsidR="00B55C4C" w:rsidRPr="00864E96" w:rsidRDefault="00870400" w:rsidP="00B55C4C">
      <w:pPr>
        <w:pStyle w:val="ListParagraph"/>
        <w:numPr>
          <w:ilvl w:val="0"/>
          <w:numId w:val="3"/>
        </w:numPr>
        <w:autoSpaceDE w:val="0"/>
        <w:autoSpaceDN w:val="0"/>
        <w:adjustRightInd w:val="0"/>
        <w:spacing w:after="0" w:line="240" w:lineRule="auto"/>
        <w:ind w:hanging="900"/>
        <w:jc w:val="both"/>
        <w:rPr>
          <w:rFonts w:ascii="Arial" w:eastAsia="Cambria" w:hAnsi="Arial" w:cs="Arial"/>
          <w:color w:val="000000"/>
        </w:rPr>
      </w:pPr>
      <w:r w:rsidRPr="00BB52F3">
        <w:rPr>
          <w:rFonts w:ascii="Arial" w:eastAsia="Cambria" w:hAnsi="Arial" w:cs="Arial"/>
          <w:b/>
          <w:color w:val="000000"/>
        </w:rPr>
        <w:t xml:space="preserve">Solar: </w:t>
      </w:r>
      <w:r w:rsidRPr="00BB52F3">
        <w:rPr>
          <w:rFonts w:ascii="Arial" w:eastAsia="Cambria" w:hAnsi="Arial" w:cs="Arial"/>
          <w:color w:val="000000"/>
        </w:rPr>
        <w:t>E&amp;S impacts with solar facilities are more limited in comparison and during construction mainly relate to</w:t>
      </w:r>
      <w:r w:rsidRPr="00BB52F3">
        <w:rPr>
          <w:rFonts w:ascii="Arial" w:hAnsi="Arial" w:cs="Arial"/>
          <w:color w:val="231F20"/>
        </w:rPr>
        <w:t xml:space="preserve"> the installation of the solar panels, foundations, and transmission line as well as the substation and access roads. Main construction impacts </w:t>
      </w:r>
      <w:r w:rsidRPr="00BB52F3">
        <w:rPr>
          <w:rFonts w:ascii="Arial" w:hAnsi="Arial" w:cs="Arial"/>
          <w:color w:val="231F20"/>
        </w:rPr>
        <w:lastRenderedPageBreak/>
        <w:t>are: (i) habitat disturbance; (ii) soil erosion; (iii) dust generation; (iv) increased heavy traffic; (v) loss of vegetation and; (vi) occupational health and safety hazards for the workforce.</w:t>
      </w:r>
      <w:r w:rsidRPr="00BB52F3">
        <w:rPr>
          <w:rFonts w:ascii="Arial" w:eastAsia="Cambria" w:hAnsi="Arial" w:cs="Arial"/>
          <w:color w:val="000000"/>
        </w:rPr>
        <w:t xml:space="preserve"> During operation, the main impacts can include: </w:t>
      </w:r>
      <w:r w:rsidRPr="00BB52F3">
        <w:rPr>
          <w:rFonts w:ascii="Arial" w:hAnsi="Arial" w:cs="Arial"/>
          <w:color w:val="231F20"/>
        </w:rPr>
        <w:t>(i) loss of vegetation; (ii) community health and safety hazards; and (iii) water consumption.</w:t>
      </w:r>
    </w:p>
    <w:p w:rsidR="00864E96" w:rsidRPr="00864E96" w:rsidRDefault="00864E96" w:rsidP="00864E96">
      <w:pPr>
        <w:autoSpaceDE w:val="0"/>
        <w:autoSpaceDN w:val="0"/>
        <w:adjustRightInd w:val="0"/>
        <w:spacing w:after="0" w:line="240" w:lineRule="auto"/>
        <w:jc w:val="both"/>
        <w:rPr>
          <w:rFonts w:ascii="Arial" w:eastAsia="Cambria" w:hAnsi="Arial" w:cs="Arial"/>
          <w:color w:val="000000"/>
        </w:rPr>
      </w:pPr>
    </w:p>
    <w:p w:rsidR="00B55C4C" w:rsidRPr="00BB52F3" w:rsidRDefault="00B55C4C" w:rsidP="00B55C4C">
      <w:pPr>
        <w:pStyle w:val="ListParagraph"/>
        <w:numPr>
          <w:ilvl w:val="0"/>
          <w:numId w:val="3"/>
        </w:numPr>
        <w:autoSpaceDE w:val="0"/>
        <w:autoSpaceDN w:val="0"/>
        <w:adjustRightInd w:val="0"/>
        <w:spacing w:after="0" w:line="240" w:lineRule="auto"/>
        <w:ind w:hanging="900"/>
        <w:jc w:val="both"/>
        <w:rPr>
          <w:rFonts w:ascii="Arial" w:eastAsia="Cambria" w:hAnsi="Arial" w:cs="Arial"/>
          <w:color w:val="000000"/>
        </w:rPr>
      </w:pPr>
      <w:r w:rsidRPr="00BB52F3">
        <w:rPr>
          <w:rFonts w:ascii="Arial" w:eastAsia="Cambria" w:hAnsi="Arial" w:cs="Arial"/>
          <w:b/>
          <w:color w:val="000000"/>
        </w:rPr>
        <w:t xml:space="preserve">Energy Efficiency: </w:t>
      </w:r>
      <w:r w:rsidRPr="00BB52F3">
        <w:rPr>
          <w:rFonts w:ascii="Arial" w:eastAsia="Cambria" w:hAnsi="Arial" w:cs="Arial"/>
          <w:color w:val="000000"/>
        </w:rPr>
        <w:t xml:space="preserve">The ESHS risks and impacts are expected to be low to moderate, and relate primarily to the substitution of old technology and equipment, and the proper disposal, recycling and reuse of materials, especially those considered to be hazardous. In the context of this Facility, likely activities will focus on equipment replacement related to street lighting, government buildings, schools and hospitals. The possible impacts can include (i) inadequate disposal of gases used for cooling (i.e., chlorofluorocarbons), (ii) asbestos from old insulation, (iii) possible hazardous waste contained in old machinery/plant equipment, and (iv) health and safety risks associated with the disposal of such wastes, as well as the installation of new equipment. </w:t>
      </w:r>
    </w:p>
    <w:p w:rsidR="00962D29" w:rsidRPr="00BB52F3" w:rsidRDefault="00962D29" w:rsidP="00C94EAC">
      <w:pPr>
        <w:spacing w:after="0" w:line="240" w:lineRule="auto"/>
        <w:jc w:val="both"/>
        <w:rPr>
          <w:rFonts w:ascii="Arial" w:eastAsia="Times New Roman" w:hAnsi="Arial" w:cs="Arial"/>
        </w:rPr>
      </w:pPr>
    </w:p>
    <w:p w:rsidR="00AA0591" w:rsidRPr="00BB52F3" w:rsidRDefault="00C963D6" w:rsidP="00C963D6">
      <w:pPr>
        <w:numPr>
          <w:ilvl w:val="0"/>
          <w:numId w:val="1"/>
        </w:numPr>
        <w:tabs>
          <w:tab w:val="left" w:pos="810"/>
        </w:tabs>
        <w:suppressAutoHyphens/>
        <w:autoSpaceDN w:val="0"/>
        <w:spacing w:before="120" w:after="120" w:line="240" w:lineRule="auto"/>
        <w:ind w:hanging="900"/>
        <w:jc w:val="both"/>
        <w:textAlignment w:val="baseline"/>
        <w:outlineLvl w:val="1"/>
        <w:rPr>
          <w:rFonts w:ascii="Arial" w:eastAsia="Times New Roman" w:hAnsi="Arial" w:cs="Arial"/>
          <w:b/>
        </w:rPr>
      </w:pPr>
      <w:r w:rsidRPr="00BB52F3">
        <w:rPr>
          <w:rFonts w:ascii="Arial" w:eastAsia="Times New Roman" w:hAnsi="Arial" w:cs="Arial"/>
          <w:b/>
        </w:rPr>
        <w:t>Management and Monitoring of Environmental and Social Impacts</w:t>
      </w:r>
    </w:p>
    <w:p w:rsidR="007E1430" w:rsidRPr="00BB52F3" w:rsidRDefault="007E1430" w:rsidP="00F26A01">
      <w:pPr>
        <w:pStyle w:val="Paragraph"/>
        <w:numPr>
          <w:ilvl w:val="1"/>
          <w:numId w:val="1"/>
        </w:numPr>
        <w:tabs>
          <w:tab w:val="left" w:pos="720"/>
        </w:tabs>
        <w:ind w:left="720" w:hanging="900"/>
        <w:rPr>
          <w:rFonts w:ascii="Arial" w:hAnsi="Arial" w:cs="Arial"/>
          <w:bCs/>
          <w:sz w:val="22"/>
          <w:szCs w:val="22"/>
          <w:lang w:val="en-US"/>
        </w:rPr>
      </w:pPr>
      <w:r w:rsidRPr="00BB52F3">
        <w:rPr>
          <w:rFonts w:ascii="Arial" w:hAnsi="Arial" w:cs="Arial"/>
          <w:bCs/>
          <w:sz w:val="22"/>
          <w:szCs w:val="22"/>
          <w:lang w:val="en-US"/>
        </w:rPr>
        <w:t>CDB’s current Environmental and Social Policies and Review Procedures (ESRP) wer</w:t>
      </w:r>
      <w:r w:rsidR="006D649D" w:rsidRPr="00BB52F3">
        <w:rPr>
          <w:rFonts w:ascii="Arial" w:hAnsi="Arial" w:cs="Arial"/>
          <w:bCs/>
          <w:sz w:val="22"/>
          <w:szCs w:val="22"/>
          <w:lang w:val="en-US"/>
        </w:rPr>
        <w:t>e</w:t>
      </w:r>
      <w:r w:rsidRPr="00BB52F3">
        <w:rPr>
          <w:rFonts w:ascii="Arial" w:hAnsi="Arial" w:cs="Arial"/>
          <w:bCs/>
          <w:sz w:val="22"/>
          <w:szCs w:val="22"/>
          <w:lang w:val="en-US"/>
        </w:rPr>
        <w:t xml:space="preserve"> approved at the end of June 2015. Their procedures include a set of nine environmental and social performance standards (PS) that reflect the principles, core policies, standards and best practice approaches adopted and used in the treatment of sensitive environmental and social issues by the multilateral financial and development community. As a matter of practice, under this Facility, sub-projects will be reviewed against the IFC Performance Standards and World Bank Environmental, Health and Safety (EHS) Guidelines. </w:t>
      </w:r>
    </w:p>
    <w:p w:rsidR="0043697F" w:rsidRPr="00BB52F3" w:rsidRDefault="007E1430" w:rsidP="00F26A01">
      <w:pPr>
        <w:pStyle w:val="Paragraph"/>
        <w:numPr>
          <w:ilvl w:val="1"/>
          <w:numId w:val="1"/>
        </w:numPr>
        <w:tabs>
          <w:tab w:val="left" w:pos="720"/>
        </w:tabs>
        <w:ind w:left="720" w:hanging="900"/>
        <w:rPr>
          <w:rFonts w:ascii="Arial" w:hAnsi="Arial" w:cs="Arial"/>
          <w:bCs/>
          <w:sz w:val="22"/>
          <w:szCs w:val="22"/>
          <w:lang w:val="en-US"/>
        </w:rPr>
      </w:pPr>
      <w:r w:rsidRPr="00BB52F3">
        <w:rPr>
          <w:rFonts w:ascii="Arial" w:hAnsi="Arial" w:cs="Arial"/>
          <w:bCs/>
          <w:sz w:val="22"/>
          <w:szCs w:val="22"/>
          <w:lang w:val="en-US"/>
        </w:rPr>
        <w:t>Through a previous loan to CDB (RG-L1018)</w:t>
      </w:r>
      <w:r w:rsidR="00A05729">
        <w:rPr>
          <w:rFonts w:ascii="Arial" w:hAnsi="Arial" w:cs="Arial"/>
          <w:bCs/>
          <w:sz w:val="22"/>
          <w:szCs w:val="22"/>
          <w:lang w:val="en-US"/>
        </w:rPr>
        <w:t xml:space="preserve"> approved in 2012</w:t>
      </w:r>
      <w:r w:rsidR="00A05729">
        <w:rPr>
          <w:rStyle w:val="FootnoteReference"/>
          <w:rFonts w:ascii="Arial" w:hAnsi="Arial" w:cs="Arial"/>
          <w:bCs/>
          <w:sz w:val="22"/>
          <w:szCs w:val="22"/>
          <w:lang w:val="en-US"/>
        </w:rPr>
        <w:footnoteReference w:id="5"/>
      </w:r>
      <w:r w:rsidRPr="00BB52F3">
        <w:rPr>
          <w:rFonts w:ascii="Arial" w:hAnsi="Arial" w:cs="Arial"/>
          <w:bCs/>
          <w:sz w:val="22"/>
          <w:szCs w:val="22"/>
          <w:lang w:val="en-US"/>
        </w:rPr>
        <w:t>, IDB sought to specifically encourage alignment of CDB’s safeguard policies with that of IDB with respect to operationalizing CDB’s Information Disclosure Policy (IDP). CDB has since operationalized the IDP and project appraisal reports including environment and social analysis are disclosed on the Bank’s website prior to Board approval</w:t>
      </w:r>
      <w:r w:rsidR="0043697F" w:rsidRPr="00BB52F3">
        <w:rPr>
          <w:rFonts w:ascii="Arial" w:hAnsi="Arial" w:cs="Arial"/>
          <w:bCs/>
          <w:sz w:val="22"/>
          <w:szCs w:val="22"/>
          <w:lang w:val="en-US"/>
        </w:rPr>
        <w:t xml:space="preserve"> with a minimum of two weeks prior notice</w:t>
      </w:r>
      <w:r w:rsidRPr="00BB52F3">
        <w:rPr>
          <w:rFonts w:ascii="Arial" w:hAnsi="Arial" w:cs="Arial"/>
          <w:bCs/>
          <w:sz w:val="22"/>
          <w:szCs w:val="22"/>
          <w:lang w:val="en-US"/>
        </w:rPr>
        <w:t xml:space="preserve">. CDB </w:t>
      </w:r>
      <w:r w:rsidR="0043697F" w:rsidRPr="00BB52F3">
        <w:rPr>
          <w:rFonts w:ascii="Arial" w:hAnsi="Arial" w:cs="Arial"/>
          <w:bCs/>
          <w:sz w:val="22"/>
          <w:szCs w:val="22"/>
          <w:lang w:val="en-US"/>
        </w:rPr>
        <w:t xml:space="preserve">has also recently put in place a </w:t>
      </w:r>
      <w:r w:rsidRPr="00BB52F3">
        <w:rPr>
          <w:rFonts w:ascii="Arial" w:hAnsi="Arial" w:cs="Arial"/>
          <w:bCs/>
          <w:sz w:val="22"/>
          <w:szCs w:val="22"/>
          <w:lang w:val="en-US"/>
        </w:rPr>
        <w:t xml:space="preserve">mechanism </w:t>
      </w:r>
      <w:r w:rsidR="00272E30">
        <w:rPr>
          <w:rFonts w:ascii="Arial" w:hAnsi="Arial" w:cs="Arial"/>
          <w:bCs/>
          <w:sz w:val="22"/>
          <w:szCs w:val="22"/>
          <w:lang w:val="en-US"/>
        </w:rPr>
        <w:t>for managing project complaints, which is consistent with international good practice.</w:t>
      </w:r>
      <w:r w:rsidRPr="00BB52F3">
        <w:rPr>
          <w:rFonts w:ascii="Arial" w:hAnsi="Arial" w:cs="Arial"/>
          <w:bCs/>
          <w:sz w:val="22"/>
          <w:szCs w:val="22"/>
          <w:lang w:val="en-US"/>
        </w:rPr>
        <w:t xml:space="preserve"> </w:t>
      </w:r>
      <w:r w:rsidR="0043697F" w:rsidRPr="00BB52F3">
        <w:rPr>
          <w:rFonts w:ascii="Arial" w:hAnsi="Arial" w:cs="Arial"/>
          <w:bCs/>
          <w:sz w:val="22"/>
          <w:szCs w:val="22"/>
          <w:lang w:val="en-US"/>
        </w:rPr>
        <w:t>Further detail and specific implementation measures for this grievance mechanism will be carried out through</w:t>
      </w:r>
      <w:r w:rsidRPr="00BB52F3">
        <w:rPr>
          <w:rFonts w:ascii="Arial" w:hAnsi="Arial" w:cs="Arial"/>
          <w:bCs/>
          <w:sz w:val="22"/>
          <w:szCs w:val="22"/>
          <w:lang w:val="en-US"/>
        </w:rPr>
        <w:t xml:space="preserve"> 2015. </w:t>
      </w:r>
    </w:p>
    <w:p w:rsidR="0043697F" w:rsidRPr="00BB52F3" w:rsidRDefault="0043697F" w:rsidP="00F26A01">
      <w:pPr>
        <w:pStyle w:val="Paragraph"/>
        <w:numPr>
          <w:ilvl w:val="1"/>
          <w:numId w:val="1"/>
        </w:numPr>
        <w:tabs>
          <w:tab w:val="left" w:pos="720"/>
        </w:tabs>
        <w:ind w:left="720" w:hanging="900"/>
        <w:rPr>
          <w:rFonts w:ascii="Arial" w:hAnsi="Arial" w:cs="Arial"/>
          <w:bCs/>
          <w:sz w:val="22"/>
          <w:szCs w:val="22"/>
          <w:lang w:val="en-US"/>
        </w:rPr>
      </w:pPr>
      <w:r w:rsidRPr="00BB52F3">
        <w:rPr>
          <w:rFonts w:ascii="Arial" w:hAnsi="Arial" w:cs="Arial"/>
          <w:sz w:val="22"/>
          <w:szCs w:val="22"/>
          <w:lang w:val="en-US"/>
        </w:rPr>
        <w:t xml:space="preserve">CDB has stated, to its knowledge, that it has no financial liabilities in its existing portfolio, related to environmental, social and health and safety issues. CDB has stated that it has no outstanding environmental, social, health and safety concerns, through involvement in projects, companies or activities considered unacceptable to the IDB that could potentially generate significant public opposition or concerns, for example due to inappropriate development location. CDB has also stated that its finance application and analysis process is equitable, fair, and unbiased in terms of social factors (e.g. gender, age, ethnicity, or cultural heritage). </w:t>
      </w:r>
    </w:p>
    <w:p w:rsidR="00272E30" w:rsidRPr="00BB52F3" w:rsidRDefault="00272E30" w:rsidP="00272E30">
      <w:pPr>
        <w:pStyle w:val="Paragraph"/>
        <w:numPr>
          <w:ilvl w:val="1"/>
          <w:numId w:val="1"/>
        </w:numPr>
        <w:tabs>
          <w:tab w:val="left" w:pos="720"/>
        </w:tabs>
        <w:ind w:left="720" w:hanging="900"/>
        <w:rPr>
          <w:rFonts w:ascii="Arial" w:hAnsi="Arial" w:cs="Arial"/>
          <w:bCs/>
          <w:sz w:val="22"/>
          <w:szCs w:val="22"/>
          <w:lang w:val="en-US"/>
        </w:rPr>
      </w:pPr>
      <w:r w:rsidRPr="00BB52F3">
        <w:rPr>
          <w:rFonts w:ascii="Arial" w:hAnsi="Arial" w:cs="Arial"/>
          <w:bCs/>
          <w:sz w:val="22"/>
          <w:szCs w:val="22"/>
          <w:lang w:val="en-US"/>
        </w:rPr>
        <w:t>The E&amp;S team supports on all CDB operations (including TA, grant, and country study preparation), though dedicates most significant attention to the 10-12 projects approved annually where projects are brought in line with CDB’s Environmental and Social Policies. Similar to IDB, CDB incorporates E&amp;S covenants into contracts, monitors project E&amp;S performance, and when necessary prepares Corrective Action Plans</w:t>
      </w:r>
      <w:r w:rsidR="00D63B17">
        <w:rPr>
          <w:rStyle w:val="FootnoteReference"/>
          <w:rFonts w:ascii="Arial" w:hAnsi="Arial" w:cs="Arial"/>
          <w:bCs/>
          <w:sz w:val="22"/>
          <w:szCs w:val="22"/>
          <w:lang w:val="en-US"/>
        </w:rPr>
        <w:footnoteReference w:id="6"/>
      </w:r>
      <w:r w:rsidRPr="00BB52F3">
        <w:rPr>
          <w:rFonts w:ascii="Arial" w:hAnsi="Arial" w:cs="Arial"/>
          <w:bCs/>
          <w:sz w:val="22"/>
          <w:szCs w:val="22"/>
          <w:lang w:val="en-US"/>
        </w:rPr>
        <w:t xml:space="preserve">. The </w:t>
      </w:r>
      <w:r w:rsidRPr="00BB52F3">
        <w:rPr>
          <w:rFonts w:ascii="Arial" w:hAnsi="Arial" w:cs="Arial"/>
          <w:bCs/>
          <w:sz w:val="22"/>
          <w:szCs w:val="22"/>
          <w:lang w:val="en-US"/>
        </w:rPr>
        <w:lastRenderedPageBreak/>
        <w:t xml:space="preserve">majority of projects financed </w:t>
      </w:r>
      <w:r>
        <w:rPr>
          <w:rFonts w:ascii="Arial" w:hAnsi="Arial" w:cs="Arial"/>
          <w:bCs/>
          <w:sz w:val="22"/>
          <w:szCs w:val="22"/>
          <w:lang w:val="en-US"/>
        </w:rPr>
        <w:t>have been</w:t>
      </w:r>
      <w:r w:rsidRPr="00BB52F3">
        <w:rPr>
          <w:rFonts w:ascii="Arial" w:hAnsi="Arial" w:cs="Arial"/>
          <w:bCs/>
          <w:sz w:val="22"/>
          <w:szCs w:val="22"/>
          <w:lang w:val="en-US"/>
        </w:rPr>
        <w:t xml:space="preserve"> Category B operations. </w:t>
      </w:r>
      <w:r>
        <w:rPr>
          <w:rFonts w:ascii="Arial" w:hAnsi="Arial" w:cs="Arial"/>
          <w:bCs/>
          <w:sz w:val="22"/>
          <w:szCs w:val="22"/>
          <w:lang w:val="en-US"/>
        </w:rPr>
        <w:t xml:space="preserve">There is limited experience with Category A operations and no experience with geothermal.  </w:t>
      </w:r>
      <w:r w:rsidRPr="00BB52F3">
        <w:rPr>
          <w:rFonts w:ascii="Arial" w:hAnsi="Arial" w:cs="Arial"/>
          <w:bCs/>
          <w:sz w:val="22"/>
          <w:szCs w:val="22"/>
          <w:lang w:val="en-US"/>
        </w:rPr>
        <w:t>In the past five years, CDB financed one Category A project, the Montserrat Power Plant, and applied the WB EHS Guidelines in evaluating performance.</w:t>
      </w:r>
    </w:p>
    <w:p w:rsidR="00D63B17" w:rsidRPr="00D63B17" w:rsidRDefault="00D63B17" w:rsidP="00F26A01">
      <w:pPr>
        <w:pStyle w:val="Paragraph"/>
        <w:numPr>
          <w:ilvl w:val="1"/>
          <w:numId w:val="1"/>
        </w:numPr>
        <w:tabs>
          <w:tab w:val="left" w:pos="720"/>
        </w:tabs>
        <w:ind w:left="720" w:hanging="900"/>
        <w:rPr>
          <w:rFonts w:ascii="Arial" w:hAnsi="Arial" w:cs="Arial"/>
          <w:bCs/>
          <w:sz w:val="22"/>
          <w:szCs w:val="22"/>
          <w:lang w:val="en-US"/>
        </w:rPr>
      </w:pPr>
      <w:r w:rsidRPr="00D63B17">
        <w:rPr>
          <w:rFonts w:ascii="Arial" w:hAnsi="Arial" w:cs="Arial"/>
          <w:bCs/>
          <w:sz w:val="22"/>
          <w:szCs w:val="22"/>
          <w:lang w:val="en-US"/>
        </w:rPr>
        <w:t>Since IDB’s last loan, responsibility for environment and social safeguard compliance is now the responsibility of eight E&amp;S and gender specialists. Specialists are assigned to a group of countries and are responsible for work on projects in those countries throughout all phases of the project cycle. Through partnerships with European Investment Bank and Department for International Development, CDB has expanded its work programme specific to energy audits and climate vulnerability assessments. There is, however, a recognized capacity gap specific to geothermal E&amp;S analysis, which is being addressed under this Facility through the provision of technical capacity support provided by an external consultant specific to the financial, regulatory, risk, and E&amp;S aspects specific to geothermal projects.</w:t>
      </w:r>
    </w:p>
    <w:p w:rsidR="00EC64CA" w:rsidRPr="00BB52F3" w:rsidRDefault="00EC64CA" w:rsidP="00F26A01">
      <w:pPr>
        <w:pStyle w:val="Paragraph"/>
        <w:tabs>
          <w:tab w:val="left" w:pos="720"/>
        </w:tabs>
        <w:rPr>
          <w:rFonts w:ascii="Arial" w:hAnsi="Arial" w:cs="Arial"/>
          <w:bCs/>
          <w:sz w:val="22"/>
          <w:szCs w:val="22"/>
          <w:lang w:val="en-US"/>
        </w:rPr>
      </w:pPr>
      <w:r w:rsidRPr="00BB52F3">
        <w:rPr>
          <w:rFonts w:ascii="Arial" w:hAnsi="Arial" w:cs="Arial"/>
          <w:b/>
          <w:sz w:val="22"/>
          <w:szCs w:val="22"/>
          <w:lang w:val="en-US"/>
        </w:rPr>
        <w:t>Process stages for hand-in-hand due diligence</w:t>
      </w:r>
    </w:p>
    <w:p w:rsidR="001D2C26" w:rsidRPr="00BB52F3" w:rsidRDefault="00EC64CA" w:rsidP="00F26A01">
      <w:pPr>
        <w:pStyle w:val="Paragraph"/>
        <w:numPr>
          <w:ilvl w:val="1"/>
          <w:numId w:val="1"/>
        </w:numPr>
        <w:tabs>
          <w:tab w:val="left" w:pos="720"/>
        </w:tabs>
        <w:ind w:left="720" w:hanging="900"/>
        <w:rPr>
          <w:rFonts w:ascii="Arial" w:hAnsi="Arial" w:cs="Arial"/>
          <w:bCs/>
          <w:sz w:val="22"/>
          <w:szCs w:val="22"/>
          <w:lang w:val="en-US"/>
        </w:rPr>
      </w:pPr>
      <w:r w:rsidRPr="00BB52F3">
        <w:rPr>
          <w:rFonts w:ascii="Arial" w:hAnsi="Arial" w:cs="Arial"/>
          <w:bCs/>
          <w:sz w:val="22"/>
          <w:szCs w:val="22"/>
          <w:lang w:val="en-US"/>
        </w:rPr>
        <w:t xml:space="preserve">IDB and CDB have agreed that for Category A sub-projects and all Geothermal </w:t>
      </w:r>
      <w:r w:rsidR="00D63B17">
        <w:rPr>
          <w:rFonts w:ascii="Arial" w:hAnsi="Arial" w:cs="Arial"/>
          <w:bCs/>
          <w:sz w:val="22"/>
          <w:szCs w:val="22"/>
          <w:lang w:val="en-US"/>
        </w:rPr>
        <w:t>high risk sub-projects (Category A and B+)</w:t>
      </w:r>
      <w:r w:rsidRPr="00BB52F3">
        <w:rPr>
          <w:rFonts w:ascii="Arial" w:hAnsi="Arial" w:cs="Arial"/>
          <w:bCs/>
          <w:sz w:val="22"/>
          <w:szCs w:val="22"/>
          <w:lang w:val="en-US"/>
        </w:rPr>
        <w:t xml:space="preserve">, IDB will undertake due diligence alongside CDB’s </w:t>
      </w:r>
      <w:r w:rsidR="002F0BA3" w:rsidRPr="00BB52F3">
        <w:rPr>
          <w:rFonts w:ascii="Arial" w:hAnsi="Arial" w:cs="Arial"/>
          <w:bCs/>
          <w:sz w:val="22"/>
          <w:szCs w:val="22"/>
          <w:lang w:val="en-US"/>
        </w:rPr>
        <w:t xml:space="preserve">team throughout the </w:t>
      </w:r>
      <w:r w:rsidRPr="00BB52F3">
        <w:rPr>
          <w:rFonts w:ascii="Arial" w:hAnsi="Arial" w:cs="Arial"/>
          <w:bCs/>
          <w:sz w:val="22"/>
          <w:szCs w:val="22"/>
          <w:lang w:val="en-US"/>
        </w:rPr>
        <w:t>project preparation</w:t>
      </w:r>
      <w:r w:rsidR="00C20ADC" w:rsidRPr="00BB52F3">
        <w:rPr>
          <w:rFonts w:ascii="Arial" w:hAnsi="Arial" w:cs="Arial"/>
          <w:bCs/>
          <w:sz w:val="22"/>
          <w:szCs w:val="22"/>
          <w:lang w:val="en-US"/>
        </w:rPr>
        <w:t>,</w:t>
      </w:r>
      <w:r w:rsidRPr="00BB52F3">
        <w:rPr>
          <w:rFonts w:ascii="Arial" w:hAnsi="Arial" w:cs="Arial"/>
          <w:bCs/>
          <w:sz w:val="22"/>
          <w:szCs w:val="22"/>
          <w:lang w:val="en-US"/>
        </w:rPr>
        <w:t xml:space="preserve"> appraisal</w:t>
      </w:r>
      <w:r w:rsidR="00C20ADC" w:rsidRPr="00BB52F3">
        <w:rPr>
          <w:rFonts w:ascii="Arial" w:hAnsi="Arial" w:cs="Arial"/>
          <w:bCs/>
          <w:sz w:val="22"/>
          <w:szCs w:val="22"/>
          <w:lang w:val="en-US"/>
        </w:rPr>
        <w:t>, and monitoring phases</w:t>
      </w:r>
      <w:r w:rsidR="00C42063">
        <w:rPr>
          <w:rStyle w:val="FootnoteReference"/>
          <w:rFonts w:ascii="Arial" w:hAnsi="Arial" w:cs="Arial"/>
          <w:bCs/>
          <w:sz w:val="22"/>
          <w:szCs w:val="22"/>
          <w:lang w:val="en-US"/>
        </w:rPr>
        <w:footnoteReference w:id="7"/>
      </w:r>
      <w:r w:rsidRPr="00BB52F3">
        <w:rPr>
          <w:rFonts w:ascii="Arial" w:hAnsi="Arial" w:cs="Arial"/>
          <w:bCs/>
          <w:sz w:val="22"/>
          <w:szCs w:val="22"/>
          <w:lang w:val="en-US"/>
        </w:rPr>
        <w:t>.</w:t>
      </w:r>
      <w:r w:rsidR="00020639" w:rsidRPr="00BB52F3">
        <w:rPr>
          <w:rFonts w:ascii="Arial" w:hAnsi="Arial" w:cs="Arial"/>
          <w:bCs/>
          <w:sz w:val="22"/>
          <w:szCs w:val="22"/>
          <w:lang w:val="en-US"/>
        </w:rPr>
        <w:t xml:space="preserve"> </w:t>
      </w:r>
      <w:r w:rsidRPr="00BB52F3">
        <w:rPr>
          <w:rFonts w:ascii="Arial" w:hAnsi="Arial" w:cs="Arial"/>
          <w:bCs/>
          <w:sz w:val="22"/>
          <w:szCs w:val="22"/>
          <w:lang w:val="en-US"/>
        </w:rPr>
        <w:t xml:space="preserve">The objective of this hand-in-hand due diligence is to help build E&amp;S capacity in CDB’s analysis of </w:t>
      </w:r>
      <w:r w:rsidR="00C42063">
        <w:rPr>
          <w:rFonts w:ascii="Arial" w:hAnsi="Arial" w:cs="Arial"/>
          <w:bCs/>
          <w:sz w:val="22"/>
          <w:szCs w:val="22"/>
          <w:lang w:val="en-US"/>
        </w:rPr>
        <w:t xml:space="preserve">high risk </w:t>
      </w:r>
      <w:r w:rsidR="002F0BA3" w:rsidRPr="00BB52F3">
        <w:rPr>
          <w:rFonts w:ascii="Arial" w:hAnsi="Arial" w:cs="Arial"/>
          <w:bCs/>
          <w:sz w:val="22"/>
          <w:szCs w:val="22"/>
          <w:lang w:val="en-US"/>
        </w:rPr>
        <w:t xml:space="preserve">geothermal </w:t>
      </w:r>
      <w:r w:rsidRPr="00BB52F3">
        <w:rPr>
          <w:rFonts w:ascii="Arial" w:hAnsi="Arial" w:cs="Arial"/>
          <w:bCs/>
          <w:sz w:val="22"/>
          <w:szCs w:val="22"/>
          <w:lang w:val="en-US"/>
        </w:rPr>
        <w:t>projects, and ensure that project impacts are adequately mitigated according to the IFC Performance Standards and WB EHS Guidelines.</w:t>
      </w:r>
      <w:r w:rsidR="00020639" w:rsidRPr="00BB52F3">
        <w:rPr>
          <w:rFonts w:ascii="Arial" w:hAnsi="Arial" w:cs="Arial"/>
          <w:bCs/>
          <w:sz w:val="22"/>
          <w:szCs w:val="22"/>
          <w:lang w:val="en-US"/>
        </w:rPr>
        <w:t xml:space="preserve"> </w:t>
      </w:r>
      <w:r w:rsidR="002B3D98" w:rsidRPr="00BB52F3">
        <w:rPr>
          <w:rFonts w:ascii="Arial" w:hAnsi="Arial" w:cs="Arial"/>
          <w:bCs/>
          <w:sz w:val="22"/>
          <w:szCs w:val="22"/>
          <w:lang w:val="en-US"/>
        </w:rPr>
        <w:t xml:space="preserve">The process steps defined below will be incorporated into the Operating Manual </w:t>
      </w:r>
      <w:r w:rsidR="00272E30">
        <w:rPr>
          <w:rFonts w:ascii="Arial" w:hAnsi="Arial" w:cs="Arial"/>
          <w:bCs/>
          <w:sz w:val="22"/>
          <w:szCs w:val="22"/>
          <w:lang w:val="en-US"/>
        </w:rPr>
        <w:t xml:space="preserve">for this Facility </w:t>
      </w:r>
      <w:r w:rsidR="002B3D98" w:rsidRPr="00BB52F3">
        <w:rPr>
          <w:rFonts w:ascii="Arial" w:hAnsi="Arial" w:cs="Arial"/>
          <w:bCs/>
          <w:sz w:val="22"/>
          <w:szCs w:val="22"/>
          <w:lang w:val="en-US"/>
        </w:rPr>
        <w:t xml:space="preserve">developed between IDB and CDB, and are designed to correspond with CDB’s existing credit and approval process stages. </w:t>
      </w:r>
      <w:r w:rsidR="009724E4" w:rsidRPr="00BB52F3">
        <w:rPr>
          <w:rFonts w:ascii="Arial" w:hAnsi="Arial" w:cs="Arial"/>
          <w:bCs/>
          <w:sz w:val="22"/>
          <w:szCs w:val="22"/>
          <w:lang w:val="en-US"/>
        </w:rPr>
        <w:t xml:space="preserve">Recognizing that </w:t>
      </w:r>
      <w:r w:rsidR="002F0BA3" w:rsidRPr="00BB52F3">
        <w:rPr>
          <w:rFonts w:ascii="Arial" w:hAnsi="Arial" w:cs="Arial"/>
          <w:bCs/>
          <w:sz w:val="22"/>
          <w:szCs w:val="22"/>
          <w:lang w:val="en-US"/>
        </w:rPr>
        <w:t xml:space="preserve">funds from </w:t>
      </w:r>
      <w:r w:rsidR="009724E4" w:rsidRPr="00BB52F3">
        <w:rPr>
          <w:rFonts w:ascii="Arial" w:hAnsi="Arial" w:cs="Arial"/>
          <w:bCs/>
          <w:sz w:val="22"/>
          <w:szCs w:val="22"/>
          <w:lang w:val="en-US"/>
        </w:rPr>
        <w:t xml:space="preserve">CDB, and by extension IDB, can be used at either grant (feasibility study, slim hole) or loan stages (exploration, production, plant construction and operation), </w:t>
      </w:r>
      <w:r w:rsidR="002F0BA3" w:rsidRPr="00BB52F3">
        <w:rPr>
          <w:rFonts w:ascii="Arial" w:hAnsi="Arial" w:cs="Arial"/>
          <w:bCs/>
          <w:sz w:val="22"/>
          <w:szCs w:val="22"/>
          <w:lang w:val="en-US"/>
        </w:rPr>
        <w:t>the process steps</w:t>
      </w:r>
      <w:r w:rsidR="009724E4" w:rsidRPr="00BB52F3">
        <w:rPr>
          <w:rFonts w:ascii="Arial" w:hAnsi="Arial" w:cs="Arial"/>
          <w:bCs/>
          <w:sz w:val="22"/>
          <w:szCs w:val="22"/>
          <w:lang w:val="en-US"/>
        </w:rPr>
        <w:t xml:space="preserve"> are customized accordingly.</w:t>
      </w:r>
      <w:r w:rsidR="00020639" w:rsidRPr="00BB52F3">
        <w:rPr>
          <w:rFonts w:ascii="Arial" w:hAnsi="Arial" w:cs="Arial"/>
          <w:bCs/>
          <w:sz w:val="22"/>
          <w:szCs w:val="22"/>
          <w:lang w:val="en-US"/>
        </w:rPr>
        <w:t xml:space="preserve"> </w:t>
      </w:r>
    </w:p>
    <w:p w:rsidR="006610C2" w:rsidRPr="00BB52F3" w:rsidRDefault="004F61C8" w:rsidP="00F26A01">
      <w:pPr>
        <w:pStyle w:val="Paragraph"/>
        <w:numPr>
          <w:ilvl w:val="1"/>
          <w:numId w:val="1"/>
        </w:numPr>
        <w:tabs>
          <w:tab w:val="left" w:pos="720"/>
        </w:tabs>
        <w:ind w:left="720" w:hanging="720"/>
        <w:rPr>
          <w:rFonts w:ascii="Arial" w:hAnsi="Arial" w:cs="Arial"/>
          <w:bCs/>
          <w:sz w:val="22"/>
          <w:szCs w:val="22"/>
          <w:lang w:val="en-US"/>
        </w:rPr>
      </w:pPr>
      <w:r w:rsidRPr="00BB52F3">
        <w:rPr>
          <w:rFonts w:ascii="Arial" w:hAnsi="Arial" w:cs="Arial"/>
          <w:bCs/>
          <w:sz w:val="22"/>
          <w:szCs w:val="22"/>
          <w:lang w:val="en-US"/>
        </w:rPr>
        <w:t xml:space="preserve">For the Grant approval project cycle </w:t>
      </w:r>
      <w:r w:rsidR="006610C2" w:rsidRPr="00BB52F3">
        <w:rPr>
          <w:rFonts w:ascii="Arial" w:hAnsi="Arial" w:cs="Arial"/>
          <w:bCs/>
          <w:sz w:val="22"/>
          <w:szCs w:val="22"/>
          <w:lang w:val="en-US"/>
        </w:rPr>
        <w:t>(applying exclusively for geothermal sub-projects)</w:t>
      </w:r>
      <w:r w:rsidR="005F7E8C" w:rsidRPr="00BB52F3">
        <w:rPr>
          <w:rFonts w:ascii="Arial" w:hAnsi="Arial" w:cs="Arial"/>
          <w:bCs/>
          <w:sz w:val="22"/>
          <w:szCs w:val="22"/>
          <w:lang w:val="en-US"/>
        </w:rPr>
        <w:t xml:space="preserve"> </w:t>
      </w:r>
      <w:r w:rsidR="00381592" w:rsidRPr="00BB52F3">
        <w:rPr>
          <w:rFonts w:ascii="Arial" w:hAnsi="Arial" w:cs="Arial"/>
          <w:bCs/>
          <w:sz w:val="22"/>
          <w:szCs w:val="22"/>
          <w:lang w:val="en-US"/>
        </w:rPr>
        <w:t>for 3G or slim hole drilling</w:t>
      </w:r>
      <w:r w:rsidRPr="00BB52F3">
        <w:rPr>
          <w:rFonts w:ascii="Arial" w:hAnsi="Arial" w:cs="Arial"/>
          <w:bCs/>
          <w:sz w:val="22"/>
          <w:szCs w:val="22"/>
          <w:lang w:val="en-US"/>
        </w:rPr>
        <w:t xml:space="preserve">, the corresponding E&amp;S procedures </w:t>
      </w:r>
      <w:r w:rsidR="006610C2" w:rsidRPr="00BB52F3">
        <w:rPr>
          <w:rFonts w:ascii="Arial" w:hAnsi="Arial" w:cs="Arial"/>
          <w:bCs/>
          <w:sz w:val="22"/>
          <w:szCs w:val="22"/>
          <w:lang w:val="en-US"/>
        </w:rPr>
        <w:t>are</w:t>
      </w:r>
      <w:r w:rsidRPr="00BB52F3">
        <w:rPr>
          <w:rFonts w:ascii="Arial" w:hAnsi="Arial" w:cs="Arial"/>
          <w:bCs/>
          <w:sz w:val="22"/>
          <w:szCs w:val="22"/>
          <w:lang w:val="en-US"/>
        </w:rPr>
        <w:t>:</w:t>
      </w:r>
    </w:p>
    <w:tbl>
      <w:tblPr>
        <w:tblStyle w:val="TableGrid"/>
        <w:tblW w:w="0" w:type="auto"/>
        <w:tblInd w:w="900" w:type="dxa"/>
        <w:tblLook w:val="04A0" w:firstRow="1" w:lastRow="0" w:firstColumn="1" w:lastColumn="0" w:noHBand="0" w:noVBand="1"/>
      </w:tblPr>
      <w:tblGrid>
        <w:gridCol w:w="2855"/>
        <w:gridCol w:w="2944"/>
        <w:gridCol w:w="2877"/>
      </w:tblGrid>
      <w:tr w:rsidR="006610C2" w:rsidRPr="00BB52F3" w:rsidTr="006610C2">
        <w:tc>
          <w:tcPr>
            <w:tcW w:w="2855" w:type="dxa"/>
            <w:shd w:val="clear" w:color="auto" w:fill="A6A6A6" w:themeFill="background1" w:themeFillShade="A6"/>
          </w:tcPr>
          <w:p w:rsidR="004F61C8" w:rsidRPr="00BB52F3" w:rsidRDefault="004F61C8" w:rsidP="00F26A01">
            <w:pPr>
              <w:pStyle w:val="Paragraph"/>
              <w:tabs>
                <w:tab w:val="left" w:pos="720"/>
              </w:tabs>
              <w:rPr>
                <w:rFonts w:ascii="Arial" w:hAnsi="Arial" w:cs="Arial"/>
                <w:bCs/>
                <w:sz w:val="18"/>
                <w:szCs w:val="18"/>
                <w:lang w:val="en-US"/>
              </w:rPr>
            </w:pPr>
            <w:r w:rsidRPr="00BB52F3">
              <w:rPr>
                <w:rFonts w:ascii="Arial" w:hAnsi="Arial" w:cs="Arial"/>
                <w:bCs/>
                <w:sz w:val="18"/>
                <w:szCs w:val="18"/>
                <w:lang w:val="en-US"/>
              </w:rPr>
              <w:t>CDB Grant Approval Cycle</w:t>
            </w:r>
          </w:p>
        </w:tc>
        <w:tc>
          <w:tcPr>
            <w:tcW w:w="2944" w:type="dxa"/>
            <w:shd w:val="clear" w:color="auto" w:fill="A6A6A6" w:themeFill="background1" w:themeFillShade="A6"/>
          </w:tcPr>
          <w:p w:rsidR="004F61C8" w:rsidRPr="00BB52F3" w:rsidRDefault="004F61C8" w:rsidP="00F26A01">
            <w:pPr>
              <w:pStyle w:val="Paragraph"/>
              <w:tabs>
                <w:tab w:val="left" w:pos="720"/>
              </w:tabs>
              <w:rPr>
                <w:rFonts w:ascii="Arial" w:hAnsi="Arial" w:cs="Arial"/>
                <w:bCs/>
                <w:sz w:val="18"/>
                <w:szCs w:val="18"/>
                <w:lang w:val="en-US"/>
              </w:rPr>
            </w:pPr>
            <w:r w:rsidRPr="00BB52F3">
              <w:rPr>
                <w:rFonts w:ascii="Arial" w:hAnsi="Arial" w:cs="Arial"/>
                <w:bCs/>
                <w:sz w:val="18"/>
                <w:szCs w:val="18"/>
                <w:lang w:val="en-US"/>
              </w:rPr>
              <w:t>CDB E&amp;S Role</w:t>
            </w:r>
          </w:p>
        </w:tc>
        <w:tc>
          <w:tcPr>
            <w:tcW w:w="2877" w:type="dxa"/>
            <w:shd w:val="clear" w:color="auto" w:fill="A6A6A6" w:themeFill="background1" w:themeFillShade="A6"/>
          </w:tcPr>
          <w:p w:rsidR="004F61C8" w:rsidRPr="00BB52F3" w:rsidRDefault="004F61C8" w:rsidP="00F26A01">
            <w:pPr>
              <w:pStyle w:val="Paragraph"/>
              <w:tabs>
                <w:tab w:val="left" w:pos="720"/>
              </w:tabs>
              <w:rPr>
                <w:rFonts w:ascii="Arial" w:hAnsi="Arial" w:cs="Arial"/>
                <w:bCs/>
                <w:sz w:val="18"/>
                <w:szCs w:val="18"/>
                <w:lang w:val="en-US"/>
              </w:rPr>
            </w:pPr>
            <w:r w:rsidRPr="00BB52F3">
              <w:rPr>
                <w:rFonts w:ascii="Arial" w:hAnsi="Arial" w:cs="Arial"/>
                <w:bCs/>
                <w:sz w:val="18"/>
                <w:szCs w:val="18"/>
                <w:lang w:val="en-US"/>
              </w:rPr>
              <w:t>IDB E&amp;S Role</w:t>
            </w:r>
          </w:p>
        </w:tc>
      </w:tr>
      <w:tr w:rsidR="006610C2" w:rsidRPr="00BB52F3" w:rsidTr="006610C2">
        <w:tc>
          <w:tcPr>
            <w:tcW w:w="2855" w:type="dxa"/>
          </w:tcPr>
          <w:p w:rsidR="004F61C8" w:rsidRPr="00BB52F3" w:rsidRDefault="00F26A01" w:rsidP="003C5BA6">
            <w:pPr>
              <w:pStyle w:val="Paragraph"/>
              <w:tabs>
                <w:tab w:val="clear" w:pos="720"/>
                <w:tab w:val="left" w:pos="180"/>
              </w:tabs>
              <w:ind w:left="180" w:hanging="180"/>
              <w:rPr>
                <w:rFonts w:ascii="Arial" w:hAnsi="Arial" w:cs="Arial"/>
                <w:bCs/>
                <w:sz w:val="18"/>
                <w:szCs w:val="18"/>
                <w:lang w:val="en-US"/>
              </w:rPr>
            </w:pPr>
            <w:r w:rsidRPr="00BB52F3">
              <w:rPr>
                <w:rFonts w:ascii="Arial" w:hAnsi="Arial" w:cs="Arial"/>
                <w:bCs/>
                <w:sz w:val="18"/>
                <w:szCs w:val="18"/>
                <w:lang w:val="en-US"/>
              </w:rPr>
              <w:t xml:space="preserve">1. </w:t>
            </w:r>
            <w:r w:rsidR="004F61C8" w:rsidRPr="00BB52F3">
              <w:rPr>
                <w:rFonts w:ascii="Arial" w:hAnsi="Arial" w:cs="Arial"/>
                <w:bCs/>
                <w:sz w:val="18"/>
                <w:szCs w:val="18"/>
                <w:lang w:val="en-US"/>
              </w:rPr>
              <w:t>G</w:t>
            </w:r>
            <w:r w:rsidR="004F2D18" w:rsidRPr="00BB52F3">
              <w:rPr>
                <w:rFonts w:ascii="Arial" w:hAnsi="Arial" w:cs="Arial"/>
                <w:bCs/>
                <w:sz w:val="18"/>
                <w:szCs w:val="18"/>
                <w:lang w:val="en-US"/>
              </w:rPr>
              <w:t>rant application r</w:t>
            </w:r>
            <w:r w:rsidR="004F61C8" w:rsidRPr="00BB52F3">
              <w:rPr>
                <w:rFonts w:ascii="Arial" w:hAnsi="Arial" w:cs="Arial"/>
                <w:bCs/>
                <w:sz w:val="18"/>
                <w:szCs w:val="18"/>
                <w:lang w:val="en-US"/>
              </w:rPr>
              <w:t>eceived (</w:t>
            </w:r>
            <w:r w:rsidR="003C5BA6" w:rsidRPr="00BB52F3">
              <w:rPr>
                <w:rFonts w:ascii="Arial" w:hAnsi="Arial" w:cs="Arial"/>
                <w:bCs/>
                <w:sz w:val="18"/>
                <w:szCs w:val="18"/>
                <w:lang w:val="en-US"/>
              </w:rPr>
              <w:t>may or may not include</w:t>
            </w:r>
            <w:r w:rsidR="004F61C8" w:rsidRPr="00BB52F3">
              <w:rPr>
                <w:rFonts w:ascii="Arial" w:hAnsi="Arial" w:cs="Arial"/>
                <w:bCs/>
                <w:sz w:val="18"/>
                <w:szCs w:val="18"/>
                <w:lang w:val="en-US"/>
              </w:rPr>
              <w:t xml:space="preserve"> E&amp;S analysis)</w:t>
            </w:r>
          </w:p>
        </w:tc>
        <w:tc>
          <w:tcPr>
            <w:tcW w:w="2944" w:type="dxa"/>
          </w:tcPr>
          <w:p w:rsidR="004F61C8" w:rsidRPr="00BB52F3" w:rsidRDefault="004F61C8" w:rsidP="00F26A01">
            <w:pPr>
              <w:pStyle w:val="Paragraph"/>
              <w:numPr>
                <w:ilvl w:val="0"/>
                <w:numId w:val="16"/>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CDB reviews E&amp;S analysis</w:t>
            </w:r>
            <w:r w:rsidR="004F2D18" w:rsidRPr="00BB52F3">
              <w:rPr>
                <w:rFonts w:ascii="Arial" w:hAnsi="Arial" w:cs="Arial"/>
                <w:bCs/>
                <w:sz w:val="18"/>
                <w:szCs w:val="18"/>
                <w:lang w:val="en-US"/>
              </w:rPr>
              <w:t>, if any, presented by project sponsor/developer</w:t>
            </w:r>
          </w:p>
          <w:p w:rsidR="004F2D18" w:rsidRPr="00BB52F3" w:rsidRDefault="004F2D18" w:rsidP="00F26A01">
            <w:pPr>
              <w:pStyle w:val="Paragraph"/>
              <w:numPr>
                <w:ilvl w:val="0"/>
                <w:numId w:val="16"/>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CDB determines validity / eligibility of grant application.</w:t>
            </w:r>
            <w:r w:rsidR="00020639" w:rsidRPr="00BB52F3">
              <w:rPr>
                <w:rFonts w:ascii="Arial" w:hAnsi="Arial" w:cs="Arial"/>
                <w:bCs/>
                <w:sz w:val="18"/>
                <w:szCs w:val="18"/>
                <w:lang w:val="en-US"/>
              </w:rPr>
              <w:t xml:space="preserve"> </w:t>
            </w:r>
            <w:r w:rsidRPr="00BB52F3">
              <w:rPr>
                <w:rFonts w:ascii="Arial" w:hAnsi="Arial" w:cs="Arial"/>
                <w:bCs/>
                <w:sz w:val="18"/>
                <w:szCs w:val="18"/>
                <w:lang w:val="en-US"/>
              </w:rPr>
              <w:t>If advancing, provides IDB with corresponding E&amp;S</w:t>
            </w:r>
            <w:r w:rsidR="00020639" w:rsidRPr="00BB52F3">
              <w:rPr>
                <w:rFonts w:ascii="Arial" w:hAnsi="Arial" w:cs="Arial"/>
                <w:bCs/>
                <w:sz w:val="18"/>
                <w:szCs w:val="18"/>
                <w:lang w:val="en-US"/>
              </w:rPr>
              <w:t xml:space="preserve"> </w:t>
            </w:r>
            <w:r w:rsidRPr="00BB52F3">
              <w:rPr>
                <w:rFonts w:ascii="Arial" w:hAnsi="Arial" w:cs="Arial"/>
                <w:bCs/>
                <w:sz w:val="18"/>
                <w:szCs w:val="18"/>
                <w:lang w:val="en-US"/>
              </w:rPr>
              <w:t>documentation, and pre-classification</w:t>
            </w:r>
          </w:p>
        </w:tc>
        <w:tc>
          <w:tcPr>
            <w:tcW w:w="2877" w:type="dxa"/>
          </w:tcPr>
          <w:p w:rsidR="004F61C8" w:rsidRPr="00BB52F3" w:rsidRDefault="004F2D18" w:rsidP="00F26A01">
            <w:pPr>
              <w:pStyle w:val="Paragraph"/>
              <w:numPr>
                <w:ilvl w:val="0"/>
                <w:numId w:val="16"/>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IDB receives application</w:t>
            </w:r>
            <w:r w:rsidR="00381592" w:rsidRPr="00BB52F3">
              <w:rPr>
                <w:rFonts w:ascii="Arial" w:hAnsi="Arial" w:cs="Arial"/>
                <w:bCs/>
                <w:sz w:val="18"/>
                <w:szCs w:val="18"/>
                <w:lang w:val="en-US"/>
              </w:rPr>
              <w:t xml:space="preserve"> and corresponding E&amp;S analysis, if any</w:t>
            </w:r>
            <w:r w:rsidRPr="00BB52F3">
              <w:rPr>
                <w:rFonts w:ascii="Arial" w:hAnsi="Arial" w:cs="Arial"/>
                <w:bCs/>
                <w:sz w:val="18"/>
                <w:szCs w:val="18"/>
                <w:lang w:val="en-US"/>
              </w:rPr>
              <w:t>.</w:t>
            </w:r>
          </w:p>
          <w:p w:rsidR="00422AAB" w:rsidRPr="00BB52F3" w:rsidRDefault="00422AAB" w:rsidP="00F26A01">
            <w:pPr>
              <w:pStyle w:val="Paragraph"/>
              <w:tabs>
                <w:tab w:val="clear" w:pos="720"/>
                <w:tab w:val="left" w:pos="180"/>
              </w:tabs>
              <w:ind w:left="180" w:hanging="180"/>
              <w:rPr>
                <w:rFonts w:ascii="Arial" w:hAnsi="Arial" w:cs="Arial"/>
                <w:bCs/>
                <w:sz w:val="18"/>
                <w:szCs w:val="18"/>
                <w:lang w:val="en-US"/>
              </w:rPr>
            </w:pPr>
          </w:p>
        </w:tc>
      </w:tr>
      <w:tr w:rsidR="006610C2" w:rsidRPr="00BB52F3" w:rsidTr="006610C2">
        <w:tc>
          <w:tcPr>
            <w:tcW w:w="2855" w:type="dxa"/>
          </w:tcPr>
          <w:p w:rsidR="004F61C8" w:rsidRPr="00BB52F3" w:rsidRDefault="004F2D18" w:rsidP="00F26A01">
            <w:pPr>
              <w:pStyle w:val="Paragraph"/>
              <w:tabs>
                <w:tab w:val="clear" w:pos="720"/>
                <w:tab w:val="left" w:pos="180"/>
              </w:tabs>
              <w:ind w:left="180" w:hanging="180"/>
              <w:rPr>
                <w:rFonts w:ascii="Arial" w:hAnsi="Arial" w:cs="Arial"/>
                <w:bCs/>
                <w:sz w:val="18"/>
                <w:szCs w:val="18"/>
                <w:lang w:val="en-US"/>
              </w:rPr>
            </w:pPr>
            <w:r w:rsidRPr="00BB52F3">
              <w:rPr>
                <w:rFonts w:ascii="Arial" w:hAnsi="Arial" w:cs="Arial"/>
                <w:bCs/>
                <w:sz w:val="18"/>
                <w:szCs w:val="18"/>
                <w:lang w:val="en-US"/>
              </w:rPr>
              <w:t>2. CDB defines</w:t>
            </w:r>
            <w:r w:rsidR="005F7E8C" w:rsidRPr="00BB52F3">
              <w:rPr>
                <w:rFonts w:ascii="Arial" w:hAnsi="Arial" w:cs="Arial"/>
                <w:bCs/>
                <w:sz w:val="18"/>
                <w:szCs w:val="18"/>
                <w:lang w:val="en-US"/>
              </w:rPr>
              <w:t>/reviews</w:t>
            </w:r>
            <w:r w:rsidRPr="00BB52F3">
              <w:rPr>
                <w:rFonts w:ascii="Arial" w:hAnsi="Arial" w:cs="Arial"/>
                <w:bCs/>
                <w:sz w:val="18"/>
                <w:szCs w:val="18"/>
                <w:lang w:val="en-US"/>
              </w:rPr>
              <w:t xml:space="preserve"> Terms of Reference (TOR) for </w:t>
            </w:r>
            <w:r w:rsidR="007F3FBD" w:rsidRPr="00BB52F3">
              <w:rPr>
                <w:rFonts w:ascii="Arial" w:hAnsi="Arial" w:cs="Arial"/>
                <w:bCs/>
                <w:sz w:val="18"/>
                <w:szCs w:val="18"/>
                <w:lang w:val="en-US"/>
              </w:rPr>
              <w:t>pre-investment activities eligible for grant funding (</w:t>
            </w:r>
            <w:r w:rsidRPr="00BB52F3">
              <w:rPr>
                <w:rFonts w:ascii="Arial" w:hAnsi="Arial" w:cs="Arial"/>
                <w:bCs/>
                <w:sz w:val="18"/>
                <w:szCs w:val="18"/>
                <w:lang w:val="en-US"/>
              </w:rPr>
              <w:t>3G analysis</w:t>
            </w:r>
            <w:r w:rsidR="007F3FBD" w:rsidRPr="00BB52F3">
              <w:rPr>
                <w:rFonts w:ascii="Arial" w:hAnsi="Arial" w:cs="Arial"/>
                <w:bCs/>
                <w:sz w:val="18"/>
                <w:szCs w:val="18"/>
                <w:lang w:val="en-US"/>
              </w:rPr>
              <w:t xml:space="preserve">, E&amp;S analysis, infrastructural assessment, </w:t>
            </w:r>
            <w:r w:rsidRPr="00BB52F3">
              <w:rPr>
                <w:rFonts w:ascii="Arial" w:hAnsi="Arial" w:cs="Arial"/>
                <w:bCs/>
                <w:sz w:val="18"/>
                <w:szCs w:val="18"/>
                <w:lang w:val="en-US"/>
              </w:rPr>
              <w:t>slim hole drilling</w:t>
            </w:r>
            <w:r w:rsidR="007F3FBD" w:rsidRPr="00BB52F3">
              <w:rPr>
                <w:rFonts w:ascii="Arial" w:hAnsi="Arial" w:cs="Arial"/>
                <w:bCs/>
                <w:sz w:val="18"/>
                <w:szCs w:val="18"/>
                <w:lang w:val="en-US"/>
              </w:rPr>
              <w:t>)</w:t>
            </w:r>
          </w:p>
        </w:tc>
        <w:tc>
          <w:tcPr>
            <w:tcW w:w="2944" w:type="dxa"/>
          </w:tcPr>
          <w:p w:rsidR="004F61C8" w:rsidRPr="00BB52F3" w:rsidRDefault="003C5BA6" w:rsidP="00F26A01">
            <w:pPr>
              <w:pStyle w:val="Paragraph"/>
              <w:numPr>
                <w:ilvl w:val="0"/>
                <w:numId w:val="17"/>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CDB prepares</w:t>
            </w:r>
            <w:r w:rsidR="004F2D18" w:rsidRPr="00BB52F3">
              <w:rPr>
                <w:rFonts w:ascii="Arial" w:hAnsi="Arial" w:cs="Arial"/>
                <w:bCs/>
                <w:sz w:val="18"/>
                <w:szCs w:val="18"/>
                <w:lang w:val="en-US"/>
              </w:rPr>
              <w:t xml:space="preserve"> TOR for </w:t>
            </w:r>
            <w:r w:rsidRPr="00BB52F3">
              <w:rPr>
                <w:rFonts w:ascii="Arial" w:hAnsi="Arial" w:cs="Arial"/>
                <w:bCs/>
                <w:sz w:val="18"/>
                <w:szCs w:val="18"/>
                <w:lang w:val="en-US"/>
              </w:rPr>
              <w:t xml:space="preserve">E&amp;S </w:t>
            </w:r>
            <w:r w:rsidR="004F2D18" w:rsidRPr="00BB52F3">
              <w:rPr>
                <w:rFonts w:ascii="Arial" w:hAnsi="Arial" w:cs="Arial"/>
                <w:bCs/>
                <w:sz w:val="18"/>
                <w:szCs w:val="18"/>
                <w:lang w:val="en-US"/>
              </w:rPr>
              <w:t xml:space="preserve">Scoping Analysis </w:t>
            </w:r>
            <w:r w:rsidR="00381592" w:rsidRPr="00BB52F3">
              <w:rPr>
                <w:rFonts w:ascii="Arial" w:hAnsi="Arial" w:cs="Arial"/>
                <w:bCs/>
                <w:sz w:val="18"/>
                <w:szCs w:val="18"/>
                <w:lang w:val="en-US"/>
              </w:rPr>
              <w:t>as either a component of wider TOR or a separate document</w:t>
            </w:r>
          </w:p>
          <w:p w:rsidR="004F2D18" w:rsidRPr="00BB52F3" w:rsidRDefault="004F2D18" w:rsidP="00F26A01">
            <w:pPr>
              <w:pStyle w:val="Paragraph"/>
              <w:numPr>
                <w:ilvl w:val="0"/>
                <w:numId w:val="17"/>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 xml:space="preserve">Sends TOR to IDB for review </w:t>
            </w:r>
            <w:r w:rsidRPr="00BB52F3">
              <w:rPr>
                <w:rFonts w:ascii="Arial" w:hAnsi="Arial" w:cs="Arial"/>
                <w:bCs/>
                <w:sz w:val="18"/>
                <w:szCs w:val="18"/>
                <w:lang w:val="en-US"/>
              </w:rPr>
              <w:lastRenderedPageBreak/>
              <w:t>and comment</w:t>
            </w:r>
          </w:p>
        </w:tc>
        <w:tc>
          <w:tcPr>
            <w:tcW w:w="2877" w:type="dxa"/>
          </w:tcPr>
          <w:p w:rsidR="007F3FBD" w:rsidRPr="00BB52F3" w:rsidRDefault="00381592" w:rsidP="00F26A01">
            <w:pPr>
              <w:pStyle w:val="Paragraph"/>
              <w:numPr>
                <w:ilvl w:val="0"/>
                <w:numId w:val="17"/>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lastRenderedPageBreak/>
              <w:t xml:space="preserve">IDB reviews and inputs into prepared </w:t>
            </w:r>
            <w:r w:rsidR="003C5BA6" w:rsidRPr="00BB52F3">
              <w:rPr>
                <w:rFonts w:ascii="Arial" w:hAnsi="Arial" w:cs="Arial"/>
                <w:bCs/>
                <w:sz w:val="18"/>
                <w:szCs w:val="18"/>
                <w:lang w:val="en-US"/>
              </w:rPr>
              <w:t xml:space="preserve">E&amp;S </w:t>
            </w:r>
            <w:r w:rsidRPr="00BB52F3">
              <w:rPr>
                <w:rFonts w:ascii="Arial" w:hAnsi="Arial" w:cs="Arial"/>
                <w:bCs/>
                <w:sz w:val="18"/>
                <w:szCs w:val="18"/>
                <w:lang w:val="en-US"/>
              </w:rPr>
              <w:t xml:space="preserve">TOR scope, and coordinates comments with IDB review of </w:t>
            </w:r>
            <w:r w:rsidR="003C5BA6" w:rsidRPr="00BB52F3">
              <w:rPr>
                <w:rFonts w:ascii="Arial" w:hAnsi="Arial" w:cs="Arial"/>
                <w:bCs/>
                <w:sz w:val="18"/>
                <w:szCs w:val="18"/>
                <w:lang w:val="en-US"/>
              </w:rPr>
              <w:t>wider TOR</w:t>
            </w:r>
          </w:p>
          <w:p w:rsidR="001A71C6" w:rsidRPr="00BB52F3" w:rsidRDefault="001A71C6" w:rsidP="001A71C6">
            <w:pPr>
              <w:pStyle w:val="Paragraph"/>
              <w:tabs>
                <w:tab w:val="clear" w:pos="720"/>
                <w:tab w:val="left" w:pos="180"/>
              </w:tabs>
              <w:ind w:left="0" w:firstLine="0"/>
              <w:rPr>
                <w:rFonts w:ascii="Arial" w:hAnsi="Arial" w:cs="Arial"/>
                <w:bCs/>
                <w:i/>
                <w:sz w:val="18"/>
                <w:szCs w:val="18"/>
                <w:u w:val="single"/>
                <w:lang w:val="en-US"/>
              </w:rPr>
            </w:pPr>
            <w:r w:rsidRPr="00BB52F3">
              <w:rPr>
                <w:rFonts w:ascii="Arial" w:hAnsi="Arial" w:cs="Arial"/>
                <w:bCs/>
                <w:i/>
                <w:sz w:val="18"/>
                <w:szCs w:val="18"/>
                <w:u w:val="single"/>
                <w:lang w:val="en-US"/>
              </w:rPr>
              <w:t>Formal Sign-off</w:t>
            </w:r>
          </w:p>
          <w:p w:rsidR="00381592" w:rsidRPr="00BB52F3" w:rsidRDefault="00381592" w:rsidP="008A01D8">
            <w:pPr>
              <w:pStyle w:val="Paragraph"/>
              <w:numPr>
                <w:ilvl w:val="0"/>
                <w:numId w:val="17"/>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lastRenderedPageBreak/>
              <w:t>IDB ret</w:t>
            </w:r>
            <w:r w:rsidR="003C5BA6" w:rsidRPr="00BB52F3">
              <w:rPr>
                <w:rFonts w:ascii="Arial" w:hAnsi="Arial" w:cs="Arial"/>
                <w:bCs/>
                <w:sz w:val="18"/>
                <w:szCs w:val="18"/>
                <w:lang w:val="en-US"/>
              </w:rPr>
              <w:t xml:space="preserve">urns TOR with comments within five working days. </w:t>
            </w:r>
          </w:p>
        </w:tc>
      </w:tr>
      <w:tr w:rsidR="006610C2" w:rsidRPr="00BB52F3" w:rsidTr="006610C2">
        <w:tc>
          <w:tcPr>
            <w:tcW w:w="2855" w:type="dxa"/>
          </w:tcPr>
          <w:p w:rsidR="004F61C8" w:rsidRPr="00BB52F3" w:rsidRDefault="00381592" w:rsidP="00F26A01">
            <w:pPr>
              <w:pStyle w:val="Paragraph"/>
              <w:tabs>
                <w:tab w:val="clear" w:pos="720"/>
                <w:tab w:val="left" w:pos="180"/>
              </w:tabs>
              <w:ind w:left="180" w:hanging="180"/>
              <w:rPr>
                <w:rFonts w:ascii="Arial" w:hAnsi="Arial" w:cs="Arial"/>
                <w:bCs/>
                <w:sz w:val="18"/>
                <w:szCs w:val="18"/>
                <w:lang w:val="en-US"/>
              </w:rPr>
            </w:pPr>
            <w:r w:rsidRPr="00BB52F3">
              <w:rPr>
                <w:rFonts w:ascii="Arial" w:hAnsi="Arial" w:cs="Arial"/>
                <w:bCs/>
                <w:sz w:val="18"/>
                <w:szCs w:val="18"/>
                <w:lang w:val="en-US"/>
              </w:rPr>
              <w:lastRenderedPageBreak/>
              <w:t>3. Grant Awarded</w:t>
            </w:r>
          </w:p>
        </w:tc>
        <w:tc>
          <w:tcPr>
            <w:tcW w:w="2944" w:type="dxa"/>
          </w:tcPr>
          <w:p w:rsidR="004F61C8" w:rsidRPr="00BB52F3" w:rsidRDefault="00381592" w:rsidP="00F26A01">
            <w:pPr>
              <w:pStyle w:val="Paragraph"/>
              <w:numPr>
                <w:ilvl w:val="0"/>
                <w:numId w:val="19"/>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CDB informs IDB of selected consultant, and liaises with consultant in execution of the work.</w:t>
            </w:r>
            <w:r w:rsidR="00020639" w:rsidRPr="00BB52F3">
              <w:rPr>
                <w:rFonts w:ascii="Arial" w:hAnsi="Arial" w:cs="Arial"/>
                <w:bCs/>
                <w:sz w:val="18"/>
                <w:szCs w:val="18"/>
                <w:lang w:val="en-US"/>
              </w:rPr>
              <w:t xml:space="preserve"> </w:t>
            </w:r>
            <w:r w:rsidRPr="00BB52F3">
              <w:rPr>
                <w:rFonts w:ascii="Arial" w:hAnsi="Arial" w:cs="Arial"/>
                <w:bCs/>
                <w:sz w:val="18"/>
                <w:szCs w:val="18"/>
                <w:lang w:val="en-US"/>
              </w:rPr>
              <w:t>CDB engages IDB on an as needed basis for advice/offer of opinion.</w:t>
            </w:r>
          </w:p>
          <w:p w:rsidR="006610C2" w:rsidRPr="00BB52F3" w:rsidRDefault="006610C2" w:rsidP="00F26A01">
            <w:pPr>
              <w:pStyle w:val="Paragraph"/>
              <w:numPr>
                <w:ilvl w:val="0"/>
                <w:numId w:val="19"/>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CDB visits site on an as-needed basis to evaluate progress and specific impacts</w:t>
            </w:r>
          </w:p>
          <w:p w:rsidR="00381592" w:rsidRPr="00BB52F3" w:rsidRDefault="00381592" w:rsidP="00F26A01">
            <w:pPr>
              <w:pStyle w:val="Paragraph"/>
              <w:numPr>
                <w:ilvl w:val="0"/>
                <w:numId w:val="19"/>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 xml:space="preserve">CDB </w:t>
            </w:r>
            <w:r w:rsidR="00AC5671" w:rsidRPr="00BB52F3">
              <w:rPr>
                <w:rFonts w:ascii="Arial" w:hAnsi="Arial" w:cs="Arial"/>
                <w:bCs/>
                <w:sz w:val="18"/>
                <w:szCs w:val="18"/>
                <w:lang w:val="en-US"/>
              </w:rPr>
              <w:t xml:space="preserve">confirms environmental pre-classification and </w:t>
            </w:r>
            <w:r w:rsidRPr="00BB52F3">
              <w:rPr>
                <w:rFonts w:ascii="Arial" w:hAnsi="Arial" w:cs="Arial"/>
                <w:bCs/>
                <w:sz w:val="18"/>
                <w:szCs w:val="18"/>
                <w:lang w:val="en-US"/>
              </w:rPr>
              <w:t xml:space="preserve">sends near-final draft </w:t>
            </w:r>
            <w:r w:rsidR="008A01D8" w:rsidRPr="00BB52F3">
              <w:rPr>
                <w:rFonts w:ascii="Arial" w:hAnsi="Arial" w:cs="Arial"/>
                <w:bCs/>
                <w:sz w:val="18"/>
                <w:szCs w:val="18"/>
                <w:lang w:val="en-US"/>
              </w:rPr>
              <w:t xml:space="preserve">of Scoping Analysis </w:t>
            </w:r>
            <w:r w:rsidRPr="00BB52F3">
              <w:rPr>
                <w:rFonts w:ascii="Arial" w:hAnsi="Arial" w:cs="Arial"/>
                <w:bCs/>
                <w:sz w:val="18"/>
                <w:szCs w:val="18"/>
                <w:lang w:val="en-US"/>
              </w:rPr>
              <w:t>to IDB.</w:t>
            </w:r>
          </w:p>
        </w:tc>
        <w:tc>
          <w:tcPr>
            <w:tcW w:w="2877" w:type="dxa"/>
          </w:tcPr>
          <w:p w:rsidR="006610C2" w:rsidRPr="00BB52F3" w:rsidRDefault="006610C2" w:rsidP="00F26A01">
            <w:pPr>
              <w:pStyle w:val="Paragraph"/>
              <w:numPr>
                <w:ilvl w:val="0"/>
                <w:numId w:val="19"/>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 xml:space="preserve">IDB informed of any particular </w:t>
            </w:r>
            <w:r w:rsidR="008A01D8" w:rsidRPr="00BB52F3">
              <w:rPr>
                <w:rFonts w:ascii="Arial" w:hAnsi="Arial" w:cs="Arial"/>
                <w:bCs/>
                <w:sz w:val="18"/>
                <w:szCs w:val="18"/>
                <w:lang w:val="en-US"/>
              </w:rPr>
              <w:t xml:space="preserve">E&amp;S </w:t>
            </w:r>
            <w:r w:rsidRPr="00BB52F3">
              <w:rPr>
                <w:rFonts w:ascii="Arial" w:hAnsi="Arial" w:cs="Arial"/>
                <w:bCs/>
                <w:sz w:val="18"/>
                <w:szCs w:val="18"/>
                <w:lang w:val="en-US"/>
              </w:rPr>
              <w:t>risk concerns (in event of project visit).</w:t>
            </w:r>
          </w:p>
          <w:p w:rsidR="004F61C8" w:rsidRPr="00BB52F3" w:rsidRDefault="00381592" w:rsidP="00F26A01">
            <w:pPr>
              <w:pStyle w:val="Paragraph"/>
              <w:numPr>
                <w:ilvl w:val="0"/>
                <w:numId w:val="19"/>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IDB provides comment, if any, on near-final draft</w:t>
            </w:r>
            <w:r w:rsidR="008A01D8" w:rsidRPr="00BB52F3">
              <w:rPr>
                <w:rFonts w:ascii="Arial" w:hAnsi="Arial" w:cs="Arial"/>
                <w:bCs/>
                <w:sz w:val="18"/>
                <w:szCs w:val="18"/>
                <w:lang w:val="en-US"/>
              </w:rPr>
              <w:t xml:space="preserve"> of Scoping Analysis</w:t>
            </w:r>
            <w:r w:rsidRPr="00BB52F3">
              <w:rPr>
                <w:rFonts w:ascii="Arial" w:hAnsi="Arial" w:cs="Arial"/>
                <w:bCs/>
                <w:sz w:val="18"/>
                <w:szCs w:val="18"/>
                <w:lang w:val="en-US"/>
              </w:rPr>
              <w:t>.</w:t>
            </w:r>
          </w:p>
        </w:tc>
      </w:tr>
      <w:tr w:rsidR="006610C2" w:rsidRPr="00BB52F3" w:rsidTr="006610C2">
        <w:tc>
          <w:tcPr>
            <w:tcW w:w="2855" w:type="dxa"/>
          </w:tcPr>
          <w:p w:rsidR="004F61C8" w:rsidRPr="00BB52F3" w:rsidRDefault="00381592" w:rsidP="00F26A01">
            <w:pPr>
              <w:pStyle w:val="Paragraph"/>
              <w:tabs>
                <w:tab w:val="clear" w:pos="720"/>
                <w:tab w:val="left" w:pos="180"/>
              </w:tabs>
              <w:ind w:left="180" w:hanging="180"/>
              <w:rPr>
                <w:rFonts w:ascii="Arial" w:hAnsi="Arial" w:cs="Arial"/>
                <w:bCs/>
                <w:sz w:val="18"/>
                <w:szCs w:val="18"/>
                <w:lang w:val="en-US"/>
              </w:rPr>
            </w:pPr>
            <w:r w:rsidRPr="00BB52F3">
              <w:rPr>
                <w:rFonts w:ascii="Arial" w:hAnsi="Arial" w:cs="Arial"/>
                <w:bCs/>
                <w:sz w:val="18"/>
                <w:szCs w:val="18"/>
                <w:lang w:val="en-US"/>
              </w:rPr>
              <w:t>4.</w:t>
            </w:r>
            <w:r w:rsidR="00020639" w:rsidRPr="00BB52F3">
              <w:rPr>
                <w:rFonts w:ascii="Arial" w:hAnsi="Arial" w:cs="Arial"/>
                <w:bCs/>
                <w:sz w:val="18"/>
                <w:szCs w:val="18"/>
                <w:lang w:val="en-US"/>
              </w:rPr>
              <w:t xml:space="preserve"> </w:t>
            </w:r>
            <w:r w:rsidR="006610C2" w:rsidRPr="00BB52F3">
              <w:rPr>
                <w:rFonts w:ascii="Arial" w:hAnsi="Arial" w:cs="Arial"/>
                <w:bCs/>
                <w:sz w:val="18"/>
                <w:szCs w:val="18"/>
                <w:lang w:val="en-US"/>
              </w:rPr>
              <w:t>Completion of Analysis/Pre-Investment Activity</w:t>
            </w:r>
          </w:p>
        </w:tc>
        <w:tc>
          <w:tcPr>
            <w:tcW w:w="2944" w:type="dxa"/>
          </w:tcPr>
          <w:p w:rsidR="004F61C8" w:rsidRPr="00BB52F3" w:rsidRDefault="006610C2" w:rsidP="00F26A01">
            <w:pPr>
              <w:pStyle w:val="Paragraph"/>
              <w:numPr>
                <w:ilvl w:val="0"/>
                <w:numId w:val="20"/>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CDB receives final report / analysis and sends to IDB.</w:t>
            </w:r>
          </w:p>
          <w:p w:rsidR="006610C2" w:rsidRPr="00BB52F3" w:rsidRDefault="006610C2" w:rsidP="00F26A01">
            <w:pPr>
              <w:pStyle w:val="Paragraph"/>
              <w:numPr>
                <w:ilvl w:val="0"/>
                <w:numId w:val="20"/>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On basis of successful analysis, CDB informs IDB of possible second phase (loan).</w:t>
            </w:r>
          </w:p>
        </w:tc>
        <w:tc>
          <w:tcPr>
            <w:tcW w:w="2877" w:type="dxa"/>
          </w:tcPr>
          <w:p w:rsidR="004F61C8" w:rsidRPr="00BB52F3" w:rsidRDefault="006610C2" w:rsidP="00F26A01">
            <w:pPr>
              <w:pStyle w:val="Paragraph"/>
              <w:numPr>
                <w:ilvl w:val="0"/>
                <w:numId w:val="20"/>
              </w:numPr>
              <w:tabs>
                <w:tab w:val="left" w:pos="180"/>
              </w:tabs>
              <w:ind w:left="180" w:hanging="180"/>
              <w:rPr>
                <w:rFonts w:ascii="Arial" w:hAnsi="Arial" w:cs="Arial"/>
                <w:bCs/>
                <w:sz w:val="18"/>
                <w:szCs w:val="18"/>
                <w:lang w:val="en-US"/>
              </w:rPr>
            </w:pPr>
            <w:r w:rsidRPr="00BB52F3">
              <w:rPr>
                <w:rFonts w:ascii="Arial" w:hAnsi="Arial" w:cs="Arial"/>
                <w:bCs/>
                <w:sz w:val="18"/>
                <w:szCs w:val="18"/>
                <w:lang w:val="en-US"/>
              </w:rPr>
              <w:t>IDB reviews final products and reports.</w:t>
            </w:r>
          </w:p>
        </w:tc>
      </w:tr>
    </w:tbl>
    <w:p w:rsidR="006610C2" w:rsidRPr="00BB52F3" w:rsidRDefault="006610C2" w:rsidP="00F26A01">
      <w:pPr>
        <w:pStyle w:val="Paragraph"/>
        <w:numPr>
          <w:ilvl w:val="1"/>
          <w:numId w:val="1"/>
        </w:numPr>
        <w:tabs>
          <w:tab w:val="left" w:pos="720"/>
        </w:tabs>
        <w:ind w:left="720" w:hanging="720"/>
        <w:rPr>
          <w:rFonts w:ascii="Arial" w:hAnsi="Arial" w:cs="Arial"/>
          <w:bCs/>
          <w:sz w:val="22"/>
          <w:szCs w:val="22"/>
          <w:lang w:val="en-US"/>
        </w:rPr>
      </w:pPr>
      <w:r w:rsidRPr="00BB52F3">
        <w:rPr>
          <w:rFonts w:ascii="Arial" w:hAnsi="Arial" w:cs="Arial"/>
          <w:bCs/>
          <w:sz w:val="22"/>
          <w:szCs w:val="22"/>
          <w:lang w:val="en-US"/>
        </w:rPr>
        <w:t xml:space="preserve">For the Loan approval project cycle (applying to </w:t>
      </w:r>
      <w:r w:rsidR="00C42063">
        <w:rPr>
          <w:rFonts w:ascii="Arial" w:hAnsi="Arial" w:cs="Arial"/>
          <w:bCs/>
          <w:sz w:val="22"/>
          <w:szCs w:val="22"/>
          <w:lang w:val="en-US"/>
        </w:rPr>
        <w:t xml:space="preserve">all category A and B+ </w:t>
      </w:r>
      <w:r w:rsidRPr="00BB52F3">
        <w:rPr>
          <w:rFonts w:ascii="Arial" w:hAnsi="Arial" w:cs="Arial"/>
          <w:bCs/>
          <w:sz w:val="22"/>
          <w:szCs w:val="22"/>
          <w:lang w:val="en-US"/>
        </w:rPr>
        <w:t>geothermal sub-projects)</w:t>
      </w:r>
      <w:r w:rsidR="00AC5671" w:rsidRPr="00BB52F3">
        <w:rPr>
          <w:rFonts w:ascii="Arial" w:hAnsi="Arial" w:cs="Arial"/>
          <w:bCs/>
          <w:sz w:val="22"/>
          <w:szCs w:val="22"/>
          <w:lang w:val="en-US"/>
        </w:rPr>
        <w:t>, the project proponent may be undertaking exploratory drilling, developing production and reinjection wells, constructing power plans, sub-stations, or transmission lines.</w:t>
      </w:r>
      <w:r w:rsidR="00020639" w:rsidRPr="00BB52F3">
        <w:rPr>
          <w:rFonts w:ascii="Arial" w:hAnsi="Arial" w:cs="Arial"/>
          <w:bCs/>
          <w:sz w:val="22"/>
          <w:szCs w:val="22"/>
          <w:lang w:val="en-US"/>
        </w:rPr>
        <w:t xml:space="preserve"> </w:t>
      </w:r>
      <w:r w:rsidR="00AC5671" w:rsidRPr="00BB52F3">
        <w:rPr>
          <w:rFonts w:ascii="Arial" w:hAnsi="Arial" w:cs="Arial"/>
          <w:bCs/>
          <w:sz w:val="22"/>
          <w:szCs w:val="22"/>
          <w:lang w:val="en-US"/>
        </w:rPr>
        <w:t>As the investment activities are more significant in scope with the potential for greater E&amp;S impacts additional process stages apply.</w:t>
      </w:r>
      <w:r w:rsidR="00020639" w:rsidRPr="00BB52F3">
        <w:rPr>
          <w:rFonts w:ascii="Arial" w:hAnsi="Arial" w:cs="Arial"/>
          <w:bCs/>
          <w:sz w:val="22"/>
          <w:szCs w:val="22"/>
          <w:lang w:val="en-US"/>
        </w:rPr>
        <w:t xml:space="preserve"> </w:t>
      </w:r>
      <w:r w:rsidR="00AC5671" w:rsidRPr="00BB52F3">
        <w:rPr>
          <w:rFonts w:ascii="Arial" w:hAnsi="Arial" w:cs="Arial"/>
          <w:bCs/>
          <w:sz w:val="22"/>
          <w:szCs w:val="22"/>
          <w:lang w:val="en-US"/>
        </w:rPr>
        <w:t>As such</w:t>
      </w:r>
      <w:r w:rsidRPr="00BB52F3">
        <w:rPr>
          <w:rFonts w:ascii="Arial" w:hAnsi="Arial" w:cs="Arial"/>
          <w:bCs/>
          <w:sz w:val="22"/>
          <w:szCs w:val="22"/>
          <w:lang w:val="en-US"/>
        </w:rPr>
        <w:t>, the corresponding E&amp;S procedures are:</w:t>
      </w:r>
    </w:p>
    <w:tbl>
      <w:tblPr>
        <w:tblStyle w:val="TableGrid"/>
        <w:tblW w:w="0" w:type="auto"/>
        <w:tblInd w:w="900" w:type="dxa"/>
        <w:tblLook w:val="04A0" w:firstRow="1" w:lastRow="0" w:firstColumn="1" w:lastColumn="0" w:noHBand="0" w:noVBand="1"/>
      </w:tblPr>
      <w:tblGrid>
        <w:gridCol w:w="2628"/>
        <w:gridCol w:w="3156"/>
        <w:gridCol w:w="2892"/>
      </w:tblGrid>
      <w:tr w:rsidR="00AC5671" w:rsidRPr="00BB52F3" w:rsidTr="002F0BA3">
        <w:tc>
          <w:tcPr>
            <w:tcW w:w="2628" w:type="dxa"/>
            <w:shd w:val="clear" w:color="auto" w:fill="A6A6A6" w:themeFill="background1" w:themeFillShade="A6"/>
          </w:tcPr>
          <w:p w:rsidR="00AC5671" w:rsidRPr="00BB52F3" w:rsidRDefault="00AC5671" w:rsidP="00F26A01">
            <w:pPr>
              <w:pStyle w:val="Paragraph"/>
              <w:tabs>
                <w:tab w:val="left" w:pos="720"/>
              </w:tabs>
              <w:rPr>
                <w:rFonts w:ascii="Arial" w:hAnsi="Arial" w:cs="Arial"/>
                <w:bCs/>
                <w:sz w:val="18"/>
                <w:szCs w:val="18"/>
                <w:lang w:val="en-US"/>
              </w:rPr>
            </w:pPr>
            <w:r w:rsidRPr="00BB52F3">
              <w:rPr>
                <w:rFonts w:ascii="Arial" w:hAnsi="Arial" w:cs="Arial"/>
                <w:bCs/>
                <w:sz w:val="18"/>
                <w:szCs w:val="18"/>
                <w:lang w:val="en-US"/>
              </w:rPr>
              <w:t>CDB Loan Approval Cycle</w:t>
            </w:r>
          </w:p>
        </w:tc>
        <w:tc>
          <w:tcPr>
            <w:tcW w:w="3156" w:type="dxa"/>
            <w:shd w:val="clear" w:color="auto" w:fill="A6A6A6" w:themeFill="background1" w:themeFillShade="A6"/>
          </w:tcPr>
          <w:p w:rsidR="00AC5671" w:rsidRPr="00BB52F3" w:rsidRDefault="00AC5671" w:rsidP="00F26A01">
            <w:pPr>
              <w:pStyle w:val="Paragraph"/>
              <w:tabs>
                <w:tab w:val="left" w:pos="720"/>
              </w:tabs>
              <w:rPr>
                <w:rFonts w:ascii="Arial" w:hAnsi="Arial" w:cs="Arial"/>
                <w:bCs/>
                <w:sz w:val="18"/>
                <w:szCs w:val="18"/>
                <w:lang w:val="en-US"/>
              </w:rPr>
            </w:pPr>
            <w:r w:rsidRPr="00BB52F3">
              <w:rPr>
                <w:rFonts w:ascii="Arial" w:hAnsi="Arial" w:cs="Arial"/>
                <w:bCs/>
                <w:sz w:val="18"/>
                <w:szCs w:val="18"/>
                <w:lang w:val="en-US"/>
              </w:rPr>
              <w:t>CDB E&amp;S Role</w:t>
            </w:r>
          </w:p>
        </w:tc>
        <w:tc>
          <w:tcPr>
            <w:tcW w:w="2892" w:type="dxa"/>
            <w:shd w:val="clear" w:color="auto" w:fill="A6A6A6" w:themeFill="background1" w:themeFillShade="A6"/>
          </w:tcPr>
          <w:p w:rsidR="00AC5671" w:rsidRPr="00BB52F3" w:rsidRDefault="00AC5671" w:rsidP="00F26A01">
            <w:pPr>
              <w:pStyle w:val="Paragraph"/>
              <w:tabs>
                <w:tab w:val="left" w:pos="720"/>
              </w:tabs>
              <w:rPr>
                <w:rFonts w:ascii="Arial" w:hAnsi="Arial" w:cs="Arial"/>
                <w:bCs/>
                <w:sz w:val="18"/>
                <w:szCs w:val="18"/>
                <w:lang w:val="en-US"/>
              </w:rPr>
            </w:pPr>
            <w:r w:rsidRPr="00BB52F3">
              <w:rPr>
                <w:rFonts w:ascii="Arial" w:hAnsi="Arial" w:cs="Arial"/>
                <w:bCs/>
                <w:sz w:val="18"/>
                <w:szCs w:val="18"/>
                <w:lang w:val="en-US"/>
              </w:rPr>
              <w:t>IDB E&amp;S Role</w:t>
            </w:r>
          </w:p>
        </w:tc>
      </w:tr>
      <w:tr w:rsidR="00AC5671" w:rsidRPr="00BB52F3" w:rsidTr="00864E96">
        <w:trPr>
          <w:trHeight w:val="1097"/>
        </w:trPr>
        <w:tc>
          <w:tcPr>
            <w:tcW w:w="2628" w:type="dxa"/>
          </w:tcPr>
          <w:p w:rsidR="00AC5671" w:rsidRPr="00BB52F3" w:rsidRDefault="00AC5671" w:rsidP="00F26A01">
            <w:pPr>
              <w:pStyle w:val="Paragraph"/>
              <w:tabs>
                <w:tab w:val="clear" w:pos="720"/>
                <w:tab w:val="left" w:pos="270"/>
              </w:tabs>
              <w:ind w:left="270" w:hanging="270"/>
              <w:rPr>
                <w:rFonts w:ascii="Arial" w:hAnsi="Arial" w:cs="Arial"/>
                <w:bCs/>
                <w:sz w:val="18"/>
                <w:szCs w:val="18"/>
                <w:lang w:val="en-US"/>
              </w:rPr>
            </w:pPr>
            <w:r w:rsidRPr="00BB52F3">
              <w:rPr>
                <w:rFonts w:ascii="Arial" w:hAnsi="Arial" w:cs="Arial"/>
                <w:bCs/>
                <w:sz w:val="18"/>
                <w:szCs w:val="18"/>
                <w:lang w:val="en-US"/>
              </w:rPr>
              <w:t>1. Preparation of CDB Concept Note</w:t>
            </w:r>
          </w:p>
        </w:tc>
        <w:tc>
          <w:tcPr>
            <w:tcW w:w="3156" w:type="dxa"/>
          </w:tcPr>
          <w:p w:rsidR="00AC5671" w:rsidRPr="00BB52F3" w:rsidRDefault="00422AAB"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CDB makes pre-classification and proposes E&amp;S strategy for due diligence</w:t>
            </w:r>
          </w:p>
        </w:tc>
        <w:tc>
          <w:tcPr>
            <w:tcW w:w="2892" w:type="dxa"/>
          </w:tcPr>
          <w:p w:rsidR="00F3053E" w:rsidRPr="00BB52F3" w:rsidRDefault="00F3053E" w:rsidP="00F3053E">
            <w:pPr>
              <w:pStyle w:val="Paragraph"/>
              <w:tabs>
                <w:tab w:val="clear" w:pos="720"/>
                <w:tab w:val="left" w:pos="270"/>
              </w:tabs>
              <w:ind w:left="0" w:firstLine="0"/>
              <w:rPr>
                <w:rFonts w:ascii="Arial" w:hAnsi="Arial" w:cs="Arial"/>
                <w:bCs/>
                <w:i/>
                <w:sz w:val="18"/>
                <w:szCs w:val="18"/>
                <w:u w:val="single"/>
                <w:lang w:val="en-US"/>
              </w:rPr>
            </w:pPr>
            <w:r w:rsidRPr="00BB52F3">
              <w:rPr>
                <w:rFonts w:ascii="Arial" w:hAnsi="Arial" w:cs="Arial"/>
                <w:bCs/>
                <w:i/>
                <w:sz w:val="18"/>
                <w:szCs w:val="18"/>
                <w:u w:val="single"/>
                <w:lang w:val="en-US"/>
              </w:rPr>
              <w:t>Formal Sign-Off</w:t>
            </w:r>
          </w:p>
          <w:p w:rsidR="00422AAB" w:rsidRPr="00BB52F3" w:rsidRDefault="00422AAB"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IDB provides input into strategy and clearance on pre-classification.</w:t>
            </w:r>
          </w:p>
        </w:tc>
      </w:tr>
      <w:tr w:rsidR="00AC5671" w:rsidRPr="00BB52F3" w:rsidTr="002F0BA3">
        <w:tc>
          <w:tcPr>
            <w:tcW w:w="2628" w:type="dxa"/>
          </w:tcPr>
          <w:p w:rsidR="00AC5671" w:rsidRPr="00BB52F3" w:rsidRDefault="00422AAB" w:rsidP="00F26A01">
            <w:pPr>
              <w:pStyle w:val="Paragraph"/>
              <w:tabs>
                <w:tab w:val="clear" w:pos="720"/>
                <w:tab w:val="left" w:pos="270"/>
              </w:tabs>
              <w:ind w:left="270" w:hanging="270"/>
              <w:rPr>
                <w:rFonts w:ascii="Arial" w:hAnsi="Arial" w:cs="Arial"/>
                <w:bCs/>
                <w:sz w:val="18"/>
                <w:szCs w:val="18"/>
                <w:lang w:val="en-US"/>
              </w:rPr>
            </w:pPr>
            <w:r w:rsidRPr="00BB52F3">
              <w:rPr>
                <w:rFonts w:ascii="Arial" w:hAnsi="Arial" w:cs="Arial"/>
                <w:bCs/>
                <w:sz w:val="18"/>
                <w:szCs w:val="18"/>
                <w:lang w:val="en-US"/>
              </w:rPr>
              <w:t xml:space="preserve">2. </w:t>
            </w:r>
            <w:r w:rsidR="00A567B6" w:rsidRPr="00BB52F3">
              <w:rPr>
                <w:rFonts w:ascii="Arial" w:hAnsi="Arial" w:cs="Arial"/>
                <w:bCs/>
                <w:sz w:val="18"/>
                <w:szCs w:val="18"/>
                <w:lang w:val="en-US"/>
              </w:rPr>
              <w:t xml:space="preserve">Project preparation and definition of </w:t>
            </w:r>
            <w:r w:rsidRPr="00BB52F3">
              <w:rPr>
                <w:rFonts w:ascii="Arial" w:hAnsi="Arial" w:cs="Arial"/>
                <w:bCs/>
                <w:sz w:val="18"/>
                <w:szCs w:val="18"/>
                <w:lang w:val="en-US"/>
              </w:rPr>
              <w:t>Terms</w:t>
            </w:r>
            <w:r w:rsidR="00F870A9" w:rsidRPr="00BB52F3">
              <w:rPr>
                <w:rFonts w:ascii="Arial" w:hAnsi="Arial" w:cs="Arial"/>
                <w:bCs/>
                <w:sz w:val="18"/>
                <w:szCs w:val="18"/>
                <w:lang w:val="en-US"/>
              </w:rPr>
              <w:t xml:space="preserve"> of</w:t>
            </w:r>
            <w:r w:rsidRPr="00BB52F3">
              <w:rPr>
                <w:rFonts w:ascii="Arial" w:hAnsi="Arial" w:cs="Arial"/>
                <w:bCs/>
                <w:sz w:val="18"/>
                <w:szCs w:val="18"/>
                <w:lang w:val="en-US"/>
              </w:rPr>
              <w:t xml:space="preserve"> Reference (TOR) </w:t>
            </w:r>
            <w:r w:rsidR="00A567B6" w:rsidRPr="00BB52F3">
              <w:rPr>
                <w:rFonts w:ascii="Arial" w:hAnsi="Arial" w:cs="Arial"/>
                <w:bCs/>
                <w:sz w:val="18"/>
                <w:szCs w:val="18"/>
                <w:lang w:val="en-US"/>
              </w:rPr>
              <w:t>second stage investment (exploratory drilling, development of production/reinjection wells, plant construction, etc.)</w:t>
            </w:r>
          </w:p>
        </w:tc>
        <w:tc>
          <w:tcPr>
            <w:tcW w:w="3156" w:type="dxa"/>
          </w:tcPr>
          <w:p w:rsidR="00A567B6" w:rsidRPr="00BB52F3" w:rsidRDefault="00A567B6" w:rsidP="00F26A01">
            <w:pPr>
              <w:pStyle w:val="Paragraph"/>
              <w:tabs>
                <w:tab w:val="clear" w:pos="720"/>
                <w:tab w:val="left" w:pos="270"/>
              </w:tabs>
              <w:ind w:left="270" w:hanging="270"/>
              <w:rPr>
                <w:rFonts w:ascii="Arial" w:hAnsi="Arial" w:cs="Arial"/>
                <w:bCs/>
                <w:sz w:val="18"/>
                <w:szCs w:val="18"/>
                <w:u w:val="single"/>
                <w:lang w:val="en-US"/>
              </w:rPr>
            </w:pPr>
            <w:r w:rsidRPr="00BB52F3">
              <w:rPr>
                <w:rFonts w:ascii="Arial" w:hAnsi="Arial" w:cs="Arial"/>
                <w:bCs/>
                <w:sz w:val="18"/>
                <w:szCs w:val="18"/>
                <w:u w:val="single"/>
                <w:lang w:val="en-US"/>
              </w:rPr>
              <w:t>Scenario</w:t>
            </w:r>
            <w:r w:rsidR="00012844" w:rsidRPr="00BB52F3">
              <w:rPr>
                <w:rFonts w:ascii="Arial" w:hAnsi="Arial" w:cs="Arial"/>
                <w:bCs/>
                <w:sz w:val="18"/>
                <w:szCs w:val="18"/>
                <w:u w:val="single"/>
                <w:lang w:val="en-US"/>
              </w:rPr>
              <w:t xml:space="preserve"> 1: ESIA prepared</w:t>
            </w:r>
          </w:p>
          <w:p w:rsidR="00A567B6" w:rsidRPr="00BB52F3" w:rsidRDefault="00A567B6"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Where ESIA is available, CDB conducts analysis of the adequacy of the documentation, identifies gaps with regard to IFC PS and WB EHS Guidelines, and proposes plan to IDB for additional analysis/ engagement of consultants/ etc.</w:t>
            </w:r>
            <w:r w:rsidR="00501B6C" w:rsidRPr="00BB52F3">
              <w:rPr>
                <w:rFonts w:ascii="Arial" w:hAnsi="Arial" w:cs="Arial"/>
                <w:bCs/>
                <w:sz w:val="18"/>
                <w:szCs w:val="18"/>
                <w:lang w:val="en-US"/>
              </w:rPr>
              <w:t xml:space="preserve"> so that gaps are addressed</w:t>
            </w:r>
            <w:r w:rsidRPr="00BB52F3">
              <w:rPr>
                <w:rFonts w:ascii="Arial" w:hAnsi="Arial" w:cs="Arial"/>
                <w:bCs/>
                <w:sz w:val="18"/>
                <w:szCs w:val="18"/>
                <w:lang w:val="en-US"/>
              </w:rPr>
              <w:t xml:space="preserve"> and sends draft TOR if applicable.</w:t>
            </w:r>
          </w:p>
          <w:p w:rsidR="00592791" w:rsidRPr="00BB52F3" w:rsidRDefault="00592791"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CDB initiates coordination with IDB for project due diligence during Appraisal</w:t>
            </w:r>
          </w:p>
          <w:p w:rsidR="00A567B6" w:rsidRPr="00BB52F3" w:rsidRDefault="00012844" w:rsidP="00F26A01">
            <w:pPr>
              <w:pStyle w:val="Paragraph"/>
              <w:tabs>
                <w:tab w:val="clear" w:pos="720"/>
                <w:tab w:val="left" w:pos="270"/>
              </w:tabs>
              <w:ind w:left="270" w:hanging="270"/>
              <w:rPr>
                <w:rFonts w:ascii="Arial" w:hAnsi="Arial" w:cs="Arial"/>
                <w:bCs/>
                <w:sz w:val="18"/>
                <w:szCs w:val="18"/>
                <w:u w:val="single"/>
                <w:lang w:val="en-US"/>
              </w:rPr>
            </w:pPr>
            <w:r w:rsidRPr="00BB52F3">
              <w:rPr>
                <w:rFonts w:ascii="Arial" w:hAnsi="Arial" w:cs="Arial"/>
                <w:bCs/>
                <w:sz w:val="18"/>
                <w:szCs w:val="18"/>
                <w:u w:val="single"/>
                <w:lang w:val="en-US"/>
              </w:rPr>
              <w:t>Scenario 2: ESIA not prepared</w:t>
            </w:r>
          </w:p>
          <w:p w:rsidR="00A567B6" w:rsidRPr="00BB52F3" w:rsidRDefault="00012844"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 xml:space="preserve">CDB prepares a comprehensive </w:t>
            </w:r>
            <w:r w:rsidRPr="00BB52F3">
              <w:rPr>
                <w:rFonts w:ascii="Arial" w:hAnsi="Arial" w:cs="Arial"/>
                <w:bCs/>
                <w:sz w:val="18"/>
                <w:szCs w:val="18"/>
                <w:lang w:val="en-US"/>
              </w:rPr>
              <w:lastRenderedPageBreak/>
              <w:t>TOR to define scope of ESIA, and sends to IDB for review/comment/approval.</w:t>
            </w:r>
          </w:p>
          <w:p w:rsidR="00AC5671" w:rsidRPr="00BB52F3" w:rsidRDefault="00592791" w:rsidP="00BA3449">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 xml:space="preserve">Project Appraisal stage </w:t>
            </w:r>
            <w:r w:rsidR="00F52247" w:rsidRPr="00BB52F3">
              <w:rPr>
                <w:rFonts w:ascii="Arial" w:hAnsi="Arial" w:cs="Arial"/>
                <w:bCs/>
                <w:sz w:val="18"/>
                <w:szCs w:val="18"/>
                <w:lang w:val="en-US"/>
              </w:rPr>
              <w:t xml:space="preserve">for E&amp;S </w:t>
            </w:r>
            <w:r w:rsidR="00BA3449">
              <w:rPr>
                <w:rFonts w:ascii="Arial" w:hAnsi="Arial" w:cs="Arial"/>
                <w:bCs/>
                <w:sz w:val="18"/>
                <w:szCs w:val="18"/>
                <w:lang w:val="en-US"/>
              </w:rPr>
              <w:t>is on hold until</w:t>
            </w:r>
            <w:r w:rsidRPr="00BB52F3">
              <w:rPr>
                <w:rFonts w:ascii="Arial" w:hAnsi="Arial" w:cs="Arial"/>
                <w:bCs/>
                <w:sz w:val="18"/>
                <w:szCs w:val="18"/>
                <w:lang w:val="en-US"/>
              </w:rPr>
              <w:t xml:space="preserve"> ESIA</w:t>
            </w:r>
            <w:r w:rsidR="00BA3449">
              <w:rPr>
                <w:rFonts w:ascii="Arial" w:hAnsi="Arial" w:cs="Arial"/>
                <w:bCs/>
                <w:sz w:val="18"/>
                <w:szCs w:val="18"/>
                <w:lang w:val="en-US"/>
              </w:rPr>
              <w:t xml:space="preserve"> is prepared and is made publicly available</w:t>
            </w:r>
            <w:r w:rsidRPr="00BB52F3">
              <w:rPr>
                <w:rFonts w:ascii="Arial" w:hAnsi="Arial" w:cs="Arial"/>
                <w:bCs/>
                <w:sz w:val="18"/>
                <w:szCs w:val="18"/>
                <w:lang w:val="en-US"/>
              </w:rPr>
              <w:t>.</w:t>
            </w:r>
          </w:p>
        </w:tc>
        <w:tc>
          <w:tcPr>
            <w:tcW w:w="2892" w:type="dxa"/>
          </w:tcPr>
          <w:p w:rsidR="00012844" w:rsidRPr="00BB52F3" w:rsidRDefault="00012844" w:rsidP="00F26A01">
            <w:pPr>
              <w:pStyle w:val="Paragraph"/>
              <w:tabs>
                <w:tab w:val="clear" w:pos="720"/>
                <w:tab w:val="left" w:pos="270"/>
              </w:tabs>
              <w:ind w:left="270" w:hanging="270"/>
              <w:rPr>
                <w:rFonts w:ascii="Arial" w:hAnsi="Arial" w:cs="Arial"/>
                <w:bCs/>
                <w:sz w:val="18"/>
                <w:szCs w:val="18"/>
                <w:u w:val="single"/>
                <w:lang w:val="en-US"/>
              </w:rPr>
            </w:pPr>
            <w:r w:rsidRPr="00BB52F3">
              <w:rPr>
                <w:rFonts w:ascii="Arial" w:hAnsi="Arial" w:cs="Arial"/>
                <w:bCs/>
                <w:sz w:val="18"/>
                <w:szCs w:val="18"/>
                <w:u w:val="single"/>
                <w:lang w:val="en-US"/>
              </w:rPr>
              <w:lastRenderedPageBreak/>
              <w:t>Scenario 1: ESIA prepared</w:t>
            </w:r>
          </w:p>
          <w:p w:rsidR="00012844" w:rsidRPr="00BB52F3" w:rsidRDefault="00012844"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IDB reviews ESIA</w:t>
            </w:r>
            <w:r w:rsidR="00683F8B" w:rsidRPr="00BB52F3">
              <w:rPr>
                <w:rFonts w:ascii="Arial" w:hAnsi="Arial" w:cs="Arial"/>
                <w:bCs/>
                <w:sz w:val="18"/>
                <w:szCs w:val="18"/>
                <w:lang w:val="en-US"/>
              </w:rPr>
              <w:t>, gaps identified, and</w:t>
            </w:r>
            <w:r w:rsidRPr="00BB52F3">
              <w:rPr>
                <w:rFonts w:ascii="Arial" w:hAnsi="Arial" w:cs="Arial"/>
                <w:bCs/>
                <w:sz w:val="18"/>
                <w:szCs w:val="18"/>
                <w:lang w:val="en-US"/>
              </w:rPr>
              <w:t xml:space="preserve"> TOR </w:t>
            </w:r>
            <w:r w:rsidR="00592791" w:rsidRPr="00BB52F3">
              <w:rPr>
                <w:rFonts w:ascii="Arial" w:hAnsi="Arial" w:cs="Arial"/>
                <w:bCs/>
                <w:sz w:val="18"/>
                <w:szCs w:val="18"/>
                <w:lang w:val="en-US"/>
              </w:rPr>
              <w:t>prepared</w:t>
            </w:r>
            <w:r w:rsidRPr="00BB52F3">
              <w:rPr>
                <w:rFonts w:ascii="Arial" w:hAnsi="Arial" w:cs="Arial"/>
                <w:bCs/>
                <w:sz w:val="18"/>
                <w:szCs w:val="18"/>
                <w:lang w:val="en-US"/>
              </w:rPr>
              <w:t>.</w:t>
            </w:r>
            <w:r w:rsidR="00020639" w:rsidRPr="00BB52F3">
              <w:rPr>
                <w:rFonts w:ascii="Arial" w:hAnsi="Arial" w:cs="Arial"/>
                <w:bCs/>
                <w:sz w:val="18"/>
                <w:szCs w:val="18"/>
                <w:lang w:val="en-US"/>
              </w:rPr>
              <w:t xml:space="preserve"> </w:t>
            </w:r>
            <w:r w:rsidRPr="00BB52F3">
              <w:rPr>
                <w:rFonts w:ascii="Arial" w:hAnsi="Arial" w:cs="Arial"/>
                <w:bCs/>
                <w:sz w:val="18"/>
                <w:szCs w:val="18"/>
                <w:lang w:val="en-US"/>
              </w:rPr>
              <w:t xml:space="preserve"> Coordinates comments with wider IDB preparation of TOR.</w:t>
            </w:r>
          </w:p>
          <w:p w:rsidR="00592791" w:rsidRPr="00BB52F3" w:rsidRDefault="00592791"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IDB coordinates with CDB on project due diligence.</w:t>
            </w:r>
          </w:p>
          <w:p w:rsidR="00012844" w:rsidRPr="00BB52F3" w:rsidRDefault="00012844" w:rsidP="00F26A01">
            <w:pPr>
              <w:pStyle w:val="Paragraph"/>
              <w:tabs>
                <w:tab w:val="clear" w:pos="720"/>
                <w:tab w:val="left" w:pos="270"/>
              </w:tabs>
              <w:ind w:left="270" w:hanging="270"/>
              <w:rPr>
                <w:rFonts w:ascii="Arial" w:hAnsi="Arial" w:cs="Arial"/>
                <w:bCs/>
                <w:sz w:val="18"/>
                <w:szCs w:val="18"/>
                <w:u w:val="single"/>
                <w:lang w:val="en-US"/>
              </w:rPr>
            </w:pPr>
            <w:r w:rsidRPr="00BB52F3">
              <w:rPr>
                <w:rFonts w:ascii="Arial" w:hAnsi="Arial" w:cs="Arial"/>
                <w:bCs/>
                <w:sz w:val="18"/>
                <w:szCs w:val="18"/>
                <w:u w:val="single"/>
                <w:lang w:val="en-US"/>
              </w:rPr>
              <w:t>Scenario 2: ESIA not prepared</w:t>
            </w:r>
          </w:p>
          <w:p w:rsidR="00012844" w:rsidRPr="00BB52F3" w:rsidRDefault="00012844" w:rsidP="00F26A01">
            <w:pPr>
              <w:pStyle w:val="Paragraph"/>
              <w:numPr>
                <w:ilvl w:val="0"/>
                <w:numId w:val="24"/>
              </w:numPr>
              <w:tabs>
                <w:tab w:val="left" w:pos="270"/>
              </w:tabs>
              <w:ind w:left="270" w:hanging="270"/>
              <w:rPr>
                <w:rFonts w:ascii="Arial" w:hAnsi="Arial" w:cs="Arial"/>
                <w:bCs/>
                <w:sz w:val="18"/>
                <w:szCs w:val="18"/>
                <w:u w:val="single"/>
                <w:lang w:val="en-US"/>
              </w:rPr>
            </w:pPr>
            <w:r w:rsidRPr="00BB52F3">
              <w:rPr>
                <w:rFonts w:ascii="Arial" w:hAnsi="Arial" w:cs="Arial"/>
                <w:bCs/>
                <w:sz w:val="18"/>
                <w:szCs w:val="18"/>
                <w:lang w:val="en-US"/>
              </w:rPr>
              <w:t>IDB reviews TOR prepared and provides</w:t>
            </w:r>
            <w:r w:rsidR="00592791" w:rsidRPr="00BB52F3">
              <w:rPr>
                <w:rFonts w:ascii="Arial" w:hAnsi="Arial" w:cs="Arial"/>
                <w:bCs/>
                <w:sz w:val="18"/>
                <w:szCs w:val="18"/>
                <w:lang w:val="en-US"/>
              </w:rPr>
              <w:t xml:space="preserve"> comments, coordinating with wider IDB preparation of TOR.</w:t>
            </w:r>
            <w:r w:rsidRPr="00BB52F3">
              <w:rPr>
                <w:rFonts w:ascii="Arial" w:hAnsi="Arial" w:cs="Arial"/>
                <w:bCs/>
                <w:sz w:val="18"/>
                <w:szCs w:val="18"/>
                <w:lang w:val="en-US"/>
              </w:rPr>
              <w:t xml:space="preserve"> </w:t>
            </w:r>
          </w:p>
          <w:p w:rsidR="00AC5671" w:rsidRPr="00BB52F3" w:rsidRDefault="00AC5671" w:rsidP="00F26A01">
            <w:pPr>
              <w:pStyle w:val="Paragraph"/>
              <w:tabs>
                <w:tab w:val="clear" w:pos="720"/>
                <w:tab w:val="left" w:pos="270"/>
              </w:tabs>
              <w:ind w:left="270" w:hanging="270"/>
              <w:rPr>
                <w:rFonts w:ascii="Arial" w:hAnsi="Arial" w:cs="Arial"/>
                <w:bCs/>
                <w:sz w:val="18"/>
                <w:szCs w:val="18"/>
                <w:lang w:val="en-US"/>
              </w:rPr>
            </w:pPr>
          </w:p>
        </w:tc>
      </w:tr>
      <w:tr w:rsidR="00AC5671" w:rsidRPr="00BB52F3" w:rsidTr="002F0BA3">
        <w:tc>
          <w:tcPr>
            <w:tcW w:w="2628" w:type="dxa"/>
          </w:tcPr>
          <w:p w:rsidR="00AC5671" w:rsidRPr="00BB52F3" w:rsidRDefault="00012844" w:rsidP="00F26A01">
            <w:pPr>
              <w:pStyle w:val="Paragraph"/>
              <w:tabs>
                <w:tab w:val="clear" w:pos="720"/>
                <w:tab w:val="left" w:pos="270"/>
              </w:tabs>
              <w:ind w:left="270" w:hanging="270"/>
              <w:rPr>
                <w:rFonts w:ascii="Arial" w:hAnsi="Arial" w:cs="Arial"/>
                <w:bCs/>
                <w:sz w:val="18"/>
                <w:szCs w:val="18"/>
                <w:lang w:val="en-US"/>
              </w:rPr>
            </w:pPr>
            <w:r w:rsidRPr="00BB52F3">
              <w:rPr>
                <w:rFonts w:ascii="Arial" w:hAnsi="Arial" w:cs="Arial"/>
                <w:bCs/>
                <w:sz w:val="18"/>
                <w:szCs w:val="18"/>
                <w:lang w:val="en-US"/>
              </w:rPr>
              <w:lastRenderedPageBreak/>
              <w:t>3.</w:t>
            </w:r>
            <w:r w:rsidR="00020639" w:rsidRPr="00BB52F3">
              <w:rPr>
                <w:rFonts w:ascii="Arial" w:hAnsi="Arial" w:cs="Arial"/>
                <w:bCs/>
                <w:sz w:val="18"/>
                <w:szCs w:val="18"/>
                <w:lang w:val="en-US"/>
              </w:rPr>
              <w:t xml:space="preserve"> </w:t>
            </w:r>
            <w:r w:rsidRPr="00BB52F3">
              <w:rPr>
                <w:rFonts w:ascii="Arial" w:hAnsi="Arial" w:cs="Arial"/>
                <w:bCs/>
                <w:sz w:val="18"/>
                <w:szCs w:val="18"/>
                <w:lang w:val="en-US"/>
              </w:rPr>
              <w:t>Appraisal</w:t>
            </w:r>
          </w:p>
        </w:tc>
        <w:tc>
          <w:tcPr>
            <w:tcW w:w="3156" w:type="dxa"/>
          </w:tcPr>
          <w:p w:rsidR="00592791" w:rsidRPr="005C32CA" w:rsidRDefault="008A01D8" w:rsidP="00F26A01">
            <w:pPr>
              <w:pStyle w:val="Paragraph"/>
              <w:numPr>
                <w:ilvl w:val="0"/>
                <w:numId w:val="24"/>
              </w:numPr>
              <w:tabs>
                <w:tab w:val="left" w:pos="270"/>
              </w:tabs>
              <w:ind w:left="270" w:hanging="270"/>
              <w:rPr>
                <w:rFonts w:ascii="Arial" w:hAnsi="Arial" w:cs="Arial"/>
                <w:bCs/>
                <w:sz w:val="18"/>
                <w:szCs w:val="18"/>
                <w:lang w:val="en-US"/>
              </w:rPr>
            </w:pPr>
            <w:r w:rsidRPr="005C32CA">
              <w:rPr>
                <w:rFonts w:ascii="Arial" w:hAnsi="Arial" w:cs="Arial"/>
                <w:bCs/>
                <w:sz w:val="18"/>
                <w:szCs w:val="18"/>
                <w:lang w:val="en-US"/>
              </w:rPr>
              <w:t xml:space="preserve">CDB and </w:t>
            </w:r>
            <w:r w:rsidR="00F870A9" w:rsidRPr="005C32CA">
              <w:rPr>
                <w:rFonts w:ascii="Arial" w:hAnsi="Arial" w:cs="Arial"/>
                <w:bCs/>
                <w:sz w:val="18"/>
                <w:szCs w:val="18"/>
                <w:lang w:val="en-US"/>
              </w:rPr>
              <w:t>IDB conduct formal due diligence of risks, impacts, and mitigation measures.</w:t>
            </w:r>
          </w:p>
          <w:p w:rsidR="00F870A9" w:rsidRPr="005C32CA" w:rsidRDefault="00F870A9" w:rsidP="00F26A01">
            <w:pPr>
              <w:pStyle w:val="Paragraph"/>
              <w:numPr>
                <w:ilvl w:val="0"/>
                <w:numId w:val="24"/>
              </w:numPr>
              <w:tabs>
                <w:tab w:val="left" w:pos="270"/>
              </w:tabs>
              <w:ind w:left="270" w:hanging="270"/>
              <w:rPr>
                <w:rFonts w:ascii="Arial" w:hAnsi="Arial" w:cs="Arial"/>
                <w:bCs/>
                <w:sz w:val="18"/>
                <w:szCs w:val="18"/>
                <w:lang w:val="en-US"/>
              </w:rPr>
            </w:pPr>
            <w:r w:rsidRPr="005C32CA">
              <w:rPr>
                <w:rFonts w:ascii="Arial" w:hAnsi="Arial" w:cs="Arial"/>
                <w:bCs/>
                <w:sz w:val="18"/>
                <w:szCs w:val="18"/>
                <w:lang w:val="en-US"/>
              </w:rPr>
              <w:t xml:space="preserve">CDB liaises with consultants in finalizing </w:t>
            </w:r>
            <w:r w:rsidR="009A2482" w:rsidRPr="005C32CA">
              <w:rPr>
                <w:rFonts w:ascii="Arial" w:hAnsi="Arial" w:cs="Arial"/>
                <w:bCs/>
                <w:sz w:val="18"/>
                <w:szCs w:val="18"/>
                <w:lang w:val="en-US"/>
              </w:rPr>
              <w:t>the Environmental and Social Appraisal document</w:t>
            </w:r>
            <w:r w:rsidRPr="005C32CA">
              <w:rPr>
                <w:rFonts w:ascii="Arial" w:hAnsi="Arial" w:cs="Arial"/>
                <w:bCs/>
                <w:sz w:val="18"/>
                <w:szCs w:val="18"/>
                <w:lang w:val="en-US"/>
              </w:rPr>
              <w:t>, Environmental and Social Management Plans, and any necessary Action Plans.</w:t>
            </w:r>
            <w:r w:rsidR="00020639" w:rsidRPr="005C32CA">
              <w:rPr>
                <w:rFonts w:ascii="Arial" w:hAnsi="Arial" w:cs="Arial"/>
                <w:bCs/>
                <w:sz w:val="18"/>
                <w:szCs w:val="18"/>
                <w:lang w:val="en-US"/>
              </w:rPr>
              <w:t xml:space="preserve"> </w:t>
            </w:r>
            <w:r w:rsidRPr="005C32CA">
              <w:rPr>
                <w:rFonts w:ascii="Arial" w:hAnsi="Arial" w:cs="Arial"/>
                <w:bCs/>
                <w:sz w:val="18"/>
                <w:szCs w:val="18"/>
                <w:lang w:val="en-US"/>
              </w:rPr>
              <w:t>CDB sends final documentation</w:t>
            </w:r>
            <w:r w:rsidR="00BF7493" w:rsidRPr="005C32CA">
              <w:rPr>
                <w:rFonts w:ascii="Arial" w:hAnsi="Arial" w:cs="Arial"/>
                <w:bCs/>
                <w:sz w:val="18"/>
                <w:szCs w:val="18"/>
                <w:lang w:val="en-US"/>
              </w:rPr>
              <w:t>, including final environmental categorization</w:t>
            </w:r>
            <w:r w:rsidRPr="005C32CA">
              <w:rPr>
                <w:rFonts w:ascii="Arial" w:hAnsi="Arial" w:cs="Arial"/>
                <w:bCs/>
                <w:sz w:val="18"/>
                <w:szCs w:val="18"/>
                <w:lang w:val="en-US"/>
              </w:rPr>
              <w:t xml:space="preserve"> to IDB for review and approval.</w:t>
            </w:r>
          </w:p>
          <w:p w:rsidR="00F870A9" w:rsidRPr="005C32CA" w:rsidRDefault="00F870A9" w:rsidP="00F26A01">
            <w:pPr>
              <w:pStyle w:val="Paragraph"/>
              <w:numPr>
                <w:ilvl w:val="0"/>
                <w:numId w:val="24"/>
              </w:numPr>
              <w:tabs>
                <w:tab w:val="left" w:pos="270"/>
              </w:tabs>
              <w:ind w:left="270" w:hanging="270"/>
              <w:rPr>
                <w:rFonts w:ascii="Arial" w:hAnsi="Arial" w:cs="Arial"/>
                <w:bCs/>
                <w:sz w:val="18"/>
                <w:szCs w:val="18"/>
                <w:lang w:val="en-US"/>
              </w:rPr>
            </w:pPr>
            <w:r w:rsidRPr="005C32CA">
              <w:rPr>
                <w:rFonts w:ascii="Arial" w:hAnsi="Arial" w:cs="Arial"/>
                <w:bCs/>
                <w:sz w:val="18"/>
                <w:szCs w:val="18"/>
                <w:lang w:val="en-US"/>
              </w:rPr>
              <w:t xml:space="preserve">On IDB’s review and reply of documentation, CDB </w:t>
            </w:r>
            <w:r w:rsidR="00BF7493" w:rsidRPr="005C32CA">
              <w:rPr>
                <w:rFonts w:ascii="Arial" w:hAnsi="Arial" w:cs="Arial"/>
                <w:bCs/>
                <w:sz w:val="18"/>
                <w:szCs w:val="18"/>
                <w:lang w:val="en-US"/>
              </w:rPr>
              <w:t>initiates negotiations</w:t>
            </w:r>
            <w:r w:rsidRPr="005C32CA">
              <w:rPr>
                <w:rFonts w:ascii="Arial" w:hAnsi="Arial" w:cs="Arial"/>
                <w:bCs/>
                <w:sz w:val="18"/>
                <w:szCs w:val="18"/>
                <w:lang w:val="en-US"/>
              </w:rPr>
              <w:t xml:space="preserve"> with proponent for inclusion in Loan Documentation.</w:t>
            </w:r>
          </w:p>
          <w:p w:rsidR="00AC5671" w:rsidRPr="005C32CA" w:rsidRDefault="00592791" w:rsidP="00F26A01">
            <w:pPr>
              <w:pStyle w:val="Paragraph"/>
              <w:numPr>
                <w:ilvl w:val="0"/>
                <w:numId w:val="24"/>
              </w:numPr>
              <w:tabs>
                <w:tab w:val="left" w:pos="270"/>
              </w:tabs>
              <w:ind w:left="270" w:hanging="270"/>
              <w:rPr>
                <w:rFonts w:ascii="Arial" w:hAnsi="Arial" w:cs="Arial"/>
                <w:bCs/>
                <w:sz w:val="18"/>
                <w:szCs w:val="18"/>
                <w:lang w:val="en-US"/>
              </w:rPr>
            </w:pPr>
            <w:r w:rsidRPr="005C32CA">
              <w:rPr>
                <w:rFonts w:ascii="Arial" w:hAnsi="Arial" w:cs="Arial"/>
                <w:bCs/>
                <w:sz w:val="18"/>
                <w:szCs w:val="18"/>
                <w:lang w:val="en-US"/>
              </w:rPr>
              <w:t xml:space="preserve">CDB ensures ESIA is publicly disclosed and </w:t>
            </w:r>
            <w:r w:rsidR="00F870A9" w:rsidRPr="005C32CA">
              <w:rPr>
                <w:rFonts w:ascii="Arial" w:hAnsi="Arial" w:cs="Arial"/>
                <w:bCs/>
                <w:sz w:val="18"/>
                <w:szCs w:val="18"/>
                <w:lang w:val="en-US"/>
              </w:rPr>
              <w:t>available</w:t>
            </w:r>
            <w:r w:rsidR="009A2482" w:rsidRPr="005C32CA">
              <w:rPr>
                <w:rFonts w:ascii="Arial" w:hAnsi="Arial" w:cs="Arial"/>
                <w:bCs/>
                <w:sz w:val="18"/>
                <w:szCs w:val="18"/>
                <w:lang w:val="en-US"/>
              </w:rPr>
              <w:t xml:space="preserve"> in the respective Country and at a minimum 30 days before the Project is considered for approval by CDB’s Board</w:t>
            </w:r>
            <w:r w:rsidRPr="005C32CA">
              <w:rPr>
                <w:rFonts w:ascii="Arial" w:hAnsi="Arial" w:cs="Arial"/>
                <w:bCs/>
                <w:sz w:val="18"/>
                <w:szCs w:val="18"/>
                <w:lang w:val="en-US"/>
              </w:rPr>
              <w:t>.</w:t>
            </w:r>
          </w:p>
        </w:tc>
        <w:tc>
          <w:tcPr>
            <w:tcW w:w="2892" w:type="dxa"/>
          </w:tcPr>
          <w:p w:rsidR="008A01D8" w:rsidRPr="00BB52F3" w:rsidRDefault="008A01D8"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IDB participates in formal due diligence on E&amp;S issues.</w:t>
            </w:r>
          </w:p>
          <w:p w:rsidR="009A2482" w:rsidRDefault="00F870A9" w:rsidP="009A2482">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 xml:space="preserve">IDB </w:t>
            </w:r>
            <w:r w:rsidR="00BF7493" w:rsidRPr="00BB52F3">
              <w:rPr>
                <w:rFonts w:ascii="Arial" w:hAnsi="Arial" w:cs="Arial"/>
                <w:bCs/>
                <w:sz w:val="18"/>
                <w:szCs w:val="18"/>
                <w:lang w:val="en-US"/>
              </w:rPr>
              <w:t xml:space="preserve">confirms categorization, </w:t>
            </w:r>
            <w:r w:rsidRPr="00BB52F3">
              <w:rPr>
                <w:rFonts w:ascii="Arial" w:hAnsi="Arial" w:cs="Arial"/>
                <w:bCs/>
                <w:sz w:val="18"/>
                <w:szCs w:val="18"/>
                <w:lang w:val="en-US"/>
              </w:rPr>
              <w:t xml:space="preserve">reviews </w:t>
            </w:r>
            <w:r w:rsidR="009A2482">
              <w:rPr>
                <w:rFonts w:ascii="Arial" w:hAnsi="Arial" w:cs="Arial"/>
                <w:bCs/>
                <w:sz w:val="18"/>
                <w:szCs w:val="18"/>
                <w:lang w:val="en-US"/>
              </w:rPr>
              <w:t xml:space="preserve">Environmental and Social Appraisal </w:t>
            </w:r>
            <w:r w:rsidRPr="00BB52F3">
              <w:rPr>
                <w:rFonts w:ascii="Arial" w:hAnsi="Arial" w:cs="Arial"/>
                <w:bCs/>
                <w:sz w:val="18"/>
                <w:szCs w:val="18"/>
                <w:lang w:val="en-US"/>
              </w:rPr>
              <w:t xml:space="preserve">and approves management </w:t>
            </w:r>
            <w:r w:rsidR="009A2482">
              <w:rPr>
                <w:rFonts w:ascii="Arial" w:hAnsi="Arial" w:cs="Arial"/>
                <w:bCs/>
                <w:sz w:val="18"/>
                <w:szCs w:val="18"/>
                <w:lang w:val="en-US"/>
              </w:rPr>
              <w:t xml:space="preserve">and action </w:t>
            </w:r>
            <w:r w:rsidRPr="00BB52F3">
              <w:rPr>
                <w:rFonts w:ascii="Arial" w:hAnsi="Arial" w:cs="Arial"/>
                <w:bCs/>
                <w:sz w:val="18"/>
                <w:szCs w:val="18"/>
                <w:lang w:val="en-US"/>
              </w:rPr>
              <w:t>plans</w:t>
            </w:r>
          </w:p>
          <w:p w:rsidR="00AC5671" w:rsidRPr="00BB52F3" w:rsidRDefault="009A2482" w:rsidP="009A2482">
            <w:pPr>
              <w:pStyle w:val="Paragraph"/>
              <w:numPr>
                <w:ilvl w:val="0"/>
                <w:numId w:val="24"/>
              </w:numPr>
              <w:tabs>
                <w:tab w:val="left" w:pos="270"/>
              </w:tabs>
              <w:ind w:left="270" w:hanging="270"/>
              <w:rPr>
                <w:rFonts w:ascii="Arial" w:hAnsi="Arial" w:cs="Arial"/>
                <w:bCs/>
                <w:sz w:val="18"/>
                <w:szCs w:val="18"/>
                <w:lang w:val="en-US"/>
              </w:rPr>
            </w:pPr>
            <w:r>
              <w:rPr>
                <w:rFonts w:ascii="Arial" w:hAnsi="Arial" w:cs="Arial"/>
                <w:bCs/>
                <w:sz w:val="18"/>
                <w:szCs w:val="18"/>
                <w:lang w:val="en-US"/>
              </w:rPr>
              <w:t xml:space="preserve"> IDB</w:t>
            </w:r>
            <w:r w:rsidR="00F870A9" w:rsidRPr="00BB52F3">
              <w:rPr>
                <w:rFonts w:ascii="Arial" w:hAnsi="Arial" w:cs="Arial"/>
                <w:bCs/>
                <w:sz w:val="18"/>
                <w:szCs w:val="18"/>
                <w:lang w:val="en-US"/>
              </w:rPr>
              <w:t xml:space="preserve"> is kept abreast of negotiations.</w:t>
            </w:r>
          </w:p>
        </w:tc>
      </w:tr>
      <w:tr w:rsidR="00AC5671" w:rsidRPr="00BB52F3" w:rsidTr="002F0BA3">
        <w:tc>
          <w:tcPr>
            <w:tcW w:w="2628" w:type="dxa"/>
          </w:tcPr>
          <w:p w:rsidR="00AC5671" w:rsidRPr="00BB52F3" w:rsidRDefault="00BF7493" w:rsidP="00F26A01">
            <w:pPr>
              <w:pStyle w:val="Paragraph"/>
              <w:tabs>
                <w:tab w:val="clear" w:pos="720"/>
                <w:tab w:val="left" w:pos="270"/>
              </w:tabs>
              <w:ind w:left="270" w:hanging="270"/>
              <w:rPr>
                <w:rFonts w:ascii="Arial" w:hAnsi="Arial" w:cs="Arial"/>
                <w:bCs/>
                <w:sz w:val="18"/>
                <w:szCs w:val="18"/>
                <w:lang w:val="en-US"/>
              </w:rPr>
            </w:pPr>
            <w:r w:rsidRPr="00BB52F3">
              <w:rPr>
                <w:rFonts w:ascii="Arial" w:hAnsi="Arial" w:cs="Arial"/>
                <w:bCs/>
                <w:sz w:val="18"/>
                <w:szCs w:val="18"/>
                <w:lang w:val="en-US"/>
              </w:rPr>
              <w:t>4. Approval</w:t>
            </w:r>
          </w:p>
        </w:tc>
        <w:tc>
          <w:tcPr>
            <w:tcW w:w="3156" w:type="dxa"/>
          </w:tcPr>
          <w:p w:rsidR="00AC5671" w:rsidRPr="005C32CA" w:rsidRDefault="00BF7493" w:rsidP="00F26A01">
            <w:pPr>
              <w:pStyle w:val="Paragraph"/>
              <w:numPr>
                <w:ilvl w:val="0"/>
                <w:numId w:val="24"/>
              </w:numPr>
              <w:tabs>
                <w:tab w:val="left" w:pos="270"/>
              </w:tabs>
              <w:ind w:left="270" w:hanging="270"/>
              <w:rPr>
                <w:rFonts w:ascii="Arial" w:hAnsi="Arial" w:cs="Arial"/>
                <w:bCs/>
                <w:sz w:val="18"/>
                <w:szCs w:val="18"/>
                <w:lang w:val="en-US"/>
              </w:rPr>
            </w:pPr>
            <w:r w:rsidRPr="005C32CA">
              <w:rPr>
                <w:rFonts w:ascii="Arial" w:hAnsi="Arial" w:cs="Arial"/>
                <w:bCs/>
                <w:sz w:val="18"/>
                <w:szCs w:val="18"/>
                <w:lang w:val="en-US"/>
              </w:rPr>
              <w:t>CDB prepares Loan Documentation with inclusion of all agreed E&amp;S requirements</w:t>
            </w:r>
            <w:r w:rsidR="00DC69CC" w:rsidRPr="005C32CA">
              <w:rPr>
                <w:rFonts w:ascii="Arial" w:hAnsi="Arial" w:cs="Arial"/>
                <w:bCs/>
                <w:sz w:val="18"/>
                <w:szCs w:val="18"/>
                <w:lang w:val="en-US"/>
              </w:rPr>
              <w:t xml:space="preserve">. </w:t>
            </w:r>
          </w:p>
          <w:p w:rsidR="009A2482" w:rsidRPr="005C32CA" w:rsidRDefault="009A2482" w:rsidP="00F26A01">
            <w:pPr>
              <w:pStyle w:val="Paragraph"/>
              <w:numPr>
                <w:ilvl w:val="0"/>
                <w:numId w:val="24"/>
              </w:numPr>
              <w:tabs>
                <w:tab w:val="left" w:pos="270"/>
              </w:tabs>
              <w:ind w:left="270" w:hanging="270"/>
              <w:rPr>
                <w:rFonts w:ascii="Arial" w:hAnsi="Arial" w:cs="Arial"/>
                <w:bCs/>
                <w:sz w:val="18"/>
                <w:szCs w:val="18"/>
                <w:lang w:val="en-US"/>
              </w:rPr>
            </w:pPr>
            <w:r w:rsidRPr="005C32CA">
              <w:rPr>
                <w:rFonts w:ascii="Arial" w:hAnsi="Arial" w:cs="Arial"/>
                <w:bCs/>
                <w:sz w:val="18"/>
                <w:szCs w:val="18"/>
                <w:lang w:val="en-US"/>
              </w:rPr>
              <w:t>A summary of the Environmental and Social Appraisal is simultaneously disclosed on CDB’s project webpage and to CDB’s Board at a minimum 10 days prior to Board’s meeting.</w:t>
            </w:r>
          </w:p>
        </w:tc>
        <w:tc>
          <w:tcPr>
            <w:tcW w:w="2892" w:type="dxa"/>
          </w:tcPr>
          <w:p w:rsidR="00F52247" w:rsidRPr="00BB52F3" w:rsidRDefault="00F52247" w:rsidP="00F52247">
            <w:pPr>
              <w:pStyle w:val="Paragraph"/>
              <w:tabs>
                <w:tab w:val="clear" w:pos="720"/>
                <w:tab w:val="left" w:pos="270"/>
              </w:tabs>
              <w:ind w:left="0" w:firstLine="0"/>
              <w:rPr>
                <w:rFonts w:ascii="Arial" w:hAnsi="Arial" w:cs="Arial"/>
                <w:bCs/>
                <w:i/>
                <w:sz w:val="18"/>
                <w:szCs w:val="18"/>
                <w:u w:val="single"/>
                <w:lang w:val="en-US"/>
              </w:rPr>
            </w:pPr>
            <w:r w:rsidRPr="00BB52F3">
              <w:rPr>
                <w:rFonts w:ascii="Arial" w:hAnsi="Arial" w:cs="Arial"/>
                <w:bCs/>
                <w:i/>
                <w:sz w:val="18"/>
                <w:szCs w:val="18"/>
                <w:u w:val="single"/>
                <w:lang w:val="en-US"/>
              </w:rPr>
              <w:t>Formal Sign-off</w:t>
            </w:r>
          </w:p>
          <w:p w:rsidR="00AC5671" w:rsidRPr="00BB52F3" w:rsidRDefault="00DC4734"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IDB provides non-objection on E&amp;S requirements</w:t>
            </w:r>
            <w:r>
              <w:rPr>
                <w:rFonts w:ascii="Arial" w:hAnsi="Arial" w:cs="Arial"/>
                <w:bCs/>
                <w:sz w:val="18"/>
                <w:szCs w:val="18"/>
                <w:lang w:val="en-US"/>
              </w:rPr>
              <w:t>, E&amp;S legal covenants, and related material as necessary</w:t>
            </w:r>
            <w:r w:rsidRPr="00BB52F3">
              <w:rPr>
                <w:rFonts w:ascii="Arial" w:hAnsi="Arial" w:cs="Arial"/>
                <w:bCs/>
                <w:sz w:val="18"/>
                <w:szCs w:val="18"/>
                <w:lang w:val="en-US"/>
              </w:rPr>
              <w:t xml:space="preserve">.  </w:t>
            </w:r>
            <w:r>
              <w:rPr>
                <w:rFonts w:ascii="Arial" w:hAnsi="Arial" w:cs="Arial"/>
                <w:bCs/>
                <w:sz w:val="18"/>
                <w:szCs w:val="18"/>
                <w:lang w:val="en-US"/>
              </w:rPr>
              <w:t xml:space="preserve">IDB </w:t>
            </w:r>
            <w:r w:rsidRPr="00BB52F3">
              <w:rPr>
                <w:rFonts w:ascii="Arial" w:hAnsi="Arial" w:cs="Arial"/>
                <w:bCs/>
                <w:sz w:val="18"/>
                <w:szCs w:val="18"/>
                <w:lang w:val="en-US"/>
              </w:rPr>
              <w:t>coordinates</w:t>
            </w:r>
            <w:r>
              <w:rPr>
                <w:rFonts w:ascii="Arial" w:hAnsi="Arial" w:cs="Arial"/>
                <w:bCs/>
                <w:sz w:val="18"/>
                <w:szCs w:val="18"/>
                <w:lang w:val="en-US"/>
              </w:rPr>
              <w:t xml:space="preserve"> E&amp;S sign-off</w:t>
            </w:r>
            <w:r w:rsidRPr="00BB52F3">
              <w:rPr>
                <w:rFonts w:ascii="Arial" w:hAnsi="Arial" w:cs="Arial"/>
                <w:bCs/>
                <w:sz w:val="18"/>
                <w:szCs w:val="18"/>
                <w:lang w:val="en-US"/>
              </w:rPr>
              <w:t xml:space="preserve"> with wider IDB non-objection.</w:t>
            </w:r>
          </w:p>
        </w:tc>
      </w:tr>
      <w:tr w:rsidR="00AC5671" w:rsidRPr="00BB52F3" w:rsidTr="002F0BA3">
        <w:tc>
          <w:tcPr>
            <w:tcW w:w="2628" w:type="dxa"/>
          </w:tcPr>
          <w:p w:rsidR="00AC5671" w:rsidRPr="00BB52F3" w:rsidRDefault="00BF7493" w:rsidP="00F26A01">
            <w:pPr>
              <w:pStyle w:val="Paragraph"/>
              <w:tabs>
                <w:tab w:val="clear" w:pos="720"/>
                <w:tab w:val="left" w:pos="270"/>
              </w:tabs>
              <w:ind w:left="270" w:hanging="270"/>
              <w:rPr>
                <w:rFonts w:ascii="Arial" w:hAnsi="Arial" w:cs="Arial"/>
                <w:bCs/>
                <w:sz w:val="18"/>
                <w:szCs w:val="18"/>
                <w:lang w:val="en-US"/>
              </w:rPr>
            </w:pPr>
            <w:r w:rsidRPr="00BB52F3">
              <w:rPr>
                <w:rFonts w:ascii="Arial" w:hAnsi="Arial" w:cs="Arial"/>
                <w:bCs/>
                <w:sz w:val="18"/>
                <w:szCs w:val="18"/>
                <w:lang w:val="en-US"/>
              </w:rPr>
              <w:t>5. Funding</w:t>
            </w:r>
            <w:r w:rsidR="002F0BA3" w:rsidRPr="00BB52F3">
              <w:rPr>
                <w:rFonts w:ascii="Arial" w:hAnsi="Arial" w:cs="Arial"/>
                <w:bCs/>
                <w:sz w:val="18"/>
                <w:szCs w:val="18"/>
                <w:lang w:val="en-US"/>
              </w:rPr>
              <w:t xml:space="preserve"> a</w:t>
            </w:r>
            <w:r w:rsidRPr="00BB52F3">
              <w:rPr>
                <w:rFonts w:ascii="Arial" w:hAnsi="Arial" w:cs="Arial"/>
                <w:bCs/>
                <w:sz w:val="18"/>
                <w:szCs w:val="18"/>
                <w:lang w:val="en-US"/>
              </w:rPr>
              <w:t>greements, and legal E&amp;S covenants</w:t>
            </w:r>
          </w:p>
        </w:tc>
        <w:tc>
          <w:tcPr>
            <w:tcW w:w="3156" w:type="dxa"/>
          </w:tcPr>
          <w:p w:rsidR="00BF7493" w:rsidRPr="00BB52F3" w:rsidRDefault="00BF7493"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CDB incorporates necessary E&amp;S covenants per agreed management plans/action plans into loan agreement.</w:t>
            </w:r>
          </w:p>
        </w:tc>
        <w:tc>
          <w:tcPr>
            <w:tcW w:w="2892" w:type="dxa"/>
          </w:tcPr>
          <w:p w:rsidR="00AC5671" w:rsidRPr="00BB52F3" w:rsidRDefault="00AC5671" w:rsidP="00DC4734">
            <w:pPr>
              <w:pStyle w:val="Paragraph"/>
              <w:tabs>
                <w:tab w:val="clear" w:pos="720"/>
                <w:tab w:val="left" w:pos="270"/>
              </w:tabs>
              <w:ind w:left="270" w:firstLine="0"/>
              <w:rPr>
                <w:rFonts w:ascii="Arial" w:hAnsi="Arial" w:cs="Arial"/>
                <w:bCs/>
                <w:sz w:val="18"/>
                <w:szCs w:val="18"/>
                <w:lang w:val="en-US"/>
              </w:rPr>
            </w:pPr>
          </w:p>
        </w:tc>
      </w:tr>
      <w:tr w:rsidR="00AC5671" w:rsidRPr="00BB52F3" w:rsidTr="002F0BA3">
        <w:tc>
          <w:tcPr>
            <w:tcW w:w="2628" w:type="dxa"/>
          </w:tcPr>
          <w:p w:rsidR="00AC5671" w:rsidRPr="00BB52F3" w:rsidRDefault="00BF7493" w:rsidP="00F26A01">
            <w:pPr>
              <w:pStyle w:val="Paragraph"/>
              <w:tabs>
                <w:tab w:val="clear" w:pos="720"/>
                <w:tab w:val="left" w:pos="270"/>
              </w:tabs>
              <w:ind w:left="270" w:hanging="270"/>
              <w:rPr>
                <w:rFonts w:ascii="Arial" w:hAnsi="Arial" w:cs="Arial"/>
                <w:bCs/>
                <w:sz w:val="18"/>
                <w:szCs w:val="18"/>
                <w:lang w:val="en-US"/>
              </w:rPr>
            </w:pPr>
            <w:r w:rsidRPr="00BB52F3">
              <w:rPr>
                <w:rFonts w:ascii="Arial" w:hAnsi="Arial" w:cs="Arial"/>
                <w:bCs/>
                <w:sz w:val="18"/>
                <w:szCs w:val="18"/>
                <w:lang w:val="en-US"/>
              </w:rPr>
              <w:t>6.</w:t>
            </w:r>
            <w:r w:rsidR="00020639" w:rsidRPr="00BB52F3">
              <w:rPr>
                <w:rFonts w:ascii="Arial" w:hAnsi="Arial" w:cs="Arial"/>
                <w:bCs/>
                <w:sz w:val="18"/>
                <w:szCs w:val="18"/>
                <w:lang w:val="en-US"/>
              </w:rPr>
              <w:t xml:space="preserve"> </w:t>
            </w:r>
            <w:r w:rsidRPr="00BB52F3">
              <w:rPr>
                <w:rFonts w:ascii="Arial" w:hAnsi="Arial" w:cs="Arial"/>
                <w:bCs/>
                <w:sz w:val="18"/>
                <w:szCs w:val="18"/>
                <w:lang w:val="en-US"/>
              </w:rPr>
              <w:t>Supervision</w:t>
            </w:r>
          </w:p>
        </w:tc>
        <w:tc>
          <w:tcPr>
            <w:tcW w:w="3156" w:type="dxa"/>
          </w:tcPr>
          <w:p w:rsidR="002F0BA3" w:rsidRPr="00BB52F3" w:rsidRDefault="00BF7493"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CDB prepares TOR for supervision and E&amp;S audit of sponsor’s management of E&amp;S issues.</w:t>
            </w:r>
            <w:r w:rsidR="00020639" w:rsidRPr="00BB52F3">
              <w:rPr>
                <w:rFonts w:ascii="Arial" w:hAnsi="Arial" w:cs="Arial"/>
                <w:bCs/>
                <w:sz w:val="18"/>
                <w:szCs w:val="18"/>
                <w:lang w:val="en-US"/>
              </w:rPr>
              <w:t xml:space="preserve"> </w:t>
            </w:r>
            <w:r w:rsidRPr="00BB52F3">
              <w:rPr>
                <w:rFonts w:ascii="Arial" w:hAnsi="Arial" w:cs="Arial"/>
                <w:bCs/>
                <w:sz w:val="18"/>
                <w:szCs w:val="18"/>
                <w:lang w:val="en-US"/>
              </w:rPr>
              <w:t xml:space="preserve">CDB conducts supervision of E&amp;S management on an annual or bi-annual basis depending on severity </w:t>
            </w:r>
            <w:r w:rsidR="002F0BA3" w:rsidRPr="00BB52F3">
              <w:rPr>
                <w:rFonts w:ascii="Arial" w:hAnsi="Arial" w:cs="Arial"/>
                <w:bCs/>
                <w:sz w:val="18"/>
                <w:szCs w:val="18"/>
                <w:lang w:val="en-US"/>
              </w:rPr>
              <w:t>of risk and impacts.</w:t>
            </w:r>
            <w:r w:rsidR="00020639" w:rsidRPr="00BB52F3">
              <w:rPr>
                <w:rFonts w:ascii="Arial" w:hAnsi="Arial" w:cs="Arial"/>
                <w:bCs/>
                <w:sz w:val="18"/>
                <w:szCs w:val="18"/>
                <w:lang w:val="en-US"/>
              </w:rPr>
              <w:t xml:space="preserve"> </w:t>
            </w:r>
            <w:r w:rsidR="002F0BA3" w:rsidRPr="00BB52F3">
              <w:rPr>
                <w:rFonts w:ascii="Arial" w:hAnsi="Arial" w:cs="Arial"/>
                <w:bCs/>
                <w:sz w:val="18"/>
                <w:szCs w:val="18"/>
                <w:lang w:val="en-US"/>
              </w:rPr>
              <w:t>Supervision costs for consultant are pa</w:t>
            </w:r>
            <w:r w:rsidR="00DC4734">
              <w:rPr>
                <w:rFonts w:ascii="Arial" w:hAnsi="Arial" w:cs="Arial"/>
                <w:bCs/>
                <w:sz w:val="18"/>
                <w:szCs w:val="18"/>
                <w:lang w:val="en-US"/>
              </w:rPr>
              <w:t>id for by CDB’s project budget.</w:t>
            </w:r>
          </w:p>
          <w:p w:rsidR="00AC5671" w:rsidRPr="00BB52F3" w:rsidRDefault="002F0BA3"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 xml:space="preserve">When necessary, and on the </w:t>
            </w:r>
            <w:r w:rsidRPr="00BB52F3">
              <w:rPr>
                <w:rFonts w:ascii="Arial" w:hAnsi="Arial" w:cs="Arial"/>
                <w:bCs/>
                <w:sz w:val="18"/>
                <w:szCs w:val="18"/>
                <w:lang w:val="en-US"/>
              </w:rPr>
              <w:lastRenderedPageBreak/>
              <w:t>recommendation of external consultant, CDB may require the sponsor to adopt a Corrective Action Plan (CAP) where particular risks become present.</w:t>
            </w:r>
          </w:p>
        </w:tc>
        <w:tc>
          <w:tcPr>
            <w:tcW w:w="2892" w:type="dxa"/>
          </w:tcPr>
          <w:p w:rsidR="00DC4734" w:rsidRDefault="00DC4734" w:rsidP="00DC4734">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lastRenderedPageBreak/>
              <w:t>IDB reviews TOR for supervision,</w:t>
            </w:r>
            <w:r>
              <w:rPr>
                <w:rFonts w:ascii="Arial" w:hAnsi="Arial" w:cs="Arial"/>
                <w:bCs/>
                <w:sz w:val="18"/>
                <w:szCs w:val="18"/>
                <w:lang w:val="en-US"/>
              </w:rPr>
              <w:t xml:space="preserve"> and E&amp;S audit, and provides comments if required. IDB </w:t>
            </w:r>
            <w:r w:rsidRPr="00BB52F3">
              <w:rPr>
                <w:rFonts w:ascii="Arial" w:hAnsi="Arial" w:cs="Arial"/>
                <w:bCs/>
                <w:sz w:val="18"/>
                <w:szCs w:val="18"/>
                <w:lang w:val="en-US"/>
              </w:rPr>
              <w:t>participates as necessary in subsequent supervision missions.</w:t>
            </w:r>
          </w:p>
          <w:p w:rsidR="009A2482" w:rsidRPr="00BB52F3" w:rsidRDefault="009A2482" w:rsidP="00F26A01">
            <w:pPr>
              <w:pStyle w:val="Paragraph"/>
              <w:numPr>
                <w:ilvl w:val="0"/>
                <w:numId w:val="24"/>
              </w:numPr>
              <w:tabs>
                <w:tab w:val="left" w:pos="270"/>
              </w:tabs>
              <w:ind w:left="270" w:hanging="270"/>
              <w:rPr>
                <w:rFonts w:ascii="Arial" w:hAnsi="Arial" w:cs="Arial"/>
                <w:bCs/>
                <w:sz w:val="18"/>
                <w:szCs w:val="18"/>
                <w:lang w:val="en-US"/>
              </w:rPr>
            </w:pPr>
            <w:r>
              <w:rPr>
                <w:rFonts w:ascii="Arial" w:hAnsi="Arial" w:cs="Arial"/>
                <w:bCs/>
                <w:sz w:val="18"/>
                <w:szCs w:val="18"/>
                <w:lang w:val="en-US"/>
              </w:rPr>
              <w:t>Copies of Supervision reports provided to IDB.</w:t>
            </w:r>
          </w:p>
          <w:p w:rsidR="002F0BA3" w:rsidRPr="00BB52F3" w:rsidRDefault="002F0BA3" w:rsidP="00F26A01">
            <w:pPr>
              <w:pStyle w:val="Paragraph"/>
              <w:numPr>
                <w:ilvl w:val="0"/>
                <w:numId w:val="24"/>
              </w:numPr>
              <w:tabs>
                <w:tab w:val="left" w:pos="270"/>
              </w:tabs>
              <w:ind w:left="270" w:hanging="270"/>
              <w:rPr>
                <w:rFonts w:ascii="Arial" w:hAnsi="Arial" w:cs="Arial"/>
                <w:bCs/>
                <w:sz w:val="18"/>
                <w:szCs w:val="18"/>
                <w:lang w:val="en-US"/>
              </w:rPr>
            </w:pPr>
            <w:r w:rsidRPr="00BB52F3">
              <w:rPr>
                <w:rFonts w:ascii="Arial" w:hAnsi="Arial" w:cs="Arial"/>
                <w:bCs/>
                <w:sz w:val="18"/>
                <w:szCs w:val="18"/>
                <w:lang w:val="en-US"/>
              </w:rPr>
              <w:t xml:space="preserve">In case of a CAP, IDB will review and approve the </w:t>
            </w:r>
            <w:r w:rsidRPr="00BB52F3">
              <w:rPr>
                <w:rFonts w:ascii="Arial" w:hAnsi="Arial" w:cs="Arial"/>
                <w:bCs/>
                <w:sz w:val="18"/>
                <w:szCs w:val="18"/>
                <w:lang w:val="en-US"/>
              </w:rPr>
              <w:lastRenderedPageBreak/>
              <w:t>defined CAP.</w:t>
            </w:r>
          </w:p>
        </w:tc>
      </w:tr>
    </w:tbl>
    <w:p w:rsidR="00422AAB" w:rsidRPr="00BB52F3" w:rsidRDefault="00422AAB" w:rsidP="00F26A01">
      <w:pPr>
        <w:pStyle w:val="Paragraph"/>
        <w:tabs>
          <w:tab w:val="left" w:pos="720"/>
        </w:tabs>
        <w:rPr>
          <w:rFonts w:ascii="Arial" w:hAnsi="Arial" w:cs="Arial"/>
          <w:bCs/>
          <w:sz w:val="22"/>
          <w:szCs w:val="22"/>
          <w:lang w:val="en-US"/>
        </w:rPr>
      </w:pPr>
    </w:p>
    <w:p w:rsidR="0094794B" w:rsidRPr="00BB52F3" w:rsidRDefault="00B55C4C" w:rsidP="00125667">
      <w:pPr>
        <w:pStyle w:val="Paragraph"/>
        <w:numPr>
          <w:ilvl w:val="1"/>
          <w:numId w:val="1"/>
        </w:numPr>
        <w:tabs>
          <w:tab w:val="left" w:pos="720"/>
        </w:tabs>
        <w:ind w:left="720" w:hanging="720"/>
        <w:rPr>
          <w:rFonts w:ascii="Arial" w:hAnsi="Arial" w:cs="Arial"/>
          <w:bCs/>
          <w:sz w:val="22"/>
          <w:szCs w:val="22"/>
          <w:lang w:val="en-US"/>
        </w:rPr>
      </w:pPr>
      <w:r w:rsidRPr="00BB52F3">
        <w:rPr>
          <w:rFonts w:ascii="Arial" w:hAnsi="Arial" w:cs="Arial"/>
          <w:bCs/>
          <w:sz w:val="22"/>
          <w:szCs w:val="22"/>
          <w:lang w:val="en-US"/>
        </w:rPr>
        <w:t xml:space="preserve">As part of the sub-project pre-classification and classification process described above, the below table provides general </w:t>
      </w:r>
      <w:r w:rsidR="005F1B33" w:rsidRPr="00BB52F3">
        <w:rPr>
          <w:rFonts w:ascii="Arial" w:hAnsi="Arial" w:cs="Arial"/>
          <w:bCs/>
          <w:sz w:val="22"/>
          <w:szCs w:val="22"/>
          <w:lang w:val="en-US"/>
        </w:rPr>
        <w:t>and indicative parameters</w:t>
      </w:r>
      <w:r w:rsidRPr="00BB52F3">
        <w:rPr>
          <w:rFonts w:ascii="Arial" w:hAnsi="Arial" w:cs="Arial"/>
          <w:bCs/>
          <w:sz w:val="22"/>
          <w:szCs w:val="22"/>
          <w:lang w:val="en-US"/>
        </w:rPr>
        <w:t xml:space="preserve"> to ensure the accurate categorization of sub-projects.</w:t>
      </w:r>
      <w:r w:rsidR="00020639" w:rsidRPr="00BB52F3">
        <w:rPr>
          <w:rFonts w:ascii="Arial" w:hAnsi="Arial" w:cs="Arial"/>
          <w:bCs/>
          <w:sz w:val="22"/>
          <w:szCs w:val="22"/>
          <w:lang w:val="en-US"/>
        </w:rPr>
        <w:t xml:space="preserve"> </w:t>
      </w:r>
      <w:r w:rsidRPr="00BB52F3">
        <w:rPr>
          <w:rFonts w:ascii="Arial" w:hAnsi="Arial" w:cs="Arial"/>
          <w:bCs/>
          <w:sz w:val="22"/>
          <w:szCs w:val="22"/>
          <w:lang w:val="en-US"/>
        </w:rPr>
        <w:t xml:space="preserve">Both CDB and IDB recognize that </w:t>
      </w:r>
      <w:r w:rsidR="0076256D">
        <w:rPr>
          <w:rFonts w:ascii="Arial" w:hAnsi="Arial" w:cs="Arial"/>
          <w:bCs/>
          <w:sz w:val="22"/>
          <w:szCs w:val="22"/>
          <w:lang w:val="en-US"/>
        </w:rPr>
        <w:t>final</w:t>
      </w:r>
      <w:r w:rsidRPr="00BB52F3">
        <w:rPr>
          <w:rFonts w:ascii="Arial" w:hAnsi="Arial" w:cs="Arial"/>
          <w:bCs/>
          <w:sz w:val="22"/>
          <w:szCs w:val="22"/>
          <w:lang w:val="en-US"/>
        </w:rPr>
        <w:t xml:space="preserve"> categorization will depend on </w:t>
      </w:r>
      <w:r w:rsidR="001E7DAA" w:rsidRPr="00BB52F3">
        <w:rPr>
          <w:rFonts w:ascii="Arial" w:hAnsi="Arial" w:cs="Arial"/>
          <w:bCs/>
          <w:sz w:val="22"/>
          <w:szCs w:val="22"/>
          <w:lang w:val="en-US"/>
        </w:rPr>
        <w:t xml:space="preserve">the </w:t>
      </w:r>
      <w:r w:rsidR="0076256D">
        <w:rPr>
          <w:rFonts w:ascii="Arial" w:hAnsi="Arial" w:cs="Arial"/>
          <w:bCs/>
          <w:sz w:val="22"/>
          <w:szCs w:val="22"/>
          <w:lang w:val="en-US"/>
        </w:rPr>
        <w:t>sub-</w:t>
      </w:r>
      <w:r w:rsidR="001E7DAA" w:rsidRPr="00BB52F3">
        <w:rPr>
          <w:rFonts w:ascii="Arial" w:hAnsi="Arial" w:cs="Arial"/>
          <w:bCs/>
          <w:sz w:val="22"/>
          <w:szCs w:val="22"/>
          <w:lang w:val="en-US"/>
        </w:rPr>
        <w:t>project</w:t>
      </w:r>
      <w:r w:rsidR="0076256D">
        <w:rPr>
          <w:rFonts w:ascii="Arial" w:hAnsi="Arial" w:cs="Arial"/>
          <w:bCs/>
          <w:sz w:val="22"/>
          <w:szCs w:val="22"/>
          <w:lang w:val="en-US"/>
        </w:rPr>
        <w:t>s’</w:t>
      </w:r>
      <w:r w:rsidR="001E7DAA" w:rsidRPr="00BB52F3">
        <w:rPr>
          <w:rFonts w:ascii="Arial" w:hAnsi="Arial" w:cs="Arial"/>
          <w:bCs/>
          <w:sz w:val="22"/>
          <w:szCs w:val="22"/>
          <w:lang w:val="en-US"/>
        </w:rPr>
        <w:t xml:space="preserve"> specific impacts. </w:t>
      </w:r>
      <w:r w:rsidR="00C42063">
        <w:rPr>
          <w:rFonts w:ascii="Arial" w:hAnsi="Arial" w:cs="Arial"/>
          <w:bCs/>
          <w:sz w:val="22"/>
          <w:szCs w:val="22"/>
          <w:lang w:val="en-US"/>
        </w:rPr>
        <w:t xml:space="preserve">For other non-geothermal Category A projects, which are unlikely under this Facility, IDB and CDB will agree on a case by case basis a due diligence process, but which will include at a minimum a two stage non-objection process at the concept and appraisal stages. </w:t>
      </w:r>
      <w:r w:rsidR="001E7DAA" w:rsidRPr="00BB52F3">
        <w:rPr>
          <w:rFonts w:ascii="Arial" w:hAnsi="Arial" w:cs="Arial"/>
          <w:bCs/>
          <w:sz w:val="22"/>
          <w:szCs w:val="22"/>
          <w:lang w:val="en-US"/>
        </w:rPr>
        <w:t xml:space="preserve">This table </w:t>
      </w:r>
      <w:r w:rsidR="005F1B33" w:rsidRPr="00BB52F3">
        <w:rPr>
          <w:rFonts w:ascii="Arial" w:hAnsi="Arial" w:cs="Arial"/>
          <w:bCs/>
          <w:sz w:val="22"/>
          <w:szCs w:val="22"/>
          <w:lang w:val="en-US"/>
        </w:rPr>
        <w:t xml:space="preserve">below </w:t>
      </w:r>
      <w:r w:rsidR="001E7DAA" w:rsidRPr="00BB52F3">
        <w:rPr>
          <w:rFonts w:ascii="Arial" w:hAnsi="Arial" w:cs="Arial"/>
          <w:bCs/>
          <w:sz w:val="22"/>
          <w:szCs w:val="22"/>
          <w:lang w:val="en-US"/>
        </w:rPr>
        <w:t>will be</w:t>
      </w:r>
      <w:r w:rsidR="0076256D">
        <w:rPr>
          <w:rFonts w:ascii="Arial" w:hAnsi="Arial" w:cs="Arial"/>
          <w:bCs/>
          <w:sz w:val="22"/>
          <w:szCs w:val="22"/>
          <w:lang w:val="en-US"/>
        </w:rPr>
        <w:t xml:space="preserve"> also</w:t>
      </w:r>
      <w:r w:rsidR="001E7DAA" w:rsidRPr="00BB52F3">
        <w:rPr>
          <w:rFonts w:ascii="Arial" w:hAnsi="Arial" w:cs="Arial"/>
          <w:bCs/>
          <w:sz w:val="22"/>
          <w:szCs w:val="22"/>
          <w:lang w:val="en-US"/>
        </w:rPr>
        <w:t xml:space="preserve"> incorporated in the Operating Manual.</w:t>
      </w:r>
    </w:p>
    <w:tbl>
      <w:tblPr>
        <w:tblStyle w:val="TableGrid"/>
        <w:tblW w:w="0" w:type="auto"/>
        <w:tblInd w:w="918" w:type="dxa"/>
        <w:tblLook w:val="04A0" w:firstRow="1" w:lastRow="0" w:firstColumn="1" w:lastColumn="0" w:noHBand="0" w:noVBand="1"/>
      </w:tblPr>
      <w:tblGrid>
        <w:gridCol w:w="1890"/>
        <w:gridCol w:w="6750"/>
      </w:tblGrid>
      <w:tr w:rsidR="001E7DAA" w:rsidRPr="00864E96" w:rsidTr="001306CE">
        <w:tc>
          <w:tcPr>
            <w:tcW w:w="1890" w:type="dxa"/>
            <w:shd w:val="clear" w:color="auto" w:fill="D9D9D9" w:themeFill="background1" w:themeFillShade="D9"/>
          </w:tcPr>
          <w:p w:rsidR="001E7DAA" w:rsidRPr="00864E96" w:rsidRDefault="001E7DAA" w:rsidP="00954EB1">
            <w:pPr>
              <w:pStyle w:val="ListParagraph"/>
              <w:ind w:left="0"/>
              <w:jc w:val="both"/>
              <w:rPr>
                <w:rFonts w:ascii="Arial" w:eastAsia="Times New Roman" w:hAnsi="Arial" w:cs="Arial"/>
                <w:sz w:val="20"/>
                <w:lang w:val="en-US"/>
              </w:rPr>
            </w:pPr>
            <w:r w:rsidRPr="00864E96">
              <w:rPr>
                <w:rFonts w:ascii="Arial" w:eastAsia="Times New Roman" w:hAnsi="Arial" w:cs="Arial"/>
                <w:sz w:val="20"/>
                <w:lang w:val="en-US"/>
              </w:rPr>
              <w:t>Category</w:t>
            </w:r>
          </w:p>
        </w:tc>
        <w:tc>
          <w:tcPr>
            <w:tcW w:w="6750" w:type="dxa"/>
            <w:shd w:val="clear" w:color="auto" w:fill="D9D9D9" w:themeFill="background1" w:themeFillShade="D9"/>
          </w:tcPr>
          <w:p w:rsidR="001E7DAA" w:rsidRPr="00864E96" w:rsidRDefault="001E7DAA" w:rsidP="003F5E34">
            <w:pPr>
              <w:pStyle w:val="ListParagraph"/>
              <w:ind w:left="0"/>
              <w:jc w:val="both"/>
              <w:rPr>
                <w:rFonts w:ascii="Arial" w:eastAsia="Times New Roman" w:hAnsi="Arial" w:cs="Arial"/>
                <w:sz w:val="20"/>
                <w:lang w:val="en-US"/>
              </w:rPr>
            </w:pPr>
            <w:r w:rsidRPr="00864E96">
              <w:rPr>
                <w:rFonts w:ascii="Arial" w:eastAsia="Times New Roman" w:hAnsi="Arial" w:cs="Arial"/>
                <w:sz w:val="20"/>
                <w:lang w:val="en-US"/>
              </w:rPr>
              <w:t>Project example</w:t>
            </w:r>
            <w:r w:rsidR="003F5E34" w:rsidRPr="00864E96">
              <w:rPr>
                <w:rFonts w:ascii="Arial" w:eastAsia="Times New Roman" w:hAnsi="Arial" w:cs="Arial"/>
                <w:sz w:val="20"/>
                <w:lang w:val="en-US"/>
              </w:rPr>
              <w:t xml:space="preserve">s </w:t>
            </w:r>
            <w:r w:rsidR="00C20ADC" w:rsidRPr="00864E96">
              <w:rPr>
                <w:rFonts w:ascii="Arial" w:eastAsia="Times New Roman" w:hAnsi="Arial" w:cs="Arial"/>
                <w:sz w:val="20"/>
                <w:lang w:val="en-US"/>
              </w:rPr>
              <w:t xml:space="preserve"> and general parameters</w:t>
            </w:r>
          </w:p>
        </w:tc>
      </w:tr>
      <w:tr w:rsidR="001E7DAA" w:rsidRPr="00864E96" w:rsidTr="001306CE">
        <w:tc>
          <w:tcPr>
            <w:tcW w:w="1890" w:type="dxa"/>
          </w:tcPr>
          <w:p w:rsidR="001E7DAA" w:rsidRPr="00864E96" w:rsidRDefault="005F1B33" w:rsidP="00954EB1">
            <w:pPr>
              <w:pStyle w:val="ListParagraph"/>
              <w:ind w:left="0"/>
              <w:jc w:val="both"/>
              <w:rPr>
                <w:rFonts w:ascii="Arial" w:eastAsia="Times New Roman" w:hAnsi="Arial" w:cs="Arial"/>
                <w:sz w:val="20"/>
                <w:lang w:val="en-US"/>
              </w:rPr>
            </w:pPr>
            <w:r w:rsidRPr="00864E96">
              <w:rPr>
                <w:rFonts w:ascii="Arial" w:eastAsia="Times New Roman" w:hAnsi="Arial" w:cs="Arial"/>
                <w:sz w:val="20"/>
                <w:lang w:val="en-US"/>
              </w:rPr>
              <w:t>Category A</w:t>
            </w:r>
          </w:p>
        </w:tc>
        <w:tc>
          <w:tcPr>
            <w:tcW w:w="6750" w:type="dxa"/>
          </w:tcPr>
          <w:p w:rsidR="005F1B33" w:rsidRPr="00864E96" w:rsidRDefault="005F1B33" w:rsidP="00C90F9A">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Geothermal exploratory drilling, production and reinjection drilling, power plant construction, and construction of pipelines</w:t>
            </w:r>
          </w:p>
          <w:p w:rsidR="001E7DAA" w:rsidRPr="00864E96" w:rsidRDefault="005F1B33" w:rsidP="00C90F9A">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New transmission lines in excess of 30 km</w:t>
            </w:r>
            <w:r w:rsidR="00C42063">
              <w:rPr>
                <w:rFonts w:ascii="Arial" w:eastAsia="Times New Roman" w:hAnsi="Arial" w:cs="Arial"/>
                <w:sz w:val="20"/>
                <w:lang w:val="en-US"/>
              </w:rPr>
              <w:t xml:space="preserve"> </w:t>
            </w:r>
            <w:r w:rsidR="00DC4734">
              <w:rPr>
                <w:rFonts w:ascii="Arial" w:eastAsia="Times New Roman" w:hAnsi="Arial" w:cs="Arial"/>
                <w:sz w:val="20"/>
                <w:lang w:val="en-US"/>
              </w:rPr>
              <w:t>in areas of high conservation value</w:t>
            </w:r>
            <w:r w:rsidR="00C42063">
              <w:rPr>
                <w:rFonts w:ascii="Arial" w:eastAsia="Times New Roman" w:hAnsi="Arial" w:cs="Arial"/>
                <w:sz w:val="20"/>
                <w:lang w:val="en-US"/>
              </w:rPr>
              <w:t xml:space="preserve"> linked to geothermal projects</w:t>
            </w:r>
          </w:p>
          <w:p w:rsidR="001E7DAA" w:rsidRPr="00864E96" w:rsidRDefault="005F1B33" w:rsidP="00C90F9A">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Wind farms greater than 50 MW in capacity</w:t>
            </w:r>
          </w:p>
          <w:p w:rsidR="001E7DAA" w:rsidRPr="00C42063" w:rsidRDefault="005F1B33" w:rsidP="00C42063">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 xml:space="preserve">Projects with high social impacts, in indigenous communities, involving significant resettlement, or in </w:t>
            </w:r>
            <w:r w:rsidR="00683F8B" w:rsidRPr="00864E96">
              <w:rPr>
                <w:rFonts w:ascii="Arial" w:eastAsia="Times New Roman" w:hAnsi="Arial" w:cs="Arial"/>
                <w:sz w:val="20"/>
                <w:lang w:val="en-US"/>
              </w:rPr>
              <w:t>areas</w:t>
            </w:r>
            <w:r w:rsidRPr="00864E96">
              <w:rPr>
                <w:rFonts w:ascii="Arial" w:eastAsia="Times New Roman" w:hAnsi="Arial" w:cs="Arial"/>
                <w:sz w:val="20"/>
                <w:lang w:val="en-US"/>
              </w:rPr>
              <w:t xml:space="preserve"> of conservation value</w:t>
            </w:r>
            <w:r w:rsidR="00C42063">
              <w:rPr>
                <w:rFonts w:ascii="Arial" w:eastAsia="Times New Roman" w:hAnsi="Arial" w:cs="Arial"/>
                <w:sz w:val="20"/>
                <w:lang w:val="en-US"/>
              </w:rPr>
              <w:t xml:space="preserve"> linked to geothermal projects</w:t>
            </w:r>
          </w:p>
        </w:tc>
      </w:tr>
      <w:tr w:rsidR="001E7DAA" w:rsidRPr="00864E96" w:rsidTr="001306CE">
        <w:tc>
          <w:tcPr>
            <w:tcW w:w="1890" w:type="dxa"/>
          </w:tcPr>
          <w:p w:rsidR="001E7DAA" w:rsidRPr="00864E96" w:rsidRDefault="00683F8B" w:rsidP="00954EB1">
            <w:pPr>
              <w:pStyle w:val="ListParagraph"/>
              <w:ind w:left="0"/>
              <w:jc w:val="both"/>
              <w:rPr>
                <w:rFonts w:ascii="Arial" w:eastAsia="Times New Roman" w:hAnsi="Arial" w:cs="Arial"/>
                <w:sz w:val="20"/>
                <w:lang w:val="en-US"/>
              </w:rPr>
            </w:pPr>
            <w:r w:rsidRPr="00864E96">
              <w:rPr>
                <w:rFonts w:ascii="Arial" w:eastAsia="Times New Roman" w:hAnsi="Arial" w:cs="Arial"/>
                <w:sz w:val="20"/>
                <w:lang w:val="en-US"/>
              </w:rPr>
              <w:t>Category</w:t>
            </w:r>
            <w:r w:rsidR="001E7DAA" w:rsidRPr="00864E96">
              <w:rPr>
                <w:rFonts w:ascii="Arial" w:eastAsia="Times New Roman" w:hAnsi="Arial" w:cs="Arial"/>
                <w:sz w:val="20"/>
                <w:lang w:val="en-US"/>
              </w:rPr>
              <w:t xml:space="preserve"> B+</w:t>
            </w:r>
          </w:p>
        </w:tc>
        <w:tc>
          <w:tcPr>
            <w:tcW w:w="6750" w:type="dxa"/>
          </w:tcPr>
          <w:p w:rsidR="005F1B33" w:rsidRPr="00864E96" w:rsidRDefault="005F1B33" w:rsidP="00C90F9A">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Small-scal</w:t>
            </w:r>
            <w:r w:rsidR="00683F8B" w:rsidRPr="00864E96">
              <w:rPr>
                <w:rFonts w:ascii="Arial" w:eastAsia="Times New Roman" w:hAnsi="Arial" w:cs="Arial"/>
                <w:sz w:val="20"/>
                <w:lang w:val="en-US"/>
              </w:rPr>
              <w:t>e geothermal (less than 7MW) on existing degraded sites with no social/natural habitat impacts</w:t>
            </w:r>
          </w:p>
          <w:p w:rsidR="001E7DAA" w:rsidRPr="00864E96" w:rsidRDefault="005F1B33" w:rsidP="00C90F9A">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Early stage geothermal slim hole drilling</w:t>
            </w:r>
          </w:p>
          <w:p w:rsidR="001E7DAA" w:rsidRPr="00864E96" w:rsidRDefault="005F1B33" w:rsidP="00E71710">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New transmission lines in excess of 15 km</w:t>
            </w:r>
          </w:p>
          <w:p w:rsidR="001E7DAA" w:rsidRPr="00864E96" w:rsidRDefault="005F1B33" w:rsidP="00C90F9A">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Wind farms between 20-50MW in capacity</w:t>
            </w:r>
            <w:r w:rsidR="00683F8B" w:rsidRPr="00864E96">
              <w:rPr>
                <w:rFonts w:ascii="Arial" w:eastAsia="Times New Roman" w:hAnsi="Arial" w:cs="Arial"/>
                <w:sz w:val="20"/>
                <w:lang w:val="en-US"/>
              </w:rPr>
              <w:t>, or with natural habitat impacts</w:t>
            </w:r>
          </w:p>
          <w:p w:rsidR="00683F8B" w:rsidRPr="00864E96" w:rsidRDefault="00683F8B" w:rsidP="00C90F9A">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Solar projects greater than 50 MW, or with natural habitat impacts</w:t>
            </w:r>
          </w:p>
          <w:p w:rsidR="001E7DAA" w:rsidRPr="00864E96" w:rsidRDefault="001E7DAA" w:rsidP="00E71710">
            <w:pPr>
              <w:jc w:val="both"/>
              <w:rPr>
                <w:rFonts w:ascii="Arial" w:eastAsia="Times New Roman" w:hAnsi="Arial" w:cs="Arial"/>
                <w:sz w:val="20"/>
                <w:lang w:val="en-US"/>
              </w:rPr>
            </w:pPr>
          </w:p>
        </w:tc>
      </w:tr>
      <w:tr w:rsidR="001E7DAA" w:rsidRPr="00864E96" w:rsidTr="001306CE">
        <w:tc>
          <w:tcPr>
            <w:tcW w:w="1890" w:type="dxa"/>
          </w:tcPr>
          <w:p w:rsidR="001E7DAA" w:rsidRPr="00864E96" w:rsidRDefault="00683F8B" w:rsidP="00954EB1">
            <w:pPr>
              <w:pStyle w:val="ListParagraph"/>
              <w:ind w:left="0"/>
              <w:jc w:val="both"/>
              <w:rPr>
                <w:rFonts w:ascii="Arial" w:eastAsia="Times New Roman" w:hAnsi="Arial" w:cs="Arial"/>
                <w:sz w:val="20"/>
                <w:lang w:val="en-US"/>
              </w:rPr>
            </w:pPr>
            <w:r w:rsidRPr="00864E96">
              <w:rPr>
                <w:rFonts w:ascii="Arial" w:eastAsia="Times New Roman" w:hAnsi="Arial" w:cs="Arial"/>
                <w:sz w:val="20"/>
                <w:lang w:val="en-US"/>
              </w:rPr>
              <w:t>Category</w:t>
            </w:r>
            <w:r w:rsidR="001E7DAA" w:rsidRPr="00864E96">
              <w:rPr>
                <w:rFonts w:ascii="Arial" w:eastAsia="Times New Roman" w:hAnsi="Arial" w:cs="Arial"/>
                <w:sz w:val="20"/>
                <w:lang w:val="en-US"/>
              </w:rPr>
              <w:t xml:space="preserve"> B</w:t>
            </w:r>
          </w:p>
        </w:tc>
        <w:tc>
          <w:tcPr>
            <w:tcW w:w="6750" w:type="dxa"/>
          </w:tcPr>
          <w:p w:rsidR="001E7DAA" w:rsidRPr="00864E96" w:rsidRDefault="00683F8B" w:rsidP="00C90F9A">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Solar projects below 50 MW with no natural habitat impacts</w:t>
            </w:r>
          </w:p>
          <w:p w:rsidR="001E7DAA" w:rsidRPr="00864E96" w:rsidRDefault="00683F8B" w:rsidP="00E71710">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Energy efficiency projects with management of hazardous wastes</w:t>
            </w:r>
          </w:p>
        </w:tc>
      </w:tr>
      <w:tr w:rsidR="001E7DAA" w:rsidRPr="00864E96" w:rsidTr="001306CE">
        <w:tc>
          <w:tcPr>
            <w:tcW w:w="1890" w:type="dxa"/>
          </w:tcPr>
          <w:p w:rsidR="001E7DAA" w:rsidRPr="00864E96" w:rsidRDefault="00683F8B" w:rsidP="00954EB1">
            <w:pPr>
              <w:pStyle w:val="ListParagraph"/>
              <w:ind w:left="0"/>
              <w:jc w:val="both"/>
              <w:rPr>
                <w:rFonts w:ascii="Arial" w:eastAsia="Times New Roman" w:hAnsi="Arial" w:cs="Arial"/>
                <w:sz w:val="20"/>
                <w:lang w:val="en-US"/>
              </w:rPr>
            </w:pPr>
            <w:r w:rsidRPr="00864E96">
              <w:rPr>
                <w:rFonts w:ascii="Arial" w:eastAsia="Times New Roman" w:hAnsi="Arial" w:cs="Arial"/>
                <w:sz w:val="20"/>
                <w:lang w:val="en-US"/>
              </w:rPr>
              <w:t>Category</w:t>
            </w:r>
            <w:r w:rsidR="001E7DAA" w:rsidRPr="00864E96">
              <w:rPr>
                <w:rFonts w:ascii="Arial" w:eastAsia="Times New Roman" w:hAnsi="Arial" w:cs="Arial"/>
                <w:sz w:val="20"/>
                <w:lang w:val="en-US"/>
              </w:rPr>
              <w:t xml:space="preserve"> C</w:t>
            </w:r>
          </w:p>
        </w:tc>
        <w:tc>
          <w:tcPr>
            <w:tcW w:w="6750" w:type="dxa"/>
          </w:tcPr>
          <w:p w:rsidR="001E7DAA" w:rsidRPr="00864E96" w:rsidRDefault="00683F8B" w:rsidP="00C90F9A">
            <w:pPr>
              <w:pStyle w:val="ListParagraph"/>
              <w:numPr>
                <w:ilvl w:val="0"/>
                <w:numId w:val="5"/>
              </w:numPr>
              <w:ind w:left="252" w:hanging="180"/>
              <w:jc w:val="both"/>
              <w:rPr>
                <w:rFonts w:ascii="Arial" w:eastAsia="Times New Roman" w:hAnsi="Arial" w:cs="Arial"/>
                <w:sz w:val="20"/>
                <w:lang w:val="en-US"/>
              </w:rPr>
            </w:pPr>
            <w:r w:rsidRPr="00864E96">
              <w:rPr>
                <w:rFonts w:ascii="Arial" w:eastAsia="Times New Roman" w:hAnsi="Arial" w:cs="Arial"/>
                <w:sz w:val="20"/>
                <w:lang w:val="en-US"/>
              </w:rPr>
              <w:t>Energy efficiency projects with no management of hazardous wastes</w:t>
            </w:r>
          </w:p>
        </w:tc>
      </w:tr>
    </w:tbl>
    <w:p w:rsidR="0092359E" w:rsidRPr="00BB52F3" w:rsidRDefault="0092359E" w:rsidP="0092359E">
      <w:pPr>
        <w:spacing w:after="0" w:line="240" w:lineRule="auto"/>
        <w:jc w:val="both"/>
        <w:rPr>
          <w:rFonts w:ascii="Arial" w:eastAsia="Times New Roman" w:hAnsi="Arial" w:cs="Arial"/>
        </w:rPr>
      </w:pPr>
    </w:p>
    <w:p w:rsidR="005A6450" w:rsidRPr="00BB52F3" w:rsidRDefault="00683F8B" w:rsidP="006610C2">
      <w:pPr>
        <w:pStyle w:val="ListParagraph"/>
        <w:numPr>
          <w:ilvl w:val="0"/>
          <w:numId w:val="1"/>
        </w:numPr>
        <w:tabs>
          <w:tab w:val="left" w:pos="810"/>
        </w:tabs>
        <w:suppressAutoHyphens/>
        <w:autoSpaceDN w:val="0"/>
        <w:spacing w:before="120" w:after="120" w:line="240" w:lineRule="auto"/>
        <w:ind w:left="720" w:hanging="720"/>
        <w:jc w:val="both"/>
        <w:textAlignment w:val="baseline"/>
        <w:outlineLvl w:val="1"/>
        <w:rPr>
          <w:rFonts w:ascii="Arial" w:eastAsia="Times New Roman" w:hAnsi="Arial" w:cs="Arial"/>
          <w:b/>
        </w:rPr>
      </w:pPr>
      <w:r w:rsidRPr="00BB52F3">
        <w:rPr>
          <w:rFonts w:ascii="Arial" w:eastAsia="Times New Roman" w:hAnsi="Arial" w:cs="Arial"/>
          <w:b/>
        </w:rPr>
        <w:t>Requirements to be included in the Legal Agreements</w:t>
      </w:r>
      <w:r w:rsidR="005A6450" w:rsidRPr="00BB52F3">
        <w:rPr>
          <w:rFonts w:ascii="Arial" w:eastAsia="Times New Roman" w:hAnsi="Arial" w:cs="Arial"/>
          <w:b/>
        </w:rPr>
        <w:t xml:space="preserve"> </w:t>
      </w:r>
    </w:p>
    <w:p w:rsidR="00BF12CA" w:rsidRPr="00BB52F3" w:rsidRDefault="00BF12CA" w:rsidP="00BF12CA">
      <w:pPr>
        <w:pStyle w:val="ListParagraph"/>
        <w:tabs>
          <w:tab w:val="left" w:pos="810"/>
        </w:tabs>
        <w:suppressAutoHyphens/>
        <w:autoSpaceDN w:val="0"/>
        <w:spacing w:before="120" w:after="120" w:line="240" w:lineRule="auto"/>
        <w:ind w:left="900"/>
        <w:jc w:val="both"/>
        <w:textAlignment w:val="baseline"/>
        <w:outlineLvl w:val="1"/>
        <w:rPr>
          <w:rFonts w:ascii="Arial" w:eastAsia="Times New Roman" w:hAnsi="Arial" w:cs="Arial"/>
          <w:b/>
        </w:rPr>
      </w:pPr>
    </w:p>
    <w:p w:rsidR="00595A5D" w:rsidRDefault="00595A5D" w:rsidP="00595A5D">
      <w:pPr>
        <w:pStyle w:val="Default"/>
        <w:numPr>
          <w:ilvl w:val="1"/>
          <w:numId w:val="1"/>
        </w:numPr>
        <w:ind w:hanging="900"/>
        <w:jc w:val="both"/>
        <w:rPr>
          <w:rFonts w:ascii="Arial" w:hAnsi="Arial" w:cs="Arial"/>
          <w:sz w:val="22"/>
          <w:szCs w:val="22"/>
        </w:rPr>
      </w:pPr>
      <w:r w:rsidRPr="00BB52F3">
        <w:rPr>
          <w:rFonts w:ascii="Arial" w:hAnsi="Arial" w:cs="Arial"/>
          <w:sz w:val="22"/>
          <w:szCs w:val="22"/>
        </w:rPr>
        <w:t>For this operation which will involve on-lending for the development of renewable energy and energy efficiency projects, IDB will require CDB as part of the Loan Agreement to:</w:t>
      </w:r>
    </w:p>
    <w:p w:rsidR="000A6CD4" w:rsidRPr="00864E96" w:rsidRDefault="000A6CD4" w:rsidP="000A6CD4">
      <w:pPr>
        <w:pStyle w:val="Default"/>
        <w:jc w:val="both"/>
        <w:rPr>
          <w:rFonts w:ascii="Arial" w:hAnsi="Arial" w:cs="Arial"/>
          <w:b/>
          <w:sz w:val="22"/>
          <w:szCs w:val="22"/>
        </w:rPr>
      </w:pPr>
    </w:p>
    <w:p w:rsidR="000A6CD4" w:rsidRPr="00864E96" w:rsidRDefault="000A6CD4" w:rsidP="000A6CD4">
      <w:pPr>
        <w:pStyle w:val="Default"/>
        <w:jc w:val="both"/>
        <w:rPr>
          <w:rFonts w:ascii="Arial" w:hAnsi="Arial" w:cs="Arial"/>
          <w:b/>
          <w:sz w:val="22"/>
          <w:szCs w:val="22"/>
        </w:rPr>
      </w:pPr>
      <w:r w:rsidRPr="00864E96">
        <w:rPr>
          <w:rFonts w:ascii="Arial" w:hAnsi="Arial" w:cs="Arial"/>
          <w:b/>
          <w:sz w:val="22"/>
          <w:szCs w:val="22"/>
        </w:rPr>
        <w:t>A. Throughout the Life of the Loan:</w:t>
      </w:r>
    </w:p>
    <w:p w:rsidR="00595A5D" w:rsidRPr="00BB52F3" w:rsidRDefault="00595A5D" w:rsidP="00595A5D">
      <w:pPr>
        <w:pStyle w:val="Default"/>
        <w:numPr>
          <w:ilvl w:val="2"/>
          <w:numId w:val="1"/>
        </w:numPr>
        <w:tabs>
          <w:tab w:val="left" w:pos="1620"/>
        </w:tabs>
        <w:ind w:left="1440" w:hanging="360"/>
        <w:jc w:val="both"/>
        <w:rPr>
          <w:rFonts w:ascii="Arial" w:hAnsi="Arial" w:cs="Arial"/>
          <w:sz w:val="22"/>
          <w:szCs w:val="22"/>
        </w:rPr>
      </w:pPr>
      <w:r w:rsidRPr="00BB52F3">
        <w:rPr>
          <w:rFonts w:ascii="Arial" w:hAnsi="Arial" w:cs="Arial"/>
          <w:sz w:val="22"/>
          <w:szCs w:val="22"/>
        </w:rPr>
        <w:t xml:space="preserve">Comply with all applicable </w:t>
      </w:r>
      <w:r w:rsidR="0076256D">
        <w:rPr>
          <w:rFonts w:ascii="Arial" w:hAnsi="Arial" w:cs="Arial"/>
          <w:sz w:val="22"/>
          <w:szCs w:val="22"/>
        </w:rPr>
        <w:t>national</w:t>
      </w:r>
      <w:r w:rsidRPr="00BB52F3">
        <w:rPr>
          <w:rFonts w:ascii="Arial" w:hAnsi="Arial" w:cs="Arial"/>
          <w:sz w:val="22"/>
          <w:szCs w:val="22"/>
        </w:rPr>
        <w:t xml:space="preserve"> environmental, social, health and safety, and labor regulatory requirements, and in relation to the financing of sub-projects with IDB’s proceeds ensure that each sub-project complies with: (a) CDB´s Environmental and Social Policies and Review Procedures; (b) in-country regulations; (c) the IDB List of Excluded Activities; (d) the Fundamental Principles of the Rights at Work; and (e) the IFC Performance Standards and World Bank Environmental, Health and Safety Guidelines.</w:t>
      </w:r>
    </w:p>
    <w:p w:rsidR="00041C40" w:rsidRPr="00BB52F3" w:rsidRDefault="0076256D" w:rsidP="00041C40">
      <w:pPr>
        <w:pStyle w:val="Default"/>
        <w:numPr>
          <w:ilvl w:val="2"/>
          <w:numId w:val="1"/>
        </w:numPr>
        <w:tabs>
          <w:tab w:val="left" w:pos="1620"/>
        </w:tabs>
        <w:ind w:left="1440" w:hanging="360"/>
        <w:jc w:val="both"/>
        <w:rPr>
          <w:rFonts w:ascii="Arial" w:hAnsi="Arial" w:cs="Arial"/>
          <w:sz w:val="22"/>
          <w:szCs w:val="22"/>
        </w:rPr>
      </w:pPr>
      <w:r>
        <w:rPr>
          <w:rFonts w:ascii="Arial" w:hAnsi="Arial" w:cs="Arial"/>
          <w:sz w:val="22"/>
          <w:szCs w:val="22"/>
        </w:rPr>
        <w:lastRenderedPageBreak/>
        <w:t xml:space="preserve">For all </w:t>
      </w:r>
      <w:r w:rsidR="00C42063">
        <w:rPr>
          <w:rFonts w:ascii="Arial" w:hAnsi="Arial" w:cs="Arial"/>
          <w:sz w:val="22"/>
          <w:szCs w:val="22"/>
        </w:rPr>
        <w:t>high risk (</w:t>
      </w:r>
      <w:r w:rsidR="00041C40" w:rsidRPr="00BB52F3">
        <w:rPr>
          <w:rFonts w:ascii="Arial" w:hAnsi="Arial" w:cs="Arial"/>
          <w:sz w:val="22"/>
          <w:szCs w:val="22"/>
        </w:rPr>
        <w:t xml:space="preserve">Category A </w:t>
      </w:r>
      <w:r w:rsidR="00C42063">
        <w:rPr>
          <w:rFonts w:ascii="Arial" w:hAnsi="Arial" w:cs="Arial"/>
          <w:sz w:val="22"/>
          <w:szCs w:val="22"/>
        </w:rPr>
        <w:t xml:space="preserve">and B+) geothermal </w:t>
      </w:r>
      <w:r>
        <w:rPr>
          <w:rFonts w:ascii="Arial" w:hAnsi="Arial" w:cs="Arial"/>
          <w:sz w:val="22"/>
          <w:szCs w:val="22"/>
        </w:rPr>
        <w:t>sub-projects</w:t>
      </w:r>
      <w:r w:rsidR="00041C40" w:rsidRPr="00BB52F3">
        <w:rPr>
          <w:rFonts w:ascii="Arial" w:hAnsi="Arial" w:cs="Arial"/>
          <w:sz w:val="22"/>
          <w:szCs w:val="22"/>
        </w:rPr>
        <w:t xml:space="preserve">, follow the </w:t>
      </w:r>
      <w:r w:rsidR="002F0123" w:rsidRPr="00BB52F3">
        <w:rPr>
          <w:rFonts w:ascii="Arial" w:hAnsi="Arial" w:cs="Arial"/>
          <w:sz w:val="22"/>
          <w:szCs w:val="22"/>
        </w:rPr>
        <w:t xml:space="preserve">specific </w:t>
      </w:r>
      <w:r w:rsidR="00041C40" w:rsidRPr="00BB52F3">
        <w:rPr>
          <w:rFonts w:ascii="Arial" w:hAnsi="Arial" w:cs="Arial"/>
          <w:sz w:val="22"/>
          <w:szCs w:val="22"/>
        </w:rPr>
        <w:t>procedures as defi</w:t>
      </w:r>
      <w:r>
        <w:rPr>
          <w:rFonts w:ascii="Arial" w:hAnsi="Arial" w:cs="Arial"/>
          <w:sz w:val="22"/>
          <w:szCs w:val="22"/>
        </w:rPr>
        <w:t>ned in paragraphs 5.6-5.9</w:t>
      </w:r>
      <w:r w:rsidR="000A6CD4">
        <w:rPr>
          <w:rFonts w:ascii="Arial" w:hAnsi="Arial" w:cs="Arial"/>
          <w:sz w:val="22"/>
          <w:szCs w:val="22"/>
        </w:rPr>
        <w:t xml:space="preserve"> of this document</w:t>
      </w:r>
      <w:r w:rsidR="00041C40" w:rsidRPr="00BB52F3">
        <w:rPr>
          <w:rFonts w:ascii="Arial" w:hAnsi="Arial" w:cs="Arial"/>
          <w:sz w:val="22"/>
          <w:szCs w:val="22"/>
        </w:rPr>
        <w:t>.  This includes, among others, notifying IDB of new operations</w:t>
      </w:r>
      <w:r w:rsidR="00C71652" w:rsidRPr="00BB52F3">
        <w:rPr>
          <w:rFonts w:ascii="Arial" w:hAnsi="Arial" w:cs="Arial"/>
          <w:sz w:val="22"/>
          <w:szCs w:val="22"/>
        </w:rPr>
        <w:t>, presenting an</w:t>
      </w:r>
      <w:r w:rsidR="00D83583" w:rsidRPr="00BB52F3">
        <w:rPr>
          <w:rFonts w:ascii="Arial" w:hAnsi="Arial" w:cs="Arial"/>
          <w:sz w:val="22"/>
          <w:szCs w:val="22"/>
        </w:rPr>
        <w:t xml:space="preserve"> initial classification</w:t>
      </w:r>
      <w:r w:rsidR="00041C40" w:rsidRPr="00BB52F3">
        <w:rPr>
          <w:rFonts w:ascii="Arial" w:hAnsi="Arial" w:cs="Arial"/>
          <w:sz w:val="22"/>
          <w:szCs w:val="22"/>
        </w:rPr>
        <w:t xml:space="preserve">, providing </w:t>
      </w:r>
      <w:r w:rsidR="00512A06" w:rsidRPr="00BB52F3">
        <w:rPr>
          <w:rFonts w:ascii="Arial" w:hAnsi="Arial" w:cs="Arial"/>
          <w:sz w:val="22"/>
          <w:szCs w:val="22"/>
        </w:rPr>
        <w:t xml:space="preserve">for comment </w:t>
      </w:r>
      <w:r w:rsidR="00041C40" w:rsidRPr="00BB52F3">
        <w:rPr>
          <w:rFonts w:ascii="Arial" w:hAnsi="Arial" w:cs="Arial"/>
          <w:sz w:val="22"/>
          <w:szCs w:val="22"/>
        </w:rPr>
        <w:t xml:space="preserve">draft Terms of Reference for E&amp;S analysis, coordinating due diligence and supervision when and as necessary, and receiving IDB’s non-objection at defined stages. </w:t>
      </w:r>
    </w:p>
    <w:p w:rsidR="00191308" w:rsidRDefault="00191308" w:rsidP="00191308">
      <w:pPr>
        <w:pStyle w:val="Default"/>
        <w:numPr>
          <w:ilvl w:val="2"/>
          <w:numId w:val="1"/>
        </w:numPr>
        <w:tabs>
          <w:tab w:val="left" w:pos="1620"/>
        </w:tabs>
        <w:ind w:left="1440" w:hanging="360"/>
        <w:jc w:val="both"/>
        <w:rPr>
          <w:rFonts w:ascii="Arial" w:hAnsi="Arial" w:cs="Arial"/>
          <w:sz w:val="22"/>
          <w:szCs w:val="22"/>
        </w:rPr>
      </w:pPr>
      <w:r w:rsidRPr="00BB52F3">
        <w:rPr>
          <w:rFonts w:ascii="Arial" w:hAnsi="Arial" w:cs="Arial"/>
          <w:sz w:val="22"/>
          <w:szCs w:val="22"/>
        </w:rPr>
        <w:t>Simultaneously disclose environmental and social documentation (summary of the environmental appraisal) with other Board papers at a minimum of 10 days prior to the consideration by the CDB Boa</w:t>
      </w:r>
      <w:r>
        <w:rPr>
          <w:rFonts w:ascii="Arial" w:hAnsi="Arial" w:cs="Arial"/>
          <w:sz w:val="22"/>
          <w:szCs w:val="22"/>
        </w:rPr>
        <w:t xml:space="preserve">rd of Executive Directors, and </w:t>
      </w:r>
      <w:r w:rsidRPr="00BB52F3">
        <w:rPr>
          <w:rFonts w:ascii="Arial" w:hAnsi="Arial" w:cs="Arial"/>
          <w:sz w:val="22"/>
          <w:szCs w:val="22"/>
        </w:rPr>
        <w:t xml:space="preserve">provide details of where the EIA or SIA may be consulted. Final approval will take into consideration any material concerns raised during the above mentioned disclosure period. </w:t>
      </w:r>
    </w:p>
    <w:p w:rsidR="00D83583" w:rsidRDefault="00D83583" w:rsidP="00041C40">
      <w:pPr>
        <w:pStyle w:val="Default"/>
        <w:numPr>
          <w:ilvl w:val="2"/>
          <w:numId w:val="1"/>
        </w:numPr>
        <w:tabs>
          <w:tab w:val="left" w:pos="1620"/>
        </w:tabs>
        <w:ind w:left="1440" w:hanging="360"/>
        <w:jc w:val="both"/>
        <w:rPr>
          <w:rFonts w:ascii="Arial" w:hAnsi="Arial" w:cs="Arial"/>
          <w:sz w:val="22"/>
          <w:szCs w:val="22"/>
        </w:rPr>
      </w:pPr>
      <w:r w:rsidRPr="00BB52F3">
        <w:rPr>
          <w:rFonts w:ascii="Arial" w:hAnsi="Arial" w:cs="Arial"/>
          <w:sz w:val="22"/>
          <w:szCs w:val="22"/>
        </w:rPr>
        <w:t xml:space="preserve">Ensure adequate provision of financial resources </w:t>
      </w:r>
      <w:r w:rsidR="00191308">
        <w:rPr>
          <w:rFonts w:ascii="Arial" w:hAnsi="Arial" w:cs="Arial"/>
          <w:sz w:val="22"/>
          <w:szCs w:val="22"/>
        </w:rPr>
        <w:t xml:space="preserve">as a component of CDB’s project costs </w:t>
      </w:r>
      <w:r w:rsidRPr="00BB52F3">
        <w:rPr>
          <w:rFonts w:ascii="Arial" w:hAnsi="Arial" w:cs="Arial"/>
          <w:sz w:val="22"/>
          <w:szCs w:val="22"/>
        </w:rPr>
        <w:t xml:space="preserve">for </w:t>
      </w:r>
      <w:r w:rsidR="00191308">
        <w:rPr>
          <w:rFonts w:ascii="Arial" w:hAnsi="Arial" w:cs="Arial"/>
          <w:sz w:val="22"/>
          <w:szCs w:val="22"/>
        </w:rPr>
        <w:t xml:space="preserve">supervision and </w:t>
      </w:r>
      <w:r w:rsidRPr="00BB52F3">
        <w:rPr>
          <w:rFonts w:ascii="Arial" w:hAnsi="Arial" w:cs="Arial"/>
          <w:sz w:val="22"/>
          <w:szCs w:val="22"/>
        </w:rPr>
        <w:t xml:space="preserve">independent review of environmental and social performance for </w:t>
      </w:r>
      <w:r w:rsidR="00C42063">
        <w:rPr>
          <w:rFonts w:ascii="Arial" w:hAnsi="Arial" w:cs="Arial"/>
          <w:sz w:val="22"/>
          <w:szCs w:val="22"/>
        </w:rPr>
        <w:t xml:space="preserve">high risk </w:t>
      </w:r>
      <w:r w:rsidRPr="00BB52F3">
        <w:rPr>
          <w:rFonts w:ascii="Arial" w:hAnsi="Arial" w:cs="Arial"/>
          <w:sz w:val="22"/>
          <w:szCs w:val="22"/>
        </w:rPr>
        <w:t>geothermal and Category A sub-projects.</w:t>
      </w:r>
    </w:p>
    <w:p w:rsidR="00C42063" w:rsidRPr="00BB52F3" w:rsidRDefault="00C42063" w:rsidP="00C42063">
      <w:pPr>
        <w:pStyle w:val="Default"/>
        <w:numPr>
          <w:ilvl w:val="2"/>
          <w:numId w:val="1"/>
        </w:numPr>
        <w:tabs>
          <w:tab w:val="left" w:pos="1620"/>
        </w:tabs>
        <w:ind w:left="1440" w:hanging="360"/>
        <w:jc w:val="both"/>
        <w:rPr>
          <w:rFonts w:ascii="Arial" w:hAnsi="Arial" w:cs="Arial"/>
          <w:sz w:val="22"/>
          <w:szCs w:val="22"/>
        </w:rPr>
      </w:pPr>
      <w:r>
        <w:rPr>
          <w:rFonts w:ascii="Arial" w:hAnsi="Arial" w:cs="Arial"/>
          <w:sz w:val="22"/>
          <w:szCs w:val="22"/>
        </w:rPr>
        <w:t>For other non-geothermal Category A projects, IDB and CDB will agree a due diligence process on a case by case basis.  At a minimum, this will include non-objection at the concept and appraisal stages per the project cycle.</w:t>
      </w:r>
    </w:p>
    <w:p w:rsidR="00F60DF1" w:rsidRPr="00BB52F3" w:rsidRDefault="00C54192" w:rsidP="00F60DF1">
      <w:pPr>
        <w:pStyle w:val="Default"/>
        <w:numPr>
          <w:ilvl w:val="2"/>
          <w:numId w:val="1"/>
        </w:numPr>
        <w:tabs>
          <w:tab w:val="left" w:pos="1620"/>
        </w:tabs>
        <w:ind w:left="1440" w:hanging="360"/>
        <w:jc w:val="both"/>
        <w:rPr>
          <w:rFonts w:ascii="Arial" w:hAnsi="Arial" w:cs="Arial"/>
          <w:sz w:val="22"/>
          <w:szCs w:val="22"/>
        </w:rPr>
      </w:pPr>
      <w:r w:rsidRPr="00BB52F3">
        <w:rPr>
          <w:rFonts w:ascii="Arial" w:hAnsi="Arial" w:cs="Arial"/>
          <w:sz w:val="22"/>
          <w:szCs w:val="22"/>
        </w:rPr>
        <w:t xml:space="preserve">Notify IDB </w:t>
      </w:r>
      <w:r w:rsidR="000A6CD4">
        <w:rPr>
          <w:rFonts w:ascii="Arial" w:hAnsi="Arial" w:cs="Arial"/>
          <w:sz w:val="22"/>
          <w:szCs w:val="22"/>
        </w:rPr>
        <w:t>within five days</w:t>
      </w:r>
      <w:r w:rsidRPr="00BB52F3">
        <w:rPr>
          <w:rFonts w:ascii="Arial" w:hAnsi="Arial" w:cs="Arial"/>
          <w:sz w:val="22"/>
          <w:szCs w:val="22"/>
        </w:rPr>
        <w:t xml:space="preserve"> in any instance of sub-project non-compliance </w:t>
      </w:r>
      <w:r w:rsidR="000A6CD4">
        <w:rPr>
          <w:rFonts w:ascii="Arial" w:hAnsi="Arial" w:cs="Arial"/>
          <w:sz w:val="22"/>
          <w:szCs w:val="22"/>
        </w:rPr>
        <w:t>with regard to any environmental, social, health and safety</w:t>
      </w:r>
      <w:r w:rsidRPr="00BB52F3">
        <w:rPr>
          <w:rFonts w:ascii="Arial" w:hAnsi="Arial" w:cs="Arial"/>
          <w:sz w:val="22"/>
          <w:szCs w:val="22"/>
        </w:rPr>
        <w:t xml:space="preserve"> issues, </w:t>
      </w:r>
      <w:r w:rsidR="000A6CD4">
        <w:rPr>
          <w:rFonts w:ascii="Arial" w:hAnsi="Arial" w:cs="Arial"/>
          <w:sz w:val="22"/>
          <w:szCs w:val="22"/>
        </w:rPr>
        <w:t>and Loan Agreement Requirements, agreed Action P</w:t>
      </w:r>
      <w:r w:rsidRPr="00BB52F3">
        <w:rPr>
          <w:rFonts w:ascii="Arial" w:hAnsi="Arial" w:cs="Arial"/>
          <w:sz w:val="22"/>
          <w:szCs w:val="22"/>
        </w:rPr>
        <w:t xml:space="preserve">lans, or other pertinent legal covenants.  </w:t>
      </w:r>
    </w:p>
    <w:p w:rsidR="00F60DF1" w:rsidRPr="00BB52F3" w:rsidRDefault="00F60DF1" w:rsidP="00F60DF1">
      <w:pPr>
        <w:pStyle w:val="Default"/>
        <w:numPr>
          <w:ilvl w:val="2"/>
          <w:numId w:val="1"/>
        </w:numPr>
        <w:tabs>
          <w:tab w:val="left" w:pos="1620"/>
        </w:tabs>
        <w:ind w:left="1440" w:hanging="360"/>
        <w:jc w:val="both"/>
        <w:rPr>
          <w:rFonts w:ascii="Arial" w:hAnsi="Arial" w:cs="Arial"/>
          <w:sz w:val="22"/>
          <w:szCs w:val="22"/>
        </w:rPr>
      </w:pPr>
      <w:r w:rsidRPr="00BB52F3">
        <w:rPr>
          <w:rFonts w:ascii="Arial" w:hAnsi="Arial" w:cs="Arial"/>
          <w:sz w:val="22"/>
          <w:szCs w:val="22"/>
        </w:rPr>
        <w:t xml:space="preserve">Ensure the EIA or SIA is publicly disclosed and available prior to CDB’s (and IDB where required) appraisal mission, in </w:t>
      </w:r>
      <w:r w:rsidR="00BA3449">
        <w:rPr>
          <w:rFonts w:ascii="Arial" w:hAnsi="Arial" w:cs="Arial"/>
          <w:sz w:val="22"/>
          <w:szCs w:val="22"/>
        </w:rPr>
        <w:t xml:space="preserve">whichever case is greater: (i) </w:t>
      </w:r>
      <w:r w:rsidRPr="00BB52F3">
        <w:rPr>
          <w:rFonts w:ascii="Arial" w:hAnsi="Arial" w:cs="Arial"/>
          <w:sz w:val="22"/>
          <w:szCs w:val="22"/>
        </w:rPr>
        <w:t xml:space="preserve">conformance with the time required by the </w:t>
      </w:r>
      <w:r w:rsidR="00BA3449">
        <w:rPr>
          <w:rFonts w:ascii="Arial" w:hAnsi="Arial" w:cs="Arial"/>
          <w:sz w:val="22"/>
          <w:szCs w:val="22"/>
        </w:rPr>
        <w:t>laws of the respective country or</w:t>
      </w:r>
      <w:r w:rsidR="000A6CD4">
        <w:rPr>
          <w:rFonts w:ascii="Arial" w:hAnsi="Arial" w:cs="Arial"/>
          <w:sz w:val="22"/>
          <w:szCs w:val="22"/>
        </w:rPr>
        <w:t xml:space="preserve"> </w:t>
      </w:r>
      <w:r w:rsidR="00BA3449">
        <w:rPr>
          <w:rFonts w:ascii="Arial" w:hAnsi="Arial" w:cs="Arial"/>
          <w:sz w:val="22"/>
          <w:szCs w:val="22"/>
        </w:rPr>
        <w:t xml:space="preserve">(ii) </w:t>
      </w:r>
      <w:r w:rsidR="000A6CD4">
        <w:rPr>
          <w:rFonts w:ascii="Arial" w:hAnsi="Arial" w:cs="Arial"/>
          <w:sz w:val="22"/>
          <w:szCs w:val="22"/>
        </w:rPr>
        <w:t>30 days prior to the CDB Board of Directors</w:t>
      </w:r>
      <w:r w:rsidRPr="00BB52F3">
        <w:rPr>
          <w:rFonts w:ascii="Arial" w:hAnsi="Arial" w:cs="Arial"/>
          <w:sz w:val="22"/>
          <w:szCs w:val="22"/>
        </w:rPr>
        <w:t>.</w:t>
      </w:r>
    </w:p>
    <w:p w:rsidR="000A6CD4" w:rsidRDefault="000A6CD4" w:rsidP="000A6CD4">
      <w:pPr>
        <w:pStyle w:val="Default"/>
        <w:tabs>
          <w:tab w:val="left" w:pos="1620"/>
        </w:tabs>
        <w:ind w:left="1440"/>
        <w:jc w:val="both"/>
        <w:rPr>
          <w:rFonts w:ascii="Arial" w:hAnsi="Arial" w:cs="Arial"/>
          <w:sz w:val="22"/>
          <w:szCs w:val="22"/>
        </w:rPr>
      </w:pPr>
    </w:p>
    <w:p w:rsidR="000A6CD4" w:rsidRPr="00864E96" w:rsidRDefault="000A6CD4" w:rsidP="000A6CD4">
      <w:pPr>
        <w:pStyle w:val="Default"/>
        <w:tabs>
          <w:tab w:val="left" w:pos="1620"/>
        </w:tabs>
        <w:jc w:val="both"/>
        <w:rPr>
          <w:rFonts w:ascii="Arial" w:hAnsi="Arial" w:cs="Arial"/>
          <w:b/>
          <w:sz w:val="22"/>
          <w:szCs w:val="22"/>
        </w:rPr>
      </w:pPr>
      <w:r w:rsidRPr="00864E96">
        <w:rPr>
          <w:rFonts w:ascii="Arial" w:hAnsi="Arial" w:cs="Arial"/>
          <w:b/>
          <w:sz w:val="22"/>
          <w:szCs w:val="22"/>
        </w:rPr>
        <w:t>B. Prior to First Disbursement:</w:t>
      </w:r>
    </w:p>
    <w:p w:rsidR="000A6CD4" w:rsidRDefault="000A6CD4" w:rsidP="000A6CD4">
      <w:pPr>
        <w:pStyle w:val="Default"/>
        <w:numPr>
          <w:ilvl w:val="2"/>
          <w:numId w:val="33"/>
        </w:numPr>
        <w:tabs>
          <w:tab w:val="left" w:pos="1620"/>
        </w:tabs>
        <w:ind w:left="1440" w:hanging="540"/>
        <w:jc w:val="both"/>
        <w:rPr>
          <w:rFonts w:ascii="Arial" w:hAnsi="Arial" w:cs="Arial"/>
          <w:sz w:val="22"/>
          <w:szCs w:val="22"/>
        </w:rPr>
      </w:pPr>
      <w:r w:rsidRPr="00BB52F3">
        <w:rPr>
          <w:rFonts w:ascii="Arial" w:hAnsi="Arial" w:cs="Arial"/>
          <w:sz w:val="22"/>
          <w:szCs w:val="22"/>
        </w:rPr>
        <w:t>Implement the Operating Manual designed for this Facility as a condition for first disbursement, and specifically apply the contractual conditions detailing particular environmental and social procedures and standards as defined within this ESMR.</w:t>
      </w:r>
    </w:p>
    <w:p w:rsidR="000A6CD4" w:rsidRDefault="000A6CD4" w:rsidP="000A6CD4">
      <w:pPr>
        <w:pStyle w:val="Default"/>
        <w:tabs>
          <w:tab w:val="left" w:pos="1620"/>
        </w:tabs>
        <w:jc w:val="both"/>
        <w:rPr>
          <w:rFonts w:ascii="Arial" w:hAnsi="Arial" w:cs="Arial"/>
          <w:sz w:val="22"/>
          <w:szCs w:val="22"/>
        </w:rPr>
      </w:pPr>
    </w:p>
    <w:p w:rsidR="000A6CD4" w:rsidRPr="00864E96" w:rsidRDefault="000A6CD4" w:rsidP="000A6CD4">
      <w:pPr>
        <w:pStyle w:val="Default"/>
        <w:tabs>
          <w:tab w:val="left" w:pos="1620"/>
        </w:tabs>
        <w:jc w:val="both"/>
        <w:rPr>
          <w:rFonts w:ascii="Arial" w:hAnsi="Arial" w:cs="Arial"/>
          <w:b/>
          <w:sz w:val="22"/>
          <w:szCs w:val="22"/>
        </w:rPr>
      </w:pPr>
      <w:r w:rsidRPr="00864E96">
        <w:rPr>
          <w:rFonts w:ascii="Arial" w:hAnsi="Arial" w:cs="Arial"/>
          <w:b/>
          <w:sz w:val="22"/>
          <w:szCs w:val="22"/>
        </w:rPr>
        <w:t>C. Reporting, Monitoring and Supervision</w:t>
      </w:r>
      <w:r w:rsidR="00864E96">
        <w:rPr>
          <w:rFonts w:ascii="Arial" w:hAnsi="Arial" w:cs="Arial"/>
          <w:b/>
          <w:sz w:val="22"/>
          <w:szCs w:val="22"/>
        </w:rPr>
        <w:t>:</w:t>
      </w:r>
    </w:p>
    <w:p w:rsidR="00191308" w:rsidRPr="00191308" w:rsidRDefault="00191308" w:rsidP="00191308">
      <w:pPr>
        <w:pStyle w:val="Paragraph"/>
        <w:numPr>
          <w:ilvl w:val="1"/>
          <w:numId w:val="1"/>
        </w:numPr>
        <w:ind w:hanging="990"/>
        <w:rPr>
          <w:rFonts w:ascii="Arial" w:hAnsi="Arial" w:cs="Arial"/>
          <w:color w:val="000000"/>
          <w:sz w:val="22"/>
          <w:szCs w:val="22"/>
          <w:lang w:val="en-US"/>
        </w:rPr>
      </w:pPr>
      <w:r w:rsidRPr="00191308">
        <w:rPr>
          <w:rFonts w:ascii="Arial" w:hAnsi="Arial" w:cs="Arial"/>
          <w:color w:val="000000"/>
          <w:sz w:val="22"/>
          <w:szCs w:val="22"/>
          <w:lang w:val="en-US"/>
        </w:rPr>
        <w:t xml:space="preserve">During the life of the Loan Agreement, CDB </w:t>
      </w:r>
      <w:r w:rsidR="00D14CED">
        <w:rPr>
          <w:rFonts w:ascii="Arial" w:hAnsi="Arial" w:cs="Arial"/>
          <w:color w:val="000000"/>
          <w:sz w:val="22"/>
          <w:szCs w:val="22"/>
          <w:lang w:val="en-US"/>
        </w:rPr>
        <w:t>will</w:t>
      </w:r>
      <w:r w:rsidRPr="00191308">
        <w:rPr>
          <w:rFonts w:ascii="Arial" w:hAnsi="Arial" w:cs="Arial"/>
          <w:color w:val="000000"/>
          <w:sz w:val="22"/>
          <w:szCs w:val="22"/>
          <w:lang w:val="en-US"/>
        </w:rPr>
        <w:t xml:space="preserve"> prepare and submit an Environmental and Social Compliance Report (ESCR), in form, content and frequency acceptable to IDB. This is expected to be annual, and include a list of individual investments each with their environmental and social impact and risk categorization, a summary of key impact and risk issues identified during screening, a summary of mitigation measures agreed, as well as the status of compliance with these mitigation measures (for those projects that have moved into execution/supervision), and/or status of compliance with a CAP (if any). </w:t>
      </w:r>
    </w:p>
    <w:p w:rsidR="00191308" w:rsidRDefault="00191308" w:rsidP="00191308">
      <w:pPr>
        <w:pStyle w:val="Paragraph"/>
        <w:numPr>
          <w:ilvl w:val="1"/>
          <w:numId w:val="1"/>
        </w:numPr>
        <w:ind w:hanging="990"/>
        <w:rPr>
          <w:rFonts w:ascii="Arial" w:hAnsi="Arial" w:cs="Arial"/>
          <w:color w:val="000000"/>
          <w:sz w:val="22"/>
          <w:szCs w:val="22"/>
          <w:lang w:val="en-US"/>
        </w:rPr>
      </w:pPr>
      <w:r w:rsidRPr="00191308">
        <w:rPr>
          <w:rFonts w:ascii="Arial" w:hAnsi="Arial" w:cs="Arial"/>
          <w:color w:val="000000"/>
          <w:sz w:val="22"/>
          <w:szCs w:val="22"/>
          <w:lang w:val="en-US"/>
        </w:rPr>
        <w:t>The IDB will supervise the environmental, social, health and safety, and labor aspects related to the use of the proceeds of the Facility semi-annually/annually. This supervision will be conducted by an in-house specialist (and as needed, with the assistance of an external independent environmental and social consultant)</w:t>
      </w:r>
      <w:r>
        <w:rPr>
          <w:rFonts w:ascii="Arial" w:hAnsi="Arial" w:cs="Arial"/>
          <w:color w:val="000000"/>
          <w:sz w:val="22"/>
          <w:szCs w:val="22"/>
          <w:lang w:val="en-US"/>
        </w:rPr>
        <w:t>.</w:t>
      </w:r>
      <w:r w:rsidRPr="00191308">
        <w:rPr>
          <w:rFonts w:ascii="Arial" w:hAnsi="Arial" w:cs="Arial"/>
          <w:color w:val="000000"/>
          <w:sz w:val="22"/>
          <w:szCs w:val="22"/>
          <w:lang w:val="en-US"/>
        </w:rPr>
        <w:t xml:space="preserve"> </w:t>
      </w:r>
    </w:p>
    <w:p w:rsidR="00C608D5" w:rsidRPr="00BB52F3" w:rsidRDefault="00C608D5" w:rsidP="00C608D5">
      <w:pPr>
        <w:pStyle w:val="Paragraph"/>
        <w:tabs>
          <w:tab w:val="clear" w:pos="720"/>
        </w:tabs>
        <w:rPr>
          <w:rFonts w:ascii="Arial" w:hAnsi="Arial" w:cs="Arial"/>
          <w:sz w:val="22"/>
          <w:szCs w:val="22"/>
          <w:lang w:val="en-US"/>
        </w:rPr>
      </w:pPr>
    </w:p>
    <w:p w:rsidR="00C608D5" w:rsidRPr="00BB52F3" w:rsidRDefault="00C608D5" w:rsidP="00C608D5">
      <w:pPr>
        <w:pStyle w:val="ListParagraph"/>
        <w:tabs>
          <w:tab w:val="left" w:pos="810"/>
        </w:tabs>
        <w:suppressAutoHyphens/>
        <w:autoSpaceDN w:val="0"/>
        <w:spacing w:before="120" w:after="120" w:line="240" w:lineRule="auto"/>
        <w:ind w:left="900"/>
        <w:jc w:val="both"/>
        <w:textAlignment w:val="baseline"/>
        <w:outlineLvl w:val="1"/>
        <w:rPr>
          <w:rFonts w:ascii="Arial" w:eastAsia="Times New Roman" w:hAnsi="Arial" w:cs="Arial"/>
          <w:b/>
        </w:rPr>
      </w:pPr>
      <w:r w:rsidRPr="00BB52F3">
        <w:rPr>
          <w:rFonts w:ascii="Arial" w:hAnsi="Arial" w:cs="Arial"/>
        </w:rPr>
        <w:br w:type="page"/>
      </w:r>
      <w:r w:rsidRPr="00BB52F3">
        <w:rPr>
          <w:rFonts w:ascii="Arial" w:eastAsia="Times New Roman" w:hAnsi="Arial" w:cs="Arial"/>
          <w:b/>
        </w:rPr>
        <w:lastRenderedPageBreak/>
        <w:t>Annex 1:</w:t>
      </w:r>
    </w:p>
    <w:p w:rsidR="00C608D5" w:rsidRPr="00BB52F3" w:rsidRDefault="00C608D5" w:rsidP="00C608D5">
      <w:pPr>
        <w:pStyle w:val="ListParagraph"/>
        <w:tabs>
          <w:tab w:val="left" w:pos="810"/>
        </w:tabs>
        <w:suppressAutoHyphens/>
        <w:autoSpaceDN w:val="0"/>
        <w:spacing w:before="120" w:after="120" w:line="240" w:lineRule="auto"/>
        <w:ind w:left="900"/>
        <w:jc w:val="center"/>
        <w:textAlignment w:val="baseline"/>
        <w:outlineLvl w:val="1"/>
        <w:rPr>
          <w:rFonts w:ascii="Arial" w:eastAsia="Times New Roman" w:hAnsi="Arial" w:cs="Arial"/>
          <w:b/>
        </w:rPr>
      </w:pPr>
    </w:p>
    <w:p w:rsidR="00C608D5" w:rsidRPr="00BB52F3" w:rsidRDefault="00C608D5" w:rsidP="00C608D5">
      <w:pPr>
        <w:pStyle w:val="ListParagraph"/>
        <w:tabs>
          <w:tab w:val="left" w:pos="810"/>
        </w:tabs>
        <w:suppressAutoHyphens/>
        <w:autoSpaceDN w:val="0"/>
        <w:spacing w:before="120" w:after="120" w:line="240" w:lineRule="auto"/>
        <w:ind w:left="900"/>
        <w:jc w:val="center"/>
        <w:textAlignment w:val="baseline"/>
        <w:outlineLvl w:val="1"/>
        <w:rPr>
          <w:rFonts w:ascii="Arial" w:eastAsia="Times New Roman" w:hAnsi="Arial" w:cs="Arial"/>
          <w:b/>
        </w:rPr>
      </w:pPr>
      <w:r w:rsidRPr="00BB52F3">
        <w:rPr>
          <w:rFonts w:ascii="Arial" w:eastAsia="Times New Roman" w:hAnsi="Arial" w:cs="Arial"/>
          <w:b/>
        </w:rPr>
        <w:t>Map 1: Dominica Map with Production and Reinjection Wells</w:t>
      </w:r>
    </w:p>
    <w:p w:rsidR="00C608D5" w:rsidRPr="00BB52F3" w:rsidRDefault="00C608D5" w:rsidP="00C608D5">
      <w:pPr>
        <w:pStyle w:val="ListParagraph"/>
        <w:tabs>
          <w:tab w:val="left" w:pos="810"/>
        </w:tabs>
        <w:suppressAutoHyphens/>
        <w:autoSpaceDN w:val="0"/>
        <w:spacing w:before="120" w:after="120" w:line="240" w:lineRule="auto"/>
        <w:ind w:left="900"/>
        <w:jc w:val="center"/>
        <w:textAlignment w:val="baseline"/>
        <w:outlineLvl w:val="1"/>
        <w:rPr>
          <w:rFonts w:ascii="Arial" w:eastAsia="Times New Roman" w:hAnsi="Arial" w:cs="Arial"/>
          <w:b/>
          <w:sz w:val="28"/>
          <w:szCs w:val="28"/>
        </w:rPr>
      </w:pPr>
      <w:r w:rsidRPr="00BB52F3">
        <w:rPr>
          <w:rFonts w:ascii="Arial" w:hAnsi="Arial" w:cs="Arial"/>
          <w:noProof/>
        </w:rPr>
        <w:drawing>
          <wp:inline distT="0" distB="0" distL="0" distR="0" wp14:anchorId="43B486FF" wp14:editId="7FABC24B">
            <wp:extent cx="3384451" cy="5254840"/>
            <wp:effectExtent l="0" t="1905" r="5080" b="5080"/>
            <wp:docPr id="1" name="Picture 1" descr="cid:image001.png@01D0A823.91AC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A823.91AC150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5400000">
                      <a:off x="0" y="0"/>
                      <a:ext cx="3384411" cy="5254779"/>
                    </a:xfrm>
                    <a:prstGeom prst="rect">
                      <a:avLst/>
                    </a:prstGeom>
                    <a:noFill/>
                    <a:ln>
                      <a:noFill/>
                    </a:ln>
                  </pic:spPr>
                </pic:pic>
              </a:graphicData>
            </a:graphic>
          </wp:inline>
        </w:drawing>
      </w:r>
    </w:p>
    <w:p w:rsidR="00C608D5" w:rsidRPr="00BB52F3" w:rsidRDefault="00C608D5">
      <w:pPr>
        <w:rPr>
          <w:rFonts w:ascii="Arial" w:eastAsia="Times New Roman" w:hAnsi="Arial" w:cs="Arial"/>
          <w:sz w:val="24"/>
          <w:szCs w:val="24"/>
        </w:rPr>
      </w:pPr>
    </w:p>
    <w:p w:rsidR="00C608D5" w:rsidRPr="00BB52F3" w:rsidRDefault="00C608D5">
      <w:pPr>
        <w:rPr>
          <w:rFonts w:ascii="Arial" w:eastAsia="Times New Roman" w:hAnsi="Arial" w:cs="Arial"/>
          <w:b/>
          <w:sz w:val="24"/>
          <w:szCs w:val="24"/>
        </w:rPr>
      </w:pPr>
      <w:r w:rsidRPr="00BB52F3">
        <w:rPr>
          <w:rFonts w:ascii="Arial" w:eastAsia="Times New Roman" w:hAnsi="Arial" w:cs="Arial"/>
          <w:b/>
          <w:sz w:val="24"/>
          <w:szCs w:val="24"/>
        </w:rPr>
        <w:br w:type="page"/>
      </w:r>
    </w:p>
    <w:p w:rsidR="00C608D5" w:rsidRPr="00864E96" w:rsidRDefault="00C608D5" w:rsidP="00864E96">
      <w:pPr>
        <w:jc w:val="center"/>
        <w:rPr>
          <w:b/>
        </w:rPr>
      </w:pPr>
      <w:r w:rsidRPr="00864E96">
        <w:rPr>
          <w:b/>
        </w:rPr>
        <w:lastRenderedPageBreak/>
        <w:t>Map 2: Nevis Map detailing proposed site and concessional area</w:t>
      </w:r>
    </w:p>
    <w:p w:rsidR="00C608D5" w:rsidRPr="00BB52F3" w:rsidRDefault="00C608D5" w:rsidP="00C608D5">
      <w:pPr>
        <w:jc w:val="center"/>
        <w:rPr>
          <w:rFonts w:ascii="Arial" w:eastAsia="Times New Roman" w:hAnsi="Arial" w:cs="Arial"/>
          <w:b/>
          <w:sz w:val="24"/>
          <w:szCs w:val="24"/>
        </w:rPr>
      </w:pPr>
      <w:r w:rsidRPr="00BB52F3">
        <w:rPr>
          <w:rFonts w:ascii="Arial" w:hAnsi="Arial" w:cs="Arial"/>
          <w:noProof/>
        </w:rPr>
        <w:drawing>
          <wp:inline distT="0" distB="0" distL="0" distR="0" wp14:anchorId="7B49B965" wp14:editId="565A4529">
            <wp:extent cx="3966466" cy="4985432"/>
            <wp:effectExtent l="4762" t="0" r="953" b="952"/>
            <wp:docPr id="2" name="Picture 2" descr="cid:image002.png@01D0A823.F7E6E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A823.F7E6E3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5400000">
                      <a:off x="0" y="0"/>
                      <a:ext cx="3975558" cy="4996859"/>
                    </a:xfrm>
                    <a:prstGeom prst="rect">
                      <a:avLst/>
                    </a:prstGeom>
                    <a:noFill/>
                    <a:ln>
                      <a:noFill/>
                    </a:ln>
                  </pic:spPr>
                </pic:pic>
              </a:graphicData>
            </a:graphic>
          </wp:inline>
        </w:drawing>
      </w:r>
    </w:p>
    <w:sectPr w:rsidR="00C608D5" w:rsidRPr="00BB52F3" w:rsidSect="00864E96">
      <w:headerReference w:type="default"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512" w:rsidRDefault="00D83512" w:rsidP="00F01B9A">
      <w:pPr>
        <w:spacing w:after="0" w:line="240" w:lineRule="auto"/>
      </w:pPr>
      <w:r>
        <w:separator/>
      </w:r>
    </w:p>
  </w:endnote>
  <w:endnote w:type="continuationSeparator" w:id="0">
    <w:p w:rsidR="00D83512" w:rsidRDefault="00D83512" w:rsidP="00F01B9A">
      <w:pPr>
        <w:spacing w:after="0" w:line="240" w:lineRule="auto"/>
      </w:pPr>
      <w:r>
        <w:continuationSeparator/>
      </w:r>
    </w:p>
  </w:endnote>
  <w:endnote w:id="1">
    <w:p w:rsidR="001A71C6" w:rsidRPr="00864E96" w:rsidRDefault="001A71C6" w:rsidP="00E96555">
      <w:pPr>
        <w:pStyle w:val="EndnoteText"/>
        <w:rPr>
          <w:lang w:val="es-ES_tradn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E96" w:rsidRDefault="00864E96">
    <w:pPr>
      <w:pStyle w:val="Footer"/>
      <w:jc w:val="center"/>
    </w:pPr>
    <w:r>
      <w:t>-</w:t>
    </w:r>
    <w:sdt>
      <w:sdtPr>
        <w:id w:val="5335518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79B7">
          <w:rPr>
            <w:noProof/>
          </w:rPr>
          <w:t>8</w:t>
        </w:r>
        <w:r>
          <w:rPr>
            <w:noProof/>
          </w:rPr>
          <w:fldChar w:fldCharType="end"/>
        </w:r>
        <w:r>
          <w:rPr>
            <w:noProof/>
          </w:rPr>
          <w:t>-</w:t>
        </w:r>
      </w:sdtContent>
    </w:sdt>
  </w:p>
  <w:p w:rsidR="001A71C6" w:rsidRDefault="001A71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512" w:rsidRDefault="00D83512" w:rsidP="00F01B9A">
      <w:pPr>
        <w:spacing w:after="0" w:line="240" w:lineRule="auto"/>
      </w:pPr>
      <w:r>
        <w:separator/>
      </w:r>
    </w:p>
  </w:footnote>
  <w:footnote w:type="continuationSeparator" w:id="0">
    <w:p w:rsidR="00D83512" w:rsidRDefault="00D83512" w:rsidP="00F01B9A">
      <w:pPr>
        <w:spacing w:after="0" w:line="240" w:lineRule="auto"/>
      </w:pPr>
      <w:r>
        <w:continuationSeparator/>
      </w:r>
    </w:p>
  </w:footnote>
  <w:footnote w:id="1">
    <w:p w:rsidR="00B40805" w:rsidRPr="00691A79" w:rsidRDefault="00B40805" w:rsidP="00B40805">
      <w:pPr>
        <w:pStyle w:val="FootnoteText"/>
        <w:ind w:left="270" w:hanging="270"/>
        <w:rPr>
          <w:rFonts w:ascii="Arial" w:hAnsi="Arial" w:cs="Arial"/>
          <w:sz w:val="18"/>
          <w:szCs w:val="18"/>
        </w:rPr>
      </w:pPr>
      <w:r w:rsidRPr="00691A79">
        <w:rPr>
          <w:rStyle w:val="FootnoteReference"/>
          <w:rFonts w:ascii="Arial" w:hAnsi="Arial" w:cs="Arial"/>
          <w:szCs w:val="18"/>
        </w:rPr>
        <w:footnoteRef/>
      </w:r>
      <w:r w:rsidRPr="00691A79">
        <w:rPr>
          <w:rFonts w:ascii="Arial" w:hAnsi="Arial" w:cs="Arial"/>
          <w:sz w:val="18"/>
          <w:szCs w:val="18"/>
        </w:rPr>
        <w:t xml:space="preserve"> </w:t>
      </w:r>
      <w:r w:rsidRPr="00691A79">
        <w:rPr>
          <w:rFonts w:ascii="Arial" w:hAnsi="Arial" w:cs="Arial"/>
          <w:sz w:val="18"/>
          <w:szCs w:val="18"/>
        </w:rPr>
        <w:tab/>
        <w:t xml:space="preserve">Including in the form of Special Purpose Vehicles that may be led by a government or by the private sector. During the Analysis Mission the </w:t>
      </w:r>
      <w:r>
        <w:rPr>
          <w:rFonts w:ascii="Arial" w:hAnsi="Arial" w:cs="Arial"/>
          <w:sz w:val="18"/>
          <w:szCs w:val="18"/>
        </w:rPr>
        <w:t>p</w:t>
      </w:r>
      <w:r w:rsidRPr="00691A79">
        <w:rPr>
          <w:rFonts w:ascii="Arial" w:hAnsi="Arial" w:cs="Arial"/>
          <w:sz w:val="18"/>
          <w:szCs w:val="18"/>
        </w:rPr>
        <w:t xml:space="preserve">roject </w:t>
      </w:r>
      <w:r>
        <w:rPr>
          <w:rFonts w:ascii="Arial" w:hAnsi="Arial" w:cs="Arial"/>
          <w:sz w:val="18"/>
          <w:szCs w:val="18"/>
        </w:rPr>
        <w:t>t</w:t>
      </w:r>
      <w:r w:rsidRPr="00691A79">
        <w:rPr>
          <w:rFonts w:ascii="Arial" w:hAnsi="Arial" w:cs="Arial"/>
          <w:sz w:val="18"/>
          <w:szCs w:val="18"/>
        </w:rPr>
        <w:t xml:space="preserve">eam engaged with several potential GE private developers that are interested in obtaining funds for the SEF to mitigate risk during early stages of GE development.  </w:t>
      </w:r>
    </w:p>
  </w:footnote>
  <w:footnote w:id="2">
    <w:p w:rsidR="00B40805" w:rsidRPr="00691A79" w:rsidRDefault="00B40805" w:rsidP="00B40805">
      <w:pPr>
        <w:pStyle w:val="FootnoteText"/>
        <w:ind w:left="270" w:hanging="270"/>
        <w:rPr>
          <w:rFonts w:ascii="Arial" w:hAnsi="Arial" w:cs="Arial"/>
          <w:sz w:val="18"/>
          <w:szCs w:val="18"/>
        </w:rPr>
      </w:pPr>
      <w:r w:rsidRPr="00691A79">
        <w:rPr>
          <w:rStyle w:val="FootnoteReference"/>
          <w:rFonts w:ascii="Arial" w:hAnsi="Arial" w:cs="Arial"/>
          <w:szCs w:val="18"/>
        </w:rPr>
        <w:footnoteRef/>
      </w:r>
      <w:r w:rsidRPr="00691A79">
        <w:rPr>
          <w:rFonts w:ascii="Arial" w:hAnsi="Arial" w:cs="Arial"/>
          <w:sz w:val="18"/>
          <w:szCs w:val="18"/>
        </w:rPr>
        <w:t xml:space="preserve"> </w:t>
      </w:r>
      <w:r w:rsidRPr="00691A79">
        <w:rPr>
          <w:rFonts w:ascii="Arial" w:hAnsi="Arial" w:cs="Arial"/>
          <w:sz w:val="18"/>
          <w:szCs w:val="18"/>
        </w:rPr>
        <w:tab/>
        <w:t>Preliminary studies indicate projects require concessional terms and grant funding in order for GE projects to be feasible and for expected results to be materialized</w:t>
      </w:r>
      <w:r>
        <w:rPr>
          <w:rFonts w:ascii="Arial" w:hAnsi="Arial" w:cs="Arial"/>
          <w:sz w:val="18"/>
          <w:szCs w:val="18"/>
        </w:rPr>
        <w:t xml:space="preserve">. </w:t>
      </w:r>
    </w:p>
  </w:footnote>
  <w:footnote w:id="3">
    <w:p w:rsidR="001A71C6" w:rsidRPr="00864E96" w:rsidRDefault="001A71C6" w:rsidP="00864E96">
      <w:pPr>
        <w:pStyle w:val="FootnoteText"/>
        <w:tabs>
          <w:tab w:val="left" w:pos="90"/>
        </w:tabs>
        <w:ind w:left="180" w:hanging="180"/>
        <w:rPr>
          <w:rFonts w:ascii="Arial" w:hAnsi="Arial" w:cs="Arial"/>
          <w:sz w:val="18"/>
          <w:szCs w:val="18"/>
        </w:rPr>
      </w:pPr>
      <w:r w:rsidRPr="00864E96">
        <w:rPr>
          <w:rStyle w:val="FootnoteReference"/>
          <w:rFonts w:ascii="Arial" w:hAnsi="Arial" w:cs="Arial"/>
          <w:sz w:val="18"/>
          <w:szCs w:val="18"/>
        </w:rPr>
        <w:footnoteRef/>
      </w:r>
      <w:r w:rsidRPr="00864E96">
        <w:rPr>
          <w:rFonts w:ascii="Arial" w:hAnsi="Arial" w:cs="Arial"/>
          <w:sz w:val="18"/>
          <w:szCs w:val="18"/>
        </w:rPr>
        <w:t xml:space="preserve"> </w:t>
      </w:r>
      <w:r w:rsidR="00864E96">
        <w:rPr>
          <w:rFonts w:ascii="Arial" w:hAnsi="Arial" w:cs="Arial"/>
          <w:sz w:val="18"/>
          <w:szCs w:val="18"/>
        </w:rPr>
        <w:tab/>
      </w:r>
      <w:r w:rsidRPr="00864E96">
        <w:rPr>
          <w:rFonts w:ascii="Arial" w:hAnsi="Arial" w:cs="Arial"/>
          <w:sz w:val="18"/>
          <w:szCs w:val="18"/>
        </w:rPr>
        <w:t xml:space="preserve">The team’s visit was not conducted as formal E&amp;S sub-project due diligence, but rather to gather initial baseline information given the sensitivity of the sub-project locations.  During CDB’s subsequent appraisal of sub-project opportunities and in each instance of Geothermal and other Category A sub-projects, IDB will undertake a hand-in-hand due diligence evaluation to evaluate E&amp;S gaps and </w:t>
      </w:r>
      <w:r w:rsidR="00DC1797" w:rsidRPr="00864E96">
        <w:rPr>
          <w:rFonts w:ascii="Arial" w:hAnsi="Arial" w:cs="Arial"/>
          <w:sz w:val="18"/>
          <w:szCs w:val="18"/>
        </w:rPr>
        <w:t xml:space="preserve">mitigation measures </w:t>
      </w:r>
      <w:r w:rsidRPr="00864E96">
        <w:rPr>
          <w:rFonts w:ascii="Arial" w:hAnsi="Arial" w:cs="Arial"/>
          <w:sz w:val="18"/>
          <w:szCs w:val="18"/>
        </w:rPr>
        <w:t>s in conformance with the IFC Performance Standards and WB EHS Guidelines.</w:t>
      </w:r>
    </w:p>
  </w:footnote>
  <w:footnote w:id="4">
    <w:p w:rsidR="001A71C6" w:rsidRPr="00864E96" w:rsidRDefault="001A71C6" w:rsidP="00864E96">
      <w:pPr>
        <w:pStyle w:val="FootnoteText"/>
        <w:ind w:left="90" w:hanging="90"/>
        <w:rPr>
          <w:rFonts w:ascii="Arial" w:hAnsi="Arial" w:cs="Arial"/>
          <w:sz w:val="18"/>
          <w:szCs w:val="18"/>
        </w:rPr>
      </w:pPr>
      <w:r w:rsidRPr="00864E96">
        <w:rPr>
          <w:rStyle w:val="FootnoteReference"/>
          <w:rFonts w:ascii="Arial" w:hAnsi="Arial" w:cs="Arial"/>
          <w:sz w:val="18"/>
          <w:szCs w:val="18"/>
        </w:rPr>
        <w:footnoteRef/>
      </w:r>
      <w:r w:rsidRPr="00864E96">
        <w:rPr>
          <w:rFonts w:ascii="Arial" w:hAnsi="Arial" w:cs="Arial"/>
          <w:sz w:val="18"/>
          <w:szCs w:val="18"/>
        </w:rPr>
        <w:t xml:space="preserve"> While Dominica is at this advanced stage, clarity </w:t>
      </w:r>
      <w:r w:rsidR="00DC69CC" w:rsidRPr="00864E96">
        <w:rPr>
          <w:rFonts w:ascii="Arial" w:hAnsi="Arial" w:cs="Arial"/>
          <w:sz w:val="18"/>
          <w:szCs w:val="18"/>
        </w:rPr>
        <w:t xml:space="preserve">on the applicable regulatory framework </w:t>
      </w:r>
      <w:r w:rsidRPr="00864E96">
        <w:rPr>
          <w:rFonts w:ascii="Arial" w:hAnsi="Arial" w:cs="Arial"/>
          <w:sz w:val="18"/>
          <w:szCs w:val="18"/>
        </w:rPr>
        <w:t>is still needed</w:t>
      </w:r>
      <w:r w:rsidR="006D5C57" w:rsidRPr="00864E96">
        <w:rPr>
          <w:rFonts w:ascii="Arial" w:hAnsi="Arial" w:cs="Arial"/>
          <w:sz w:val="18"/>
          <w:szCs w:val="18"/>
        </w:rPr>
        <w:t>,</w:t>
      </w:r>
      <w:r w:rsidRPr="00864E96">
        <w:rPr>
          <w:rFonts w:ascii="Arial" w:hAnsi="Arial" w:cs="Arial"/>
          <w:sz w:val="18"/>
          <w:szCs w:val="18"/>
        </w:rPr>
        <w:t xml:space="preserve"> the absence of which hinders both developer and financier commitment going forward.  Currently, while various versions of a Geothermal Bill have been drafted, no clear law exists that would provide clarity to investors and developers on the permitting, approval, and resource ownership structure for future development.    </w:t>
      </w:r>
    </w:p>
  </w:footnote>
  <w:footnote w:id="5">
    <w:p w:rsidR="00A05729" w:rsidRPr="00864E96" w:rsidRDefault="00A05729">
      <w:pPr>
        <w:pStyle w:val="FootnoteText"/>
        <w:rPr>
          <w:rFonts w:ascii="Arial" w:hAnsi="Arial" w:cs="Arial"/>
          <w:sz w:val="18"/>
          <w:szCs w:val="18"/>
        </w:rPr>
      </w:pPr>
      <w:r w:rsidRPr="00864E96">
        <w:rPr>
          <w:rStyle w:val="FootnoteReference"/>
          <w:rFonts w:ascii="Arial" w:hAnsi="Arial" w:cs="Arial"/>
          <w:sz w:val="18"/>
          <w:szCs w:val="18"/>
        </w:rPr>
        <w:footnoteRef/>
      </w:r>
      <w:r w:rsidRPr="00864E96">
        <w:rPr>
          <w:rFonts w:ascii="Arial" w:hAnsi="Arial" w:cs="Arial"/>
          <w:sz w:val="18"/>
          <w:szCs w:val="18"/>
        </w:rPr>
        <w:t xml:space="preserve"> </w:t>
      </w:r>
      <w:hyperlink r:id="rId1" w:history="1">
        <w:r w:rsidR="00864E96" w:rsidRPr="00B2675A">
          <w:rPr>
            <w:rStyle w:val="Hyperlink"/>
            <w:rFonts w:ascii="Arial" w:hAnsi="Arial" w:cs="Arial"/>
            <w:sz w:val="18"/>
            <w:szCs w:val="18"/>
          </w:rPr>
          <w:t>http://www.iadb.org/en/projects/project-description-title,1303.html?id=RG-L1018</w:t>
        </w:r>
      </w:hyperlink>
      <w:r w:rsidR="00864E96">
        <w:rPr>
          <w:rFonts w:ascii="Arial" w:hAnsi="Arial" w:cs="Arial"/>
          <w:sz w:val="18"/>
          <w:szCs w:val="18"/>
        </w:rPr>
        <w:t xml:space="preserve"> </w:t>
      </w:r>
    </w:p>
  </w:footnote>
  <w:footnote w:id="6">
    <w:p w:rsidR="00D63B17" w:rsidRPr="00D63B17" w:rsidRDefault="00D63B17">
      <w:pPr>
        <w:pStyle w:val="FootnoteText"/>
        <w:rPr>
          <w:rFonts w:ascii="Arial" w:hAnsi="Arial" w:cs="Arial"/>
        </w:rPr>
      </w:pPr>
      <w:r w:rsidRPr="00D63B17">
        <w:rPr>
          <w:rStyle w:val="FootnoteReference"/>
          <w:rFonts w:ascii="Arial" w:hAnsi="Arial" w:cs="Arial"/>
        </w:rPr>
        <w:footnoteRef/>
      </w:r>
      <w:r w:rsidRPr="00D63B17">
        <w:rPr>
          <w:rFonts w:ascii="Arial" w:hAnsi="Arial" w:cs="Arial"/>
        </w:rPr>
        <w:t xml:space="preserve"> CDB usually includes its corrective action</w:t>
      </w:r>
      <w:r>
        <w:rPr>
          <w:rFonts w:ascii="Arial" w:hAnsi="Arial" w:cs="Arial"/>
        </w:rPr>
        <w:t>s</w:t>
      </w:r>
      <w:r w:rsidRPr="00D63B17">
        <w:rPr>
          <w:rFonts w:ascii="Arial" w:hAnsi="Arial" w:cs="Arial"/>
        </w:rPr>
        <w:t xml:space="preserve"> in Aide Memoires</w:t>
      </w:r>
    </w:p>
  </w:footnote>
  <w:footnote w:id="7">
    <w:p w:rsidR="00C42063" w:rsidRDefault="00C42063">
      <w:pPr>
        <w:pStyle w:val="FootnoteText"/>
      </w:pPr>
      <w:r>
        <w:rPr>
          <w:rStyle w:val="FootnoteReference"/>
        </w:rPr>
        <w:footnoteRef/>
      </w:r>
      <w:r>
        <w:t xml:space="preserve"> </w:t>
      </w:r>
      <w:r w:rsidRPr="00C42063">
        <w:t>Category A projects in sectors that are not in geothermal or associated with a geothermal project will come to IDB only for non-objection.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F3" w:rsidRPr="00F60DF1" w:rsidRDefault="00BB52F3" w:rsidP="00F60DF1">
    <w:pPr>
      <w:pStyle w:val="Header"/>
      <w:jc w:val="righ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67DD"/>
    <w:multiLevelType w:val="hybridMultilevel"/>
    <w:tmpl w:val="2A1CDE46"/>
    <w:lvl w:ilvl="0" w:tplc="6540E76E">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F4BB7"/>
    <w:multiLevelType w:val="hybridMultilevel"/>
    <w:tmpl w:val="C2D03892"/>
    <w:lvl w:ilvl="0" w:tplc="E5E885D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65A51"/>
    <w:multiLevelType w:val="hybridMultilevel"/>
    <w:tmpl w:val="47B0B2A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AB7FC9"/>
    <w:multiLevelType w:val="multilevel"/>
    <w:tmpl w:val="77406448"/>
    <w:lvl w:ilvl="0">
      <w:start w:val="1"/>
      <w:numFmt w:val="upperRoman"/>
      <w:lvlText w:val="%1."/>
      <w:lvlJc w:val="center"/>
      <w:pPr>
        <w:tabs>
          <w:tab w:val="num" w:pos="3510"/>
        </w:tabs>
        <w:ind w:left="2862" w:firstLine="288"/>
      </w:pPr>
      <w:rPr>
        <w:rFonts w:hint="default"/>
        <w:b/>
        <w:i w:val="0"/>
        <w:sz w:val="24"/>
        <w:szCs w:val="24"/>
      </w:rPr>
    </w:lvl>
    <w:lvl w:ilvl="1">
      <w:start w:val="1"/>
      <w:numFmt w:val="decimal"/>
      <w:lvlText w:val="2.%2"/>
      <w:lvlJc w:val="left"/>
      <w:pPr>
        <w:tabs>
          <w:tab w:val="num" w:pos="720"/>
        </w:tabs>
        <w:ind w:left="720" w:hanging="720"/>
      </w:pPr>
      <w:rPr>
        <w:rFonts w:hint="default"/>
      </w:rPr>
    </w:lvl>
    <w:lvl w:ilvl="2">
      <w:start w:val="1"/>
      <w:numFmt w:val="lowerLetter"/>
      <w:lvlText w:val="%3."/>
      <w:lvlJc w:val="left"/>
      <w:pPr>
        <w:tabs>
          <w:tab w:val="num" w:pos="3582"/>
        </w:tabs>
        <w:ind w:left="358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4">
    <w:nsid w:val="0E3361A6"/>
    <w:multiLevelType w:val="multilevel"/>
    <w:tmpl w:val="D98667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E43411"/>
    <w:multiLevelType w:val="hybridMultilevel"/>
    <w:tmpl w:val="C5AE22AA"/>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nsid w:val="15AD55AA"/>
    <w:multiLevelType w:val="multilevel"/>
    <w:tmpl w:val="6BD8AACC"/>
    <w:lvl w:ilvl="0">
      <w:start w:val="1"/>
      <w:numFmt w:val="upperRoman"/>
      <w:lvlRestart w:val="0"/>
      <w:lvlText w:val="%1."/>
      <w:lvlJc w:val="center"/>
      <w:pPr>
        <w:tabs>
          <w:tab w:val="num" w:pos="2088"/>
        </w:tabs>
        <w:ind w:left="1440" w:firstLine="288"/>
      </w:pPr>
      <w:rPr>
        <w:rFonts w:hint="default"/>
        <w:b/>
        <w:i w:val="0"/>
      </w:rPr>
    </w:lvl>
    <w:lvl w:ilvl="1">
      <w:start w:val="3"/>
      <w:numFmt w:val="decimal"/>
      <w:isLgl/>
      <w:lvlText w:val="%1.%2"/>
      <w:lvlJc w:val="left"/>
      <w:pPr>
        <w:tabs>
          <w:tab w:val="num" w:pos="2736"/>
        </w:tabs>
        <w:ind w:left="2736" w:hanging="1296"/>
      </w:pPr>
      <w:rPr>
        <w:rFonts w:hint="default"/>
        <w:lang w:val="es-ES"/>
      </w:rPr>
    </w:lvl>
    <w:lvl w:ilvl="2">
      <w:start w:val="1"/>
      <w:numFmt w:val="lowerLetter"/>
      <w:lvlText w:val="%3."/>
      <w:lvlJc w:val="left"/>
      <w:pPr>
        <w:tabs>
          <w:tab w:val="num" w:pos="2592"/>
        </w:tabs>
        <w:ind w:left="2592" w:hanging="432"/>
      </w:pPr>
      <w:rPr>
        <w:rFonts w:hint="default"/>
      </w:rPr>
    </w:lvl>
    <w:lvl w:ilvl="3">
      <w:start w:val="1"/>
      <w:numFmt w:val="lowerRoman"/>
      <w:lvlText w:val="%4."/>
      <w:lvlJc w:val="right"/>
      <w:pPr>
        <w:tabs>
          <w:tab w:val="num" w:pos="3024"/>
        </w:tabs>
        <w:ind w:left="3024" w:hanging="288"/>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7">
    <w:nsid w:val="1E322CFA"/>
    <w:multiLevelType w:val="multilevel"/>
    <w:tmpl w:val="81029D2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66F348C"/>
    <w:multiLevelType w:val="hybridMultilevel"/>
    <w:tmpl w:val="30EE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7158E6"/>
    <w:multiLevelType w:val="hybridMultilevel"/>
    <w:tmpl w:val="62D032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57A7B"/>
    <w:multiLevelType w:val="multilevel"/>
    <w:tmpl w:val="B562E908"/>
    <w:lvl w:ilvl="0">
      <w:start w:val="1"/>
      <w:numFmt w:val="upperRoman"/>
      <w:lvlRestart w:val="0"/>
      <w:lvlText w:val="%1."/>
      <w:lvlJc w:val="center"/>
      <w:pPr>
        <w:tabs>
          <w:tab w:val="num" w:pos="4680"/>
        </w:tabs>
        <w:ind w:left="4032" w:firstLine="288"/>
      </w:pPr>
      <w:rPr>
        <w:rFonts w:cs="Times New Roman"/>
        <w:b/>
        <w:i w:val="0"/>
      </w:rPr>
    </w:lvl>
    <w:lvl w:ilvl="1">
      <w:start w:val="1"/>
      <w:numFmt w:val="decimal"/>
      <w:isLgl/>
      <w:lvlText w:val="%1.%2"/>
      <w:lvlJc w:val="left"/>
      <w:pPr>
        <w:tabs>
          <w:tab w:val="num" w:pos="5328"/>
        </w:tabs>
        <w:ind w:left="5328" w:hanging="1296"/>
      </w:pPr>
      <w:rPr>
        <w:rFonts w:cs="Times New Roman"/>
      </w:rPr>
    </w:lvl>
    <w:lvl w:ilvl="2">
      <w:start w:val="1"/>
      <w:numFmt w:val="lowerLetter"/>
      <w:lvlText w:val="%3."/>
      <w:lvlJc w:val="left"/>
      <w:pPr>
        <w:tabs>
          <w:tab w:val="num" w:pos="5184"/>
        </w:tabs>
        <w:ind w:left="5184" w:hanging="432"/>
      </w:pPr>
      <w:rPr>
        <w:rFonts w:cs="Times New Roman"/>
      </w:rPr>
    </w:lvl>
    <w:lvl w:ilvl="3">
      <w:start w:val="1"/>
      <w:numFmt w:val="lowerRoman"/>
      <w:lvlText w:val="%4."/>
      <w:lvlJc w:val="right"/>
      <w:pPr>
        <w:tabs>
          <w:tab w:val="num" w:pos="5616"/>
        </w:tabs>
        <w:ind w:left="5616" w:hanging="288"/>
      </w:pPr>
      <w:rPr>
        <w:rFonts w:cs="Times New Roman"/>
      </w:rPr>
    </w:lvl>
    <w:lvl w:ilvl="4">
      <w:start w:val="1"/>
      <w:numFmt w:val="decimal"/>
      <w:lvlText w:val="%1.%2.%3.%4.%5"/>
      <w:lvlJc w:val="left"/>
      <w:pPr>
        <w:ind w:left="5040" w:hanging="1008"/>
      </w:pPr>
      <w:rPr>
        <w:rFonts w:cs="Times New Roman"/>
      </w:rPr>
    </w:lvl>
    <w:lvl w:ilvl="5">
      <w:start w:val="1"/>
      <w:numFmt w:val="decimal"/>
      <w:lvlText w:val="%1.%2.%3.%4.%5.%6"/>
      <w:lvlJc w:val="left"/>
      <w:pPr>
        <w:ind w:left="5184" w:hanging="1152"/>
      </w:pPr>
      <w:rPr>
        <w:rFonts w:cs="Times New Roman"/>
      </w:rPr>
    </w:lvl>
    <w:lvl w:ilvl="6">
      <w:start w:val="1"/>
      <w:numFmt w:val="decimal"/>
      <w:lvlText w:val="%1.%2.%3.%4.%5.%6.%7"/>
      <w:lvlJc w:val="left"/>
      <w:pPr>
        <w:ind w:left="5328" w:hanging="1296"/>
      </w:pPr>
      <w:rPr>
        <w:rFonts w:cs="Times New Roman"/>
      </w:rPr>
    </w:lvl>
    <w:lvl w:ilvl="7">
      <w:start w:val="1"/>
      <w:numFmt w:val="decimal"/>
      <w:lvlText w:val="%1.%2.%3.%4.%5.%6.%7.%8"/>
      <w:lvlJc w:val="left"/>
      <w:pPr>
        <w:ind w:left="5472" w:hanging="1440"/>
      </w:pPr>
      <w:rPr>
        <w:rFonts w:cs="Times New Roman"/>
      </w:rPr>
    </w:lvl>
    <w:lvl w:ilvl="8">
      <w:start w:val="1"/>
      <w:numFmt w:val="decimal"/>
      <w:lvlText w:val="%1.%2.%3.%4.%5.%6.%7.%8.%9"/>
      <w:lvlJc w:val="left"/>
      <w:pPr>
        <w:ind w:left="5616" w:hanging="1584"/>
      </w:pPr>
      <w:rPr>
        <w:rFonts w:cs="Times New Roman"/>
      </w:rPr>
    </w:lvl>
  </w:abstractNum>
  <w:abstractNum w:abstractNumId="11">
    <w:nsid w:val="2D3A3D0C"/>
    <w:multiLevelType w:val="hybridMultilevel"/>
    <w:tmpl w:val="463AA6F2"/>
    <w:lvl w:ilvl="0" w:tplc="979242E2">
      <w:start w:val="1"/>
      <w:numFmt w:val="lowerLetter"/>
      <w:lvlText w:val="(%1)"/>
      <w:lvlJc w:val="left"/>
      <w:pPr>
        <w:ind w:left="2310" w:hanging="87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430501E"/>
    <w:multiLevelType w:val="hybridMultilevel"/>
    <w:tmpl w:val="8E5CE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F30331"/>
    <w:multiLevelType w:val="hybridMultilevel"/>
    <w:tmpl w:val="CCC8D414"/>
    <w:lvl w:ilvl="0" w:tplc="8FDC9572">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F1C8E"/>
    <w:multiLevelType w:val="hybridMultilevel"/>
    <w:tmpl w:val="3BF4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6222A2"/>
    <w:multiLevelType w:val="hybridMultilevel"/>
    <w:tmpl w:val="0B3C47A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4BEA0DE4"/>
    <w:multiLevelType w:val="hybridMultilevel"/>
    <w:tmpl w:val="EF1C883C"/>
    <w:lvl w:ilvl="0" w:tplc="3386175C">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DD03D1"/>
    <w:multiLevelType w:val="hybridMultilevel"/>
    <w:tmpl w:val="15D03A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AD32FC"/>
    <w:multiLevelType w:val="multilevel"/>
    <w:tmpl w:val="573E3F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0BF47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0FC6082"/>
    <w:multiLevelType w:val="hybridMultilevel"/>
    <w:tmpl w:val="319E0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702939"/>
    <w:multiLevelType w:val="hybridMultilevel"/>
    <w:tmpl w:val="FF36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8E5BEB"/>
    <w:multiLevelType w:val="multilevel"/>
    <w:tmpl w:val="6BD8AACC"/>
    <w:lvl w:ilvl="0">
      <w:start w:val="1"/>
      <w:numFmt w:val="upperRoman"/>
      <w:lvlRestart w:val="0"/>
      <w:lvlText w:val="%1."/>
      <w:lvlJc w:val="center"/>
      <w:pPr>
        <w:tabs>
          <w:tab w:val="num" w:pos="2088"/>
        </w:tabs>
        <w:ind w:left="1440" w:firstLine="288"/>
      </w:pPr>
      <w:rPr>
        <w:rFonts w:hint="default"/>
        <w:b/>
        <w:i w:val="0"/>
      </w:rPr>
    </w:lvl>
    <w:lvl w:ilvl="1">
      <w:start w:val="3"/>
      <w:numFmt w:val="decimal"/>
      <w:isLgl/>
      <w:lvlText w:val="%1.%2"/>
      <w:lvlJc w:val="left"/>
      <w:pPr>
        <w:tabs>
          <w:tab w:val="num" w:pos="2736"/>
        </w:tabs>
        <w:ind w:left="2736" w:hanging="1296"/>
      </w:pPr>
      <w:rPr>
        <w:rFonts w:hint="default"/>
        <w:lang w:val="es-ES"/>
      </w:rPr>
    </w:lvl>
    <w:lvl w:ilvl="2">
      <w:start w:val="1"/>
      <w:numFmt w:val="lowerLetter"/>
      <w:lvlText w:val="%3."/>
      <w:lvlJc w:val="left"/>
      <w:pPr>
        <w:tabs>
          <w:tab w:val="num" w:pos="2592"/>
        </w:tabs>
        <w:ind w:left="2592" w:hanging="432"/>
      </w:pPr>
      <w:rPr>
        <w:rFonts w:hint="default"/>
      </w:rPr>
    </w:lvl>
    <w:lvl w:ilvl="3">
      <w:start w:val="1"/>
      <w:numFmt w:val="lowerRoman"/>
      <w:lvlText w:val="%4."/>
      <w:lvlJc w:val="right"/>
      <w:pPr>
        <w:tabs>
          <w:tab w:val="num" w:pos="3024"/>
        </w:tabs>
        <w:ind w:left="3024" w:hanging="288"/>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23">
    <w:nsid w:val="69507E0C"/>
    <w:multiLevelType w:val="hybridMultilevel"/>
    <w:tmpl w:val="914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6806F1"/>
    <w:multiLevelType w:val="multilevel"/>
    <w:tmpl w:val="E440E752"/>
    <w:lvl w:ilvl="0">
      <w:start w:val="1"/>
      <w:numFmt w:val="upperRoman"/>
      <w:lvlText w:val="%1."/>
      <w:lvlJc w:val="right"/>
      <w:pPr>
        <w:ind w:left="90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5">
    <w:nsid w:val="6CDE42B8"/>
    <w:multiLevelType w:val="hybridMultilevel"/>
    <w:tmpl w:val="9D30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577BC1"/>
    <w:multiLevelType w:val="multilevel"/>
    <w:tmpl w:val="CD468766"/>
    <w:lvl w:ilvl="0">
      <w:start w:val="1"/>
      <w:numFmt w:val="upperRoman"/>
      <w:lvlText w:val="%1."/>
      <w:lvlJc w:val="right"/>
      <w:pPr>
        <w:ind w:left="900" w:hanging="360"/>
      </w:pPr>
    </w:lvl>
    <w:lvl w:ilvl="1">
      <w:start w:val="1"/>
      <w:numFmt w:val="decimal"/>
      <w:isLgl/>
      <w:lvlText w:val="%1.%2"/>
      <w:lvlJc w:val="left"/>
      <w:pPr>
        <w:ind w:left="900" w:hanging="360"/>
      </w:pPr>
      <w:rPr>
        <w:rFonts w:hint="default"/>
      </w:rPr>
    </w:lvl>
    <w:lvl w:ilvl="2">
      <w:start w:val="1"/>
      <w:numFmt w:val="lowerRoman"/>
      <w:lvlText w:val="%3."/>
      <w:lvlJc w:val="righ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7">
    <w:nsid w:val="70651280"/>
    <w:multiLevelType w:val="multilevel"/>
    <w:tmpl w:val="E440E752"/>
    <w:lvl w:ilvl="0">
      <w:start w:val="1"/>
      <w:numFmt w:val="upperRoman"/>
      <w:lvlText w:val="%1."/>
      <w:lvlJc w:val="right"/>
      <w:pPr>
        <w:ind w:left="90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8">
    <w:nsid w:val="73E5783B"/>
    <w:multiLevelType w:val="multilevel"/>
    <w:tmpl w:val="E440E752"/>
    <w:lvl w:ilvl="0">
      <w:start w:val="1"/>
      <w:numFmt w:val="upperRoman"/>
      <w:lvlText w:val="%1."/>
      <w:lvlJc w:val="right"/>
      <w:pPr>
        <w:ind w:left="90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9">
    <w:nsid w:val="74C74592"/>
    <w:multiLevelType w:val="multilevel"/>
    <w:tmpl w:val="C542FBF2"/>
    <w:lvl w:ilvl="0">
      <w:start w:val="1"/>
      <w:numFmt w:val="upperRoman"/>
      <w:pStyle w:val="Heading1"/>
      <w:lvlText w:val="%1."/>
      <w:lvlJc w:val="left"/>
      <w:pPr>
        <w:tabs>
          <w:tab w:val="num" w:pos="360"/>
        </w:tabs>
      </w:pPr>
      <w:rPr>
        <w:rFonts w:cs="Times New Roman"/>
      </w:rPr>
    </w:lvl>
    <w:lvl w:ilvl="1">
      <w:start w:val="1"/>
      <w:numFmt w:val="upperLetter"/>
      <w:pStyle w:val="Heading2"/>
      <w:lvlText w:val="%2."/>
      <w:lvlJc w:val="left"/>
      <w:pPr>
        <w:tabs>
          <w:tab w:val="num" w:pos="1080"/>
        </w:tabs>
        <w:ind w:left="720"/>
      </w:pPr>
      <w:rPr>
        <w:rFonts w:cs="Times New Roman"/>
      </w:rPr>
    </w:lvl>
    <w:lvl w:ilvl="2">
      <w:start w:val="1"/>
      <w:numFmt w:val="decimal"/>
      <w:pStyle w:val="Heading3"/>
      <w:lvlText w:val="%3."/>
      <w:lvlJc w:val="left"/>
      <w:pPr>
        <w:tabs>
          <w:tab w:val="num" w:pos="1800"/>
        </w:tabs>
        <w:ind w:left="1440"/>
      </w:pPr>
      <w:rPr>
        <w:rFonts w:cs="Times New Roman"/>
      </w:rPr>
    </w:lvl>
    <w:lvl w:ilvl="3">
      <w:start w:val="1"/>
      <w:numFmt w:val="lowerLetter"/>
      <w:pStyle w:val="Heading4"/>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30">
    <w:nsid w:val="75AC130D"/>
    <w:multiLevelType w:val="multilevel"/>
    <w:tmpl w:val="E440E752"/>
    <w:lvl w:ilvl="0">
      <w:start w:val="1"/>
      <w:numFmt w:val="upperRoman"/>
      <w:lvlText w:val="%1."/>
      <w:lvlJc w:val="right"/>
      <w:pPr>
        <w:ind w:left="90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1">
    <w:nsid w:val="75D12061"/>
    <w:multiLevelType w:val="multilevel"/>
    <w:tmpl w:val="CD468766"/>
    <w:lvl w:ilvl="0">
      <w:start w:val="1"/>
      <w:numFmt w:val="upperRoman"/>
      <w:lvlText w:val="%1."/>
      <w:lvlJc w:val="right"/>
      <w:pPr>
        <w:ind w:left="900" w:hanging="360"/>
      </w:pPr>
    </w:lvl>
    <w:lvl w:ilvl="1">
      <w:start w:val="1"/>
      <w:numFmt w:val="decimal"/>
      <w:isLgl/>
      <w:lvlText w:val="%1.%2"/>
      <w:lvlJc w:val="left"/>
      <w:pPr>
        <w:ind w:left="900" w:hanging="360"/>
      </w:pPr>
      <w:rPr>
        <w:rFonts w:hint="default"/>
      </w:rPr>
    </w:lvl>
    <w:lvl w:ilvl="2">
      <w:start w:val="1"/>
      <w:numFmt w:val="lowerRoman"/>
      <w:lvlText w:val="%3."/>
      <w:lvlJc w:val="righ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2">
    <w:nsid w:val="779D1050"/>
    <w:multiLevelType w:val="hybridMultilevel"/>
    <w:tmpl w:val="B9C4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FB24D3"/>
    <w:multiLevelType w:val="hybridMultilevel"/>
    <w:tmpl w:val="6B6A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13"/>
  </w:num>
  <w:num w:numId="4">
    <w:abstractNumId w:val="6"/>
  </w:num>
  <w:num w:numId="5">
    <w:abstractNumId w:val="12"/>
  </w:num>
  <w:num w:numId="6">
    <w:abstractNumId w:val="16"/>
  </w:num>
  <w:num w:numId="7">
    <w:abstractNumId w:val="1"/>
  </w:num>
  <w:num w:numId="8">
    <w:abstractNumId w:val="2"/>
  </w:num>
  <w:num w:numId="9">
    <w:abstractNumId w:val="29"/>
  </w:num>
  <w:num w:numId="10">
    <w:abstractNumId w:val="10"/>
  </w:num>
  <w:num w:numId="11">
    <w:abstractNumId w:val="0"/>
  </w:num>
  <w:num w:numId="12">
    <w:abstractNumId w:val="17"/>
  </w:num>
  <w:num w:numId="13">
    <w:abstractNumId w:val="3"/>
  </w:num>
  <w:num w:numId="14">
    <w:abstractNumId w:val="30"/>
  </w:num>
  <w:num w:numId="15">
    <w:abstractNumId w:val="18"/>
  </w:num>
  <w:num w:numId="16">
    <w:abstractNumId w:val="32"/>
  </w:num>
  <w:num w:numId="17">
    <w:abstractNumId w:val="14"/>
  </w:num>
  <w:num w:numId="18">
    <w:abstractNumId w:val="25"/>
  </w:num>
  <w:num w:numId="19">
    <w:abstractNumId w:val="5"/>
  </w:num>
  <w:num w:numId="20">
    <w:abstractNumId w:val="20"/>
  </w:num>
  <w:num w:numId="21">
    <w:abstractNumId w:val="15"/>
  </w:num>
  <w:num w:numId="22">
    <w:abstractNumId w:val="28"/>
  </w:num>
  <w:num w:numId="23">
    <w:abstractNumId w:val="24"/>
  </w:num>
  <w:num w:numId="24">
    <w:abstractNumId w:val="8"/>
  </w:num>
  <w:num w:numId="25">
    <w:abstractNumId w:val="21"/>
  </w:num>
  <w:num w:numId="26">
    <w:abstractNumId w:val="33"/>
  </w:num>
  <w:num w:numId="27">
    <w:abstractNumId w:val="23"/>
  </w:num>
  <w:num w:numId="28">
    <w:abstractNumId w:val="4"/>
  </w:num>
  <w:num w:numId="29">
    <w:abstractNumId w:val="27"/>
  </w:num>
  <w:num w:numId="30">
    <w:abstractNumId w:val="7"/>
  </w:num>
  <w:num w:numId="31">
    <w:abstractNumId w:val="19"/>
  </w:num>
  <w:num w:numId="32">
    <w:abstractNumId w:val="22"/>
  </w:num>
  <w:num w:numId="33">
    <w:abstractNumId w:val="31"/>
  </w:num>
  <w:num w:numId="3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A10"/>
    <w:rsid w:val="0001267D"/>
    <w:rsid w:val="00012844"/>
    <w:rsid w:val="00012B0D"/>
    <w:rsid w:val="00020639"/>
    <w:rsid w:val="00022B46"/>
    <w:rsid w:val="00041C40"/>
    <w:rsid w:val="000518DD"/>
    <w:rsid w:val="00051FEC"/>
    <w:rsid w:val="0005212E"/>
    <w:rsid w:val="0007609D"/>
    <w:rsid w:val="000A2E8A"/>
    <w:rsid w:val="000A6CD4"/>
    <w:rsid w:val="000D310E"/>
    <w:rsid w:val="000E04C0"/>
    <w:rsid w:val="00102CE7"/>
    <w:rsid w:val="001058E3"/>
    <w:rsid w:val="00125667"/>
    <w:rsid w:val="001306CE"/>
    <w:rsid w:val="00132032"/>
    <w:rsid w:val="00134448"/>
    <w:rsid w:val="00160E39"/>
    <w:rsid w:val="00175044"/>
    <w:rsid w:val="00183381"/>
    <w:rsid w:val="00191308"/>
    <w:rsid w:val="001A71C6"/>
    <w:rsid w:val="001B0C76"/>
    <w:rsid w:val="001C6DFE"/>
    <w:rsid w:val="001D11ED"/>
    <w:rsid w:val="001D2C26"/>
    <w:rsid w:val="001E6CB8"/>
    <w:rsid w:val="001E7DAA"/>
    <w:rsid w:val="001F4D7A"/>
    <w:rsid w:val="00204411"/>
    <w:rsid w:val="00214AB6"/>
    <w:rsid w:val="00242608"/>
    <w:rsid w:val="002548B2"/>
    <w:rsid w:val="00261C64"/>
    <w:rsid w:val="002655C8"/>
    <w:rsid w:val="00272E30"/>
    <w:rsid w:val="00277D8D"/>
    <w:rsid w:val="00280868"/>
    <w:rsid w:val="00283B07"/>
    <w:rsid w:val="002934DB"/>
    <w:rsid w:val="00296024"/>
    <w:rsid w:val="002A5B81"/>
    <w:rsid w:val="002B3D98"/>
    <w:rsid w:val="002C0659"/>
    <w:rsid w:val="002C4BEC"/>
    <w:rsid w:val="002C72C3"/>
    <w:rsid w:val="002E2942"/>
    <w:rsid w:val="002F0123"/>
    <w:rsid w:val="002F0BA3"/>
    <w:rsid w:val="002F3D9F"/>
    <w:rsid w:val="002F464A"/>
    <w:rsid w:val="00301EA2"/>
    <w:rsid w:val="0030424B"/>
    <w:rsid w:val="00331F1B"/>
    <w:rsid w:val="00335717"/>
    <w:rsid w:val="00351448"/>
    <w:rsid w:val="00372DF7"/>
    <w:rsid w:val="00381592"/>
    <w:rsid w:val="00385DF9"/>
    <w:rsid w:val="003955CA"/>
    <w:rsid w:val="00397A24"/>
    <w:rsid w:val="003A082E"/>
    <w:rsid w:val="003A1D08"/>
    <w:rsid w:val="003A3A5E"/>
    <w:rsid w:val="003C5BA6"/>
    <w:rsid w:val="003F4E3B"/>
    <w:rsid w:val="003F5E34"/>
    <w:rsid w:val="004001FE"/>
    <w:rsid w:val="00414F86"/>
    <w:rsid w:val="00422AAB"/>
    <w:rsid w:val="0043697F"/>
    <w:rsid w:val="004370F5"/>
    <w:rsid w:val="00467BD8"/>
    <w:rsid w:val="004703A9"/>
    <w:rsid w:val="00471E91"/>
    <w:rsid w:val="00472D74"/>
    <w:rsid w:val="00495022"/>
    <w:rsid w:val="004A36F5"/>
    <w:rsid w:val="004B6B6F"/>
    <w:rsid w:val="004C1070"/>
    <w:rsid w:val="004D0618"/>
    <w:rsid w:val="004F08B1"/>
    <w:rsid w:val="004F2D18"/>
    <w:rsid w:val="004F61C8"/>
    <w:rsid w:val="004F6EFD"/>
    <w:rsid w:val="00501B6C"/>
    <w:rsid w:val="00504DF6"/>
    <w:rsid w:val="00512A06"/>
    <w:rsid w:val="0051672D"/>
    <w:rsid w:val="005204E6"/>
    <w:rsid w:val="005214C1"/>
    <w:rsid w:val="00552527"/>
    <w:rsid w:val="00575CAB"/>
    <w:rsid w:val="00592791"/>
    <w:rsid w:val="00595A5D"/>
    <w:rsid w:val="00596961"/>
    <w:rsid w:val="005A6450"/>
    <w:rsid w:val="005B2EC5"/>
    <w:rsid w:val="005B3360"/>
    <w:rsid w:val="005B5121"/>
    <w:rsid w:val="005B6A52"/>
    <w:rsid w:val="005C32CA"/>
    <w:rsid w:val="005C7936"/>
    <w:rsid w:val="005F0028"/>
    <w:rsid w:val="005F1B33"/>
    <w:rsid w:val="005F7683"/>
    <w:rsid w:val="005F7E8C"/>
    <w:rsid w:val="006006A2"/>
    <w:rsid w:val="006060D4"/>
    <w:rsid w:val="00614EFB"/>
    <w:rsid w:val="0062300A"/>
    <w:rsid w:val="0062361B"/>
    <w:rsid w:val="00634BA1"/>
    <w:rsid w:val="00640027"/>
    <w:rsid w:val="00640849"/>
    <w:rsid w:val="006610C2"/>
    <w:rsid w:val="00683F8B"/>
    <w:rsid w:val="0068582C"/>
    <w:rsid w:val="006A4232"/>
    <w:rsid w:val="006D064C"/>
    <w:rsid w:val="006D5C57"/>
    <w:rsid w:val="006D649D"/>
    <w:rsid w:val="006D6D52"/>
    <w:rsid w:val="007471B7"/>
    <w:rsid w:val="0076256D"/>
    <w:rsid w:val="00777222"/>
    <w:rsid w:val="00794958"/>
    <w:rsid w:val="00796E97"/>
    <w:rsid w:val="007A2003"/>
    <w:rsid w:val="007D559E"/>
    <w:rsid w:val="007D7AA0"/>
    <w:rsid w:val="007E1430"/>
    <w:rsid w:val="007E1F82"/>
    <w:rsid w:val="007F3FBD"/>
    <w:rsid w:val="007F5C08"/>
    <w:rsid w:val="007F7A84"/>
    <w:rsid w:val="00824701"/>
    <w:rsid w:val="008247FA"/>
    <w:rsid w:val="00830E61"/>
    <w:rsid w:val="00831D28"/>
    <w:rsid w:val="008623BB"/>
    <w:rsid w:val="00864E96"/>
    <w:rsid w:val="00867BA8"/>
    <w:rsid w:val="00870400"/>
    <w:rsid w:val="008A01D8"/>
    <w:rsid w:val="008A0409"/>
    <w:rsid w:val="008A1228"/>
    <w:rsid w:val="008A4A10"/>
    <w:rsid w:val="008A5A06"/>
    <w:rsid w:val="008D3711"/>
    <w:rsid w:val="008E3044"/>
    <w:rsid w:val="008F278A"/>
    <w:rsid w:val="0091072E"/>
    <w:rsid w:val="009116CD"/>
    <w:rsid w:val="00913681"/>
    <w:rsid w:val="0092359E"/>
    <w:rsid w:val="0094794B"/>
    <w:rsid w:val="00954EB1"/>
    <w:rsid w:val="00962D29"/>
    <w:rsid w:val="0097031D"/>
    <w:rsid w:val="009724E4"/>
    <w:rsid w:val="00975DFF"/>
    <w:rsid w:val="009A2482"/>
    <w:rsid w:val="009A25D3"/>
    <w:rsid w:val="009A3CCE"/>
    <w:rsid w:val="009E64AB"/>
    <w:rsid w:val="009F7DB3"/>
    <w:rsid w:val="00A00FC2"/>
    <w:rsid w:val="00A05729"/>
    <w:rsid w:val="00A07E65"/>
    <w:rsid w:val="00A318B4"/>
    <w:rsid w:val="00A43C2E"/>
    <w:rsid w:val="00A567B6"/>
    <w:rsid w:val="00A56F4F"/>
    <w:rsid w:val="00A633A8"/>
    <w:rsid w:val="00A666AA"/>
    <w:rsid w:val="00A67DBB"/>
    <w:rsid w:val="00A73C96"/>
    <w:rsid w:val="00AA0591"/>
    <w:rsid w:val="00AA1A9B"/>
    <w:rsid w:val="00AA4FFB"/>
    <w:rsid w:val="00AB083D"/>
    <w:rsid w:val="00AB3913"/>
    <w:rsid w:val="00AC34F0"/>
    <w:rsid w:val="00AC5671"/>
    <w:rsid w:val="00AD03C8"/>
    <w:rsid w:val="00AD3145"/>
    <w:rsid w:val="00AE44E8"/>
    <w:rsid w:val="00AF04DB"/>
    <w:rsid w:val="00AF3E19"/>
    <w:rsid w:val="00B126B3"/>
    <w:rsid w:val="00B40805"/>
    <w:rsid w:val="00B502A2"/>
    <w:rsid w:val="00B52120"/>
    <w:rsid w:val="00B55C4C"/>
    <w:rsid w:val="00B743D8"/>
    <w:rsid w:val="00B94DCD"/>
    <w:rsid w:val="00B963D9"/>
    <w:rsid w:val="00BA3449"/>
    <w:rsid w:val="00BA4CE6"/>
    <w:rsid w:val="00BB52F3"/>
    <w:rsid w:val="00BB56AD"/>
    <w:rsid w:val="00BC08AC"/>
    <w:rsid w:val="00BD15D0"/>
    <w:rsid w:val="00BF12CA"/>
    <w:rsid w:val="00BF7493"/>
    <w:rsid w:val="00C01FD4"/>
    <w:rsid w:val="00C17FDB"/>
    <w:rsid w:val="00C20ADC"/>
    <w:rsid w:val="00C22FDC"/>
    <w:rsid w:val="00C42063"/>
    <w:rsid w:val="00C54192"/>
    <w:rsid w:val="00C608D5"/>
    <w:rsid w:val="00C647F4"/>
    <w:rsid w:val="00C71652"/>
    <w:rsid w:val="00C73A8F"/>
    <w:rsid w:val="00C758DB"/>
    <w:rsid w:val="00C875F1"/>
    <w:rsid w:val="00C90F9A"/>
    <w:rsid w:val="00C94EAC"/>
    <w:rsid w:val="00C94F7E"/>
    <w:rsid w:val="00C963D6"/>
    <w:rsid w:val="00C9668E"/>
    <w:rsid w:val="00CB629D"/>
    <w:rsid w:val="00CC413C"/>
    <w:rsid w:val="00D00E29"/>
    <w:rsid w:val="00D0425F"/>
    <w:rsid w:val="00D13DA0"/>
    <w:rsid w:val="00D14CED"/>
    <w:rsid w:val="00D15504"/>
    <w:rsid w:val="00D430A1"/>
    <w:rsid w:val="00D63B17"/>
    <w:rsid w:val="00D83512"/>
    <w:rsid w:val="00D83583"/>
    <w:rsid w:val="00DA200A"/>
    <w:rsid w:val="00DB40E3"/>
    <w:rsid w:val="00DB41FF"/>
    <w:rsid w:val="00DB6F84"/>
    <w:rsid w:val="00DB7B32"/>
    <w:rsid w:val="00DC1797"/>
    <w:rsid w:val="00DC3BC8"/>
    <w:rsid w:val="00DC4734"/>
    <w:rsid w:val="00DC4BC4"/>
    <w:rsid w:val="00DC69CC"/>
    <w:rsid w:val="00DD60E7"/>
    <w:rsid w:val="00DE2988"/>
    <w:rsid w:val="00DF1B84"/>
    <w:rsid w:val="00DF20F3"/>
    <w:rsid w:val="00E13C32"/>
    <w:rsid w:val="00E225D9"/>
    <w:rsid w:val="00E24016"/>
    <w:rsid w:val="00E34A6E"/>
    <w:rsid w:val="00E379B7"/>
    <w:rsid w:val="00E415CF"/>
    <w:rsid w:val="00E51D4B"/>
    <w:rsid w:val="00E71710"/>
    <w:rsid w:val="00E75D6A"/>
    <w:rsid w:val="00E82A61"/>
    <w:rsid w:val="00E83F97"/>
    <w:rsid w:val="00E90FCC"/>
    <w:rsid w:val="00E956EF"/>
    <w:rsid w:val="00E96555"/>
    <w:rsid w:val="00EA5FEF"/>
    <w:rsid w:val="00EB035E"/>
    <w:rsid w:val="00EC64CA"/>
    <w:rsid w:val="00EF184D"/>
    <w:rsid w:val="00F01B9A"/>
    <w:rsid w:val="00F162E5"/>
    <w:rsid w:val="00F26A01"/>
    <w:rsid w:val="00F3053E"/>
    <w:rsid w:val="00F36605"/>
    <w:rsid w:val="00F52247"/>
    <w:rsid w:val="00F60DF1"/>
    <w:rsid w:val="00F60FD9"/>
    <w:rsid w:val="00F611FC"/>
    <w:rsid w:val="00F81627"/>
    <w:rsid w:val="00F870A9"/>
    <w:rsid w:val="00F97F8C"/>
    <w:rsid w:val="00FB1CEC"/>
    <w:rsid w:val="00FB6307"/>
    <w:rsid w:val="00FD4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4DF6"/>
    <w:pPr>
      <w:keepNext/>
      <w:numPr>
        <w:numId w:val="9"/>
      </w:numPr>
      <w:spacing w:before="240" w:after="60" w:line="240" w:lineRule="auto"/>
      <w:outlineLvl w:val="0"/>
    </w:pPr>
    <w:rPr>
      <w:rFonts w:ascii="Arial" w:eastAsia="Times New Roman" w:hAnsi="Arial" w:cs="Times New Roman"/>
      <w:b/>
      <w:kern w:val="28"/>
      <w:sz w:val="28"/>
      <w:szCs w:val="20"/>
    </w:rPr>
  </w:style>
  <w:style w:type="paragraph" w:styleId="Heading2">
    <w:name w:val="heading 2"/>
    <w:basedOn w:val="Normal"/>
    <w:next w:val="Normal"/>
    <w:link w:val="Heading2Char"/>
    <w:uiPriority w:val="9"/>
    <w:qFormat/>
    <w:rsid w:val="00504DF6"/>
    <w:pPr>
      <w:keepNext/>
      <w:numPr>
        <w:ilvl w:val="1"/>
        <w:numId w:val="9"/>
      </w:numPr>
      <w:spacing w:before="240" w:after="60" w:line="240" w:lineRule="auto"/>
      <w:outlineLvl w:val="1"/>
    </w:pPr>
    <w:rPr>
      <w:rFonts w:ascii="Arial" w:eastAsia="Times New Roman" w:hAnsi="Arial" w:cs="Times New Roman"/>
      <w:b/>
      <w:i/>
      <w:sz w:val="24"/>
      <w:szCs w:val="20"/>
    </w:rPr>
  </w:style>
  <w:style w:type="paragraph" w:styleId="Heading3">
    <w:name w:val="heading 3"/>
    <w:basedOn w:val="Normal"/>
    <w:next w:val="Normal"/>
    <w:link w:val="Heading3Char"/>
    <w:uiPriority w:val="9"/>
    <w:qFormat/>
    <w:rsid w:val="00504DF6"/>
    <w:pPr>
      <w:keepNext/>
      <w:numPr>
        <w:ilvl w:val="2"/>
        <w:numId w:val="9"/>
      </w:numPr>
      <w:spacing w:before="240" w:after="60" w:line="240" w:lineRule="auto"/>
      <w:outlineLvl w:val="2"/>
    </w:pPr>
    <w:rPr>
      <w:rFonts w:ascii="Arial" w:eastAsia="Times New Roman" w:hAnsi="Arial" w:cs="Times New Roman"/>
      <w:sz w:val="24"/>
      <w:szCs w:val="20"/>
    </w:rPr>
  </w:style>
  <w:style w:type="paragraph" w:styleId="Heading4">
    <w:name w:val="heading 4"/>
    <w:basedOn w:val="Normal"/>
    <w:next w:val="Normal"/>
    <w:link w:val="Heading4Char"/>
    <w:uiPriority w:val="9"/>
    <w:qFormat/>
    <w:rsid w:val="00504DF6"/>
    <w:pPr>
      <w:keepNext/>
      <w:numPr>
        <w:ilvl w:val="3"/>
        <w:numId w:val="9"/>
      </w:numPr>
      <w:spacing w:before="240" w:after="60" w:line="240" w:lineRule="auto"/>
      <w:outlineLvl w:val="3"/>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32"/>
    <w:pPr>
      <w:ind w:left="720"/>
      <w:contextualSpacing/>
    </w:pPr>
  </w:style>
  <w:style w:type="paragraph" w:styleId="BalloonText">
    <w:name w:val="Balloon Text"/>
    <w:basedOn w:val="Normal"/>
    <w:link w:val="BalloonTextChar"/>
    <w:uiPriority w:val="99"/>
    <w:semiHidden/>
    <w:unhideWhenUsed/>
    <w:rsid w:val="003A0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82E"/>
    <w:rPr>
      <w:rFonts w:ascii="Tahoma" w:hAnsi="Tahoma" w:cs="Tahoma"/>
      <w:sz w:val="16"/>
      <w:szCs w:val="16"/>
    </w:rPr>
  </w:style>
  <w:style w:type="table" w:styleId="TableGrid">
    <w:name w:val="Table Grid"/>
    <w:basedOn w:val="TableNormal"/>
    <w:uiPriority w:val="59"/>
    <w:rsid w:val="003A082E"/>
    <w:pPr>
      <w:spacing w:after="0" w:line="240" w:lineRule="auto"/>
    </w:pPr>
    <w:rPr>
      <w:rFonts w:ascii="Calibri" w:eastAsia="Calibri"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A082E"/>
    <w:pPr>
      <w:spacing w:after="0" w:line="240" w:lineRule="auto"/>
    </w:pPr>
    <w:rPr>
      <w:rFonts w:ascii="Calibri" w:eastAsia="Calibri"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A082E"/>
    <w:pPr>
      <w:spacing w:after="0" w:line="240" w:lineRule="auto"/>
    </w:pPr>
    <w:rPr>
      <w:rFonts w:ascii="Calibri" w:eastAsia="Calibri"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Texto nota pie IIRSA,ft,footnote,Texto,nota,pie,Ref.,al,F1,texto de nota al pie,NOTA AL PIE TESIS PUCP,foottextfra,F,footnote text,Geneva 9,Font: Geneva 9,Boston 10,f,Fußnotentextr,Texto nota pie Car Car,single space,Fußn,Style 25,ADB"/>
    <w:basedOn w:val="Normal"/>
    <w:link w:val="FootnoteTextChar"/>
    <w:unhideWhenUsed/>
    <w:rsid w:val="00472D74"/>
    <w:pPr>
      <w:spacing w:after="0" w:line="240" w:lineRule="auto"/>
    </w:pPr>
    <w:rPr>
      <w:rFonts w:ascii="Times New Roman" w:hAnsi="Times New Roman"/>
      <w:sz w:val="20"/>
      <w:szCs w:val="20"/>
    </w:rPr>
  </w:style>
  <w:style w:type="character" w:customStyle="1" w:styleId="FootnoteTextChar">
    <w:name w:val="Footnote Text Char"/>
    <w:aliases w:val="fn Char,Texto nota pie IIRSA Char,ft Char,footnote Char,Texto Char,nota Char,pie Char,Ref. Char,al Char,F1 Char,texto de nota al pie Char,NOTA AL PIE TESIS PUCP Char,foottextfra Char,F Char,footnote text Char,Geneva 9 Char,f Char"/>
    <w:basedOn w:val="DefaultParagraphFont"/>
    <w:link w:val="FootnoteText"/>
    <w:rsid w:val="00472D74"/>
    <w:rPr>
      <w:rFonts w:ascii="Times New Roman" w:hAnsi="Times New Roman"/>
      <w:sz w:val="20"/>
      <w:szCs w:val="20"/>
    </w:rPr>
  </w:style>
  <w:style w:type="character" w:styleId="FootnoteReference">
    <w:name w:val="footnote reference"/>
    <w:aliases w:val="titulo 2,16 Point,Superscript 6 Point,ftref,Fußnotenzeichen DISS,BVI fnr, BVI fnr,Знак сноски 1,referencia nota al pie,FC,Footnote Referencefra,Ref. de nota al pie.,Stinking Styles11,Texto de nota al pie,Footnote symbol,Footnote,Ref"/>
    <w:basedOn w:val="DefaultParagraphFont"/>
    <w:unhideWhenUsed/>
    <w:rsid w:val="00F01B9A"/>
    <w:rPr>
      <w:vertAlign w:val="superscript"/>
    </w:rPr>
  </w:style>
  <w:style w:type="paragraph" w:customStyle="1" w:styleId="Paragraph">
    <w:name w:val="Paragraph"/>
    <w:aliases w:val="paragraph,p,PARAGRAPH,PG,pa,at"/>
    <w:basedOn w:val="BodyTextIndent"/>
    <w:link w:val="ParagraphChar"/>
    <w:qFormat/>
    <w:rsid w:val="009116CD"/>
    <w:pPr>
      <w:tabs>
        <w:tab w:val="num" w:pos="720"/>
      </w:tabs>
      <w:spacing w:before="120" w:line="240" w:lineRule="auto"/>
      <w:ind w:left="720" w:hanging="720"/>
      <w:jc w:val="both"/>
      <w:outlineLvl w:val="1"/>
    </w:pPr>
    <w:rPr>
      <w:rFonts w:ascii="Times New Roman" w:eastAsia="Times New Roman" w:hAnsi="Times New Roman" w:cs="Times New Roman"/>
      <w:sz w:val="24"/>
      <w:szCs w:val="20"/>
      <w:lang w:val="es-ES_tradnl"/>
    </w:rPr>
  </w:style>
  <w:style w:type="character" w:customStyle="1" w:styleId="ParagraphChar">
    <w:name w:val="Paragraph Char"/>
    <w:link w:val="Paragraph"/>
    <w:locked/>
    <w:rsid w:val="009116CD"/>
    <w:rPr>
      <w:rFonts w:ascii="Times New Roman" w:eastAsia="Times New Roman" w:hAnsi="Times New Roman" w:cs="Times New Roman"/>
      <w:sz w:val="24"/>
      <w:szCs w:val="20"/>
      <w:lang w:val="es-ES_tradnl"/>
    </w:rPr>
  </w:style>
  <w:style w:type="paragraph" w:styleId="BodyTextIndent">
    <w:name w:val="Body Text Indent"/>
    <w:basedOn w:val="Normal"/>
    <w:link w:val="BodyTextIndentChar"/>
    <w:uiPriority w:val="99"/>
    <w:semiHidden/>
    <w:unhideWhenUsed/>
    <w:rsid w:val="009116CD"/>
    <w:pPr>
      <w:spacing w:after="120"/>
      <w:ind w:left="360"/>
    </w:pPr>
  </w:style>
  <w:style w:type="character" w:customStyle="1" w:styleId="BodyTextIndentChar">
    <w:name w:val="Body Text Indent Char"/>
    <w:basedOn w:val="DefaultParagraphFont"/>
    <w:link w:val="BodyTextIndent"/>
    <w:uiPriority w:val="99"/>
    <w:semiHidden/>
    <w:rsid w:val="009116CD"/>
  </w:style>
  <w:style w:type="paragraph" w:styleId="Header">
    <w:name w:val="header"/>
    <w:basedOn w:val="Normal"/>
    <w:link w:val="HeaderChar"/>
    <w:uiPriority w:val="99"/>
    <w:unhideWhenUsed/>
    <w:rsid w:val="0043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0F5"/>
  </w:style>
  <w:style w:type="paragraph" w:styleId="Footer">
    <w:name w:val="footer"/>
    <w:basedOn w:val="Normal"/>
    <w:link w:val="FooterChar"/>
    <w:uiPriority w:val="99"/>
    <w:unhideWhenUsed/>
    <w:rsid w:val="0043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0F5"/>
  </w:style>
  <w:style w:type="paragraph" w:customStyle="1" w:styleId="Chapter">
    <w:name w:val="Chapter"/>
    <w:basedOn w:val="Normal"/>
    <w:next w:val="Normal"/>
    <w:rsid w:val="0001267D"/>
    <w:pPr>
      <w:keepNext/>
      <w:tabs>
        <w:tab w:val="num" w:pos="648"/>
        <w:tab w:val="left" w:pos="1440"/>
      </w:tabs>
      <w:spacing w:before="240" w:after="240" w:line="240" w:lineRule="auto"/>
      <w:ind w:firstLine="288"/>
      <w:jc w:val="center"/>
    </w:pPr>
    <w:rPr>
      <w:rFonts w:ascii="Times New Roman" w:eastAsia="Times New Roman" w:hAnsi="Times New Roman" w:cs="Times New Roman"/>
      <w:b/>
      <w:smallCaps/>
      <w:sz w:val="24"/>
      <w:szCs w:val="20"/>
      <w:lang w:val="es-ES_tradnl"/>
    </w:rPr>
  </w:style>
  <w:style w:type="paragraph" w:customStyle="1" w:styleId="subpar">
    <w:name w:val="subpar"/>
    <w:basedOn w:val="BodyTextIndent3"/>
    <w:rsid w:val="0001267D"/>
    <w:pPr>
      <w:tabs>
        <w:tab w:val="num" w:pos="720"/>
        <w:tab w:val="num" w:pos="1152"/>
      </w:tabs>
      <w:spacing w:before="120" w:line="240" w:lineRule="auto"/>
      <w:ind w:left="1152" w:hanging="720"/>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01267D"/>
    <w:pPr>
      <w:tabs>
        <w:tab w:val="clear" w:pos="720"/>
        <w:tab w:val="left" w:pos="0"/>
        <w:tab w:val="num" w:pos="864"/>
        <w:tab w:val="num" w:pos="1296"/>
      </w:tabs>
      <w:ind w:left="1296" w:hanging="864"/>
    </w:pPr>
  </w:style>
  <w:style w:type="paragraph" w:styleId="BodyTextIndent3">
    <w:name w:val="Body Text Indent 3"/>
    <w:basedOn w:val="Normal"/>
    <w:link w:val="BodyTextIndent3Char"/>
    <w:uiPriority w:val="99"/>
    <w:semiHidden/>
    <w:unhideWhenUsed/>
    <w:rsid w:val="0001267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1267D"/>
    <w:rPr>
      <w:sz w:val="16"/>
      <w:szCs w:val="16"/>
    </w:rPr>
  </w:style>
  <w:style w:type="character" w:styleId="BookTitle">
    <w:name w:val="Book Title"/>
    <w:basedOn w:val="DefaultParagraphFont"/>
    <w:uiPriority w:val="33"/>
    <w:qFormat/>
    <w:rsid w:val="00D15504"/>
    <w:rPr>
      <w:b/>
      <w:bCs/>
      <w:smallCaps/>
      <w:spacing w:val="5"/>
    </w:rPr>
  </w:style>
  <w:style w:type="character" w:styleId="CommentReference">
    <w:name w:val="annotation reference"/>
    <w:basedOn w:val="DefaultParagraphFont"/>
    <w:unhideWhenUsed/>
    <w:rsid w:val="007A2003"/>
    <w:rPr>
      <w:sz w:val="16"/>
      <w:szCs w:val="16"/>
    </w:rPr>
  </w:style>
  <w:style w:type="paragraph" w:styleId="CommentText">
    <w:name w:val="annotation text"/>
    <w:basedOn w:val="Normal"/>
    <w:link w:val="CommentTextChar"/>
    <w:unhideWhenUsed/>
    <w:rsid w:val="007A2003"/>
    <w:pPr>
      <w:spacing w:line="240" w:lineRule="auto"/>
    </w:pPr>
    <w:rPr>
      <w:sz w:val="20"/>
      <w:szCs w:val="20"/>
    </w:rPr>
  </w:style>
  <w:style w:type="character" w:customStyle="1" w:styleId="CommentTextChar">
    <w:name w:val="Comment Text Char"/>
    <w:basedOn w:val="DefaultParagraphFont"/>
    <w:link w:val="CommentText"/>
    <w:rsid w:val="007A2003"/>
    <w:rPr>
      <w:sz w:val="20"/>
      <w:szCs w:val="20"/>
    </w:rPr>
  </w:style>
  <w:style w:type="paragraph" w:styleId="CommentSubject">
    <w:name w:val="annotation subject"/>
    <w:basedOn w:val="CommentText"/>
    <w:next w:val="CommentText"/>
    <w:link w:val="CommentSubjectChar"/>
    <w:uiPriority w:val="99"/>
    <w:semiHidden/>
    <w:unhideWhenUsed/>
    <w:rsid w:val="007A2003"/>
    <w:rPr>
      <w:b/>
      <w:bCs/>
    </w:rPr>
  </w:style>
  <w:style w:type="character" w:customStyle="1" w:styleId="CommentSubjectChar">
    <w:name w:val="Comment Subject Char"/>
    <w:basedOn w:val="CommentTextChar"/>
    <w:link w:val="CommentSubject"/>
    <w:uiPriority w:val="99"/>
    <w:semiHidden/>
    <w:rsid w:val="007A2003"/>
    <w:rPr>
      <w:b/>
      <w:bCs/>
      <w:sz w:val="20"/>
      <w:szCs w:val="20"/>
    </w:rPr>
  </w:style>
  <w:style w:type="character" w:customStyle="1" w:styleId="Heading1Char">
    <w:name w:val="Heading 1 Char"/>
    <w:basedOn w:val="DefaultParagraphFont"/>
    <w:link w:val="Heading1"/>
    <w:uiPriority w:val="9"/>
    <w:rsid w:val="00504DF6"/>
    <w:rPr>
      <w:rFonts w:ascii="Arial" w:eastAsia="Times New Roman" w:hAnsi="Arial" w:cs="Times New Roman"/>
      <w:b/>
      <w:kern w:val="28"/>
      <w:sz w:val="28"/>
      <w:szCs w:val="20"/>
    </w:rPr>
  </w:style>
  <w:style w:type="character" w:customStyle="1" w:styleId="Heading2Char">
    <w:name w:val="Heading 2 Char"/>
    <w:basedOn w:val="DefaultParagraphFont"/>
    <w:link w:val="Heading2"/>
    <w:uiPriority w:val="9"/>
    <w:rsid w:val="00504DF6"/>
    <w:rPr>
      <w:rFonts w:ascii="Arial" w:eastAsia="Times New Roman" w:hAnsi="Arial" w:cs="Times New Roman"/>
      <w:b/>
      <w:i/>
      <w:sz w:val="24"/>
      <w:szCs w:val="20"/>
    </w:rPr>
  </w:style>
  <w:style w:type="character" w:customStyle="1" w:styleId="Heading3Char">
    <w:name w:val="Heading 3 Char"/>
    <w:basedOn w:val="DefaultParagraphFont"/>
    <w:link w:val="Heading3"/>
    <w:uiPriority w:val="9"/>
    <w:rsid w:val="00504DF6"/>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504DF6"/>
    <w:rPr>
      <w:rFonts w:ascii="Arial" w:eastAsia="Times New Roman" w:hAnsi="Arial" w:cs="Times New Roman"/>
      <w:b/>
      <w:sz w:val="24"/>
      <w:szCs w:val="20"/>
    </w:rPr>
  </w:style>
  <w:style w:type="paragraph" w:styleId="EndnoteText">
    <w:name w:val="endnote text"/>
    <w:basedOn w:val="Normal"/>
    <w:link w:val="EndnoteTextChar"/>
    <w:rsid w:val="00E96555"/>
    <w:pPr>
      <w:spacing w:after="0" w:line="240" w:lineRule="auto"/>
    </w:pPr>
    <w:rPr>
      <w:rFonts w:ascii="Times New Roman" w:eastAsia="MS Mincho" w:hAnsi="Times New Roman" w:cs="Times New Roman"/>
      <w:sz w:val="20"/>
      <w:szCs w:val="20"/>
    </w:rPr>
  </w:style>
  <w:style w:type="character" w:customStyle="1" w:styleId="EndnoteTextChar">
    <w:name w:val="Endnote Text Char"/>
    <w:basedOn w:val="DefaultParagraphFont"/>
    <w:link w:val="EndnoteText"/>
    <w:rsid w:val="00E96555"/>
    <w:rPr>
      <w:rFonts w:ascii="Times New Roman" w:eastAsia="MS Mincho" w:hAnsi="Times New Roman" w:cs="Times New Roman"/>
      <w:sz w:val="20"/>
      <w:szCs w:val="20"/>
    </w:rPr>
  </w:style>
  <w:style w:type="character" w:styleId="EndnoteReference">
    <w:name w:val="endnote reference"/>
    <w:rsid w:val="00E96555"/>
    <w:rPr>
      <w:vertAlign w:val="superscript"/>
    </w:rPr>
  </w:style>
  <w:style w:type="paragraph" w:customStyle="1" w:styleId="Default">
    <w:name w:val="Default"/>
    <w:rsid w:val="00B55C4C"/>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94794B"/>
    <w:pPr>
      <w:spacing w:line="240" w:lineRule="auto"/>
    </w:pPr>
    <w:rPr>
      <w:b/>
      <w:bCs/>
      <w:color w:val="4F81BD" w:themeColor="accent1"/>
      <w:sz w:val="18"/>
      <w:szCs w:val="18"/>
    </w:rPr>
  </w:style>
  <w:style w:type="character" w:styleId="Hyperlink">
    <w:name w:val="Hyperlink"/>
    <w:basedOn w:val="DefaultParagraphFont"/>
    <w:uiPriority w:val="99"/>
    <w:unhideWhenUsed/>
    <w:rsid w:val="00864E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4DF6"/>
    <w:pPr>
      <w:keepNext/>
      <w:numPr>
        <w:numId w:val="9"/>
      </w:numPr>
      <w:spacing w:before="240" w:after="60" w:line="240" w:lineRule="auto"/>
      <w:outlineLvl w:val="0"/>
    </w:pPr>
    <w:rPr>
      <w:rFonts w:ascii="Arial" w:eastAsia="Times New Roman" w:hAnsi="Arial" w:cs="Times New Roman"/>
      <w:b/>
      <w:kern w:val="28"/>
      <w:sz w:val="28"/>
      <w:szCs w:val="20"/>
    </w:rPr>
  </w:style>
  <w:style w:type="paragraph" w:styleId="Heading2">
    <w:name w:val="heading 2"/>
    <w:basedOn w:val="Normal"/>
    <w:next w:val="Normal"/>
    <w:link w:val="Heading2Char"/>
    <w:uiPriority w:val="9"/>
    <w:qFormat/>
    <w:rsid w:val="00504DF6"/>
    <w:pPr>
      <w:keepNext/>
      <w:numPr>
        <w:ilvl w:val="1"/>
        <w:numId w:val="9"/>
      </w:numPr>
      <w:spacing w:before="240" w:after="60" w:line="240" w:lineRule="auto"/>
      <w:outlineLvl w:val="1"/>
    </w:pPr>
    <w:rPr>
      <w:rFonts w:ascii="Arial" w:eastAsia="Times New Roman" w:hAnsi="Arial" w:cs="Times New Roman"/>
      <w:b/>
      <w:i/>
      <w:sz w:val="24"/>
      <w:szCs w:val="20"/>
    </w:rPr>
  </w:style>
  <w:style w:type="paragraph" w:styleId="Heading3">
    <w:name w:val="heading 3"/>
    <w:basedOn w:val="Normal"/>
    <w:next w:val="Normal"/>
    <w:link w:val="Heading3Char"/>
    <w:uiPriority w:val="9"/>
    <w:qFormat/>
    <w:rsid w:val="00504DF6"/>
    <w:pPr>
      <w:keepNext/>
      <w:numPr>
        <w:ilvl w:val="2"/>
        <w:numId w:val="9"/>
      </w:numPr>
      <w:spacing w:before="240" w:after="60" w:line="240" w:lineRule="auto"/>
      <w:outlineLvl w:val="2"/>
    </w:pPr>
    <w:rPr>
      <w:rFonts w:ascii="Arial" w:eastAsia="Times New Roman" w:hAnsi="Arial" w:cs="Times New Roman"/>
      <w:sz w:val="24"/>
      <w:szCs w:val="20"/>
    </w:rPr>
  </w:style>
  <w:style w:type="paragraph" w:styleId="Heading4">
    <w:name w:val="heading 4"/>
    <w:basedOn w:val="Normal"/>
    <w:next w:val="Normal"/>
    <w:link w:val="Heading4Char"/>
    <w:uiPriority w:val="9"/>
    <w:qFormat/>
    <w:rsid w:val="00504DF6"/>
    <w:pPr>
      <w:keepNext/>
      <w:numPr>
        <w:ilvl w:val="3"/>
        <w:numId w:val="9"/>
      </w:numPr>
      <w:spacing w:before="240" w:after="60" w:line="240" w:lineRule="auto"/>
      <w:outlineLvl w:val="3"/>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32"/>
    <w:pPr>
      <w:ind w:left="720"/>
      <w:contextualSpacing/>
    </w:pPr>
  </w:style>
  <w:style w:type="paragraph" w:styleId="BalloonText">
    <w:name w:val="Balloon Text"/>
    <w:basedOn w:val="Normal"/>
    <w:link w:val="BalloonTextChar"/>
    <w:uiPriority w:val="99"/>
    <w:semiHidden/>
    <w:unhideWhenUsed/>
    <w:rsid w:val="003A0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82E"/>
    <w:rPr>
      <w:rFonts w:ascii="Tahoma" w:hAnsi="Tahoma" w:cs="Tahoma"/>
      <w:sz w:val="16"/>
      <w:szCs w:val="16"/>
    </w:rPr>
  </w:style>
  <w:style w:type="table" w:styleId="TableGrid">
    <w:name w:val="Table Grid"/>
    <w:basedOn w:val="TableNormal"/>
    <w:uiPriority w:val="59"/>
    <w:rsid w:val="003A082E"/>
    <w:pPr>
      <w:spacing w:after="0" w:line="240" w:lineRule="auto"/>
    </w:pPr>
    <w:rPr>
      <w:rFonts w:ascii="Calibri" w:eastAsia="Calibri"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A082E"/>
    <w:pPr>
      <w:spacing w:after="0" w:line="240" w:lineRule="auto"/>
    </w:pPr>
    <w:rPr>
      <w:rFonts w:ascii="Calibri" w:eastAsia="Calibri"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A082E"/>
    <w:pPr>
      <w:spacing w:after="0" w:line="240" w:lineRule="auto"/>
    </w:pPr>
    <w:rPr>
      <w:rFonts w:ascii="Calibri" w:eastAsia="Calibri"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Texto nota pie IIRSA,ft,footnote,Texto,nota,pie,Ref.,al,F1,texto de nota al pie,NOTA AL PIE TESIS PUCP,foottextfra,F,footnote text,Geneva 9,Font: Geneva 9,Boston 10,f,Fußnotentextr,Texto nota pie Car Car,single space,Fußn,Style 25,ADB"/>
    <w:basedOn w:val="Normal"/>
    <w:link w:val="FootnoteTextChar"/>
    <w:unhideWhenUsed/>
    <w:rsid w:val="00472D74"/>
    <w:pPr>
      <w:spacing w:after="0" w:line="240" w:lineRule="auto"/>
    </w:pPr>
    <w:rPr>
      <w:rFonts w:ascii="Times New Roman" w:hAnsi="Times New Roman"/>
      <w:sz w:val="20"/>
      <w:szCs w:val="20"/>
    </w:rPr>
  </w:style>
  <w:style w:type="character" w:customStyle="1" w:styleId="FootnoteTextChar">
    <w:name w:val="Footnote Text Char"/>
    <w:aliases w:val="fn Char,Texto nota pie IIRSA Char,ft Char,footnote Char,Texto Char,nota Char,pie Char,Ref. Char,al Char,F1 Char,texto de nota al pie Char,NOTA AL PIE TESIS PUCP Char,foottextfra Char,F Char,footnote text Char,Geneva 9 Char,f Char"/>
    <w:basedOn w:val="DefaultParagraphFont"/>
    <w:link w:val="FootnoteText"/>
    <w:rsid w:val="00472D74"/>
    <w:rPr>
      <w:rFonts w:ascii="Times New Roman" w:hAnsi="Times New Roman"/>
      <w:sz w:val="20"/>
      <w:szCs w:val="20"/>
    </w:rPr>
  </w:style>
  <w:style w:type="character" w:styleId="FootnoteReference">
    <w:name w:val="footnote reference"/>
    <w:aliases w:val="titulo 2,16 Point,Superscript 6 Point,ftref,Fußnotenzeichen DISS,BVI fnr, BVI fnr,Знак сноски 1,referencia nota al pie,FC,Footnote Referencefra,Ref. de nota al pie.,Stinking Styles11,Texto de nota al pie,Footnote symbol,Footnote,Ref"/>
    <w:basedOn w:val="DefaultParagraphFont"/>
    <w:unhideWhenUsed/>
    <w:rsid w:val="00F01B9A"/>
    <w:rPr>
      <w:vertAlign w:val="superscript"/>
    </w:rPr>
  </w:style>
  <w:style w:type="paragraph" w:customStyle="1" w:styleId="Paragraph">
    <w:name w:val="Paragraph"/>
    <w:aliases w:val="paragraph,p,PARAGRAPH,PG,pa,at"/>
    <w:basedOn w:val="BodyTextIndent"/>
    <w:link w:val="ParagraphChar"/>
    <w:qFormat/>
    <w:rsid w:val="009116CD"/>
    <w:pPr>
      <w:tabs>
        <w:tab w:val="num" w:pos="720"/>
      </w:tabs>
      <w:spacing w:before="120" w:line="240" w:lineRule="auto"/>
      <w:ind w:left="720" w:hanging="720"/>
      <w:jc w:val="both"/>
      <w:outlineLvl w:val="1"/>
    </w:pPr>
    <w:rPr>
      <w:rFonts w:ascii="Times New Roman" w:eastAsia="Times New Roman" w:hAnsi="Times New Roman" w:cs="Times New Roman"/>
      <w:sz w:val="24"/>
      <w:szCs w:val="20"/>
      <w:lang w:val="es-ES_tradnl"/>
    </w:rPr>
  </w:style>
  <w:style w:type="character" w:customStyle="1" w:styleId="ParagraphChar">
    <w:name w:val="Paragraph Char"/>
    <w:link w:val="Paragraph"/>
    <w:locked/>
    <w:rsid w:val="009116CD"/>
    <w:rPr>
      <w:rFonts w:ascii="Times New Roman" w:eastAsia="Times New Roman" w:hAnsi="Times New Roman" w:cs="Times New Roman"/>
      <w:sz w:val="24"/>
      <w:szCs w:val="20"/>
      <w:lang w:val="es-ES_tradnl"/>
    </w:rPr>
  </w:style>
  <w:style w:type="paragraph" w:styleId="BodyTextIndent">
    <w:name w:val="Body Text Indent"/>
    <w:basedOn w:val="Normal"/>
    <w:link w:val="BodyTextIndentChar"/>
    <w:uiPriority w:val="99"/>
    <w:semiHidden/>
    <w:unhideWhenUsed/>
    <w:rsid w:val="009116CD"/>
    <w:pPr>
      <w:spacing w:after="120"/>
      <w:ind w:left="360"/>
    </w:pPr>
  </w:style>
  <w:style w:type="character" w:customStyle="1" w:styleId="BodyTextIndentChar">
    <w:name w:val="Body Text Indent Char"/>
    <w:basedOn w:val="DefaultParagraphFont"/>
    <w:link w:val="BodyTextIndent"/>
    <w:uiPriority w:val="99"/>
    <w:semiHidden/>
    <w:rsid w:val="009116CD"/>
  </w:style>
  <w:style w:type="paragraph" w:styleId="Header">
    <w:name w:val="header"/>
    <w:basedOn w:val="Normal"/>
    <w:link w:val="HeaderChar"/>
    <w:uiPriority w:val="99"/>
    <w:unhideWhenUsed/>
    <w:rsid w:val="0043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0F5"/>
  </w:style>
  <w:style w:type="paragraph" w:styleId="Footer">
    <w:name w:val="footer"/>
    <w:basedOn w:val="Normal"/>
    <w:link w:val="FooterChar"/>
    <w:uiPriority w:val="99"/>
    <w:unhideWhenUsed/>
    <w:rsid w:val="0043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0F5"/>
  </w:style>
  <w:style w:type="paragraph" w:customStyle="1" w:styleId="Chapter">
    <w:name w:val="Chapter"/>
    <w:basedOn w:val="Normal"/>
    <w:next w:val="Normal"/>
    <w:rsid w:val="0001267D"/>
    <w:pPr>
      <w:keepNext/>
      <w:tabs>
        <w:tab w:val="num" w:pos="648"/>
        <w:tab w:val="left" w:pos="1440"/>
      </w:tabs>
      <w:spacing w:before="240" w:after="240" w:line="240" w:lineRule="auto"/>
      <w:ind w:firstLine="288"/>
      <w:jc w:val="center"/>
    </w:pPr>
    <w:rPr>
      <w:rFonts w:ascii="Times New Roman" w:eastAsia="Times New Roman" w:hAnsi="Times New Roman" w:cs="Times New Roman"/>
      <w:b/>
      <w:smallCaps/>
      <w:sz w:val="24"/>
      <w:szCs w:val="20"/>
      <w:lang w:val="es-ES_tradnl"/>
    </w:rPr>
  </w:style>
  <w:style w:type="paragraph" w:customStyle="1" w:styleId="subpar">
    <w:name w:val="subpar"/>
    <w:basedOn w:val="BodyTextIndent3"/>
    <w:rsid w:val="0001267D"/>
    <w:pPr>
      <w:tabs>
        <w:tab w:val="num" w:pos="720"/>
        <w:tab w:val="num" w:pos="1152"/>
      </w:tabs>
      <w:spacing w:before="120" w:line="240" w:lineRule="auto"/>
      <w:ind w:left="1152" w:hanging="720"/>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01267D"/>
    <w:pPr>
      <w:tabs>
        <w:tab w:val="clear" w:pos="720"/>
        <w:tab w:val="left" w:pos="0"/>
        <w:tab w:val="num" w:pos="864"/>
        <w:tab w:val="num" w:pos="1296"/>
      </w:tabs>
      <w:ind w:left="1296" w:hanging="864"/>
    </w:pPr>
  </w:style>
  <w:style w:type="paragraph" w:styleId="BodyTextIndent3">
    <w:name w:val="Body Text Indent 3"/>
    <w:basedOn w:val="Normal"/>
    <w:link w:val="BodyTextIndent3Char"/>
    <w:uiPriority w:val="99"/>
    <w:semiHidden/>
    <w:unhideWhenUsed/>
    <w:rsid w:val="0001267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1267D"/>
    <w:rPr>
      <w:sz w:val="16"/>
      <w:szCs w:val="16"/>
    </w:rPr>
  </w:style>
  <w:style w:type="character" w:styleId="BookTitle">
    <w:name w:val="Book Title"/>
    <w:basedOn w:val="DefaultParagraphFont"/>
    <w:uiPriority w:val="33"/>
    <w:qFormat/>
    <w:rsid w:val="00D15504"/>
    <w:rPr>
      <w:b/>
      <w:bCs/>
      <w:smallCaps/>
      <w:spacing w:val="5"/>
    </w:rPr>
  </w:style>
  <w:style w:type="character" w:styleId="CommentReference">
    <w:name w:val="annotation reference"/>
    <w:basedOn w:val="DefaultParagraphFont"/>
    <w:unhideWhenUsed/>
    <w:rsid w:val="007A2003"/>
    <w:rPr>
      <w:sz w:val="16"/>
      <w:szCs w:val="16"/>
    </w:rPr>
  </w:style>
  <w:style w:type="paragraph" w:styleId="CommentText">
    <w:name w:val="annotation text"/>
    <w:basedOn w:val="Normal"/>
    <w:link w:val="CommentTextChar"/>
    <w:unhideWhenUsed/>
    <w:rsid w:val="007A2003"/>
    <w:pPr>
      <w:spacing w:line="240" w:lineRule="auto"/>
    </w:pPr>
    <w:rPr>
      <w:sz w:val="20"/>
      <w:szCs w:val="20"/>
    </w:rPr>
  </w:style>
  <w:style w:type="character" w:customStyle="1" w:styleId="CommentTextChar">
    <w:name w:val="Comment Text Char"/>
    <w:basedOn w:val="DefaultParagraphFont"/>
    <w:link w:val="CommentText"/>
    <w:rsid w:val="007A2003"/>
    <w:rPr>
      <w:sz w:val="20"/>
      <w:szCs w:val="20"/>
    </w:rPr>
  </w:style>
  <w:style w:type="paragraph" w:styleId="CommentSubject">
    <w:name w:val="annotation subject"/>
    <w:basedOn w:val="CommentText"/>
    <w:next w:val="CommentText"/>
    <w:link w:val="CommentSubjectChar"/>
    <w:uiPriority w:val="99"/>
    <w:semiHidden/>
    <w:unhideWhenUsed/>
    <w:rsid w:val="007A2003"/>
    <w:rPr>
      <w:b/>
      <w:bCs/>
    </w:rPr>
  </w:style>
  <w:style w:type="character" w:customStyle="1" w:styleId="CommentSubjectChar">
    <w:name w:val="Comment Subject Char"/>
    <w:basedOn w:val="CommentTextChar"/>
    <w:link w:val="CommentSubject"/>
    <w:uiPriority w:val="99"/>
    <w:semiHidden/>
    <w:rsid w:val="007A2003"/>
    <w:rPr>
      <w:b/>
      <w:bCs/>
      <w:sz w:val="20"/>
      <w:szCs w:val="20"/>
    </w:rPr>
  </w:style>
  <w:style w:type="character" w:customStyle="1" w:styleId="Heading1Char">
    <w:name w:val="Heading 1 Char"/>
    <w:basedOn w:val="DefaultParagraphFont"/>
    <w:link w:val="Heading1"/>
    <w:uiPriority w:val="9"/>
    <w:rsid w:val="00504DF6"/>
    <w:rPr>
      <w:rFonts w:ascii="Arial" w:eastAsia="Times New Roman" w:hAnsi="Arial" w:cs="Times New Roman"/>
      <w:b/>
      <w:kern w:val="28"/>
      <w:sz w:val="28"/>
      <w:szCs w:val="20"/>
    </w:rPr>
  </w:style>
  <w:style w:type="character" w:customStyle="1" w:styleId="Heading2Char">
    <w:name w:val="Heading 2 Char"/>
    <w:basedOn w:val="DefaultParagraphFont"/>
    <w:link w:val="Heading2"/>
    <w:uiPriority w:val="9"/>
    <w:rsid w:val="00504DF6"/>
    <w:rPr>
      <w:rFonts w:ascii="Arial" w:eastAsia="Times New Roman" w:hAnsi="Arial" w:cs="Times New Roman"/>
      <w:b/>
      <w:i/>
      <w:sz w:val="24"/>
      <w:szCs w:val="20"/>
    </w:rPr>
  </w:style>
  <w:style w:type="character" w:customStyle="1" w:styleId="Heading3Char">
    <w:name w:val="Heading 3 Char"/>
    <w:basedOn w:val="DefaultParagraphFont"/>
    <w:link w:val="Heading3"/>
    <w:uiPriority w:val="9"/>
    <w:rsid w:val="00504DF6"/>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504DF6"/>
    <w:rPr>
      <w:rFonts w:ascii="Arial" w:eastAsia="Times New Roman" w:hAnsi="Arial" w:cs="Times New Roman"/>
      <w:b/>
      <w:sz w:val="24"/>
      <w:szCs w:val="20"/>
    </w:rPr>
  </w:style>
  <w:style w:type="paragraph" w:styleId="EndnoteText">
    <w:name w:val="endnote text"/>
    <w:basedOn w:val="Normal"/>
    <w:link w:val="EndnoteTextChar"/>
    <w:rsid w:val="00E96555"/>
    <w:pPr>
      <w:spacing w:after="0" w:line="240" w:lineRule="auto"/>
    </w:pPr>
    <w:rPr>
      <w:rFonts w:ascii="Times New Roman" w:eastAsia="MS Mincho" w:hAnsi="Times New Roman" w:cs="Times New Roman"/>
      <w:sz w:val="20"/>
      <w:szCs w:val="20"/>
    </w:rPr>
  </w:style>
  <w:style w:type="character" w:customStyle="1" w:styleId="EndnoteTextChar">
    <w:name w:val="Endnote Text Char"/>
    <w:basedOn w:val="DefaultParagraphFont"/>
    <w:link w:val="EndnoteText"/>
    <w:rsid w:val="00E96555"/>
    <w:rPr>
      <w:rFonts w:ascii="Times New Roman" w:eastAsia="MS Mincho" w:hAnsi="Times New Roman" w:cs="Times New Roman"/>
      <w:sz w:val="20"/>
      <w:szCs w:val="20"/>
    </w:rPr>
  </w:style>
  <w:style w:type="character" w:styleId="EndnoteReference">
    <w:name w:val="endnote reference"/>
    <w:rsid w:val="00E96555"/>
    <w:rPr>
      <w:vertAlign w:val="superscript"/>
    </w:rPr>
  </w:style>
  <w:style w:type="paragraph" w:customStyle="1" w:styleId="Default">
    <w:name w:val="Default"/>
    <w:rsid w:val="00B55C4C"/>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94794B"/>
    <w:pPr>
      <w:spacing w:line="240" w:lineRule="auto"/>
    </w:pPr>
    <w:rPr>
      <w:b/>
      <w:bCs/>
      <w:color w:val="4F81BD" w:themeColor="accent1"/>
      <w:sz w:val="18"/>
      <w:szCs w:val="18"/>
    </w:rPr>
  </w:style>
  <w:style w:type="character" w:styleId="Hyperlink">
    <w:name w:val="Hyperlink"/>
    <w:basedOn w:val="DefaultParagraphFont"/>
    <w:uiPriority w:val="99"/>
    <w:unhideWhenUsed/>
    <w:rsid w:val="00864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42087">
      <w:bodyDiv w:val="1"/>
      <w:marLeft w:val="0"/>
      <w:marRight w:val="0"/>
      <w:marTop w:val="0"/>
      <w:marBottom w:val="0"/>
      <w:divBdr>
        <w:top w:val="none" w:sz="0" w:space="0" w:color="auto"/>
        <w:left w:val="none" w:sz="0" w:space="0" w:color="auto"/>
        <w:bottom w:val="none" w:sz="0" w:space="0" w:color="auto"/>
        <w:right w:val="none" w:sz="0" w:space="0" w:color="auto"/>
      </w:divBdr>
    </w:div>
    <w:div w:id="299842417">
      <w:bodyDiv w:val="1"/>
      <w:marLeft w:val="0"/>
      <w:marRight w:val="0"/>
      <w:marTop w:val="0"/>
      <w:marBottom w:val="0"/>
      <w:divBdr>
        <w:top w:val="none" w:sz="0" w:space="0" w:color="auto"/>
        <w:left w:val="none" w:sz="0" w:space="0" w:color="auto"/>
        <w:bottom w:val="none" w:sz="0" w:space="0" w:color="auto"/>
        <w:right w:val="none" w:sz="0" w:space="0" w:color="auto"/>
      </w:divBdr>
    </w:div>
    <w:div w:id="498621106">
      <w:bodyDiv w:val="1"/>
      <w:marLeft w:val="0"/>
      <w:marRight w:val="0"/>
      <w:marTop w:val="0"/>
      <w:marBottom w:val="0"/>
      <w:divBdr>
        <w:top w:val="none" w:sz="0" w:space="0" w:color="auto"/>
        <w:left w:val="none" w:sz="0" w:space="0" w:color="auto"/>
        <w:bottom w:val="none" w:sz="0" w:space="0" w:color="auto"/>
        <w:right w:val="none" w:sz="0" w:space="0" w:color="auto"/>
      </w:divBdr>
    </w:div>
    <w:div w:id="581255918">
      <w:bodyDiv w:val="1"/>
      <w:marLeft w:val="0"/>
      <w:marRight w:val="0"/>
      <w:marTop w:val="0"/>
      <w:marBottom w:val="0"/>
      <w:divBdr>
        <w:top w:val="none" w:sz="0" w:space="0" w:color="auto"/>
        <w:left w:val="none" w:sz="0" w:space="0" w:color="auto"/>
        <w:bottom w:val="none" w:sz="0" w:space="0" w:color="auto"/>
        <w:right w:val="none" w:sz="0" w:space="0" w:color="auto"/>
      </w:divBdr>
    </w:div>
    <w:div w:id="747730185">
      <w:bodyDiv w:val="1"/>
      <w:marLeft w:val="0"/>
      <w:marRight w:val="0"/>
      <w:marTop w:val="0"/>
      <w:marBottom w:val="0"/>
      <w:divBdr>
        <w:top w:val="none" w:sz="0" w:space="0" w:color="auto"/>
        <w:left w:val="none" w:sz="0" w:space="0" w:color="auto"/>
        <w:bottom w:val="none" w:sz="0" w:space="0" w:color="auto"/>
        <w:right w:val="none" w:sz="0" w:space="0" w:color="auto"/>
      </w:divBdr>
    </w:div>
    <w:div w:id="16829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image002.png@01D0A823.F7E6E39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cid:image001.png@01D0A823.91AC15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adb.org/en/projects/project-description-title,1303.html?id=RG-L1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0486A97-3E9B-4D5A-8404-3AF37D82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9</Pages>
  <Words>5615</Words>
  <Characters>32009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Inter-American Development Bank</Company>
  <LinksUpToDate>false</LinksUpToDate>
  <CharactersWithSpaces>37549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IADB</cp:lastModifiedBy>
  <cp:revision>12</cp:revision>
  <cp:lastPrinted>2015-06-26T18:42:00Z</cp:lastPrinted>
  <dcterms:created xsi:type="dcterms:W3CDTF">2015-07-21T18:31:00Z</dcterms:created>
  <dcterms:modified xsi:type="dcterms:W3CDTF">2015-10-01T14:06:00Z</dcterms:modified>
</cp:coreProperties>
</file>