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7B8" w:rsidRDefault="004C27B8" w:rsidP="00E24898">
      <w:pPr>
        <w:pStyle w:val="SubSubPar"/>
        <w:numPr>
          <w:ilvl w:val="0"/>
          <w:numId w:val="0"/>
        </w:numPr>
        <w:spacing w:after="0"/>
        <w:jc w:val="right"/>
        <w:rPr>
          <w:rFonts w:ascii="Century Gothic" w:hAnsi="Century Gothic"/>
          <w:smallCaps/>
          <w:lang w:val="en-US"/>
        </w:rPr>
      </w:pPr>
      <w:r>
        <w:rPr>
          <w:rFonts w:ascii="Century Gothic" w:hAnsi="Century Gothic"/>
          <w:smallCaps/>
          <w:lang w:val="en-US"/>
        </w:rPr>
        <w:t>PUBLIC</w:t>
      </w:r>
    </w:p>
    <w:p w:rsidR="002B3E4E" w:rsidRPr="00602B82" w:rsidRDefault="002B3E4E">
      <w:pPr>
        <w:pStyle w:val="SubSubPar"/>
        <w:numPr>
          <w:ilvl w:val="0"/>
          <w:numId w:val="0"/>
        </w:numPr>
        <w:spacing w:after="0"/>
        <w:jc w:val="center"/>
        <w:rPr>
          <w:rFonts w:ascii="Century Gothic" w:hAnsi="Century Gothic"/>
          <w:smallCaps/>
          <w:lang w:val="en-US"/>
        </w:rPr>
      </w:pPr>
      <w:r w:rsidRPr="00602B82">
        <w:rPr>
          <w:rFonts w:ascii="Century Gothic" w:hAnsi="Century Gothic"/>
          <w:smallCaps/>
          <w:lang w:val="en-US"/>
        </w:rPr>
        <w:t>DOCUMENT OF THE INTER-AMERICAN DEVELOPMENT BANK</w:t>
      </w:r>
    </w:p>
    <w:p w:rsidR="002B3E4E" w:rsidRPr="00602B82" w:rsidRDefault="002B3E4E">
      <w:pPr>
        <w:pStyle w:val="AbbrDesc"/>
        <w:tabs>
          <w:tab w:val="left" w:pos="1440"/>
        </w:tabs>
        <w:jc w:val="center"/>
        <w:outlineLvl w:val="0"/>
        <w:rPr>
          <w:rFonts w:ascii="Century Gothic" w:hAnsi="Century Gothic"/>
          <w:smallCaps/>
          <w:lang w:val="en-US"/>
        </w:rPr>
      </w:pPr>
      <w:r w:rsidRPr="00602B82">
        <w:rPr>
          <w:rFonts w:ascii="Century Gothic" w:hAnsi="Century Gothic"/>
          <w:smallCaps/>
          <w:lang w:val="en-US"/>
        </w:rPr>
        <w:t>Multilateral Investment Fund</w:t>
      </w:r>
    </w:p>
    <w:p w:rsidR="002B3E4E" w:rsidRPr="00602B82" w:rsidRDefault="002B3E4E">
      <w:pPr>
        <w:tabs>
          <w:tab w:val="left" w:pos="1440"/>
          <w:tab w:val="left" w:pos="3060"/>
        </w:tabs>
        <w:jc w:val="center"/>
        <w:rPr>
          <w:smallCaps/>
        </w:rPr>
      </w:pPr>
    </w:p>
    <w:p w:rsidR="002B3E4E" w:rsidRPr="00602B82" w:rsidRDefault="002B3E4E">
      <w:pPr>
        <w:tabs>
          <w:tab w:val="left" w:pos="1440"/>
          <w:tab w:val="left" w:pos="3060"/>
        </w:tabs>
        <w:jc w:val="center"/>
        <w:rPr>
          <w:smallCaps/>
        </w:rPr>
      </w:pPr>
    </w:p>
    <w:p w:rsidR="002B3E4E" w:rsidRPr="00602B82" w:rsidRDefault="002B3E4E">
      <w:pPr>
        <w:tabs>
          <w:tab w:val="left" w:pos="1440"/>
          <w:tab w:val="left" w:pos="3060"/>
        </w:tabs>
        <w:jc w:val="center"/>
        <w:rPr>
          <w:smallCaps/>
        </w:rPr>
      </w:pPr>
    </w:p>
    <w:p w:rsidR="002B3E4E" w:rsidRPr="00602B82" w:rsidRDefault="002B3E4E">
      <w:pPr>
        <w:tabs>
          <w:tab w:val="left" w:pos="1440"/>
          <w:tab w:val="left" w:pos="3060"/>
        </w:tabs>
        <w:jc w:val="center"/>
        <w:rPr>
          <w:smallCaps/>
        </w:rPr>
      </w:pPr>
    </w:p>
    <w:p w:rsidR="002B3E4E" w:rsidRPr="00602B82" w:rsidRDefault="002B3E4E">
      <w:pPr>
        <w:tabs>
          <w:tab w:val="left" w:pos="1440"/>
          <w:tab w:val="left" w:pos="3060"/>
        </w:tabs>
        <w:jc w:val="center"/>
        <w:rPr>
          <w:smallCaps/>
        </w:rPr>
      </w:pPr>
    </w:p>
    <w:p w:rsidR="002B3E4E" w:rsidRPr="00602B82" w:rsidRDefault="002B3E4E">
      <w:pPr>
        <w:tabs>
          <w:tab w:val="left" w:pos="1440"/>
          <w:tab w:val="left" w:pos="3060"/>
        </w:tabs>
        <w:jc w:val="center"/>
        <w:rPr>
          <w:smallCaps/>
        </w:rPr>
      </w:pPr>
    </w:p>
    <w:p w:rsidR="002B3E4E" w:rsidRPr="001C6E67" w:rsidRDefault="003138C0">
      <w:pPr>
        <w:tabs>
          <w:tab w:val="left" w:pos="1440"/>
          <w:tab w:val="left" w:pos="3060"/>
        </w:tabs>
        <w:jc w:val="center"/>
        <w:rPr>
          <w:rFonts w:ascii="Calibri" w:hAnsi="Calibri"/>
          <w:smallCaps/>
        </w:rPr>
      </w:pPr>
      <w:r>
        <w:rPr>
          <w:rFonts w:ascii="Calibri" w:hAnsi="Calibri"/>
          <w:b/>
          <w:smallCaps/>
          <w:sz w:val="32"/>
        </w:rPr>
        <w:t>REGIONAL</w:t>
      </w:r>
    </w:p>
    <w:p w:rsidR="002B3E4E" w:rsidRPr="001C6E67" w:rsidRDefault="002B3E4E">
      <w:pPr>
        <w:tabs>
          <w:tab w:val="left" w:pos="1440"/>
          <w:tab w:val="left" w:pos="3060"/>
        </w:tabs>
        <w:jc w:val="center"/>
        <w:rPr>
          <w:rFonts w:ascii="Calibri" w:hAnsi="Calibri"/>
          <w:smallCaps/>
        </w:rPr>
      </w:pPr>
    </w:p>
    <w:p w:rsidR="002B3E4E" w:rsidRPr="001C6E67" w:rsidRDefault="002B3E4E">
      <w:pPr>
        <w:tabs>
          <w:tab w:val="left" w:pos="1440"/>
          <w:tab w:val="left" w:pos="3060"/>
        </w:tabs>
        <w:jc w:val="center"/>
        <w:rPr>
          <w:rFonts w:ascii="Calibri" w:hAnsi="Calibri"/>
          <w:smallCaps/>
        </w:rPr>
      </w:pPr>
    </w:p>
    <w:p w:rsidR="002B3E4E" w:rsidRPr="001C6E67" w:rsidRDefault="002B3E4E">
      <w:pPr>
        <w:tabs>
          <w:tab w:val="left" w:pos="1440"/>
          <w:tab w:val="left" w:pos="3060"/>
        </w:tabs>
        <w:jc w:val="center"/>
        <w:rPr>
          <w:rFonts w:ascii="Calibri" w:hAnsi="Calibri"/>
          <w:smallCaps/>
        </w:rPr>
      </w:pPr>
    </w:p>
    <w:p w:rsidR="002B3E4E" w:rsidRPr="001C6E67" w:rsidRDefault="002B3E4E">
      <w:pPr>
        <w:tabs>
          <w:tab w:val="left" w:pos="1440"/>
          <w:tab w:val="left" w:pos="3060"/>
        </w:tabs>
        <w:jc w:val="center"/>
        <w:rPr>
          <w:rFonts w:ascii="Calibri" w:hAnsi="Calibri"/>
          <w:smallCaps/>
        </w:rPr>
      </w:pPr>
    </w:p>
    <w:p w:rsidR="002B3E4E" w:rsidRDefault="003138C0" w:rsidP="00B44270">
      <w:pPr>
        <w:pStyle w:val="Newpage"/>
        <w:ind w:firstLine="0"/>
        <w:rPr>
          <w:rFonts w:ascii="Calibri" w:hAnsi="Calibri"/>
          <w:sz w:val="28"/>
          <w:lang w:val="en-US"/>
        </w:rPr>
      </w:pPr>
      <w:r w:rsidRPr="003138C0">
        <w:rPr>
          <w:rFonts w:ascii="Calibri" w:hAnsi="Calibri"/>
          <w:sz w:val="28"/>
          <w:lang w:val="en-US"/>
        </w:rPr>
        <w:t>Acceleration Track for Social Businesses Working in Basic Services</w:t>
      </w:r>
    </w:p>
    <w:p w:rsidR="002B3E4E" w:rsidRPr="00E24898" w:rsidRDefault="002B3E4E" w:rsidP="00B44270">
      <w:pPr>
        <w:tabs>
          <w:tab w:val="left" w:pos="1440"/>
          <w:tab w:val="left" w:pos="3060"/>
        </w:tabs>
        <w:jc w:val="center"/>
        <w:rPr>
          <w:rFonts w:ascii="Calibri" w:hAnsi="Calibri"/>
          <w:b/>
          <w:smallCaps/>
        </w:rPr>
      </w:pPr>
      <w:r w:rsidRPr="003138C0">
        <w:rPr>
          <w:rFonts w:ascii="Calibri" w:hAnsi="Calibri"/>
          <w:b/>
          <w:smallCaps/>
        </w:rPr>
        <w:t>(</w:t>
      </w:r>
      <w:r w:rsidR="003138C0" w:rsidRPr="003138C0">
        <w:rPr>
          <w:rFonts w:ascii="Calibri" w:hAnsi="Calibri"/>
          <w:b/>
          <w:bCs/>
          <w:smallCaps/>
        </w:rPr>
        <w:t>RG-M1265</w:t>
      </w:r>
      <w:r w:rsidRPr="003138C0">
        <w:rPr>
          <w:rFonts w:ascii="Calibri" w:hAnsi="Calibri"/>
          <w:b/>
          <w:smallCaps/>
        </w:rPr>
        <w:t>)</w:t>
      </w:r>
    </w:p>
    <w:p w:rsidR="002B3E4E" w:rsidRPr="00E24898" w:rsidRDefault="002B3E4E">
      <w:pPr>
        <w:tabs>
          <w:tab w:val="left" w:pos="1440"/>
          <w:tab w:val="left" w:pos="3060"/>
        </w:tabs>
        <w:jc w:val="center"/>
        <w:rPr>
          <w:rFonts w:ascii="Calibri" w:hAnsi="Calibri"/>
          <w:smallCaps/>
        </w:rPr>
      </w:pPr>
    </w:p>
    <w:p w:rsidR="002B3E4E" w:rsidRPr="00E24898" w:rsidRDefault="002B3E4E">
      <w:pPr>
        <w:tabs>
          <w:tab w:val="left" w:pos="1440"/>
          <w:tab w:val="left" w:pos="3060"/>
        </w:tabs>
        <w:jc w:val="center"/>
        <w:rPr>
          <w:rFonts w:ascii="Calibri" w:hAnsi="Calibri"/>
          <w:smallCaps/>
        </w:rPr>
      </w:pPr>
    </w:p>
    <w:p w:rsidR="002B3E4E" w:rsidRPr="00E24898" w:rsidRDefault="002B3E4E">
      <w:pPr>
        <w:tabs>
          <w:tab w:val="left" w:pos="1440"/>
          <w:tab w:val="left" w:pos="3060"/>
        </w:tabs>
        <w:jc w:val="center"/>
        <w:rPr>
          <w:rFonts w:ascii="Calibri" w:hAnsi="Calibri"/>
          <w:smallCaps/>
        </w:rPr>
      </w:pPr>
    </w:p>
    <w:p w:rsidR="002B3E4E" w:rsidRPr="00602B82" w:rsidRDefault="002B3E4E">
      <w:pPr>
        <w:tabs>
          <w:tab w:val="left" w:pos="1440"/>
          <w:tab w:val="left" w:pos="3060"/>
        </w:tabs>
        <w:jc w:val="center"/>
        <w:outlineLvl w:val="0"/>
        <w:rPr>
          <w:rFonts w:ascii="Calibri" w:hAnsi="Calibri"/>
          <w:b/>
          <w:sz w:val="28"/>
        </w:rPr>
      </w:pPr>
      <w:r w:rsidRPr="00602B82">
        <w:rPr>
          <w:rFonts w:ascii="Calibri" w:hAnsi="Calibri"/>
          <w:b/>
          <w:smallCaps/>
          <w:sz w:val="28"/>
        </w:rPr>
        <w:t>Donors Memorandum</w:t>
      </w:r>
    </w:p>
    <w:p w:rsidR="002B3E4E" w:rsidRPr="00602B82" w:rsidRDefault="002B3E4E">
      <w:pPr>
        <w:tabs>
          <w:tab w:val="left" w:pos="1440"/>
          <w:tab w:val="left" w:pos="3060"/>
        </w:tabs>
        <w:jc w:val="center"/>
        <w:rPr>
          <w:rFonts w:ascii="Calibri" w:hAnsi="Calibri"/>
        </w:rPr>
      </w:pPr>
    </w:p>
    <w:p w:rsidR="002B3E4E" w:rsidRPr="00602B82" w:rsidRDefault="002B3E4E">
      <w:pPr>
        <w:tabs>
          <w:tab w:val="left" w:pos="1440"/>
          <w:tab w:val="left" w:pos="3060"/>
        </w:tabs>
        <w:jc w:val="center"/>
        <w:rPr>
          <w:rFonts w:ascii="Calibri" w:hAnsi="Calibri"/>
        </w:rPr>
      </w:pPr>
    </w:p>
    <w:p w:rsidR="002B3E4E" w:rsidRPr="00602B82" w:rsidRDefault="002B3E4E">
      <w:pPr>
        <w:tabs>
          <w:tab w:val="left" w:pos="1440"/>
          <w:tab w:val="left" w:pos="3060"/>
        </w:tabs>
        <w:jc w:val="center"/>
        <w:rPr>
          <w:rFonts w:ascii="Calibri" w:hAnsi="Calibri"/>
        </w:rPr>
      </w:pPr>
    </w:p>
    <w:p w:rsidR="002B3E4E" w:rsidRPr="00602B82" w:rsidRDefault="002B3E4E">
      <w:pPr>
        <w:tabs>
          <w:tab w:val="left" w:pos="1440"/>
          <w:tab w:val="left" w:pos="3060"/>
        </w:tabs>
        <w:jc w:val="center"/>
        <w:rPr>
          <w:rFonts w:ascii="Calibri" w:hAnsi="Calibri"/>
        </w:rPr>
      </w:pPr>
    </w:p>
    <w:p w:rsidR="002B3E4E" w:rsidRPr="00602B82" w:rsidRDefault="002B3E4E">
      <w:pPr>
        <w:tabs>
          <w:tab w:val="left" w:pos="1440"/>
          <w:tab w:val="left" w:pos="3060"/>
        </w:tabs>
        <w:jc w:val="center"/>
        <w:rPr>
          <w:rFonts w:ascii="Calibri" w:hAnsi="Calibri"/>
        </w:rPr>
      </w:pPr>
    </w:p>
    <w:p w:rsidR="002B3E4E" w:rsidRPr="00602B82" w:rsidRDefault="002B3E4E">
      <w:pPr>
        <w:tabs>
          <w:tab w:val="left" w:pos="1440"/>
          <w:tab w:val="left" w:pos="3060"/>
        </w:tabs>
        <w:jc w:val="center"/>
        <w:rPr>
          <w:rFonts w:ascii="Calibri" w:hAnsi="Calibri"/>
        </w:rPr>
      </w:pPr>
    </w:p>
    <w:p w:rsidR="002B3E4E" w:rsidRPr="00602B82" w:rsidRDefault="002B3E4E">
      <w:pPr>
        <w:tabs>
          <w:tab w:val="left" w:pos="1440"/>
          <w:tab w:val="left" w:pos="3060"/>
        </w:tabs>
        <w:jc w:val="center"/>
        <w:rPr>
          <w:rFonts w:ascii="Calibri" w:hAnsi="Calibri"/>
        </w:rPr>
      </w:pPr>
    </w:p>
    <w:p w:rsidR="002B3E4E" w:rsidRPr="00602B82" w:rsidRDefault="002B3E4E">
      <w:pPr>
        <w:tabs>
          <w:tab w:val="left" w:pos="1440"/>
          <w:tab w:val="left" w:pos="3060"/>
        </w:tabs>
        <w:jc w:val="center"/>
        <w:rPr>
          <w:rFonts w:ascii="Calibri" w:hAnsi="Calibri"/>
        </w:rPr>
      </w:pPr>
    </w:p>
    <w:p w:rsidR="002B3E4E" w:rsidRPr="00602B82" w:rsidRDefault="002B3E4E">
      <w:pPr>
        <w:tabs>
          <w:tab w:val="left" w:pos="1440"/>
          <w:tab w:val="left" w:pos="3060"/>
        </w:tabs>
        <w:jc w:val="center"/>
        <w:rPr>
          <w:rFonts w:ascii="Calibri" w:hAnsi="Calibri"/>
        </w:rPr>
      </w:pPr>
    </w:p>
    <w:p w:rsidR="002B3E4E" w:rsidRPr="00602B82" w:rsidRDefault="002B3E4E">
      <w:pPr>
        <w:tabs>
          <w:tab w:val="left" w:pos="1440"/>
          <w:tab w:val="left" w:pos="3060"/>
        </w:tabs>
        <w:jc w:val="center"/>
        <w:rPr>
          <w:rFonts w:ascii="Calibri" w:hAnsi="Calibri"/>
        </w:rPr>
      </w:pPr>
    </w:p>
    <w:p w:rsidR="002B3E4E" w:rsidRPr="00602B82" w:rsidRDefault="002B3E4E">
      <w:pPr>
        <w:tabs>
          <w:tab w:val="left" w:pos="1440"/>
          <w:tab w:val="left" w:pos="3060"/>
        </w:tabs>
        <w:jc w:val="center"/>
        <w:rPr>
          <w:rFonts w:ascii="Calibri" w:hAnsi="Calibri"/>
        </w:rPr>
      </w:pPr>
    </w:p>
    <w:p w:rsidR="002B3E4E" w:rsidRPr="00602B82" w:rsidRDefault="002B3E4E">
      <w:pPr>
        <w:tabs>
          <w:tab w:val="left" w:pos="1440"/>
          <w:tab w:val="left" w:pos="3060"/>
        </w:tabs>
        <w:jc w:val="center"/>
        <w:rPr>
          <w:rFonts w:ascii="Calibri" w:hAnsi="Calibri"/>
        </w:rPr>
      </w:pPr>
    </w:p>
    <w:p w:rsidR="002B3E4E" w:rsidRPr="00602B82" w:rsidRDefault="002B3E4E">
      <w:pPr>
        <w:tabs>
          <w:tab w:val="left" w:pos="1440"/>
          <w:tab w:val="left" w:pos="3060"/>
        </w:tabs>
        <w:jc w:val="center"/>
        <w:rPr>
          <w:rFonts w:ascii="Calibri" w:hAnsi="Calibri"/>
        </w:rPr>
      </w:pPr>
    </w:p>
    <w:p w:rsidR="002B3E4E" w:rsidRPr="00602B82" w:rsidRDefault="002B3E4E">
      <w:pPr>
        <w:tabs>
          <w:tab w:val="left" w:pos="1440"/>
          <w:tab w:val="left" w:pos="3060"/>
        </w:tabs>
        <w:jc w:val="center"/>
        <w:rPr>
          <w:rFonts w:ascii="Calibri" w:hAnsi="Calibri"/>
        </w:rPr>
      </w:pPr>
    </w:p>
    <w:p w:rsidR="002B3E4E" w:rsidRPr="00602B82" w:rsidRDefault="002B3E4E">
      <w:pPr>
        <w:tabs>
          <w:tab w:val="left" w:pos="1440"/>
          <w:tab w:val="left" w:pos="3060"/>
        </w:tabs>
        <w:jc w:val="center"/>
        <w:rPr>
          <w:rFonts w:ascii="Calibri" w:hAnsi="Calibri"/>
        </w:rPr>
      </w:pPr>
    </w:p>
    <w:p w:rsidR="002B3E4E" w:rsidRPr="00602B82" w:rsidRDefault="002B3E4E">
      <w:pPr>
        <w:tabs>
          <w:tab w:val="left" w:pos="1440"/>
          <w:tab w:val="left" w:pos="3060"/>
        </w:tabs>
        <w:jc w:val="center"/>
        <w:rPr>
          <w:rFonts w:ascii="Calibri" w:hAnsi="Calibri"/>
        </w:rPr>
      </w:pPr>
    </w:p>
    <w:p w:rsidR="002B3E4E" w:rsidRPr="00602B82" w:rsidRDefault="002B3E4E">
      <w:pPr>
        <w:tabs>
          <w:tab w:val="left" w:pos="1440"/>
          <w:tab w:val="left" w:pos="3060"/>
        </w:tabs>
        <w:jc w:val="center"/>
        <w:rPr>
          <w:rFonts w:ascii="Calibri" w:hAnsi="Calibri"/>
        </w:rPr>
      </w:pPr>
    </w:p>
    <w:p w:rsidR="003138C0" w:rsidRPr="00463B7A" w:rsidRDefault="003138C0" w:rsidP="003138C0">
      <w:pPr>
        <w:pStyle w:val="BodyText"/>
        <w:pBdr>
          <w:top w:val="single" w:sz="4" w:space="1" w:color="auto"/>
          <w:left w:val="single" w:sz="4" w:space="4" w:color="auto"/>
          <w:bottom w:val="single" w:sz="4" w:space="1" w:color="auto"/>
          <w:right w:val="single" w:sz="4" w:space="4" w:color="auto"/>
        </w:pBdr>
        <w:tabs>
          <w:tab w:val="left" w:pos="1440"/>
        </w:tabs>
        <w:jc w:val="both"/>
        <w:rPr>
          <w:rFonts w:ascii="Calibri" w:hAnsi="Calibri"/>
          <w:color w:val="808080"/>
        </w:rPr>
      </w:pPr>
      <w:r w:rsidRPr="00102F10">
        <w:rPr>
          <w:rFonts w:ascii="Calibri" w:hAnsi="Calibri"/>
        </w:rPr>
        <w:t>This document was prepared by the project team comprised of:</w:t>
      </w:r>
      <w:r>
        <w:rPr>
          <w:rFonts w:ascii="Calibri" w:hAnsi="Calibri"/>
        </w:rPr>
        <w:t xml:space="preserve"> David Bloomgarden (MIF/ABG</w:t>
      </w:r>
      <w:r w:rsidRPr="00102F10">
        <w:rPr>
          <w:rFonts w:ascii="Calibri" w:hAnsi="Calibri"/>
        </w:rPr>
        <w:t xml:space="preserve">); </w:t>
      </w:r>
      <w:r>
        <w:rPr>
          <w:rFonts w:ascii="Calibri" w:hAnsi="Calibri"/>
        </w:rPr>
        <w:t xml:space="preserve">Nathaniel Jackson (OMJ/OMJ); Dora </w:t>
      </w:r>
      <w:proofErr w:type="spellStart"/>
      <w:r>
        <w:rPr>
          <w:rFonts w:ascii="Calibri" w:hAnsi="Calibri"/>
        </w:rPr>
        <w:t>Moscoso</w:t>
      </w:r>
      <w:proofErr w:type="spellEnd"/>
      <w:r>
        <w:rPr>
          <w:rFonts w:ascii="Calibri" w:hAnsi="Calibri"/>
        </w:rPr>
        <w:t xml:space="preserve"> (MIF/DEU); Isabel </w:t>
      </w:r>
      <w:proofErr w:type="spellStart"/>
      <w:r>
        <w:rPr>
          <w:rFonts w:ascii="Calibri" w:hAnsi="Calibri"/>
        </w:rPr>
        <w:t>Auge</w:t>
      </w:r>
      <w:proofErr w:type="spellEnd"/>
      <w:r>
        <w:rPr>
          <w:rFonts w:ascii="Calibri" w:hAnsi="Calibri"/>
        </w:rPr>
        <w:t xml:space="preserve"> (MIF/</w:t>
      </w:r>
      <w:r w:rsidRPr="00DC27A9">
        <w:rPr>
          <w:rFonts w:ascii="Calibri" w:hAnsi="Calibri"/>
        </w:rPr>
        <w:t>ABG)</w:t>
      </w:r>
      <w:r w:rsidR="00B04264">
        <w:rPr>
          <w:rFonts w:ascii="Calibri" w:hAnsi="Calibri"/>
        </w:rPr>
        <w:t>;</w:t>
      </w:r>
      <w:r w:rsidRPr="00DC27A9">
        <w:rPr>
          <w:rFonts w:ascii="Calibri" w:hAnsi="Calibri"/>
        </w:rPr>
        <w:t xml:space="preserve"> </w:t>
      </w:r>
      <w:r w:rsidR="00433BDA">
        <w:rPr>
          <w:rFonts w:ascii="Calibri" w:hAnsi="Calibri"/>
        </w:rPr>
        <w:t xml:space="preserve">Brian </w:t>
      </w:r>
      <w:proofErr w:type="spellStart"/>
      <w:r w:rsidR="00433BDA">
        <w:rPr>
          <w:rFonts w:ascii="Calibri" w:hAnsi="Calibri"/>
        </w:rPr>
        <w:t>Muraresku</w:t>
      </w:r>
      <w:proofErr w:type="spellEnd"/>
      <w:r>
        <w:rPr>
          <w:rFonts w:ascii="Calibri" w:hAnsi="Calibri"/>
        </w:rPr>
        <w:t xml:space="preserve"> (MIF/LEG); Ignacio </w:t>
      </w:r>
      <w:proofErr w:type="spellStart"/>
      <w:r>
        <w:rPr>
          <w:rFonts w:ascii="Calibri" w:hAnsi="Calibri"/>
        </w:rPr>
        <w:t>Fernández</w:t>
      </w:r>
      <w:proofErr w:type="spellEnd"/>
      <w:r>
        <w:rPr>
          <w:rFonts w:ascii="Calibri" w:hAnsi="Calibri"/>
        </w:rPr>
        <w:t xml:space="preserve"> (MIF/ABG</w:t>
      </w:r>
      <w:r w:rsidRPr="00102F10">
        <w:rPr>
          <w:rFonts w:ascii="Calibri" w:hAnsi="Calibri"/>
        </w:rPr>
        <w:t>)</w:t>
      </w:r>
    </w:p>
    <w:p w:rsidR="002B3E4E" w:rsidRPr="00602B82" w:rsidRDefault="002B3E4E">
      <w:pPr>
        <w:pStyle w:val="BodyText"/>
        <w:pBdr>
          <w:top w:val="single" w:sz="4" w:space="1" w:color="auto"/>
          <w:left w:val="single" w:sz="4" w:space="4" w:color="auto"/>
          <w:bottom w:val="single" w:sz="4" w:space="1" w:color="auto"/>
          <w:right w:val="single" w:sz="4" w:space="4" w:color="auto"/>
        </w:pBdr>
        <w:tabs>
          <w:tab w:val="left" w:pos="1440"/>
        </w:tabs>
        <w:jc w:val="both"/>
        <w:rPr>
          <w:rFonts w:ascii="Calibri" w:hAnsi="Calibri"/>
          <w:color w:val="808080"/>
        </w:rPr>
      </w:pPr>
    </w:p>
    <w:p w:rsidR="002B3E4E" w:rsidRPr="00602B82" w:rsidRDefault="002B3E4E">
      <w:pPr>
        <w:tabs>
          <w:tab w:val="left" w:pos="1440"/>
          <w:tab w:val="left" w:pos="3060"/>
        </w:tabs>
        <w:outlineLvl w:val="0"/>
        <w:rPr>
          <w:rFonts w:ascii="Calibri" w:hAnsi="Calibri"/>
        </w:rPr>
      </w:pPr>
    </w:p>
    <w:p w:rsidR="002B3E4E" w:rsidRPr="00602B82" w:rsidRDefault="00B04264">
      <w:pPr>
        <w:tabs>
          <w:tab w:val="left" w:pos="1440"/>
          <w:tab w:val="left" w:pos="3060"/>
        </w:tabs>
        <w:outlineLvl w:val="0"/>
        <w:rPr>
          <w:rFonts w:ascii="Calibri" w:hAnsi="Calibri"/>
        </w:rPr>
      </w:pPr>
      <w:r>
        <w:rPr>
          <w:rFonts w:ascii="Calibri" w:hAnsi="Calibri"/>
          <w:noProof/>
          <w:snapToGrid/>
          <w:lang w:val="es-ES_tradnl" w:eastAsia="es-ES_tradnl"/>
        </w:rPr>
        <mc:AlternateContent>
          <mc:Choice Requires="wps">
            <w:drawing>
              <wp:anchor distT="0" distB="0" distL="114300" distR="114300" simplePos="0" relativeHeight="251659264" behindDoc="0" locked="0" layoutInCell="1" allowOverlap="1">
                <wp:simplePos x="0" y="0"/>
                <wp:positionH relativeFrom="column">
                  <wp:posOffset>-60960</wp:posOffset>
                </wp:positionH>
                <wp:positionV relativeFrom="paragraph">
                  <wp:posOffset>1905</wp:posOffset>
                </wp:positionV>
                <wp:extent cx="6068060" cy="315595"/>
                <wp:effectExtent l="0" t="0" r="27940" b="27305"/>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8060" cy="3155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5F6D" w:rsidRPr="00035DA0" w:rsidRDefault="00715F6D" w:rsidP="009176F3">
                            <w:pPr>
                              <w:rPr>
                                <w:rFonts w:asciiTheme="minorHAnsi" w:hAnsiTheme="minorHAnsi"/>
                              </w:rPr>
                            </w:pPr>
                            <w:r w:rsidRPr="00035DA0">
                              <w:rPr>
                                <w:rFonts w:asciiTheme="minorHAnsi" w:hAnsiTheme="minorHAnsi"/>
                              </w:rPr>
                              <w:t>According to the Information Disclosure Policy this document is subject to public disclosure.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pt;margin-top:.15pt;width:477.8pt;height:2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" fillcolor="white [3201]" strokeweight=".5pt">
                <v:path arrowok="t"/>
                <v:textbox>
                  <w:txbxContent>
                    <w:p w:rsidR="00715F6D" w:rsidRPr="00035DA0" w:rsidRDefault="00715F6D" w:rsidP="009176F3">
                      <w:pPr>
                        <w:rPr>
                          <w:rFonts w:asciiTheme="minorHAnsi" w:hAnsiTheme="minorHAnsi"/>
                        </w:rPr>
                      </w:pPr>
                      <w:r w:rsidRPr="00035DA0">
                        <w:rPr>
                          <w:rFonts w:asciiTheme="minorHAnsi" w:hAnsiTheme="minorHAnsi"/>
                        </w:rPr>
                        <w:t>According to the Information Disclosure Policy this document is subject to public disclosure.</w:t>
                      </w:r>
                    </w:p>
                  </w:txbxContent>
                </v:textbox>
              </v:shape>
            </w:pict>
          </mc:Fallback>
        </mc:AlternateContent>
      </w:r>
    </w:p>
    <w:p w:rsidR="002B3E4E" w:rsidRPr="00602B82" w:rsidRDefault="002B3E4E">
      <w:pPr>
        <w:tabs>
          <w:tab w:val="left" w:pos="1440"/>
          <w:tab w:val="left" w:pos="3060"/>
        </w:tabs>
        <w:outlineLvl w:val="0"/>
        <w:rPr>
          <w:rFonts w:ascii="Calibri" w:hAnsi="Calibri"/>
        </w:rPr>
      </w:pPr>
    </w:p>
    <w:p w:rsidR="002B3E4E" w:rsidRPr="00602B82" w:rsidRDefault="002B3E4E">
      <w:pPr>
        <w:tabs>
          <w:tab w:val="left" w:pos="1440"/>
          <w:tab w:val="left" w:pos="3060"/>
        </w:tabs>
        <w:outlineLvl w:val="0"/>
        <w:rPr>
          <w:rFonts w:ascii="Calibri" w:hAnsi="Calibri"/>
        </w:rPr>
      </w:pPr>
    </w:p>
    <w:p w:rsidR="002B3E4E" w:rsidRPr="00602B82" w:rsidRDefault="002B3E4E">
      <w:pPr>
        <w:tabs>
          <w:tab w:val="left" w:pos="1440"/>
          <w:tab w:val="left" w:pos="3060"/>
        </w:tabs>
        <w:outlineLvl w:val="0"/>
        <w:rPr>
          <w:rFonts w:ascii="Calibri" w:hAnsi="Calibri"/>
        </w:rPr>
      </w:pPr>
    </w:p>
    <w:p w:rsidR="002B3E4E" w:rsidRPr="00602B82" w:rsidRDefault="00D26FF0" w:rsidP="00604943">
      <w:pPr>
        <w:pStyle w:val="Newpage"/>
        <w:ind w:firstLine="0"/>
        <w:rPr>
          <w:rFonts w:ascii="Calibri" w:hAnsi="Calibri"/>
          <w:lang w:val="en-US"/>
        </w:rPr>
      </w:pPr>
      <w:r w:rsidRPr="00602B82">
        <w:rPr>
          <w:rFonts w:ascii="Calibri" w:hAnsi="Calibri"/>
          <w:lang w:val="en-US"/>
        </w:rPr>
        <w:t xml:space="preserve">Table of </w:t>
      </w:r>
      <w:r w:rsidR="002B3E4E" w:rsidRPr="00602B82">
        <w:rPr>
          <w:rFonts w:ascii="Calibri" w:hAnsi="Calibri"/>
          <w:lang w:val="en-US"/>
        </w:rPr>
        <w:t>Contents</w:t>
      </w:r>
    </w:p>
    <w:p w:rsidR="008F49A5" w:rsidRPr="00602B82" w:rsidRDefault="008F49A5" w:rsidP="00364C07">
      <w:pPr>
        <w:pStyle w:val="Newpage"/>
        <w:jc w:val="left"/>
        <w:rPr>
          <w:rFonts w:ascii="Calibri" w:hAnsi="Calibri"/>
          <w:lang w:val="en-US"/>
        </w:rPr>
      </w:pPr>
    </w:p>
    <w:p w:rsidR="008F49A5" w:rsidRPr="00602B82" w:rsidRDefault="008F49A5" w:rsidP="00364C07">
      <w:pPr>
        <w:pStyle w:val="Newpage"/>
        <w:jc w:val="left"/>
        <w:rPr>
          <w:rFonts w:ascii="Calibri" w:hAnsi="Calibri"/>
          <w:lang w:val="en-US"/>
        </w:rPr>
      </w:pPr>
      <w:r w:rsidRPr="00602B82">
        <w:rPr>
          <w:rFonts w:ascii="Calibri" w:hAnsi="Calibri"/>
          <w:lang w:val="en-US"/>
        </w:rPr>
        <w:t>Project Summary</w:t>
      </w:r>
    </w:p>
    <w:p w:rsidR="001767F3" w:rsidRPr="00602B82" w:rsidRDefault="004B124A">
      <w:pPr>
        <w:pStyle w:val="TOC1"/>
        <w:rPr>
          <w:smallCaps w:val="0"/>
          <w:snapToGrid/>
          <w:lang w:val="en-US"/>
        </w:rPr>
      </w:pPr>
      <w:r w:rsidRPr="00602B82">
        <w:rPr>
          <w:rFonts w:ascii="Calibri" w:hAnsi="Calibri"/>
          <w:smallCaps w:val="0"/>
          <w:lang w:val="en-US"/>
        </w:rPr>
        <w:fldChar w:fldCharType="begin"/>
      </w:r>
      <w:r w:rsidR="00321417" w:rsidRPr="00602B82">
        <w:rPr>
          <w:rFonts w:ascii="Calibri" w:hAnsi="Calibri"/>
          <w:smallCaps w:val="0"/>
          <w:lang w:val="en-US"/>
        </w:rPr>
        <w:instrText xml:space="preserve"> TOC \o "1-1" \f \t "Chapter,1,FirstHeading,2,SecHeading,3" </w:instrText>
      </w:r>
      <w:r w:rsidRPr="00602B82">
        <w:rPr>
          <w:rFonts w:ascii="Calibri" w:hAnsi="Calibri"/>
          <w:smallCaps w:val="0"/>
          <w:lang w:val="en-US"/>
        </w:rPr>
        <w:fldChar w:fldCharType="separate"/>
      </w:r>
      <w:r w:rsidR="001767F3" w:rsidRPr="00602B82">
        <w:rPr>
          <w:rFonts w:ascii="Calibri" w:hAnsi="Calibri"/>
          <w:lang w:val="en-US"/>
        </w:rPr>
        <w:t>I.</w:t>
      </w:r>
      <w:r w:rsidR="001767F3" w:rsidRPr="00602B82">
        <w:rPr>
          <w:smallCaps w:val="0"/>
          <w:snapToGrid/>
          <w:lang w:val="en-US"/>
        </w:rPr>
        <w:tab/>
      </w:r>
      <w:r w:rsidR="009F5656" w:rsidRPr="00602B82">
        <w:rPr>
          <w:rFonts w:ascii="Calibri" w:hAnsi="Calibri"/>
          <w:lang w:val="en-US"/>
        </w:rPr>
        <w:t>Background and Justification</w:t>
      </w:r>
      <w:r w:rsidR="001767F3" w:rsidRPr="00602B82">
        <w:rPr>
          <w:lang w:val="en-US"/>
        </w:rPr>
        <w:tab/>
      </w:r>
    </w:p>
    <w:p w:rsidR="001767F3" w:rsidRPr="00602B82" w:rsidRDefault="001767F3">
      <w:pPr>
        <w:pStyle w:val="TOC1"/>
        <w:rPr>
          <w:smallCaps w:val="0"/>
          <w:snapToGrid/>
          <w:lang w:val="en-US"/>
        </w:rPr>
      </w:pPr>
      <w:r w:rsidRPr="00602B82">
        <w:rPr>
          <w:rFonts w:ascii="Calibri" w:hAnsi="Calibri"/>
          <w:lang w:val="en-US"/>
        </w:rPr>
        <w:t>II.</w:t>
      </w:r>
      <w:r w:rsidRPr="00602B82">
        <w:rPr>
          <w:smallCaps w:val="0"/>
          <w:snapToGrid/>
          <w:lang w:val="en-US"/>
        </w:rPr>
        <w:tab/>
      </w:r>
      <w:r w:rsidRPr="00602B82">
        <w:rPr>
          <w:rFonts w:ascii="Calibri" w:hAnsi="Calibri"/>
          <w:lang w:val="en-US"/>
        </w:rPr>
        <w:t xml:space="preserve">Project </w:t>
      </w:r>
      <w:r w:rsidR="009F5656" w:rsidRPr="00602B82">
        <w:rPr>
          <w:rFonts w:ascii="Calibri" w:hAnsi="Calibri"/>
          <w:lang w:val="en-US"/>
        </w:rPr>
        <w:t xml:space="preserve"> </w:t>
      </w:r>
      <w:r w:rsidR="00271C7D" w:rsidRPr="00602B82">
        <w:rPr>
          <w:rFonts w:ascii="Calibri" w:hAnsi="Calibri"/>
          <w:lang w:val="en-US"/>
        </w:rPr>
        <w:t>Description</w:t>
      </w:r>
      <w:r w:rsidRPr="00602B82">
        <w:rPr>
          <w:lang w:val="en-US"/>
        </w:rPr>
        <w:tab/>
      </w:r>
    </w:p>
    <w:p w:rsidR="001767F3" w:rsidRPr="00602B82" w:rsidRDefault="001767F3">
      <w:pPr>
        <w:pStyle w:val="TOC1"/>
        <w:rPr>
          <w:smallCaps w:val="0"/>
          <w:snapToGrid/>
          <w:lang w:val="en-US"/>
        </w:rPr>
      </w:pPr>
      <w:r w:rsidRPr="00602B82">
        <w:rPr>
          <w:rFonts w:ascii="Calibri" w:hAnsi="Calibri"/>
          <w:lang w:val="en-US"/>
        </w:rPr>
        <w:t>III.</w:t>
      </w:r>
      <w:r w:rsidRPr="00602B82">
        <w:rPr>
          <w:smallCaps w:val="0"/>
          <w:snapToGrid/>
          <w:lang w:val="en-US"/>
        </w:rPr>
        <w:tab/>
      </w:r>
      <w:r w:rsidR="00832E36" w:rsidRPr="00602B82">
        <w:rPr>
          <w:rFonts w:ascii="Calibri" w:hAnsi="Calibri"/>
          <w:lang w:val="en-US"/>
        </w:rPr>
        <w:t xml:space="preserve">Monitoring and </w:t>
      </w:r>
      <w:r w:rsidRPr="00602B82">
        <w:rPr>
          <w:rFonts w:ascii="Calibri" w:hAnsi="Calibri"/>
          <w:lang w:val="en-US"/>
        </w:rPr>
        <w:t>Evaluation</w:t>
      </w:r>
      <w:r w:rsidR="00271C7D" w:rsidRPr="00602B82">
        <w:rPr>
          <w:rFonts w:ascii="Calibri" w:hAnsi="Calibri"/>
          <w:lang w:val="en-US"/>
        </w:rPr>
        <w:t xml:space="preserve"> Strategy</w:t>
      </w:r>
      <w:r w:rsidRPr="00602B82">
        <w:rPr>
          <w:lang w:val="en-US"/>
        </w:rPr>
        <w:tab/>
      </w:r>
    </w:p>
    <w:p w:rsidR="001767F3" w:rsidRPr="00602B82" w:rsidRDefault="001767F3">
      <w:pPr>
        <w:pStyle w:val="TOC1"/>
        <w:rPr>
          <w:smallCaps w:val="0"/>
          <w:snapToGrid/>
          <w:lang w:val="en-US"/>
        </w:rPr>
      </w:pPr>
      <w:r w:rsidRPr="00602B82">
        <w:rPr>
          <w:rFonts w:ascii="Calibri" w:hAnsi="Calibri"/>
          <w:lang w:val="en-US"/>
        </w:rPr>
        <w:t>IV.</w:t>
      </w:r>
      <w:r w:rsidRPr="00602B82">
        <w:rPr>
          <w:smallCaps w:val="0"/>
          <w:snapToGrid/>
          <w:lang w:val="en-US"/>
        </w:rPr>
        <w:tab/>
      </w:r>
      <w:r w:rsidRPr="00602B82">
        <w:rPr>
          <w:rFonts w:ascii="Calibri" w:hAnsi="Calibri"/>
          <w:lang w:val="en-US"/>
        </w:rPr>
        <w:t>Cost and Financing</w:t>
      </w:r>
      <w:r w:rsidRPr="00602B82">
        <w:rPr>
          <w:lang w:val="en-US"/>
        </w:rPr>
        <w:tab/>
      </w:r>
    </w:p>
    <w:p w:rsidR="001767F3" w:rsidRPr="00602B82" w:rsidRDefault="001767F3">
      <w:pPr>
        <w:pStyle w:val="TOC1"/>
        <w:rPr>
          <w:smallCaps w:val="0"/>
          <w:snapToGrid/>
          <w:lang w:val="en-US"/>
        </w:rPr>
      </w:pPr>
      <w:r w:rsidRPr="00602B82">
        <w:rPr>
          <w:rFonts w:ascii="Calibri" w:hAnsi="Calibri"/>
          <w:lang w:val="en-US"/>
        </w:rPr>
        <w:t>V.</w:t>
      </w:r>
      <w:r w:rsidRPr="00602B82">
        <w:rPr>
          <w:smallCaps w:val="0"/>
          <w:snapToGrid/>
          <w:lang w:val="en-US"/>
        </w:rPr>
        <w:tab/>
      </w:r>
      <w:r w:rsidRPr="00602B82">
        <w:rPr>
          <w:rFonts w:ascii="Calibri" w:hAnsi="Calibri"/>
          <w:lang w:val="en-US"/>
        </w:rPr>
        <w:t>E</w:t>
      </w:r>
      <w:r w:rsidR="0050565B" w:rsidRPr="00602B82">
        <w:rPr>
          <w:rFonts w:ascii="Calibri" w:hAnsi="Calibri"/>
          <w:lang w:val="en-US"/>
        </w:rPr>
        <w:t xml:space="preserve">xecuting Agency </w:t>
      </w:r>
      <w:r w:rsidRPr="00602B82">
        <w:rPr>
          <w:lang w:val="en-US"/>
        </w:rPr>
        <w:tab/>
      </w:r>
    </w:p>
    <w:p w:rsidR="0013725A" w:rsidRPr="00602B82" w:rsidRDefault="001767F3">
      <w:pPr>
        <w:pStyle w:val="TOC1"/>
        <w:rPr>
          <w:rFonts w:ascii="Calibri" w:hAnsi="Calibri"/>
          <w:lang w:val="en-US"/>
        </w:rPr>
      </w:pPr>
      <w:r w:rsidRPr="00602B82">
        <w:rPr>
          <w:rFonts w:ascii="Calibri" w:hAnsi="Calibri"/>
          <w:lang w:val="en-US"/>
        </w:rPr>
        <w:t>VI.</w:t>
      </w:r>
      <w:r w:rsidRPr="00602B82">
        <w:rPr>
          <w:smallCaps w:val="0"/>
          <w:snapToGrid/>
          <w:lang w:val="en-US"/>
        </w:rPr>
        <w:tab/>
      </w:r>
      <w:r w:rsidR="0013725A" w:rsidRPr="00602B82">
        <w:rPr>
          <w:rFonts w:ascii="Calibri" w:hAnsi="Calibri"/>
          <w:lang w:val="en-US"/>
        </w:rPr>
        <w:t>Project Risks</w:t>
      </w:r>
      <w:r w:rsidR="0013725A" w:rsidRPr="00602B82">
        <w:rPr>
          <w:rFonts w:ascii="Calibri" w:hAnsi="Calibri"/>
          <w:lang w:val="en-US"/>
        </w:rPr>
        <w:tab/>
        <w:t xml:space="preserve"> </w:t>
      </w:r>
    </w:p>
    <w:p w:rsidR="001767F3" w:rsidRPr="00602B82" w:rsidRDefault="0013725A">
      <w:pPr>
        <w:pStyle w:val="TOC1"/>
        <w:rPr>
          <w:lang w:val="en-US"/>
        </w:rPr>
      </w:pPr>
      <w:r w:rsidRPr="00602B82">
        <w:rPr>
          <w:rFonts w:ascii="Calibri" w:hAnsi="Calibri"/>
          <w:lang w:val="en-US"/>
        </w:rPr>
        <w:t>VII.</w:t>
      </w:r>
      <w:r w:rsidRPr="00602B82">
        <w:rPr>
          <w:rFonts w:ascii="Calibri" w:hAnsi="Calibri"/>
          <w:lang w:val="en-US"/>
        </w:rPr>
        <w:tab/>
        <w:t>Environmental and Social Effects</w:t>
      </w:r>
      <w:r w:rsidR="001767F3" w:rsidRPr="00602B82">
        <w:rPr>
          <w:lang w:val="en-US"/>
        </w:rPr>
        <w:tab/>
      </w:r>
    </w:p>
    <w:p w:rsidR="001767F3" w:rsidRPr="00602B82" w:rsidRDefault="001767F3">
      <w:pPr>
        <w:pStyle w:val="TOC1"/>
        <w:rPr>
          <w:smallCaps w:val="0"/>
          <w:snapToGrid/>
          <w:lang w:val="en-US"/>
        </w:rPr>
      </w:pPr>
      <w:r w:rsidRPr="00602B82">
        <w:rPr>
          <w:rFonts w:ascii="Calibri" w:hAnsi="Calibri"/>
          <w:lang w:val="en-US"/>
        </w:rPr>
        <w:t>VI</w:t>
      </w:r>
      <w:r w:rsidR="0013725A" w:rsidRPr="00602B82">
        <w:rPr>
          <w:rFonts w:ascii="Calibri" w:hAnsi="Calibri"/>
          <w:lang w:val="en-US"/>
        </w:rPr>
        <w:t>I</w:t>
      </w:r>
      <w:r w:rsidRPr="00602B82">
        <w:rPr>
          <w:rFonts w:ascii="Calibri" w:hAnsi="Calibri"/>
          <w:lang w:val="en-US"/>
        </w:rPr>
        <w:t>I.</w:t>
      </w:r>
      <w:r w:rsidRPr="00602B82">
        <w:rPr>
          <w:smallCaps w:val="0"/>
          <w:snapToGrid/>
          <w:lang w:val="en-US"/>
        </w:rPr>
        <w:tab/>
      </w:r>
      <w:r w:rsidR="0013725A" w:rsidRPr="00602B82">
        <w:rPr>
          <w:rFonts w:ascii="Calibri" w:hAnsi="Calibri"/>
          <w:lang w:val="en-US"/>
        </w:rPr>
        <w:t>Compliance with Milestones and Special Fiduciary Arrangements</w:t>
      </w:r>
      <w:r w:rsidRPr="00602B82">
        <w:rPr>
          <w:lang w:val="en-US"/>
        </w:rPr>
        <w:tab/>
      </w:r>
    </w:p>
    <w:p w:rsidR="001767F3" w:rsidRPr="00602B82" w:rsidRDefault="001767F3">
      <w:pPr>
        <w:pStyle w:val="TOC1"/>
        <w:rPr>
          <w:smallCaps w:val="0"/>
          <w:snapToGrid/>
          <w:lang w:val="en-US"/>
        </w:rPr>
      </w:pPr>
      <w:r w:rsidRPr="00602B82">
        <w:rPr>
          <w:rFonts w:ascii="Calibri" w:hAnsi="Calibri"/>
          <w:lang w:val="en-US"/>
        </w:rPr>
        <w:t>I</w:t>
      </w:r>
      <w:r w:rsidR="0013725A" w:rsidRPr="00602B82">
        <w:rPr>
          <w:rFonts w:ascii="Calibri" w:hAnsi="Calibri"/>
          <w:lang w:val="en-US"/>
        </w:rPr>
        <w:t>X</w:t>
      </w:r>
      <w:r w:rsidRPr="00602B82">
        <w:rPr>
          <w:rFonts w:ascii="Calibri" w:hAnsi="Calibri"/>
          <w:lang w:val="en-US"/>
        </w:rPr>
        <w:t>.</w:t>
      </w:r>
      <w:r w:rsidRPr="00602B82">
        <w:rPr>
          <w:smallCaps w:val="0"/>
          <w:snapToGrid/>
          <w:lang w:val="en-US"/>
        </w:rPr>
        <w:tab/>
      </w:r>
      <w:r w:rsidR="00D27F0F" w:rsidRPr="00602B82">
        <w:rPr>
          <w:rFonts w:ascii="Calibri" w:hAnsi="Calibri"/>
          <w:lang w:val="en-US"/>
        </w:rPr>
        <w:t>I</w:t>
      </w:r>
      <w:r w:rsidR="008D6864" w:rsidRPr="00602B82">
        <w:rPr>
          <w:rFonts w:ascii="Calibri" w:hAnsi="Calibri"/>
          <w:lang w:val="en-US"/>
        </w:rPr>
        <w:t>nforamation Disclosure and I</w:t>
      </w:r>
      <w:r w:rsidR="00D27F0F" w:rsidRPr="00602B82">
        <w:rPr>
          <w:rFonts w:ascii="Calibri" w:hAnsi="Calibri"/>
          <w:lang w:val="en-US"/>
        </w:rPr>
        <w:t>ntellectual Property</w:t>
      </w:r>
      <w:r w:rsidRPr="00602B82">
        <w:rPr>
          <w:lang w:val="en-US"/>
        </w:rPr>
        <w:tab/>
      </w:r>
    </w:p>
    <w:p w:rsidR="002B3E4E" w:rsidRPr="00602B82" w:rsidRDefault="004B124A">
      <w:pPr>
        <w:pStyle w:val="TOC3"/>
        <w:tabs>
          <w:tab w:val="right" w:leader="dot" w:pos="8730"/>
        </w:tabs>
        <w:rPr>
          <w:rFonts w:ascii="Calibri" w:hAnsi="Calibri"/>
          <w:lang w:val="en-US"/>
        </w:rPr>
      </w:pPr>
      <w:r w:rsidRPr="00602B82">
        <w:rPr>
          <w:rFonts w:ascii="Calibri" w:hAnsi="Calibri"/>
          <w:smallCaps/>
          <w:lang w:val="en-US"/>
        </w:rPr>
        <w:fldChar w:fldCharType="end"/>
      </w:r>
    </w:p>
    <w:p w:rsidR="002B3E4E" w:rsidRPr="00602B82" w:rsidRDefault="002B3E4E">
      <w:pPr>
        <w:pStyle w:val="Newpage"/>
        <w:rPr>
          <w:rFonts w:ascii="Calibri" w:hAnsi="Calibri"/>
          <w:lang w:val="en-US"/>
        </w:rPr>
      </w:pPr>
    </w:p>
    <w:p w:rsidR="002B3E4E" w:rsidRPr="00602B82" w:rsidRDefault="002B3E4E">
      <w:pPr>
        <w:tabs>
          <w:tab w:val="left" w:pos="1440"/>
          <w:tab w:val="left" w:pos="3060"/>
        </w:tabs>
        <w:jc w:val="center"/>
        <w:outlineLvl w:val="0"/>
        <w:rPr>
          <w:rFonts w:ascii="Calibri" w:hAnsi="Calibri"/>
          <w:b/>
        </w:rPr>
      </w:pPr>
    </w:p>
    <w:p w:rsidR="000A0BCC" w:rsidRPr="00602B82" w:rsidRDefault="002B3E4E" w:rsidP="000A0BCC">
      <w:pPr>
        <w:pStyle w:val="Newpage"/>
        <w:rPr>
          <w:rFonts w:ascii="Calibri" w:hAnsi="Calibri"/>
          <w:lang w:val="en-US"/>
        </w:rPr>
      </w:pPr>
      <w:r w:rsidRPr="00602B82">
        <w:rPr>
          <w:rFonts w:ascii="Calibri" w:hAnsi="Calibri"/>
          <w:lang w:val="en-US"/>
        </w:rPr>
        <w:br w:type="page"/>
      </w:r>
      <w:r w:rsidR="000A0BCC" w:rsidRPr="00602B82">
        <w:rPr>
          <w:rFonts w:ascii="Calibri" w:hAnsi="Calibri"/>
          <w:lang w:val="en-US"/>
        </w:rPr>
        <w:lastRenderedPageBreak/>
        <w:t>Project Summary</w:t>
      </w:r>
    </w:p>
    <w:p w:rsidR="003138C0" w:rsidRDefault="003138C0" w:rsidP="003138C0">
      <w:pPr>
        <w:pStyle w:val="Newpage"/>
        <w:rPr>
          <w:rFonts w:ascii="Calibri" w:hAnsi="Calibri"/>
          <w:sz w:val="28"/>
          <w:lang w:val="en-US"/>
        </w:rPr>
      </w:pPr>
      <w:r w:rsidRPr="003138C0">
        <w:rPr>
          <w:rFonts w:ascii="Calibri" w:hAnsi="Calibri"/>
          <w:sz w:val="28"/>
          <w:lang w:val="en-US"/>
        </w:rPr>
        <w:t>Acceleration Track for Social Businesses Working in Basic Services</w:t>
      </w:r>
    </w:p>
    <w:p w:rsidR="003138C0" w:rsidRDefault="003138C0" w:rsidP="003138C0">
      <w:pPr>
        <w:tabs>
          <w:tab w:val="left" w:pos="3060"/>
        </w:tabs>
        <w:spacing w:after="240"/>
        <w:jc w:val="both"/>
        <w:rPr>
          <w:rFonts w:ascii="Calibri" w:hAnsi="Calibri"/>
          <w:i/>
          <w:color w:val="000000" w:themeColor="text1"/>
          <w:sz w:val="20"/>
        </w:rPr>
      </w:pPr>
    </w:p>
    <w:p w:rsidR="003138C0" w:rsidRPr="0052755D" w:rsidRDefault="003138C0" w:rsidP="003138C0">
      <w:pPr>
        <w:tabs>
          <w:tab w:val="left" w:pos="3060"/>
        </w:tabs>
        <w:spacing w:after="240"/>
        <w:jc w:val="both"/>
        <w:rPr>
          <w:rFonts w:ascii="Calibri" w:hAnsi="Calibri"/>
          <w:i/>
          <w:color w:val="000000" w:themeColor="text1"/>
          <w:sz w:val="20"/>
        </w:rPr>
      </w:pPr>
      <w:r w:rsidRPr="001049A7">
        <w:rPr>
          <w:rFonts w:ascii="Calibri" w:hAnsi="Calibri"/>
          <w:i/>
          <w:color w:val="000000" w:themeColor="text1"/>
          <w:sz w:val="20"/>
        </w:rPr>
        <w:t>This project is presented for approval under the regional facility RG-M1217 “Accelerate Businesses Providing Services to Poor and Low Income Populations”</w:t>
      </w:r>
      <w:r w:rsidRPr="001049A7">
        <w:rPr>
          <w:rStyle w:val="FootnoteReference"/>
          <w:rFonts w:ascii="Calibri" w:hAnsi="Calibri"/>
          <w:i/>
          <w:color w:val="000000" w:themeColor="text1"/>
          <w:sz w:val="20"/>
        </w:rPr>
        <w:footnoteReference w:id="1"/>
      </w:r>
      <w:r w:rsidRPr="001049A7">
        <w:rPr>
          <w:rFonts w:ascii="Calibri" w:hAnsi="Calibri"/>
          <w:i/>
          <w:color w:val="000000" w:themeColor="text1"/>
          <w:sz w:val="20"/>
        </w:rPr>
        <w:t>, a collaboration with Opportunities for the Majority (OMJ) that supports innovative companies, at a pre-commercial stage, that serve poor a</w:t>
      </w:r>
      <w:r>
        <w:rPr>
          <w:rFonts w:ascii="Calibri" w:hAnsi="Calibri"/>
          <w:i/>
          <w:color w:val="000000" w:themeColor="text1"/>
          <w:sz w:val="20"/>
        </w:rPr>
        <w:t>nd low-income populations,</w:t>
      </w:r>
      <w:r w:rsidRPr="001049A7">
        <w:rPr>
          <w:rFonts w:ascii="Calibri" w:hAnsi="Calibri"/>
          <w:i/>
          <w:color w:val="000000" w:themeColor="text1"/>
          <w:sz w:val="20"/>
        </w:rPr>
        <w:t xml:space="preserve"> transitioning </w:t>
      </w:r>
      <w:r>
        <w:rPr>
          <w:rFonts w:ascii="Calibri" w:hAnsi="Calibri"/>
          <w:i/>
          <w:color w:val="000000" w:themeColor="text1"/>
          <w:sz w:val="20"/>
        </w:rPr>
        <w:t xml:space="preserve">them </w:t>
      </w:r>
      <w:r w:rsidRPr="001049A7">
        <w:rPr>
          <w:rFonts w:ascii="Calibri" w:hAnsi="Calibri"/>
          <w:i/>
          <w:color w:val="000000" w:themeColor="text1"/>
          <w:sz w:val="20"/>
        </w:rPr>
        <w:t>to receive debt financing from OMJ or equity from one of the MIF’s impact investment funds.</w:t>
      </w:r>
    </w:p>
    <w:p w:rsidR="00142967" w:rsidRDefault="009A1157" w:rsidP="00B04AA8">
      <w:pPr>
        <w:jc w:val="both"/>
        <w:rPr>
          <w:rFonts w:asciiTheme="minorHAnsi" w:hAnsiTheme="minorHAnsi"/>
          <w:highlight w:val="white"/>
        </w:rPr>
      </w:pPr>
      <w:r>
        <w:rPr>
          <w:rFonts w:asciiTheme="minorHAnsi" w:hAnsiTheme="minorHAnsi"/>
          <w:highlight w:val="white"/>
        </w:rPr>
        <w:t>In 2011</w:t>
      </w:r>
      <w:r w:rsidR="0054398D" w:rsidRPr="00382623">
        <w:rPr>
          <w:rFonts w:asciiTheme="minorHAnsi" w:hAnsiTheme="minorHAnsi"/>
          <w:highlight w:val="white"/>
        </w:rPr>
        <w:t xml:space="preserve"> Agora Partnerships </w:t>
      </w:r>
      <w:r>
        <w:rPr>
          <w:rFonts w:asciiTheme="minorHAnsi" w:hAnsiTheme="minorHAnsi"/>
          <w:highlight w:val="white"/>
        </w:rPr>
        <w:t xml:space="preserve">launched the </w:t>
      </w:r>
      <w:r w:rsidRPr="009A1157">
        <w:rPr>
          <w:rFonts w:asciiTheme="minorHAnsi" w:hAnsiTheme="minorHAnsi"/>
          <w:b/>
          <w:highlight w:val="white"/>
        </w:rPr>
        <w:t>Agora Accelerator</w:t>
      </w:r>
      <w:r>
        <w:rPr>
          <w:rFonts w:asciiTheme="minorHAnsi" w:hAnsiTheme="minorHAnsi"/>
          <w:highlight w:val="white"/>
        </w:rPr>
        <w:t xml:space="preserve">, a business acceleration program </w:t>
      </w:r>
      <w:r w:rsidR="00433BDA">
        <w:rPr>
          <w:rFonts w:asciiTheme="minorHAnsi" w:hAnsiTheme="minorHAnsi"/>
          <w:highlight w:val="white"/>
        </w:rPr>
        <w:t>which focuses</w:t>
      </w:r>
      <w:r w:rsidRPr="009A1157">
        <w:rPr>
          <w:rFonts w:asciiTheme="minorHAnsi" w:hAnsiTheme="minorHAnsi"/>
          <w:highlight w:val="white"/>
        </w:rPr>
        <w:t xml:space="preserve"> on </w:t>
      </w:r>
      <w:r>
        <w:rPr>
          <w:rFonts w:asciiTheme="minorHAnsi" w:hAnsiTheme="minorHAnsi"/>
          <w:highlight w:val="white"/>
        </w:rPr>
        <w:t>bringing</w:t>
      </w:r>
      <w:r w:rsidRPr="009A1157">
        <w:rPr>
          <w:rFonts w:asciiTheme="minorHAnsi" w:hAnsiTheme="minorHAnsi"/>
          <w:highlight w:val="white"/>
        </w:rPr>
        <w:t xml:space="preserve"> knowledge, networks, and capital to </w:t>
      </w:r>
      <w:r w:rsidR="00433BDA" w:rsidRPr="00433BDA">
        <w:rPr>
          <w:rFonts w:asciiTheme="minorHAnsi" w:hAnsiTheme="minorHAnsi"/>
          <w:highlight w:val="white"/>
        </w:rPr>
        <w:t xml:space="preserve">high-potential, early- and growth-stage companies solving social and environmental challenges </w:t>
      </w:r>
      <w:r>
        <w:rPr>
          <w:rFonts w:asciiTheme="minorHAnsi" w:hAnsiTheme="minorHAnsi"/>
          <w:highlight w:val="white"/>
        </w:rPr>
        <w:t xml:space="preserve">in Latin American and the Caribbean. Agora’s strategy is aimed at </w:t>
      </w:r>
      <w:r w:rsidR="00433BDA">
        <w:rPr>
          <w:rFonts w:asciiTheme="minorHAnsi" w:hAnsiTheme="minorHAnsi"/>
          <w:highlight w:val="white"/>
        </w:rPr>
        <w:t>combining</w:t>
      </w:r>
      <w:r w:rsidR="00E36AC0">
        <w:rPr>
          <w:rFonts w:asciiTheme="minorHAnsi" w:hAnsiTheme="minorHAnsi"/>
          <w:highlight w:val="white"/>
        </w:rPr>
        <w:t xml:space="preserve"> </w:t>
      </w:r>
      <w:r w:rsidR="00E36AC0" w:rsidRPr="00E36AC0">
        <w:rPr>
          <w:rFonts w:asciiTheme="minorHAnsi" w:hAnsiTheme="minorHAnsi"/>
          <w:highlight w:val="white"/>
        </w:rPr>
        <w:t xml:space="preserve">in-depth consulting support </w:t>
      </w:r>
      <w:r w:rsidR="00433BDA">
        <w:rPr>
          <w:rFonts w:asciiTheme="minorHAnsi" w:hAnsiTheme="minorHAnsi"/>
          <w:highlight w:val="white"/>
        </w:rPr>
        <w:t>with</w:t>
      </w:r>
      <w:r w:rsidR="00E36AC0" w:rsidRPr="00E36AC0">
        <w:rPr>
          <w:rFonts w:asciiTheme="minorHAnsi" w:hAnsiTheme="minorHAnsi"/>
          <w:highlight w:val="white"/>
        </w:rPr>
        <w:t xml:space="preserve"> access to mentors, investors, and a global community of peers</w:t>
      </w:r>
      <w:r w:rsidR="00433BDA">
        <w:rPr>
          <w:rFonts w:asciiTheme="minorHAnsi" w:hAnsiTheme="minorHAnsi"/>
          <w:highlight w:val="white"/>
        </w:rPr>
        <w:t>.</w:t>
      </w:r>
      <w:r w:rsidRPr="009A1157">
        <w:rPr>
          <w:rFonts w:asciiTheme="minorHAnsi" w:hAnsiTheme="minorHAnsi"/>
          <w:highlight w:val="white"/>
        </w:rPr>
        <w:t xml:space="preserve"> </w:t>
      </w:r>
    </w:p>
    <w:p w:rsidR="00142967" w:rsidRDefault="00142967" w:rsidP="00B04AA8">
      <w:pPr>
        <w:jc w:val="both"/>
        <w:rPr>
          <w:rFonts w:asciiTheme="minorHAnsi" w:hAnsiTheme="minorHAnsi"/>
          <w:highlight w:val="white"/>
        </w:rPr>
      </w:pPr>
    </w:p>
    <w:p w:rsidR="001C6E67" w:rsidRDefault="00142967" w:rsidP="00B04AA8">
      <w:pPr>
        <w:jc w:val="both"/>
        <w:rPr>
          <w:rFonts w:asciiTheme="minorHAnsi" w:hAnsiTheme="minorHAnsi"/>
        </w:rPr>
      </w:pPr>
      <w:r>
        <w:rPr>
          <w:rFonts w:asciiTheme="minorHAnsi" w:hAnsiTheme="minorHAnsi"/>
          <w:highlight w:val="white"/>
        </w:rPr>
        <w:t>Given Agora’s efforts to not only strengthen the day-to-day operations of these social businesses but to also connect them with an</w:t>
      </w:r>
      <w:r w:rsidR="009A1157">
        <w:rPr>
          <w:rFonts w:asciiTheme="minorHAnsi" w:hAnsiTheme="minorHAnsi"/>
          <w:highlight w:val="white"/>
        </w:rPr>
        <w:t xml:space="preserve"> emerging capital impact</w:t>
      </w:r>
      <w:r>
        <w:rPr>
          <w:rFonts w:asciiTheme="minorHAnsi" w:hAnsiTheme="minorHAnsi"/>
          <w:highlight w:val="white"/>
        </w:rPr>
        <w:t xml:space="preserve"> market, the companies that undergo the Agora Accelerator transition from investment readiness to scale.</w:t>
      </w:r>
      <w:r w:rsidR="009A1157" w:rsidRPr="009A1157">
        <w:rPr>
          <w:rFonts w:asciiTheme="minorHAnsi" w:hAnsiTheme="minorHAnsi"/>
          <w:highlight w:val="white"/>
        </w:rPr>
        <w:t> </w:t>
      </w:r>
      <w:r w:rsidR="00B04AA8">
        <w:rPr>
          <w:rFonts w:asciiTheme="minorHAnsi" w:hAnsiTheme="minorHAnsi"/>
          <w:highlight w:val="white"/>
        </w:rPr>
        <w:t xml:space="preserve">In 4 years Agora has provided </w:t>
      </w:r>
      <w:r w:rsidR="0054398D" w:rsidRPr="00382623">
        <w:rPr>
          <w:rFonts w:asciiTheme="minorHAnsi" w:hAnsiTheme="minorHAnsi"/>
          <w:highlight w:val="white"/>
        </w:rPr>
        <w:t>more than 6,400 hours of personalized consulting to 67 entrepreneurs working in 15 countries across Latin America</w:t>
      </w:r>
      <w:r w:rsidR="00B04AA8">
        <w:rPr>
          <w:rStyle w:val="FootnoteReference"/>
          <w:rFonts w:asciiTheme="minorHAnsi" w:hAnsiTheme="minorHAnsi"/>
          <w:highlight w:val="white"/>
        </w:rPr>
        <w:footnoteReference w:id="2"/>
      </w:r>
      <w:r w:rsidR="0054398D" w:rsidRPr="00382623">
        <w:rPr>
          <w:rFonts w:asciiTheme="minorHAnsi" w:hAnsiTheme="minorHAnsi"/>
          <w:highlight w:val="white"/>
        </w:rPr>
        <w:t>, providing them with the knowledge and networks needed to strengthen the business and prepare for growth. As a result, 98</w:t>
      </w:r>
      <w:r w:rsidR="0054398D">
        <w:rPr>
          <w:rFonts w:asciiTheme="minorHAnsi" w:hAnsiTheme="minorHAnsi"/>
          <w:highlight w:val="white"/>
        </w:rPr>
        <w:t>%</w:t>
      </w:r>
      <w:r w:rsidR="0054398D" w:rsidRPr="00382623">
        <w:rPr>
          <w:rFonts w:asciiTheme="minorHAnsi" w:hAnsiTheme="minorHAnsi"/>
          <w:highlight w:val="white"/>
        </w:rPr>
        <w:t xml:space="preserve"> of these companies are still in operation and more than $13.7MM has been channeled into their businesses</w:t>
      </w:r>
      <w:r w:rsidR="00B04AA8">
        <w:rPr>
          <w:rStyle w:val="FootnoteReference"/>
          <w:rFonts w:asciiTheme="minorHAnsi" w:hAnsiTheme="minorHAnsi"/>
          <w:highlight w:val="white"/>
        </w:rPr>
        <w:footnoteReference w:id="3"/>
      </w:r>
      <w:r w:rsidR="00B04AA8">
        <w:rPr>
          <w:rFonts w:asciiTheme="minorHAnsi" w:hAnsiTheme="minorHAnsi"/>
        </w:rPr>
        <w:t>.</w:t>
      </w:r>
    </w:p>
    <w:p w:rsidR="00B04AA8" w:rsidRDefault="00B04AA8" w:rsidP="00B04AA8">
      <w:pPr>
        <w:jc w:val="both"/>
        <w:rPr>
          <w:rFonts w:asciiTheme="minorHAnsi" w:hAnsiTheme="minorHAnsi"/>
        </w:rPr>
      </w:pPr>
    </w:p>
    <w:p w:rsidR="00B04AA8" w:rsidRDefault="00B04AA8" w:rsidP="00B04AA8">
      <w:pPr>
        <w:jc w:val="both"/>
        <w:rPr>
          <w:rFonts w:asciiTheme="minorHAnsi" w:hAnsiTheme="minorHAnsi"/>
        </w:rPr>
      </w:pPr>
      <w:r>
        <w:rPr>
          <w:rFonts w:asciiTheme="minorHAnsi" w:hAnsiTheme="minorHAnsi"/>
        </w:rPr>
        <w:t xml:space="preserve">With this Technical Cooperation the MIF and OMJ will support Agora Partnerships in designing a specific “track” within the Agora Accelerator focused on </w:t>
      </w:r>
      <w:r w:rsidR="00AB29ED">
        <w:rPr>
          <w:rFonts w:asciiTheme="minorHAnsi" w:hAnsiTheme="minorHAnsi"/>
        </w:rPr>
        <w:t xml:space="preserve">promoting a network, or cohort, of </w:t>
      </w:r>
      <w:r>
        <w:rPr>
          <w:rFonts w:asciiTheme="minorHAnsi" w:hAnsiTheme="minorHAnsi"/>
        </w:rPr>
        <w:t xml:space="preserve">social businesses </w:t>
      </w:r>
      <w:r w:rsidR="00AB29ED">
        <w:rPr>
          <w:rFonts w:asciiTheme="minorHAnsi" w:hAnsiTheme="minorHAnsi"/>
        </w:rPr>
        <w:t>that are working to bring</w:t>
      </w:r>
      <w:r>
        <w:rPr>
          <w:rFonts w:asciiTheme="minorHAnsi" w:hAnsiTheme="minorHAnsi"/>
        </w:rPr>
        <w:t xml:space="preserve"> basic services to the base of the pyramid. </w:t>
      </w:r>
      <w:r w:rsidR="00AB29ED">
        <w:rPr>
          <w:rFonts w:asciiTheme="minorHAnsi" w:hAnsiTheme="minorHAnsi"/>
        </w:rPr>
        <w:t xml:space="preserve">Within the scope of this project Agora will be able to support 15 </w:t>
      </w:r>
      <w:r w:rsidR="00AB29ED" w:rsidRPr="00AB29ED">
        <w:rPr>
          <w:rFonts w:asciiTheme="minorHAnsi" w:hAnsiTheme="minorHAnsi"/>
        </w:rPr>
        <w:t>that have created sustainable market-driven business models to increase access to basic services</w:t>
      </w:r>
      <w:r w:rsidR="00AB29ED">
        <w:rPr>
          <w:rFonts w:asciiTheme="minorHAnsi" w:hAnsiTheme="minorHAnsi"/>
        </w:rPr>
        <w:t xml:space="preserve">. The companies selected will be beyond the proof-of-concept stage and by the end of the Agora Accelerator many will have leveraged investment capital to scale their operations. </w:t>
      </w:r>
    </w:p>
    <w:p w:rsidR="00AB29ED" w:rsidRDefault="00AB29ED" w:rsidP="00B04AA8">
      <w:pPr>
        <w:jc w:val="both"/>
        <w:rPr>
          <w:rFonts w:asciiTheme="minorHAnsi" w:hAnsiTheme="minorHAnsi"/>
        </w:rPr>
      </w:pPr>
    </w:p>
    <w:p w:rsidR="00AB29ED" w:rsidRDefault="00AB29ED" w:rsidP="00B04AA8">
      <w:pPr>
        <w:jc w:val="both"/>
        <w:rPr>
          <w:rFonts w:asciiTheme="minorHAnsi" w:hAnsiTheme="minorHAnsi"/>
        </w:rPr>
      </w:pPr>
      <w:r>
        <w:rPr>
          <w:rFonts w:asciiTheme="minorHAnsi" w:hAnsiTheme="minorHAnsi"/>
        </w:rPr>
        <w:t>In supporting Agora</w:t>
      </w:r>
      <w:r w:rsidR="00BE273F">
        <w:rPr>
          <w:rFonts w:asciiTheme="minorHAnsi" w:hAnsiTheme="minorHAnsi"/>
        </w:rPr>
        <w:t xml:space="preserve">, a </w:t>
      </w:r>
      <w:r w:rsidR="00BE273F">
        <w:rPr>
          <w:rFonts w:ascii="Calibri" w:hAnsi="Calibri"/>
          <w:color w:val="000000" w:themeColor="text1"/>
          <w:sz w:val="22"/>
          <w:szCs w:val="22"/>
        </w:rPr>
        <w:t>n</w:t>
      </w:r>
      <w:r w:rsidR="00BE273F" w:rsidRPr="00AF2165">
        <w:rPr>
          <w:rFonts w:ascii="Calibri" w:hAnsi="Calibri"/>
          <w:color w:val="000000" w:themeColor="text1"/>
          <w:sz w:val="22"/>
          <w:szCs w:val="22"/>
        </w:rPr>
        <w:t>on</w:t>
      </w:r>
      <w:r w:rsidR="00BE273F">
        <w:rPr>
          <w:rFonts w:ascii="Calibri" w:hAnsi="Calibri"/>
          <w:color w:val="000000" w:themeColor="text1"/>
          <w:sz w:val="22"/>
          <w:szCs w:val="22"/>
        </w:rPr>
        <w:t>-profit o</w:t>
      </w:r>
      <w:r w:rsidR="00BE273F" w:rsidRPr="00AF2165">
        <w:rPr>
          <w:rFonts w:ascii="Calibri" w:hAnsi="Calibri"/>
          <w:color w:val="000000" w:themeColor="text1"/>
          <w:sz w:val="22"/>
          <w:szCs w:val="22"/>
        </w:rPr>
        <w:t>rganization</w:t>
      </w:r>
      <w:r w:rsidR="00BE273F">
        <w:rPr>
          <w:rFonts w:ascii="Calibri" w:hAnsi="Calibri"/>
          <w:color w:val="000000" w:themeColor="text1"/>
          <w:sz w:val="22"/>
          <w:szCs w:val="22"/>
        </w:rPr>
        <w:t>,</w:t>
      </w:r>
      <w:r>
        <w:rPr>
          <w:rFonts w:asciiTheme="minorHAnsi" w:hAnsiTheme="minorHAnsi"/>
        </w:rPr>
        <w:t xml:space="preserve"> </w:t>
      </w:r>
      <w:r w:rsidR="00371DB2">
        <w:rPr>
          <w:rFonts w:asciiTheme="minorHAnsi" w:hAnsiTheme="minorHAnsi"/>
        </w:rPr>
        <w:t>in the design and implementation of a basic services track within its accelerator program, the MIF and OMJ Accelerator Facility will be able to test the effectiveness of a model of business acceleration different to the one piloted so far in the previous 4 accelerator projects</w:t>
      </w:r>
      <w:r w:rsidR="00371DB2">
        <w:rPr>
          <w:rStyle w:val="FootnoteReference"/>
          <w:rFonts w:asciiTheme="minorHAnsi" w:hAnsiTheme="minorHAnsi"/>
        </w:rPr>
        <w:footnoteReference w:id="4"/>
      </w:r>
      <w:r w:rsidR="00371DB2">
        <w:rPr>
          <w:rFonts w:asciiTheme="minorHAnsi" w:hAnsiTheme="minorHAnsi"/>
        </w:rPr>
        <w:t>. This new model based on a standard methodology of business acceleration (community building, consulting services and investor match-making) has the potential to become a more cost-effective method of impacting the growth process of social businesses.</w:t>
      </w:r>
    </w:p>
    <w:p w:rsidR="003138C0" w:rsidRPr="00E24898" w:rsidRDefault="003138C0" w:rsidP="00B44270">
      <w:pPr>
        <w:tabs>
          <w:tab w:val="left" w:pos="1440"/>
          <w:tab w:val="left" w:pos="3060"/>
        </w:tabs>
        <w:jc w:val="center"/>
        <w:rPr>
          <w:rFonts w:ascii="Calibri" w:hAnsi="Calibri"/>
          <w:b/>
          <w:smallCaps/>
        </w:rPr>
      </w:pPr>
      <w:r w:rsidRPr="003138C0">
        <w:rPr>
          <w:rFonts w:ascii="Calibri" w:hAnsi="Calibri"/>
          <w:b/>
          <w:smallCaps/>
        </w:rPr>
        <w:lastRenderedPageBreak/>
        <w:t>(</w:t>
      </w:r>
      <w:r w:rsidRPr="003138C0">
        <w:rPr>
          <w:rFonts w:ascii="Calibri" w:hAnsi="Calibri"/>
          <w:b/>
          <w:bCs/>
          <w:smallCaps/>
        </w:rPr>
        <w:t>RG-M1265</w:t>
      </w:r>
      <w:r w:rsidRPr="003138C0">
        <w:rPr>
          <w:rFonts w:ascii="Calibri" w:hAnsi="Calibri"/>
          <w:b/>
          <w:smallCaps/>
        </w:rPr>
        <w:t>)</w:t>
      </w:r>
    </w:p>
    <w:p w:rsidR="002B3E4E" w:rsidRPr="00602B82" w:rsidRDefault="002B3E4E" w:rsidP="00B44270">
      <w:pPr>
        <w:pStyle w:val="Newpage"/>
        <w:ind w:firstLine="0"/>
        <w:rPr>
          <w:rFonts w:ascii="Calibri" w:hAnsi="Calibri"/>
          <w:lang w:val="en-US"/>
        </w:rPr>
      </w:pPr>
      <w:r w:rsidRPr="003138C0">
        <w:rPr>
          <w:rFonts w:ascii="Calibri" w:hAnsi="Calibri"/>
          <w:lang w:val="en-US"/>
        </w:rPr>
        <w:t>Annexes</w:t>
      </w:r>
    </w:p>
    <w:p w:rsidR="002B3E4E" w:rsidRPr="00602B82" w:rsidRDefault="002B3E4E">
      <w:pPr>
        <w:pStyle w:val="Newpage"/>
        <w:rPr>
          <w:rFonts w:ascii="Calibri" w:hAnsi="Calibri"/>
          <w:lang w:val="en-US"/>
        </w:rPr>
      </w:pPr>
    </w:p>
    <w:tbl>
      <w:tblPr>
        <w:tblW w:w="0" w:type="auto"/>
        <w:tblLayout w:type="fixed"/>
        <w:tblCellMar>
          <w:left w:w="122" w:type="dxa"/>
          <w:right w:w="122" w:type="dxa"/>
        </w:tblCellMar>
        <w:tblLook w:val="0000" w:firstRow="0" w:lastRow="0" w:firstColumn="0" w:lastColumn="0" w:noHBand="0" w:noVBand="0"/>
      </w:tblPr>
      <w:tblGrid>
        <w:gridCol w:w="1947"/>
        <w:gridCol w:w="7023"/>
      </w:tblGrid>
      <w:tr w:rsidR="002B3E4E" w:rsidRPr="00602B82">
        <w:trPr>
          <w:cantSplit/>
          <w:trHeight w:val="405"/>
        </w:trPr>
        <w:tc>
          <w:tcPr>
            <w:tcW w:w="1947" w:type="dxa"/>
            <w:vAlign w:val="center"/>
          </w:tcPr>
          <w:p w:rsidR="002B3E4E" w:rsidRPr="00602B82" w:rsidRDefault="002B3E4E">
            <w:pPr>
              <w:pStyle w:val="Annex"/>
              <w:rPr>
                <w:lang w:val="en-US"/>
              </w:rPr>
            </w:pPr>
            <w:r w:rsidRPr="00602B82">
              <w:rPr>
                <w:rFonts w:ascii="Calibri" w:hAnsi="Calibri"/>
                <w:lang w:val="en-US"/>
              </w:rPr>
              <w:t>ANNEX I</w:t>
            </w:r>
          </w:p>
        </w:tc>
        <w:tc>
          <w:tcPr>
            <w:tcW w:w="7023" w:type="dxa"/>
            <w:vAlign w:val="center"/>
          </w:tcPr>
          <w:p w:rsidR="002B3E4E" w:rsidRPr="00602B82" w:rsidRDefault="002B3E4E">
            <w:pPr>
              <w:tabs>
                <w:tab w:val="left" w:pos="3060"/>
              </w:tabs>
            </w:pPr>
            <w:r w:rsidRPr="00602B82">
              <w:rPr>
                <w:rFonts w:ascii="Calibri" w:hAnsi="Calibri"/>
              </w:rPr>
              <w:t>Logical Framework</w:t>
            </w:r>
          </w:p>
        </w:tc>
      </w:tr>
      <w:tr w:rsidR="002B3E4E" w:rsidRPr="00602B82">
        <w:trPr>
          <w:cantSplit/>
          <w:trHeight w:val="405"/>
        </w:trPr>
        <w:tc>
          <w:tcPr>
            <w:tcW w:w="1947" w:type="dxa"/>
            <w:vAlign w:val="center"/>
          </w:tcPr>
          <w:p w:rsidR="002B3E4E" w:rsidRPr="00602B82" w:rsidRDefault="002B3E4E">
            <w:pPr>
              <w:pStyle w:val="Annex"/>
              <w:rPr>
                <w:lang w:val="en-US"/>
              </w:rPr>
            </w:pPr>
            <w:r w:rsidRPr="00602B82">
              <w:rPr>
                <w:rFonts w:ascii="Calibri" w:hAnsi="Calibri"/>
                <w:lang w:val="en-US"/>
              </w:rPr>
              <w:t>ANNEX II</w:t>
            </w:r>
          </w:p>
        </w:tc>
        <w:tc>
          <w:tcPr>
            <w:tcW w:w="7023" w:type="dxa"/>
            <w:vAlign w:val="center"/>
          </w:tcPr>
          <w:p w:rsidR="002B3E4E" w:rsidRPr="00602B82" w:rsidRDefault="002B3E4E">
            <w:pPr>
              <w:tabs>
                <w:tab w:val="left" w:pos="3060"/>
              </w:tabs>
            </w:pPr>
            <w:r w:rsidRPr="00602B82">
              <w:rPr>
                <w:rFonts w:ascii="Calibri" w:hAnsi="Calibri"/>
              </w:rPr>
              <w:t>Budget Summary</w:t>
            </w:r>
          </w:p>
        </w:tc>
      </w:tr>
      <w:tr w:rsidR="00BC57A1" w:rsidRPr="00602B82">
        <w:trPr>
          <w:cantSplit/>
          <w:trHeight w:val="405"/>
        </w:trPr>
        <w:tc>
          <w:tcPr>
            <w:tcW w:w="1947" w:type="dxa"/>
            <w:vAlign w:val="center"/>
          </w:tcPr>
          <w:p w:rsidR="00BC57A1" w:rsidRPr="00602B82" w:rsidRDefault="00BC57A1">
            <w:pPr>
              <w:pStyle w:val="Annex"/>
              <w:rPr>
                <w:rFonts w:ascii="Calibri" w:hAnsi="Calibri"/>
                <w:lang w:val="en-US"/>
              </w:rPr>
            </w:pPr>
            <w:r w:rsidRPr="00602B82">
              <w:rPr>
                <w:rFonts w:ascii="Calibri" w:hAnsi="Calibri"/>
                <w:lang w:val="en-US"/>
              </w:rPr>
              <w:t>Annex iii</w:t>
            </w:r>
          </w:p>
        </w:tc>
        <w:tc>
          <w:tcPr>
            <w:tcW w:w="7023" w:type="dxa"/>
            <w:vAlign w:val="center"/>
          </w:tcPr>
          <w:p w:rsidR="00BC57A1" w:rsidRPr="00602B82" w:rsidRDefault="00BC57A1">
            <w:pPr>
              <w:tabs>
                <w:tab w:val="left" w:pos="3060"/>
              </w:tabs>
              <w:rPr>
                <w:rFonts w:ascii="Calibri" w:hAnsi="Calibri"/>
              </w:rPr>
            </w:pPr>
            <w:r w:rsidRPr="00602B82">
              <w:rPr>
                <w:rFonts w:ascii="Calibri" w:hAnsi="Calibri"/>
              </w:rPr>
              <w:t>Quality for Effectiveness in Development (QED)</w:t>
            </w:r>
          </w:p>
        </w:tc>
      </w:tr>
    </w:tbl>
    <w:p w:rsidR="002B3E4E" w:rsidRPr="00602B82" w:rsidRDefault="002B3E4E" w:rsidP="000A04D1">
      <w:pPr>
        <w:pStyle w:val="Newpage"/>
        <w:jc w:val="left"/>
        <w:rPr>
          <w:rFonts w:ascii="Calibri" w:hAnsi="Calibri"/>
          <w:lang w:val="en-US"/>
        </w:rPr>
      </w:pPr>
    </w:p>
    <w:p w:rsidR="002B3E4E" w:rsidRPr="00602B82" w:rsidRDefault="002B3E4E" w:rsidP="00A56CD0">
      <w:pPr>
        <w:pStyle w:val="Newpage"/>
        <w:ind w:firstLine="0"/>
        <w:rPr>
          <w:rFonts w:ascii="Calibri" w:hAnsi="Calibri"/>
          <w:lang w:val="en-US"/>
        </w:rPr>
      </w:pPr>
      <w:r w:rsidRPr="00602B82">
        <w:rPr>
          <w:rFonts w:ascii="Calibri" w:hAnsi="Calibri"/>
          <w:lang w:val="en-US"/>
        </w:rPr>
        <w:t>Information Available in</w:t>
      </w:r>
      <w:r w:rsidR="00B95834" w:rsidRPr="00602B82">
        <w:rPr>
          <w:rFonts w:ascii="Calibri" w:hAnsi="Calibri"/>
          <w:lang w:val="en-US"/>
        </w:rPr>
        <w:t xml:space="preserve"> the </w:t>
      </w:r>
      <w:r w:rsidR="00EE34E2" w:rsidRPr="00602B82">
        <w:rPr>
          <w:rFonts w:ascii="Calibri" w:hAnsi="Calibri"/>
          <w:lang w:val="en-US"/>
        </w:rPr>
        <w:t>Technical Documents Section of MIF Project Information System</w:t>
      </w:r>
    </w:p>
    <w:p w:rsidR="002B3E4E" w:rsidRPr="00602B82" w:rsidRDefault="002B3E4E">
      <w:pPr>
        <w:tabs>
          <w:tab w:val="left" w:pos="3060"/>
        </w:tabs>
        <w:spacing w:after="120"/>
        <w:ind w:left="1440" w:hanging="1440"/>
        <w:jc w:val="both"/>
        <w:rPr>
          <w:rFonts w:ascii="Calibri" w:hAnsi="Calibri"/>
          <w:b/>
        </w:rPr>
      </w:pPr>
    </w:p>
    <w:tbl>
      <w:tblPr>
        <w:tblW w:w="0" w:type="auto"/>
        <w:tblLayout w:type="fixed"/>
        <w:tblLook w:val="0000" w:firstRow="0" w:lastRow="0" w:firstColumn="0" w:lastColumn="0" w:noHBand="0" w:noVBand="0"/>
      </w:tblPr>
      <w:tblGrid>
        <w:gridCol w:w="1843"/>
        <w:gridCol w:w="7128"/>
      </w:tblGrid>
      <w:tr w:rsidR="002B3E4E" w:rsidRPr="00602B82">
        <w:trPr>
          <w:trHeight w:val="408"/>
        </w:trPr>
        <w:tc>
          <w:tcPr>
            <w:tcW w:w="1843" w:type="dxa"/>
            <w:vAlign w:val="center"/>
          </w:tcPr>
          <w:p w:rsidR="002B3E4E" w:rsidRPr="00602B82" w:rsidRDefault="002B3E4E" w:rsidP="00BC57A1">
            <w:pPr>
              <w:pStyle w:val="AbbrDesc"/>
              <w:jc w:val="left"/>
              <w:rPr>
                <w:lang w:val="en-US"/>
              </w:rPr>
            </w:pPr>
            <w:r w:rsidRPr="00602B82">
              <w:rPr>
                <w:rFonts w:ascii="Calibri" w:hAnsi="Calibri"/>
                <w:lang w:val="en-US"/>
              </w:rPr>
              <w:t xml:space="preserve">ANNEX </w:t>
            </w:r>
            <w:r w:rsidR="00F04B06" w:rsidRPr="00602B82">
              <w:rPr>
                <w:rFonts w:ascii="Calibri" w:hAnsi="Calibri"/>
                <w:lang w:val="en-US"/>
              </w:rPr>
              <w:t>I</w:t>
            </w:r>
            <w:r w:rsidR="00BC57A1" w:rsidRPr="00602B82">
              <w:rPr>
                <w:rFonts w:ascii="Calibri" w:hAnsi="Calibri"/>
                <w:lang w:val="en-US"/>
              </w:rPr>
              <w:t>V</w:t>
            </w:r>
          </w:p>
        </w:tc>
        <w:tc>
          <w:tcPr>
            <w:tcW w:w="7128" w:type="dxa"/>
            <w:vAlign w:val="center"/>
          </w:tcPr>
          <w:p w:rsidR="002B3E4E" w:rsidRPr="00602B82" w:rsidRDefault="002B3E4E">
            <w:pPr>
              <w:pStyle w:val="AbbrDesc"/>
              <w:jc w:val="left"/>
              <w:rPr>
                <w:lang w:val="en-US"/>
              </w:rPr>
            </w:pPr>
            <w:r w:rsidRPr="00602B82">
              <w:rPr>
                <w:rFonts w:ascii="Calibri" w:hAnsi="Calibri"/>
                <w:lang w:val="en-US"/>
              </w:rPr>
              <w:t>Detailed Budget</w:t>
            </w:r>
          </w:p>
        </w:tc>
      </w:tr>
      <w:tr w:rsidR="00F16D76" w:rsidRPr="00602B82">
        <w:trPr>
          <w:trHeight w:val="403"/>
        </w:trPr>
        <w:tc>
          <w:tcPr>
            <w:tcW w:w="1843" w:type="dxa"/>
            <w:vAlign w:val="center"/>
          </w:tcPr>
          <w:p w:rsidR="00F16D76" w:rsidRPr="00602B82" w:rsidRDefault="00F16D76" w:rsidP="00F04B06">
            <w:pPr>
              <w:pStyle w:val="AbbrDesc"/>
              <w:jc w:val="left"/>
              <w:rPr>
                <w:rFonts w:ascii="Calibri" w:hAnsi="Calibri"/>
                <w:lang w:val="en-US"/>
              </w:rPr>
            </w:pPr>
            <w:r w:rsidRPr="00602B82">
              <w:rPr>
                <w:rFonts w:ascii="Calibri" w:hAnsi="Calibri"/>
                <w:lang w:val="en-US"/>
              </w:rPr>
              <w:t>ANNEX V</w:t>
            </w:r>
          </w:p>
        </w:tc>
        <w:tc>
          <w:tcPr>
            <w:tcW w:w="7128" w:type="dxa"/>
            <w:vAlign w:val="center"/>
          </w:tcPr>
          <w:p w:rsidR="00F16D76" w:rsidRPr="00602B82" w:rsidRDefault="00F16D76">
            <w:pPr>
              <w:pStyle w:val="AbbrDesc"/>
              <w:jc w:val="left"/>
              <w:rPr>
                <w:rFonts w:ascii="Calibri" w:hAnsi="Calibri"/>
                <w:lang w:val="en-US"/>
              </w:rPr>
            </w:pPr>
            <w:r w:rsidRPr="00602B82">
              <w:rPr>
                <w:rFonts w:ascii="Calibri" w:hAnsi="Calibri"/>
                <w:lang w:val="en-US"/>
              </w:rPr>
              <w:t>Preliminary List of Milestones</w:t>
            </w:r>
          </w:p>
        </w:tc>
      </w:tr>
      <w:tr w:rsidR="00F16D76" w:rsidRPr="00602B82">
        <w:trPr>
          <w:trHeight w:val="403"/>
        </w:trPr>
        <w:tc>
          <w:tcPr>
            <w:tcW w:w="1843" w:type="dxa"/>
            <w:vAlign w:val="center"/>
          </w:tcPr>
          <w:p w:rsidR="00F16D76" w:rsidRPr="00602B82" w:rsidRDefault="00F16D76" w:rsidP="00F04B06">
            <w:pPr>
              <w:pStyle w:val="AbbrDesc"/>
              <w:jc w:val="left"/>
              <w:rPr>
                <w:rFonts w:ascii="Calibri" w:hAnsi="Calibri"/>
                <w:lang w:val="en-US"/>
              </w:rPr>
            </w:pPr>
            <w:r w:rsidRPr="00602B82">
              <w:rPr>
                <w:rFonts w:ascii="Calibri" w:hAnsi="Calibri"/>
                <w:lang w:val="en-US"/>
              </w:rPr>
              <w:t>ANNEX V</w:t>
            </w:r>
            <w:r w:rsidR="00BC57A1" w:rsidRPr="00602B82">
              <w:rPr>
                <w:rFonts w:ascii="Calibri" w:hAnsi="Calibri"/>
                <w:lang w:val="en-US"/>
              </w:rPr>
              <w:t>I</w:t>
            </w:r>
          </w:p>
        </w:tc>
        <w:tc>
          <w:tcPr>
            <w:tcW w:w="7128" w:type="dxa"/>
            <w:vAlign w:val="center"/>
          </w:tcPr>
          <w:p w:rsidR="00F16D76" w:rsidRPr="00602B82" w:rsidRDefault="00F16D76">
            <w:pPr>
              <w:pStyle w:val="AbbrDesc"/>
              <w:jc w:val="left"/>
              <w:rPr>
                <w:rFonts w:ascii="Calibri" w:hAnsi="Calibri"/>
                <w:lang w:val="en-US"/>
              </w:rPr>
            </w:pPr>
            <w:r w:rsidRPr="00602B82">
              <w:rPr>
                <w:rFonts w:ascii="Calibri" w:hAnsi="Calibri"/>
                <w:lang w:val="en-US"/>
              </w:rPr>
              <w:t>Diagnostic of Needs of the Executing Agency (DNA)</w:t>
            </w:r>
          </w:p>
        </w:tc>
      </w:tr>
      <w:tr w:rsidR="00973969" w:rsidRPr="00602B82">
        <w:trPr>
          <w:trHeight w:val="403"/>
        </w:trPr>
        <w:tc>
          <w:tcPr>
            <w:tcW w:w="1843" w:type="dxa"/>
            <w:vAlign w:val="center"/>
          </w:tcPr>
          <w:p w:rsidR="00973969" w:rsidRPr="00602B82" w:rsidRDefault="00973969" w:rsidP="00F04B06">
            <w:pPr>
              <w:pStyle w:val="AbbrDesc"/>
              <w:jc w:val="left"/>
              <w:rPr>
                <w:rFonts w:ascii="Calibri" w:hAnsi="Calibri"/>
                <w:lang w:val="en-US"/>
              </w:rPr>
            </w:pPr>
            <w:r w:rsidRPr="00602B82">
              <w:rPr>
                <w:rFonts w:ascii="Calibri" w:hAnsi="Calibri"/>
                <w:lang w:val="en-US"/>
              </w:rPr>
              <w:t>ANNEX VII</w:t>
            </w:r>
          </w:p>
        </w:tc>
        <w:tc>
          <w:tcPr>
            <w:tcW w:w="7128" w:type="dxa"/>
            <w:vAlign w:val="center"/>
          </w:tcPr>
          <w:p w:rsidR="00973969" w:rsidRPr="00602B82" w:rsidRDefault="00973969" w:rsidP="00DF2FE5">
            <w:pPr>
              <w:pStyle w:val="AbbrDesc"/>
              <w:jc w:val="left"/>
              <w:rPr>
                <w:rFonts w:ascii="Calibri" w:hAnsi="Calibri"/>
                <w:lang w:val="en-US"/>
              </w:rPr>
            </w:pPr>
            <w:r w:rsidRPr="00602B82">
              <w:rPr>
                <w:rFonts w:ascii="Calibri" w:hAnsi="Calibri"/>
                <w:lang w:val="en-US"/>
              </w:rPr>
              <w:t xml:space="preserve">Execution </w:t>
            </w:r>
            <w:r w:rsidR="00DF2FE5" w:rsidRPr="00602B82">
              <w:rPr>
                <w:rFonts w:ascii="Calibri" w:hAnsi="Calibri"/>
                <w:lang w:val="en-US"/>
              </w:rPr>
              <w:t xml:space="preserve">Unit </w:t>
            </w:r>
            <w:r w:rsidRPr="00602B82">
              <w:rPr>
                <w:rFonts w:ascii="Calibri" w:hAnsi="Calibri"/>
                <w:lang w:val="en-US"/>
              </w:rPr>
              <w:t>and Reporting Requirements</w:t>
            </w:r>
          </w:p>
        </w:tc>
      </w:tr>
      <w:tr w:rsidR="002B3E4E" w:rsidRPr="00602B82">
        <w:trPr>
          <w:trHeight w:val="403"/>
        </w:trPr>
        <w:tc>
          <w:tcPr>
            <w:tcW w:w="1843" w:type="dxa"/>
            <w:vAlign w:val="center"/>
          </w:tcPr>
          <w:p w:rsidR="002B3E4E" w:rsidRPr="00602B82" w:rsidRDefault="002B3E4E" w:rsidP="00F04B06">
            <w:pPr>
              <w:pStyle w:val="AbbrDesc"/>
              <w:jc w:val="left"/>
              <w:rPr>
                <w:lang w:val="en-US"/>
              </w:rPr>
            </w:pPr>
            <w:r w:rsidRPr="00602B82">
              <w:rPr>
                <w:rFonts w:ascii="Calibri" w:hAnsi="Calibri"/>
                <w:lang w:val="en-US"/>
              </w:rPr>
              <w:t xml:space="preserve">ANNEX </w:t>
            </w:r>
            <w:r w:rsidR="00F16D76" w:rsidRPr="00602B82">
              <w:rPr>
                <w:rFonts w:ascii="Calibri" w:hAnsi="Calibri"/>
                <w:lang w:val="en-US"/>
              </w:rPr>
              <w:t>V</w:t>
            </w:r>
            <w:r w:rsidR="00BC57A1" w:rsidRPr="00602B82">
              <w:rPr>
                <w:rFonts w:ascii="Calibri" w:hAnsi="Calibri"/>
                <w:lang w:val="en-US"/>
              </w:rPr>
              <w:t>II</w:t>
            </w:r>
            <w:r w:rsidR="00973969" w:rsidRPr="00602B82">
              <w:rPr>
                <w:rFonts w:ascii="Calibri" w:hAnsi="Calibri"/>
                <w:lang w:val="en-US"/>
              </w:rPr>
              <w:t>I</w:t>
            </w:r>
          </w:p>
        </w:tc>
        <w:tc>
          <w:tcPr>
            <w:tcW w:w="7128" w:type="dxa"/>
            <w:vAlign w:val="center"/>
          </w:tcPr>
          <w:p w:rsidR="002B3E4E" w:rsidRPr="00602B82" w:rsidRDefault="00973969">
            <w:pPr>
              <w:pStyle w:val="AbbrDesc"/>
              <w:jc w:val="left"/>
              <w:rPr>
                <w:lang w:val="en-US"/>
              </w:rPr>
            </w:pPr>
            <w:r w:rsidRPr="00602B82">
              <w:rPr>
                <w:rFonts w:ascii="Calibri" w:hAnsi="Calibri"/>
                <w:lang w:val="en-US"/>
              </w:rPr>
              <w:t xml:space="preserve">Compliance with Milestones, </w:t>
            </w:r>
            <w:r w:rsidR="00F04B06" w:rsidRPr="00602B82">
              <w:rPr>
                <w:rFonts w:ascii="Calibri" w:hAnsi="Calibri"/>
                <w:lang w:val="en-US"/>
              </w:rPr>
              <w:t>Fiduciary Arrangements and Integrity Due Diligence</w:t>
            </w:r>
          </w:p>
        </w:tc>
      </w:tr>
      <w:tr w:rsidR="00F04B06" w:rsidRPr="00602B82">
        <w:trPr>
          <w:trHeight w:val="403"/>
        </w:trPr>
        <w:tc>
          <w:tcPr>
            <w:tcW w:w="1843" w:type="dxa"/>
            <w:vAlign w:val="center"/>
          </w:tcPr>
          <w:p w:rsidR="00F04B06" w:rsidRPr="00602B82" w:rsidRDefault="00F04B06" w:rsidP="00F04B06">
            <w:pPr>
              <w:pStyle w:val="AbbrDesc"/>
              <w:jc w:val="left"/>
              <w:rPr>
                <w:rFonts w:ascii="Calibri" w:hAnsi="Calibri"/>
                <w:lang w:val="en-US"/>
              </w:rPr>
            </w:pPr>
            <w:r w:rsidRPr="00602B82">
              <w:rPr>
                <w:rFonts w:ascii="Calibri" w:hAnsi="Calibri"/>
                <w:lang w:val="en-US"/>
              </w:rPr>
              <w:t xml:space="preserve">ANNEX </w:t>
            </w:r>
            <w:r w:rsidR="00973969" w:rsidRPr="00602B82">
              <w:rPr>
                <w:rFonts w:ascii="Calibri" w:hAnsi="Calibri"/>
                <w:lang w:val="en-US"/>
              </w:rPr>
              <w:t>IX</w:t>
            </w:r>
          </w:p>
        </w:tc>
        <w:tc>
          <w:tcPr>
            <w:tcW w:w="7128" w:type="dxa"/>
            <w:vAlign w:val="center"/>
          </w:tcPr>
          <w:p w:rsidR="00F04B06" w:rsidRPr="00602B82" w:rsidRDefault="00F04B06">
            <w:pPr>
              <w:pStyle w:val="AbbrDesc"/>
              <w:jc w:val="left"/>
              <w:rPr>
                <w:rFonts w:ascii="Calibri" w:hAnsi="Calibri"/>
                <w:lang w:val="en-US"/>
              </w:rPr>
            </w:pPr>
            <w:r w:rsidRPr="00602B82">
              <w:rPr>
                <w:rFonts w:ascii="Calibri" w:hAnsi="Calibri"/>
                <w:lang w:val="en-US"/>
              </w:rPr>
              <w:t>Procurement and Contracting Plan</w:t>
            </w:r>
          </w:p>
        </w:tc>
      </w:tr>
      <w:tr w:rsidR="00B04264" w:rsidRPr="00602B82">
        <w:trPr>
          <w:trHeight w:val="403"/>
        </w:trPr>
        <w:tc>
          <w:tcPr>
            <w:tcW w:w="1843" w:type="dxa"/>
            <w:vAlign w:val="center"/>
          </w:tcPr>
          <w:p w:rsidR="00B04264" w:rsidRPr="00602B82" w:rsidRDefault="00B04264">
            <w:pPr>
              <w:pStyle w:val="Annex"/>
              <w:rPr>
                <w:rFonts w:ascii="Calibri" w:hAnsi="Calibri"/>
                <w:lang w:val="en-US"/>
              </w:rPr>
            </w:pPr>
            <w:r w:rsidRPr="00602B82">
              <w:rPr>
                <w:rFonts w:ascii="Calibri" w:hAnsi="Calibri"/>
                <w:lang w:val="en-US"/>
              </w:rPr>
              <w:t>ANNEX x</w:t>
            </w:r>
          </w:p>
        </w:tc>
        <w:tc>
          <w:tcPr>
            <w:tcW w:w="7128" w:type="dxa"/>
            <w:vAlign w:val="center"/>
          </w:tcPr>
          <w:p w:rsidR="00B04264" w:rsidRPr="00602B82" w:rsidRDefault="00B04264" w:rsidP="00DB5E95">
            <w:pPr>
              <w:pStyle w:val="AbbrDesc"/>
              <w:jc w:val="left"/>
              <w:rPr>
                <w:rFonts w:ascii="Calibri" w:hAnsi="Calibri"/>
                <w:lang w:val="en-US"/>
              </w:rPr>
            </w:pPr>
            <w:r w:rsidRPr="00602B82">
              <w:rPr>
                <w:rFonts w:ascii="Calibri" w:hAnsi="Calibri"/>
                <w:lang w:val="en-US"/>
              </w:rPr>
              <w:t>Project Activities Schedule</w:t>
            </w:r>
          </w:p>
        </w:tc>
      </w:tr>
      <w:tr w:rsidR="002B3E4E" w:rsidRPr="00602B82">
        <w:trPr>
          <w:trHeight w:val="403"/>
        </w:trPr>
        <w:tc>
          <w:tcPr>
            <w:tcW w:w="1843" w:type="dxa"/>
            <w:vAlign w:val="center"/>
          </w:tcPr>
          <w:p w:rsidR="002B3E4E" w:rsidRPr="00602B82" w:rsidRDefault="00B04264">
            <w:pPr>
              <w:pStyle w:val="Annex"/>
              <w:rPr>
                <w:lang w:val="en-US"/>
              </w:rPr>
            </w:pPr>
            <w:r w:rsidRPr="00602B82">
              <w:rPr>
                <w:rFonts w:ascii="Calibri" w:hAnsi="Calibri"/>
                <w:lang w:val="en-US"/>
              </w:rPr>
              <w:t>ANNEX x</w:t>
            </w:r>
            <w:r>
              <w:rPr>
                <w:rFonts w:ascii="Calibri" w:hAnsi="Calibri"/>
                <w:lang w:val="en-US"/>
              </w:rPr>
              <w:t>I</w:t>
            </w:r>
          </w:p>
        </w:tc>
        <w:tc>
          <w:tcPr>
            <w:tcW w:w="7128" w:type="dxa"/>
            <w:vAlign w:val="center"/>
          </w:tcPr>
          <w:p w:rsidR="002B3E4E" w:rsidRPr="00602B82" w:rsidRDefault="00B04264" w:rsidP="00B04264">
            <w:pPr>
              <w:pStyle w:val="AbbrDesc"/>
              <w:jc w:val="left"/>
              <w:rPr>
                <w:lang w:val="en-US"/>
              </w:rPr>
            </w:pPr>
            <w:r>
              <w:rPr>
                <w:rFonts w:ascii="Calibri" w:hAnsi="Calibri"/>
                <w:lang w:val="en-US"/>
              </w:rPr>
              <w:t>OMJ Financial indicators</w:t>
            </w:r>
          </w:p>
        </w:tc>
      </w:tr>
    </w:tbl>
    <w:p w:rsidR="002B3E4E" w:rsidRPr="00602B82" w:rsidRDefault="00715F6D" w:rsidP="00715F6D">
      <w:pPr>
        <w:tabs>
          <w:tab w:val="left" w:pos="1890"/>
          <w:tab w:val="left" w:pos="3060"/>
        </w:tabs>
        <w:spacing w:after="120"/>
        <w:jc w:val="both"/>
        <w:rPr>
          <w:rFonts w:ascii="Calibri" w:hAnsi="Calibri"/>
          <w:b/>
        </w:rPr>
      </w:pPr>
      <w:r>
        <w:rPr>
          <w:rFonts w:ascii="Calibri" w:hAnsi="Calibri"/>
        </w:rPr>
        <w:t>ANNEX XII</w:t>
      </w:r>
      <w:r>
        <w:rPr>
          <w:rFonts w:ascii="Calibri" w:hAnsi="Calibri"/>
        </w:rPr>
        <w:tab/>
        <w:t>List of Past Investors</w:t>
      </w:r>
    </w:p>
    <w:p w:rsidR="009176F3" w:rsidRDefault="009176F3">
      <w:pPr>
        <w:pStyle w:val="Newpage"/>
        <w:rPr>
          <w:rFonts w:ascii="Calibri" w:hAnsi="Calibri"/>
          <w:lang w:val="en-US"/>
        </w:rPr>
      </w:pPr>
    </w:p>
    <w:p w:rsidR="002B3E4E" w:rsidRPr="00602B82" w:rsidRDefault="002B3E4E" w:rsidP="00A56CD0">
      <w:pPr>
        <w:pStyle w:val="Newpage"/>
        <w:ind w:firstLine="0"/>
        <w:rPr>
          <w:rFonts w:ascii="Calibri" w:hAnsi="Calibri"/>
          <w:lang w:val="en-US"/>
        </w:rPr>
      </w:pPr>
      <w:r w:rsidRPr="00602B82">
        <w:rPr>
          <w:rFonts w:ascii="Calibri" w:hAnsi="Calibri"/>
          <w:lang w:val="en-US"/>
        </w:rPr>
        <w:t>Acronyms and Abbreviations</w:t>
      </w:r>
    </w:p>
    <w:p w:rsidR="002B3E4E" w:rsidRPr="00602B82" w:rsidRDefault="002B3E4E">
      <w:pPr>
        <w:tabs>
          <w:tab w:val="left" w:pos="3060"/>
        </w:tabs>
        <w:jc w:val="center"/>
        <w:rPr>
          <w:rFonts w:ascii="Calibri" w:hAnsi="Calibri"/>
          <w:b/>
        </w:rPr>
      </w:pPr>
    </w:p>
    <w:p w:rsidR="002B3E4E" w:rsidRPr="00602B82" w:rsidRDefault="002B3E4E">
      <w:pPr>
        <w:tabs>
          <w:tab w:val="left" w:pos="3060"/>
        </w:tabs>
        <w:jc w:val="both"/>
        <w:rPr>
          <w:rFonts w:ascii="Calibri" w:hAnsi="Calibri"/>
          <w:b/>
        </w:rPr>
      </w:pPr>
    </w:p>
    <w:tbl>
      <w:tblPr>
        <w:tblW w:w="6727" w:type="dxa"/>
        <w:tblLayout w:type="fixed"/>
        <w:tblCellMar>
          <w:left w:w="0" w:type="dxa"/>
          <w:right w:w="0" w:type="dxa"/>
        </w:tblCellMar>
        <w:tblLook w:val="0000" w:firstRow="0" w:lastRow="0" w:firstColumn="0" w:lastColumn="0" w:noHBand="0" w:noVBand="0"/>
      </w:tblPr>
      <w:tblGrid>
        <w:gridCol w:w="1913"/>
        <w:gridCol w:w="4814"/>
      </w:tblGrid>
      <w:tr w:rsidR="002B3E4E" w:rsidRPr="00602B82">
        <w:trPr>
          <w:trHeight w:val="315"/>
        </w:trPr>
        <w:tc>
          <w:tcPr>
            <w:tcW w:w="1913" w:type="dxa"/>
            <w:noWrap/>
            <w:tcMar>
              <w:top w:w="15" w:type="dxa"/>
              <w:left w:w="15" w:type="dxa"/>
              <w:bottom w:w="0" w:type="dxa"/>
              <w:right w:w="15" w:type="dxa"/>
            </w:tcMar>
            <w:vAlign w:val="center"/>
          </w:tcPr>
          <w:p w:rsidR="002B3E4E" w:rsidRDefault="00597698" w:rsidP="000A04D1">
            <w:pPr>
              <w:jc w:val="both"/>
              <w:rPr>
                <w:rFonts w:ascii="Calibri" w:hAnsi="Calibri"/>
                <w:b/>
              </w:rPr>
            </w:pPr>
            <w:r w:rsidRPr="00602B82">
              <w:rPr>
                <w:rFonts w:ascii="Calibri" w:hAnsi="Calibri"/>
                <w:b/>
              </w:rPr>
              <w:t>AOP</w:t>
            </w:r>
          </w:p>
          <w:p w:rsidR="00AA3690" w:rsidRPr="00602B82" w:rsidRDefault="00AA3690" w:rsidP="000A04D1">
            <w:pPr>
              <w:jc w:val="both"/>
            </w:pPr>
            <w:r>
              <w:rPr>
                <w:rFonts w:ascii="Calibri" w:hAnsi="Calibri"/>
                <w:b/>
              </w:rPr>
              <w:t>BOP</w:t>
            </w:r>
          </w:p>
        </w:tc>
        <w:tc>
          <w:tcPr>
            <w:tcW w:w="4814" w:type="dxa"/>
            <w:noWrap/>
            <w:tcMar>
              <w:top w:w="15" w:type="dxa"/>
              <w:left w:w="15" w:type="dxa"/>
              <w:bottom w:w="0" w:type="dxa"/>
              <w:right w:w="15" w:type="dxa"/>
            </w:tcMar>
            <w:vAlign w:val="center"/>
          </w:tcPr>
          <w:p w:rsidR="002B3E4E" w:rsidRPr="00AA3690" w:rsidRDefault="00597698" w:rsidP="000A04D1">
            <w:pPr>
              <w:jc w:val="both"/>
              <w:rPr>
                <w:rFonts w:asciiTheme="minorHAnsi" w:hAnsiTheme="minorHAnsi"/>
              </w:rPr>
            </w:pPr>
            <w:r w:rsidRPr="00AA3690">
              <w:rPr>
                <w:rFonts w:asciiTheme="minorHAnsi" w:hAnsiTheme="minorHAnsi"/>
              </w:rPr>
              <w:t>Annual Operating Plan</w:t>
            </w:r>
          </w:p>
          <w:p w:rsidR="00AA3690" w:rsidRPr="00602B82" w:rsidRDefault="00AA3690" w:rsidP="000A04D1">
            <w:pPr>
              <w:jc w:val="both"/>
            </w:pPr>
            <w:r w:rsidRPr="00AA3690">
              <w:rPr>
                <w:rFonts w:asciiTheme="minorHAnsi" w:hAnsiTheme="minorHAnsi"/>
              </w:rPr>
              <w:t>Base of the Pyramid</w:t>
            </w:r>
          </w:p>
        </w:tc>
      </w:tr>
      <w:tr w:rsidR="002B3E4E" w:rsidRPr="00602B82">
        <w:trPr>
          <w:trHeight w:val="315"/>
        </w:trPr>
        <w:tc>
          <w:tcPr>
            <w:tcW w:w="1913" w:type="dxa"/>
            <w:noWrap/>
            <w:tcMar>
              <w:top w:w="15" w:type="dxa"/>
              <w:left w:w="15" w:type="dxa"/>
              <w:bottom w:w="0" w:type="dxa"/>
              <w:right w:w="15" w:type="dxa"/>
            </w:tcMar>
            <w:vAlign w:val="center"/>
          </w:tcPr>
          <w:p w:rsidR="002B3E4E" w:rsidRPr="00602B82" w:rsidRDefault="00597698" w:rsidP="000A04D1">
            <w:pPr>
              <w:jc w:val="both"/>
            </w:pPr>
            <w:r w:rsidRPr="00602B82">
              <w:rPr>
                <w:rFonts w:ascii="Calibri" w:hAnsi="Calibri"/>
                <w:b/>
              </w:rPr>
              <w:t>DNA</w:t>
            </w:r>
          </w:p>
        </w:tc>
        <w:tc>
          <w:tcPr>
            <w:tcW w:w="4814" w:type="dxa"/>
            <w:noWrap/>
            <w:tcMar>
              <w:top w:w="15" w:type="dxa"/>
              <w:left w:w="15" w:type="dxa"/>
              <w:bottom w:w="0" w:type="dxa"/>
              <w:right w:w="15" w:type="dxa"/>
            </w:tcMar>
            <w:vAlign w:val="center"/>
          </w:tcPr>
          <w:p w:rsidR="002B3E4E" w:rsidRPr="00602B82" w:rsidRDefault="00597698" w:rsidP="000A04D1">
            <w:pPr>
              <w:jc w:val="both"/>
            </w:pPr>
            <w:r w:rsidRPr="00602B82">
              <w:rPr>
                <w:rFonts w:ascii="Calibri" w:hAnsi="Calibri"/>
              </w:rPr>
              <w:t>Diagnostic of Executing Agency Needs</w:t>
            </w:r>
          </w:p>
        </w:tc>
      </w:tr>
      <w:tr w:rsidR="002B3E4E" w:rsidRPr="00602B82">
        <w:trPr>
          <w:trHeight w:val="315"/>
        </w:trPr>
        <w:tc>
          <w:tcPr>
            <w:tcW w:w="1913" w:type="dxa"/>
            <w:noWrap/>
            <w:tcMar>
              <w:top w:w="15" w:type="dxa"/>
              <w:left w:w="15" w:type="dxa"/>
              <w:bottom w:w="0" w:type="dxa"/>
              <w:right w:w="15" w:type="dxa"/>
            </w:tcMar>
            <w:vAlign w:val="center"/>
          </w:tcPr>
          <w:p w:rsidR="002B3E4E" w:rsidRPr="00602B82" w:rsidRDefault="00597698" w:rsidP="000A04D1">
            <w:pPr>
              <w:jc w:val="both"/>
            </w:pPr>
            <w:r w:rsidRPr="00602B82">
              <w:rPr>
                <w:rFonts w:ascii="Calibri" w:hAnsi="Calibri"/>
                <w:b/>
              </w:rPr>
              <w:t>IADB</w:t>
            </w:r>
          </w:p>
        </w:tc>
        <w:tc>
          <w:tcPr>
            <w:tcW w:w="4814" w:type="dxa"/>
            <w:noWrap/>
            <w:tcMar>
              <w:top w:w="15" w:type="dxa"/>
              <w:left w:w="15" w:type="dxa"/>
              <w:bottom w:w="0" w:type="dxa"/>
              <w:right w:w="15" w:type="dxa"/>
            </w:tcMar>
            <w:vAlign w:val="center"/>
          </w:tcPr>
          <w:p w:rsidR="002B3E4E" w:rsidRPr="00602B82" w:rsidRDefault="00597698" w:rsidP="000A04D1">
            <w:pPr>
              <w:jc w:val="both"/>
            </w:pPr>
            <w:r w:rsidRPr="00602B82">
              <w:rPr>
                <w:rFonts w:ascii="Calibri" w:hAnsi="Calibri"/>
              </w:rPr>
              <w:t>Inter-American Development Bank</w:t>
            </w:r>
          </w:p>
        </w:tc>
      </w:tr>
      <w:tr w:rsidR="002B3E4E" w:rsidRPr="00602B82">
        <w:trPr>
          <w:trHeight w:val="416"/>
        </w:trPr>
        <w:tc>
          <w:tcPr>
            <w:tcW w:w="1913" w:type="dxa"/>
            <w:noWrap/>
            <w:tcMar>
              <w:top w:w="15" w:type="dxa"/>
              <w:left w:w="15" w:type="dxa"/>
              <w:bottom w:w="0" w:type="dxa"/>
              <w:right w:w="15" w:type="dxa"/>
            </w:tcMar>
            <w:vAlign w:val="center"/>
          </w:tcPr>
          <w:p w:rsidR="002B3E4E" w:rsidRPr="00602B82" w:rsidRDefault="00597698" w:rsidP="000A04D1">
            <w:pPr>
              <w:jc w:val="both"/>
            </w:pPr>
            <w:r w:rsidRPr="00602B82">
              <w:rPr>
                <w:rFonts w:ascii="Calibri" w:hAnsi="Calibri"/>
                <w:b/>
              </w:rPr>
              <w:t>MIF</w:t>
            </w:r>
          </w:p>
        </w:tc>
        <w:tc>
          <w:tcPr>
            <w:tcW w:w="4814" w:type="dxa"/>
            <w:noWrap/>
            <w:tcMar>
              <w:top w:w="15" w:type="dxa"/>
              <w:left w:w="15" w:type="dxa"/>
              <w:bottom w:w="0" w:type="dxa"/>
              <w:right w:w="15" w:type="dxa"/>
            </w:tcMar>
            <w:vAlign w:val="center"/>
          </w:tcPr>
          <w:p w:rsidR="002B3E4E" w:rsidRPr="00602B82" w:rsidRDefault="00597698" w:rsidP="000A04D1">
            <w:pPr>
              <w:jc w:val="both"/>
            </w:pPr>
            <w:r w:rsidRPr="00602B82">
              <w:rPr>
                <w:rFonts w:ascii="Calibri" w:hAnsi="Calibri"/>
              </w:rPr>
              <w:t>Multilateral Investment Fund</w:t>
            </w:r>
          </w:p>
        </w:tc>
      </w:tr>
      <w:tr w:rsidR="002B3E4E" w:rsidRPr="00602B82">
        <w:trPr>
          <w:trHeight w:val="315"/>
        </w:trPr>
        <w:tc>
          <w:tcPr>
            <w:tcW w:w="1913" w:type="dxa"/>
            <w:noWrap/>
            <w:tcMar>
              <w:top w:w="15" w:type="dxa"/>
              <w:left w:w="15" w:type="dxa"/>
              <w:bottom w:w="0" w:type="dxa"/>
              <w:right w:w="15" w:type="dxa"/>
            </w:tcMar>
            <w:vAlign w:val="center"/>
          </w:tcPr>
          <w:p w:rsidR="002B3E4E" w:rsidRPr="00602B82" w:rsidRDefault="00597698" w:rsidP="000A04D1">
            <w:r w:rsidRPr="00602B82">
              <w:rPr>
                <w:rFonts w:ascii="Calibri" w:hAnsi="Calibri"/>
                <w:b/>
              </w:rPr>
              <w:t>OR</w:t>
            </w:r>
          </w:p>
        </w:tc>
        <w:tc>
          <w:tcPr>
            <w:tcW w:w="4814" w:type="dxa"/>
            <w:noWrap/>
            <w:tcMar>
              <w:top w:w="15" w:type="dxa"/>
              <w:left w:w="15" w:type="dxa"/>
              <w:bottom w:w="0" w:type="dxa"/>
              <w:right w:w="15" w:type="dxa"/>
            </w:tcMar>
            <w:vAlign w:val="center"/>
          </w:tcPr>
          <w:p w:rsidR="002B3E4E" w:rsidRPr="00602B82" w:rsidRDefault="00597698" w:rsidP="000A04D1">
            <w:r w:rsidRPr="00602B82">
              <w:rPr>
                <w:rFonts w:ascii="Calibri" w:hAnsi="Calibri"/>
              </w:rPr>
              <w:t>Operating Regulations</w:t>
            </w:r>
          </w:p>
        </w:tc>
      </w:tr>
      <w:tr w:rsidR="002B3E4E" w:rsidRPr="00602B82">
        <w:trPr>
          <w:trHeight w:val="315"/>
        </w:trPr>
        <w:tc>
          <w:tcPr>
            <w:tcW w:w="1913" w:type="dxa"/>
            <w:noWrap/>
            <w:tcMar>
              <w:top w:w="15" w:type="dxa"/>
              <w:left w:w="15" w:type="dxa"/>
              <w:bottom w:w="0" w:type="dxa"/>
              <w:right w:w="15" w:type="dxa"/>
            </w:tcMar>
            <w:vAlign w:val="center"/>
          </w:tcPr>
          <w:p w:rsidR="002B3E4E" w:rsidRPr="00602B82" w:rsidRDefault="002B3E4E" w:rsidP="000A04D1">
            <w:pPr>
              <w:jc w:val="both"/>
            </w:pPr>
            <w:r w:rsidRPr="00602B82">
              <w:rPr>
                <w:rFonts w:ascii="Calibri" w:hAnsi="Calibri"/>
                <w:b/>
              </w:rPr>
              <w:t>PCU</w:t>
            </w:r>
          </w:p>
        </w:tc>
        <w:tc>
          <w:tcPr>
            <w:tcW w:w="4814" w:type="dxa"/>
            <w:noWrap/>
            <w:tcMar>
              <w:top w:w="15" w:type="dxa"/>
              <w:left w:w="15" w:type="dxa"/>
              <w:bottom w:w="0" w:type="dxa"/>
              <w:right w:w="15" w:type="dxa"/>
            </w:tcMar>
            <w:vAlign w:val="center"/>
          </w:tcPr>
          <w:p w:rsidR="002B3E4E" w:rsidRPr="00602B82" w:rsidRDefault="002B3E4E" w:rsidP="000A04D1">
            <w:pPr>
              <w:jc w:val="both"/>
            </w:pPr>
            <w:r w:rsidRPr="00602B82">
              <w:rPr>
                <w:rFonts w:ascii="Calibri" w:hAnsi="Calibri"/>
              </w:rPr>
              <w:t>Project Coordination Unit</w:t>
            </w:r>
          </w:p>
        </w:tc>
      </w:tr>
      <w:tr w:rsidR="002B3E4E" w:rsidRPr="00602B82">
        <w:trPr>
          <w:trHeight w:val="315"/>
        </w:trPr>
        <w:tc>
          <w:tcPr>
            <w:tcW w:w="1913" w:type="dxa"/>
            <w:noWrap/>
            <w:tcMar>
              <w:top w:w="15" w:type="dxa"/>
              <w:left w:w="15" w:type="dxa"/>
              <w:bottom w:w="0" w:type="dxa"/>
              <w:right w:w="15" w:type="dxa"/>
            </w:tcMar>
            <w:vAlign w:val="center"/>
          </w:tcPr>
          <w:p w:rsidR="002B3E4E" w:rsidRPr="00602B82" w:rsidRDefault="00597698" w:rsidP="000A04D1">
            <w:pPr>
              <w:jc w:val="both"/>
              <w:rPr>
                <w:rFonts w:asciiTheme="minorHAnsi" w:eastAsia="Arial Unicode MS" w:hAnsiTheme="minorHAnsi"/>
                <w:b/>
              </w:rPr>
            </w:pPr>
            <w:r w:rsidRPr="00602B82">
              <w:rPr>
                <w:rFonts w:asciiTheme="minorHAnsi" w:eastAsia="Arial Unicode MS" w:hAnsiTheme="minorHAnsi"/>
                <w:b/>
              </w:rPr>
              <w:t>QED</w:t>
            </w:r>
          </w:p>
        </w:tc>
        <w:tc>
          <w:tcPr>
            <w:tcW w:w="4814" w:type="dxa"/>
            <w:noWrap/>
            <w:tcMar>
              <w:top w:w="15" w:type="dxa"/>
              <w:left w:w="15" w:type="dxa"/>
              <w:bottom w:w="0" w:type="dxa"/>
              <w:right w:w="15" w:type="dxa"/>
            </w:tcMar>
            <w:vAlign w:val="center"/>
          </w:tcPr>
          <w:p w:rsidR="002B3E4E" w:rsidRPr="00602B82" w:rsidRDefault="00597698" w:rsidP="000A04D1">
            <w:pPr>
              <w:jc w:val="both"/>
              <w:rPr>
                <w:rFonts w:asciiTheme="minorHAnsi" w:eastAsia="Arial Unicode MS" w:hAnsiTheme="minorHAnsi"/>
              </w:rPr>
            </w:pPr>
            <w:r w:rsidRPr="00602B82">
              <w:rPr>
                <w:rFonts w:asciiTheme="minorHAnsi" w:eastAsia="Arial Unicode MS" w:hAnsiTheme="minorHAnsi"/>
              </w:rPr>
              <w:t>Quality for Effectiveness in Development</w:t>
            </w:r>
          </w:p>
        </w:tc>
      </w:tr>
      <w:tr w:rsidR="002B3E4E" w:rsidRPr="00602B82">
        <w:trPr>
          <w:trHeight w:val="315"/>
        </w:trPr>
        <w:tc>
          <w:tcPr>
            <w:tcW w:w="1913" w:type="dxa"/>
            <w:noWrap/>
            <w:tcMar>
              <w:top w:w="15" w:type="dxa"/>
              <w:left w:w="15" w:type="dxa"/>
              <w:bottom w:w="0" w:type="dxa"/>
              <w:right w:w="15" w:type="dxa"/>
            </w:tcMar>
            <w:vAlign w:val="center"/>
          </w:tcPr>
          <w:p w:rsidR="002B3E4E" w:rsidRPr="00602B82" w:rsidRDefault="00597698" w:rsidP="000A04D1">
            <w:pPr>
              <w:jc w:val="both"/>
              <w:rPr>
                <w:rFonts w:ascii="Calibri" w:hAnsi="Calibri"/>
                <w:b/>
              </w:rPr>
            </w:pPr>
            <w:r w:rsidRPr="00602B82">
              <w:rPr>
                <w:rFonts w:ascii="Calibri" w:hAnsi="Calibri"/>
                <w:b/>
              </w:rPr>
              <w:t>TOR</w:t>
            </w:r>
          </w:p>
        </w:tc>
        <w:tc>
          <w:tcPr>
            <w:tcW w:w="4814" w:type="dxa"/>
            <w:noWrap/>
            <w:tcMar>
              <w:top w:w="15" w:type="dxa"/>
              <w:left w:w="15" w:type="dxa"/>
              <w:bottom w:w="0" w:type="dxa"/>
              <w:right w:w="15" w:type="dxa"/>
            </w:tcMar>
            <w:vAlign w:val="center"/>
          </w:tcPr>
          <w:p w:rsidR="002B3E4E" w:rsidRPr="00602B82" w:rsidRDefault="00597698" w:rsidP="000A04D1">
            <w:pPr>
              <w:jc w:val="both"/>
              <w:rPr>
                <w:rFonts w:ascii="Calibri" w:hAnsi="Calibri"/>
              </w:rPr>
            </w:pPr>
            <w:r w:rsidRPr="00602B82">
              <w:rPr>
                <w:rFonts w:ascii="Calibri" w:hAnsi="Calibri"/>
              </w:rPr>
              <w:t>Terms of Reference</w:t>
            </w:r>
          </w:p>
        </w:tc>
      </w:tr>
    </w:tbl>
    <w:p w:rsidR="002B3E4E" w:rsidRPr="000A04D1" w:rsidRDefault="002B3E4E" w:rsidP="00A56CD0">
      <w:pPr>
        <w:pStyle w:val="Newpage"/>
        <w:tabs>
          <w:tab w:val="clear" w:pos="3060"/>
          <w:tab w:val="left" w:pos="1440"/>
          <w:tab w:val="left" w:pos="2995"/>
          <w:tab w:val="left" w:pos="4680"/>
          <w:tab w:val="left" w:pos="5155"/>
          <w:tab w:val="left" w:pos="7675"/>
          <w:tab w:val="left" w:pos="10555"/>
        </w:tabs>
        <w:spacing w:after="120"/>
        <w:ind w:firstLine="0"/>
        <w:rPr>
          <w:rFonts w:ascii="Calibri" w:hAnsi="Calibri"/>
          <w:lang w:val="en-US"/>
        </w:rPr>
      </w:pPr>
      <w:r w:rsidRPr="000A04D1">
        <w:rPr>
          <w:rFonts w:ascii="Calibri" w:hAnsi="Calibri"/>
          <w:lang w:val="en-US"/>
        </w:rPr>
        <w:lastRenderedPageBreak/>
        <w:t>Project Information</w:t>
      </w:r>
    </w:p>
    <w:p w:rsidR="000A04D1" w:rsidRDefault="000A04D1" w:rsidP="00A56CD0">
      <w:pPr>
        <w:pStyle w:val="Newpage"/>
        <w:ind w:firstLine="0"/>
        <w:rPr>
          <w:rFonts w:ascii="Calibri" w:hAnsi="Calibri"/>
          <w:sz w:val="28"/>
          <w:lang w:val="en-US"/>
        </w:rPr>
      </w:pPr>
      <w:r w:rsidRPr="003138C0">
        <w:rPr>
          <w:rFonts w:ascii="Calibri" w:hAnsi="Calibri"/>
          <w:sz w:val="28"/>
          <w:lang w:val="en-US"/>
        </w:rPr>
        <w:t>Acceleration Track for Social Businesses Working in Basic Services</w:t>
      </w:r>
    </w:p>
    <w:p w:rsidR="000A04D1" w:rsidRDefault="000A04D1" w:rsidP="00A56CD0">
      <w:pPr>
        <w:tabs>
          <w:tab w:val="left" w:pos="1440"/>
          <w:tab w:val="left" w:pos="3060"/>
        </w:tabs>
        <w:jc w:val="center"/>
        <w:rPr>
          <w:rFonts w:ascii="Calibri" w:hAnsi="Calibri"/>
          <w:b/>
          <w:smallCaps/>
        </w:rPr>
      </w:pPr>
      <w:r w:rsidRPr="003138C0">
        <w:rPr>
          <w:rFonts w:ascii="Calibri" w:hAnsi="Calibri"/>
          <w:b/>
          <w:smallCaps/>
        </w:rPr>
        <w:t>(</w:t>
      </w:r>
      <w:r w:rsidRPr="003138C0">
        <w:rPr>
          <w:rFonts w:ascii="Calibri" w:hAnsi="Calibri"/>
          <w:b/>
          <w:bCs/>
          <w:smallCaps/>
        </w:rPr>
        <w:t>RG-M1265</w:t>
      </w:r>
      <w:r w:rsidRPr="003138C0">
        <w:rPr>
          <w:rFonts w:ascii="Calibri" w:hAnsi="Calibri"/>
          <w:b/>
          <w:smallCaps/>
        </w:rPr>
        <w:t>)</w:t>
      </w:r>
    </w:p>
    <w:p w:rsidR="000A04D1" w:rsidRPr="00AF2165" w:rsidRDefault="000A04D1" w:rsidP="000A04D1">
      <w:pPr>
        <w:tabs>
          <w:tab w:val="left" w:pos="1440"/>
          <w:tab w:val="left" w:pos="3060"/>
        </w:tabs>
        <w:jc w:val="center"/>
        <w:rPr>
          <w:rFonts w:ascii="Calibri" w:hAnsi="Calibri"/>
          <w:b/>
          <w:smallCap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right w:w="122" w:type="dxa"/>
        </w:tblCellMar>
        <w:tblLook w:val="0000" w:firstRow="0" w:lastRow="0" w:firstColumn="0" w:lastColumn="0" w:noHBand="0" w:noVBand="0"/>
      </w:tblPr>
      <w:tblGrid>
        <w:gridCol w:w="2552"/>
        <w:gridCol w:w="3330"/>
        <w:gridCol w:w="1890"/>
        <w:gridCol w:w="968"/>
      </w:tblGrid>
      <w:tr w:rsidR="00EB519B" w:rsidRPr="00602B82">
        <w:trPr>
          <w:trHeight w:val="548"/>
        </w:trPr>
        <w:tc>
          <w:tcPr>
            <w:tcW w:w="2552" w:type="dxa"/>
          </w:tcPr>
          <w:p w:rsidR="00EB519B" w:rsidRPr="00A56CD0" w:rsidRDefault="00EB519B" w:rsidP="00EB519B">
            <w:pPr>
              <w:tabs>
                <w:tab w:val="left" w:pos="1440"/>
                <w:tab w:val="left" w:pos="2995"/>
                <w:tab w:val="left" w:pos="4680"/>
                <w:tab w:val="left" w:pos="5155"/>
                <w:tab w:val="left" w:pos="7675"/>
                <w:tab w:val="left" w:pos="10555"/>
              </w:tabs>
              <w:rPr>
                <w:rFonts w:ascii="Calibri" w:hAnsi="Calibri"/>
                <w:b/>
                <w:sz w:val="22"/>
                <w:szCs w:val="22"/>
              </w:rPr>
            </w:pPr>
            <w:r w:rsidRPr="00602B82">
              <w:rPr>
                <w:rFonts w:ascii="Calibri" w:hAnsi="Calibri"/>
                <w:b/>
                <w:sz w:val="22"/>
                <w:szCs w:val="22"/>
              </w:rPr>
              <w:t>C</w:t>
            </w:r>
            <w:r w:rsidR="00A56CD0">
              <w:rPr>
                <w:rFonts w:ascii="Calibri" w:hAnsi="Calibri"/>
                <w:b/>
                <w:sz w:val="22"/>
                <w:szCs w:val="22"/>
              </w:rPr>
              <w:t>ountry and Geographic Location:</w:t>
            </w:r>
          </w:p>
        </w:tc>
        <w:tc>
          <w:tcPr>
            <w:tcW w:w="6188" w:type="dxa"/>
            <w:gridSpan w:val="3"/>
          </w:tcPr>
          <w:p w:rsidR="00E1552A" w:rsidRPr="000A04D1" w:rsidRDefault="000A04D1" w:rsidP="00552C0A">
            <w:pPr>
              <w:tabs>
                <w:tab w:val="left" w:pos="1440"/>
                <w:tab w:val="left" w:pos="2995"/>
                <w:tab w:val="left" w:pos="4680"/>
                <w:tab w:val="left" w:pos="5155"/>
                <w:tab w:val="left" w:pos="7675"/>
                <w:tab w:val="left" w:pos="10555"/>
              </w:tabs>
              <w:rPr>
                <w:rFonts w:ascii="Calibri" w:hAnsi="Calibri"/>
                <w:color w:val="000000" w:themeColor="text1"/>
                <w:sz w:val="22"/>
                <w:szCs w:val="22"/>
              </w:rPr>
            </w:pPr>
            <w:r w:rsidRPr="000A04D1">
              <w:rPr>
                <w:rFonts w:ascii="Calibri" w:hAnsi="Calibri"/>
                <w:color w:val="000000" w:themeColor="text1"/>
                <w:sz w:val="22"/>
                <w:szCs w:val="22"/>
              </w:rPr>
              <w:t>Latin American and Caribbean region</w:t>
            </w:r>
          </w:p>
        </w:tc>
      </w:tr>
      <w:tr w:rsidR="00EB519B" w:rsidRPr="001C6E67" w:rsidTr="00AF2165">
        <w:trPr>
          <w:trHeight w:val="260"/>
        </w:trPr>
        <w:tc>
          <w:tcPr>
            <w:tcW w:w="2552" w:type="dxa"/>
          </w:tcPr>
          <w:p w:rsidR="00EB519B" w:rsidRPr="00602B82" w:rsidRDefault="00EB519B" w:rsidP="00EB519B">
            <w:pPr>
              <w:tabs>
                <w:tab w:val="left" w:pos="1440"/>
                <w:tab w:val="left" w:pos="2995"/>
                <w:tab w:val="left" w:pos="4680"/>
                <w:tab w:val="left" w:pos="5155"/>
                <w:tab w:val="left" w:pos="7675"/>
                <w:tab w:val="left" w:pos="10555"/>
              </w:tabs>
              <w:rPr>
                <w:rFonts w:ascii="Calibri" w:hAnsi="Calibri"/>
                <w:b/>
                <w:sz w:val="22"/>
                <w:szCs w:val="22"/>
              </w:rPr>
            </w:pPr>
            <w:r w:rsidRPr="00602B82">
              <w:rPr>
                <w:rFonts w:ascii="Calibri" w:hAnsi="Calibri"/>
                <w:b/>
                <w:sz w:val="22"/>
                <w:szCs w:val="22"/>
              </w:rPr>
              <w:t>Executing Agency:</w:t>
            </w:r>
          </w:p>
        </w:tc>
        <w:tc>
          <w:tcPr>
            <w:tcW w:w="6188" w:type="dxa"/>
            <w:gridSpan w:val="3"/>
          </w:tcPr>
          <w:p w:rsidR="00EB519B" w:rsidRPr="00AF2165" w:rsidRDefault="009176F3" w:rsidP="00AF2165">
            <w:pPr>
              <w:tabs>
                <w:tab w:val="left" w:pos="1440"/>
                <w:tab w:val="left" w:pos="3750"/>
              </w:tabs>
              <w:rPr>
                <w:rFonts w:ascii="Calibri" w:hAnsi="Calibri"/>
                <w:color w:val="000000" w:themeColor="text1"/>
                <w:sz w:val="22"/>
                <w:szCs w:val="22"/>
              </w:rPr>
            </w:pPr>
            <w:r w:rsidRPr="00AF2165">
              <w:rPr>
                <w:rFonts w:ascii="Calibri" w:hAnsi="Calibri"/>
                <w:color w:val="000000" w:themeColor="text1"/>
                <w:sz w:val="22"/>
                <w:szCs w:val="22"/>
              </w:rPr>
              <w:t>Agora Partnerships</w:t>
            </w:r>
            <w:r w:rsidR="00AA3690" w:rsidRPr="00AF2165">
              <w:rPr>
                <w:rFonts w:ascii="Calibri" w:hAnsi="Calibri"/>
                <w:color w:val="000000" w:themeColor="text1"/>
                <w:sz w:val="22"/>
                <w:szCs w:val="22"/>
              </w:rPr>
              <w:t xml:space="preserve"> (Agora)</w:t>
            </w:r>
            <w:r w:rsidR="00AF2165" w:rsidRPr="00AF2165">
              <w:rPr>
                <w:rFonts w:ascii="Calibri" w:hAnsi="Calibri"/>
                <w:color w:val="000000" w:themeColor="text1"/>
                <w:sz w:val="22"/>
                <w:szCs w:val="22"/>
              </w:rPr>
              <w:t xml:space="preserve"> </w:t>
            </w:r>
            <w:r w:rsidR="00AF2165">
              <w:rPr>
                <w:rStyle w:val="FootnoteReference"/>
                <w:rFonts w:ascii="Calibri" w:hAnsi="Calibri"/>
                <w:color w:val="000000" w:themeColor="text1"/>
                <w:sz w:val="22"/>
                <w:szCs w:val="22"/>
              </w:rPr>
              <w:footnoteReference w:id="5"/>
            </w:r>
          </w:p>
        </w:tc>
      </w:tr>
      <w:tr w:rsidR="009176F3" w:rsidRPr="00602B82">
        <w:trPr>
          <w:trHeight w:val="20"/>
        </w:trPr>
        <w:tc>
          <w:tcPr>
            <w:tcW w:w="2552" w:type="dxa"/>
          </w:tcPr>
          <w:p w:rsidR="009176F3" w:rsidRPr="00602B82" w:rsidRDefault="009176F3" w:rsidP="00EB519B">
            <w:pPr>
              <w:tabs>
                <w:tab w:val="left" w:pos="1440"/>
                <w:tab w:val="left" w:pos="2995"/>
                <w:tab w:val="left" w:pos="4680"/>
                <w:tab w:val="left" w:pos="5155"/>
                <w:tab w:val="left" w:pos="7675"/>
                <w:tab w:val="left" w:pos="10555"/>
              </w:tabs>
              <w:rPr>
                <w:rFonts w:ascii="Calibri" w:hAnsi="Calibri"/>
                <w:b/>
                <w:sz w:val="22"/>
                <w:szCs w:val="22"/>
              </w:rPr>
            </w:pPr>
            <w:r w:rsidRPr="00602B82">
              <w:rPr>
                <w:rFonts w:ascii="Calibri" w:hAnsi="Calibri"/>
                <w:b/>
                <w:sz w:val="22"/>
                <w:szCs w:val="22"/>
              </w:rPr>
              <w:t>Access Area:</w:t>
            </w:r>
          </w:p>
        </w:tc>
        <w:tc>
          <w:tcPr>
            <w:tcW w:w="6188" w:type="dxa"/>
            <w:gridSpan w:val="3"/>
          </w:tcPr>
          <w:p w:rsidR="009176F3" w:rsidRPr="00602B82" w:rsidRDefault="009176F3" w:rsidP="0048569A">
            <w:pPr>
              <w:tabs>
                <w:tab w:val="left" w:pos="1440"/>
                <w:tab w:val="left" w:pos="2995"/>
                <w:tab w:val="left" w:pos="4680"/>
                <w:tab w:val="left" w:pos="5155"/>
                <w:tab w:val="left" w:pos="7675"/>
                <w:tab w:val="left" w:pos="10555"/>
              </w:tabs>
              <w:rPr>
                <w:rFonts w:ascii="Calibri" w:hAnsi="Calibri"/>
                <w:color w:val="808080"/>
                <w:sz w:val="22"/>
                <w:szCs w:val="22"/>
              </w:rPr>
            </w:pPr>
            <w:r w:rsidRPr="00463B7A">
              <w:rPr>
                <w:rFonts w:asciiTheme="minorHAnsi" w:hAnsiTheme="minorHAnsi"/>
                <w:sz w:val="22"/>
                <w:szCs w:val="22"/>
              </w:rPr>
              <w:t>Access to Basic Services and Green Growth</w:t>
            </w:r>
          </w:p>
        </w:tc>
      </w:tr>
      <w:tr w:rsidR="009176F3" w:rsidRPr="00602B82">
        <w:trPr>
          <w:trHeight w:val="20"/>
        </w:trPr>
        <w:tc>
          <w:tcPr>
            <w:tcW w:w="2552" w:type="dxa"/>
          </w:tcPr>
          <w:p w:rsidR="009176F3" w:rsidRPr="00602B82" w:rsidRDefault="009176F3" w:rsidP="00EB519B">
            <w:pPr>
              <w:tabs>
                <w:tab w:val="left" w:pos="1440"/>
                <w:tab w:val="left" w:pos="2995"/>
                <w:tab w:val="left" w:pos="4680"/>
                <w:tab w:val="left" w:pos="5155"/>
                <w:tab w:val="left" w:pos="7675"/>
                <w:tab w:val="left" w:pos="10555"/>
              </w:tabs>
              <w:rPr>
                <w:rFonts w:ascii="Calibri" w:hAnsi="Calibri"/>
                <w:b/>
                <w:sz w:val="22"/>
                <w:szCs w:val="22"/>
              </w:rPr>
            </w:pPr>
            <w:r w:rsidRPr="00602B82">
              <w:rPr>
                <w:rFonts w:ascii="Calibri" w:hAnsi="Calibri"/>
                <w:b/>
                <w:sz w:val="22"/>
                <w:szCs w:val="22"/>
              </w:rPr>
              <w:t xml:space="preserve">Agenda: </w:t>
            </w:r>
          </w:p>
        </w:tc>
        <w:tc>
          <w:tcPr>
            <w:tcW w:w="6188" w:type="dxa"/>
            <w:gridSpan w:val="3"/>
          </w:tcPr>
          <w:p w:rsidR="009176F3" w:rsidRPr="00602B82" w:rsidRDefault="009176F3" w:rsidP="001C6E67">
            <w:pPr>
              <w:tabs>
                <w:tab w:val="left" w:pos="1440"/>
                <w:tab w:val="left" w:pos="2995"/>
                <w:tab w:val="left" w:pos="4680"/>
                <w:tab w:val="left" w:pos="5155"/>
                <w:tab w:val="left" w:pos="7675"/>
                <w:tab w:val="left" w:pos="10555"/>
              </w:tabs>
              <w:rPr>
                <w:rFonts w:ascii="Calibri" w:hAnsi="Calibri"/>
                <w:color w:val="808080"/>
                <w:sz w:val="22"/>
                <w:szCs w:val="22"/>
              </w:rPr>
            </w:pPr>
            <w:r w:rsidRPr="00463B7A">
              <w:rPr>
                <w:rFonts w:asciiTheme="minorHAnsi" w:hAnsiTheme="minorHAnsi"/>
                <w:sz w:val="22"/>
                <w:szCs w:val="22"/>
              </w:rPr>
              <w:t>Access to Basic Services for the Poor</w:t>
            </w:r>
          </w:p>
        </w:tc>
      </w:tr>
      <w:tr w:rsidR="00EB519B" w:rsidRPr="00602B82">
        <w:trPr>
          <w:trHeight w:val="20"/>
        </w:trPr>
        <w:tc>
          <w:tcPr>
            <w:tcW w:w="2552" w:type="dxa"/>
          </w:tcPr>
          <w:p w:rsidR="00EB519B" w:rsidRPr="00602B82" w:rsidRDefault="00EB519B" w:rsidP="00EB519B">
            <w:pPr>
              <w:tabs>
                <w:tab w:val="left" w:pos="1440"/>
                <w:tab w:val="left" w:pos="2995"/>
                <w:tab w:val="left" w:pos="4680"/>
                <w:tab w:val="left" w:pos="5155"/>
                <w:tab w:val="left" w:pos="7675"/>
                <w:tab w:val="left" w:pos="10555"/>
              </w:tabs>
              <w:rPr>
                <w:rFonts w:ascii="Calibri" w:hAnsi="Calibri"/>
                <w:b/>
                <w:sz w:val="22"/>
                <w:szCs w:val="22"/>
              </w:rPr>
            </w:pPr>
            <w:r w:rsidRPr="00602B82">
              <w:rPr>
                <w:rFonts w:ascii="Calibri" w:hAnsi="Calibri"/>
                <w:b/>
                <w:sz w:val="22"/>
                <w:szCs w:val="22"/>
              </w:rPr>
              <w:t xml:space="preserve">Coordination with </w:t>
            </w:r>
          </w:p>
          <w:p w:rsidR="00E1552A" w:rsidRPr="00602B82" w:rsidRDefault="00EB519B" w:rsidP="00EB519B">
            <w:pPr>
              <w:tabs>
                <w:tab w:val="left" w:pos="1440"/>
                <w:tab w:val="left" w:pos="2995"/>
                <w:tab w:val="left" w:pos="4680"/>
                <w:tab w:val="left" w:pos="5155"/>
                <w:tab w:val="left" w:pos="7675"/>
                <w:tab w:val="left" w:pos="10555"/>
              </w:tabs>
              <w:rPr>
                <w:rFonts w:ascii="Calibri" w:hAnsi="Calibri"/>
                <w:b/>
                <w:sz w:val="22"/>
                <w:szCs w:val="22"/>
              </w:rPr>
            </w:pPr>
            <w:r w:rsidRPr="00602B82">
              <w:rPr>
                <w:rFonts w:ascii="Calibri" w:hAnsi="Calibri"/>
                <w:b/>
                <w:sz w:val="22"/>
                <w:szCs w:val="22"/>
              </w:rPr>
              <w:t>Other</w:t>
            </w:r>
            <w:r w:rsidR="00AA3690">
              <w:rPr>
                <w:rFonts w:ascii="Calibri" w:hAnsi="Calibri"/>
                <w:b/>
                <w:sz w:val="22"/>
                <w:szCs w:val="22"/>
              </w:rPr>
              <w:t xml:space="preserve"> Donors/Bank Operations:</w:t>
            </w:r>
          </w:p>
        </w:tc>
        <w:tc>
          <w:tcPr>
            <w:tcW w:w="6188" w:type="dxa"/>
            <w:gridSpan w:val="3"/>
          </w:tcPr>
          <w:p w:rsidR="00EB519B" w:rsidRPr="00336B9B" w:rsidRDefault="009176F3" w:rsidP="008C47C4">
            <w:pPr>
              <w:tabs>
                <w:tab w:val="left" w:pos="1440"/>
                <w:tab w:val="left" w:pos="2995"/>
                <w:tab w:val="left" w:pos="4680"/>
                <w:tab w:val="left" w:pos="5155"/>
                <w:tab w:val="left" w:pos="7675"/>
                <w:tab w:val="left" w:pos="10555"/>
              </w:tabs>
              <w:rPr>
                <w:rFonts w:asciiTheme="minorHAnsi" w:hAnsiTheme="minorHAnsi"/>
                <w:color w:val="FF0000"/>
                <w:sz w:val="22"/>
                <w:szCs w:val="22"/>
              </w:rPr>
            </w:pPr>
            <w:r w:rsidRPr="00336B9B">
              <w:rPr>
                <w:rFonts w:asciiTheme="minorHAnsi" w:hAnsiTheme="minorHAnsi"/>
                <w:color w:val="000000" w:themeColor="text1"/>
                <w:sz w:val="22"/>
                <w:szCs w:val="22"/>
              </w:rPr>
              <w:t xml:space="preserve">In collaboration with </w:t>
            </w:r>
            <w:r w:rsidRPr="001A3860">
              <w:rPr>
                <w:rFonts w:asciiTheme="minorHAnsi" w:hAnsiTheme="minorHAnsi"/>
                <w:b/>
                <w:color w:val="000000" w:themeColor="text1"/>
                <w:sz w:val="22"/>
                <w:szCs w:val="22"/>
              </w:rPr>
              <w:t>Opportunities for the Majority</w:t>
            </w:r>
            <w:r w:rsidR="00AA3690" w:rsidRPr="00336B9B">
              <w:rPr>
                <w:rFonts w:asciiTheme="minorHAnsi" w:hAnsiTheme="minorHAnsi"/>
                <w:color w:val="000000" w:themeColor="text1"/>
                <w:sz w:val="22"/>
                <w:szCs w:val="22"/>
              </w:rPr>
              <w:t xml:space="preserve">. The operation is coordinated with the </w:t>
            </w:r>
            <w:r w:rsidR="00336B9B" w:rsidRPr="00336B9B">
              <w:rPr>
                <w:rFonts w:asciiTheme="minorHAnsi" w:hAnsiTheme="minorHAnsi"/>
                <w:color w:val="000000" w:themeColor="text1"/>
                <w:sz w:val="22"/>
                <w:szCs w:val="22"/>
              </w:rPr>
              <w:t>projects already approved under the Accelerator Facility (RG-M1217): “</w:t>
            </w:r>
            <w:proofErr w:type="spellStart"/>
            <w:r w:rsidR="00336B9B" w:rsidRPr="00336B9B">
              <w:rPr>
                <w:rFonts w:asciiTheme="minorHAnsi" w:hAnsiTheme="minorHAnsi"/>
                <w:i/>
                <w:color w:val="000000" w:themeColor="text1"/>
                <w:sz w:val="22"/>
                <w:szCs w:val="22"/>
              </w:rPr>
              <w:t>Ver</w:t>
            </w:r>
            <w:proofErr w:type="spellEnd"/>
            <w:r w:rsidR="00336B9B" w:rsidRPr="00336B9B">
              <w:rPr>
                <w:rFonts w:asciiTheme="minorHAnsi" w:hAnsiTheme="minorHAnsi"/>
                <w:i/>
                <w:color w:val="000000" w:themeColor="text1"/>
                <w:sz w:val="22"/>
                <w:szCs w:val="22"/>
              </w:rPr>
              <w:t xml:space="preserve"> de </w:t>
            </w:r>
            <w:proofErr w:type="spellStart"/>
            <w:r w:rsidR="00336B9B" w:rsidRPr="00336B9B">
              <w:rPr>
                <w:rFonts w:asciiTheme="minorHAnsi" w:hAnsiTheme="minorHAnsi"/>
                <w:i/>
                <w:color w:val="000000" w:themeColor="text1"/>
                <w:sz w:val="22"/>
                <w:szCs w:val="22"/>
              </w:rPr>
              <w:t>Verdad</w:t>
            </w:r>
            <w:proofErr w:type="spellEnd"/>
            <w:r w:rsidR="00336B9B" w:rsidRPr="00336B9B">
              <w:rPr>
                <w:rFonts w:asciiTheme="minorHAnsi" w:hAnsiTheme="minorHAnsi"/>
                <w:i/>
                <w:color w:val="000000" w:themeColor="text1"/>
                <w:sz w:val="22"/>
                <w:szCs w:val="22"/>
              </w:rPr>
              <w:t xml:space="preserve"> Mobile Diagnostic Centers: Bringing Affordable Quality Eye-Care</w:t>
            </w:r>
            <w:r w:rsidR="00336B9B" w:rsidRPr="00336B9B">
              <w:rPr>
                <w:rFonts w:asciiTheme="minorHAnsi" w:hAnsiTheme="minorHAnsi"/>
                <w:color w:val="000000" w:themeColor="text1"/>
                <w:sz w:val="22"/>
                <w:szCs w:val="22"/>
              </w:rPr>
              <w:t>” (ME-M1087); “</w:t>
            </w:r>
            <w:proofErr w:type="spellStart"/>
            <w:r w:rsidR="00336B9B" w:rsidRPr="00336B9B">
              <w:rPr>
                <w:rFonts w:asciiTheme="minorHAnsi" w:hAnsiTheme="minorHAnsi"/>
                <w:i/>
                <w:color w:val="000000" w:themeColor="text1"/>
                <w:sz w:val="22"/>
                <w:szCs w:val="22"/>
              </w:rPr>
              <w:t>Quetsol</w:t>
            </w:r>
            <w:proofErr w:type="spellEnd"/>
            <w:r w:rsidR="00336B9B" w:rsidRPr="00336B9B">
              <w:rPr>
                <w:rFonts w:asciiTheme="minorHAnsi" w:hAnsiTheme="minorHAnsi"/>
                <w:i/>
                <w:color w:val="000000" w:themeColor="text1"/>
                <w:sz w:val="22"/>
                <w:szCs w:val="22"/>
              </w:rPr>
              <w:t xml:space="preserve"> Pay-as-you-go solar power for the BOP in Guatemala</w:t>
            </w:r>
            <w:r w:rsidR="00336B9B" w:rsidRPr="00336B9B">
              <w:rPr>
                <w:rFonts w:asciiTheme="minorHAnsi" w:hAnsiTheme="minorHAnsi"/>
                <w:color w:val="000000" w:themeColor="text1"/>
                <w:sz w:val="22"/>
                <w:szCs w:val="22"/>
              </w:rPr>
              <w:t>” (GU-M1053);</w:t>
            </w:r>
            <w:r w:rsidR="00336B9B" w:rsidRPr="00336B9B">
              <w:rPr>
                <w:rFonts w:asciiTheme="minorHAnsi" w:hAnsiTheme="minorHAnsi"/>
                <w:sz w:val="22"/>
                <w:szCs w:val="22"/>
              </w:rPr>
              <w:t xml:space="preserve"> “</w:t>
            </w:r>
            <w:r w:rsidR="00336B9B" w:rsidRPr="00336B9B">
              <w:rPr>
                <w:rFonts w:asciiTheme="minorHAnsi" w:hAnsiTheme="minorHAnsi"/>
                <w:i/>
                <w:color w:val="000000" w:themeColor="text1"/>
                <w:sz w:val="22"/>
                <w:szCs w:val="22"/>
              </w:rPr>
              <w:t>Learning and Innovation Centers: Reducing the Digital Divide for the Mexican BOP</w:t>
            </w:r>
            <w:r w:rsidR="00336B9B" w:rsidRPr="00336B9B">
              <w:rPr>
                <w:rFonts w:asciiTheme="minorHAnsi" w:hAnsiTheme="minorHAnsi"/>
                <w:color w:val="000000" w:themeColor="text1"/>
                <w:sz w:val="22"/>
                <w:szCs w:val="22"/>
              </w:rPr>
              <w:t>” (ME-M1093); “</w:t>
            </w:r>
            <w:proofErr w:type="spellStart"/>
            <w:r w:rsidR="00336B9B" w:rsidRPr="00336B9B">
              <w:rPr>
                <w:rFonts w:asciiTheme="minorHAnsi" w:hAnsiTheme="minorHAnsi"/>
                <w:i/>
                <w:color w:val="000000" w:themeColor="text1"/>
                <w:sz w:val="22"/>
                <w:szCs w:val="22"/>
              </w:rPr>
              <w:t>Biobolsa</w:t>
            </w:r>
            <w:proofErr w:type="spellEnd"/>
            <w:r w:rsidR="00336B9B" w:rsidRPr="00336B9B">
              <w:rPr>
                <w:rFonts w:asciiTheme="minorHAnsi" w:hAnsiTheme="minorHAnsi"/>
                <w:i/>
                <w:color w:val="000000" w:themeColor="text1"/>
                <w:sz w:val="22"/>
                <w:szCs w:val="22"/>
              </w:rPr>
              <w:t>: A Biogas Solution for Small Farms in Mexico, Honduras and Nicaragua</w:t>
            </w:r>
            <w:r w:rsidR="00336B9B" w:rsidRPr="00336B9B">
              <w:rPr>
                <w:rFonts w:asciiTheme="minorHAnsi" w:hAnsiTheme="minorHAnsi"/>
                <w:color w:val="000000" w:themeColor="text1"/>
                <w:sz w:val="22"/>
                <w:szCs w:val="22"/>
              </w:rPr>
              <w:t>” (RG-M1260)</w:t>
            </w:r>
          </w:p>
        </w:tc>
      </w:tr>
      <w:tr w:rsidR="00EB519B" w:rsidRPr="00602B82">
        <w:trPr>
          <w:trHeight w:val="20"/>
        </w:trPr>
        <w:tc>
          <w:tcPr>
            <w:tcW w:w="2552" w:type="dxa"/>
          </w:tcPr>
          <w:p w:rsidR="00552C0A" w:rsidRPr="00602B82" w:rsidRDefault="00552C0A" w:rsidP="00552C0A">
            <w:pPr>
              <w:tabs>
                <w:tab w:val="left" w:pos="1440"/>
                <w:tab w:val="left" w:pos="2995"/>
                <w:tab w:val="left" w:pos="4680"/>
                <w:tab w:val="left" w:pos="5155"/>
                <w:tab w:val="left" w:pos="7675"/>
                <w:tab w:val="left" w:pos="10555"/>
              </w:tabs>
              <w:rPr>
                <w:rFonts w:ascii="Calibri" w:hAnsi="Calibri"/>
                <w:b/>
                <w:sz w:val="22"/>
                <w:szCs w:val="22"/>
              </w:rPr>
            </w:pPr>
            <w:r w:rsidRPr="00602B82">
              <w:rPr>
                <w:rFonts w:ascii="Calibri" w:hAnsi="Calibri"/>
                <w:b/>
                <w:sz w:val="22"/>
                <w:szCs w:val="22"/>
              </w:rPr>
              <w:t>Direct Beneficiaries:</w:t>
            </w:r>
          </w:p>
          <w:p w:rsidR="00EB519B" w:rsidRPr="00602B82" w:rsidRDefault="00EB519B" w:rsidP="00552C0A">
            <w:pPr>
              <w:tabs>
                <w:tab w:val="left" w:pos="1440"/>
                <w:tab w:val="left" w:pos="2995"/>
                <w:tab w:val="left" w:pos="4680"/>
                <w:tab w:val="left" w:pos="5155"/>
                <w:tab w:val="left" w:pos="7675"/>
                <w:tab w:val="left" w:pos="10555"/>
              </w:tabs>
              <w:rPr>
                <w:sz w:val="22"/>
                <w:szCs w:val="22"/>
              </w:rPr>
            </w:pPr>
          </w:p>
        </w:tc>
        <w:tc>
          <w:tcPr>
            <w:tcW w:w="6188" w:type="dxa"/>
            <w:gridSpan w:val="3"/>
          </w:tcPr>
          <w:p w:rsidR="00B44270" w:rsidRPr="00AA3690" w:rsidRDefault="00B44270" w:rsidP="00B44270">
            <w:pPr>
              <w:tabs>
                <w:tab w:val="left" w:pos="1440"/>
                <w:tab w:val="left" w:pos="2995"/>
                <w:tab w:val="left" w:pos="4680"/>
                <w:tab w:val="left" w:pos="5155"/>
                <w:tab w:val="left" w:pos="7675"/>
                <w:tab w:val="left" w:pos="10555"/>
              </w:tabs>
              <w:rPr>
                <w:rFonts w:ascii="Calibri" w:hAnsi="Calibri"/>
                <w:sz w:val="22"/>
              </w:rPr>
            </w:pPr>
            <w:r w:rsidRPr="001A3860">
              <w:rPr>
                <w:rFonts w:ascii="Calibri" w:hAnsi="Calibri"/>
                <w:b/>
                <w:sz w:val="22"/>
              </w:rPr>
              <w:t>Agora Partnerships</w:t>
            </w:r>
            <w:r>
              <w:rPr>
                <w:rFonts w:ascii="Calibri" w:hAnsi="Calibri"/>
                <w:sz w:val="22"/>
              </w:rPr>
              <w:t xml:space="preserve"> will be a direct beneficiary of this Technical Cooperation by developing an Accelerator Track focused on strengthening the investment readiness of social entrepreneurs working in basic services. 15 </w:t>
            </w:r>
            <w:r w:rsidRPr="001A3860">
              <w:rPr>
                <w:rFonts w:ascii="Calibri" w:hAnsi="Calibri"/>
                <w:b/>
                <w:sz w:val="22"/>
              </w:rPr>
              <w:t>social entrepreneurs</w:t>
            </w:r>
            <w:r>
              <w:rPr>
                <w:rFonts w:ascii="Calibri" w:hAnsi="Calibri"/>
                <w:sz w:val="22"/>
              </w:rPr>
              <w:t xml:space="preserve"> spread throughout the region will also benefit from the acceleration services provided by Agora, as will </w:t>
            </w:r>
            <w:r w:rsidRPr="001A3860">
              <w:rPr>
                <w:rFonts w:ascii="Calibri" w:hAnsi="Calibri"/>
                <w:b/>
                <w:sz w:val="22"/>
              </w:rPr>
              <w:t>investors</w:t>
            </w:r>
            <w:r>
              <w:rPr>
                <w:rFonts w:ascii="Calibri" w:hAnsi="Calibri"/>
                <w:sz w:val="22"/>
              </w:rPr>
              <w:t xml:space="preserve"> seeking to invest in social enterprises working in basic services. </w:t>
            </w:r>
          </w:p>
        </w:tc>
      </w:tr>
      <w:tr w:rsidR="00EB519B" w:rsidRPr="00602B82">
        <w:trPr>
          <w:trHeight w:val="20"/>
        </w:trPr>
        <w:tc>
          <w:tcPr>
            <w:tcW w:w="2552" w:type="dxa"/>
          </w:tcPr>
          <w:p w:rsidR="00EB519B" w:rsidRPr="00602B82" w:rsidRDefault="00552C0A" w:rsidP="00E1552A">
            <w:pPr>
              <w:tabs>
                <w:tab w:val="left" w:pos="1440"/>
                <w:tab w:val="left" w:pos="2995"/>
                <w:tab w:val="left" w:pos="4680"/>
                <w:tab w:val="left" w:pos="5155"/>
                <w:tab w:val="left" w:pos="7675"/>
                <w:tab w:val="left" w:pos="10555"/>
              </w:tabs>
              <w:rPr>
                <w:sz w:val="22"/>
                <w:szCs w:val="22"/>
              </w:rPr>
            </w:pPr>
            <w:r w:rsidRPr="00602B82">
              <w:rPr>
                <w:rFonts w:ascii="Calibri" w:hAnsi="Calibri"/>
                <w:b/>
                <w:sz w:val="22"/>
                <w:szCs w:val="22"/>
              </w:rPr>
              <w:t xml:space="preserve">Indirect Beneficiaries: </w:t>
            </w:r>
          </w:p>
        </w:tc>
        <w:tc>
          <w:tcPr>
            <w:tcW w:w="6188" w:type="dxa"/>
            <w:gridSpan w:val="3"/>
          </w:tcPr>
          <w:p w:rsidR="00E1552A" w:rsidRPr="00AA3690" w:rsidRDefault="00B44270" w:rsidP="00E1552A">
            <w:pPr>
              <w:tabs>
                <w:tab w:val="left" w:pos="1440"/>
                <w:tab w:val="left" w:pos="2995"/>
                <w:tab w:val="left" w:pos="4680"/>
                <w:tab w:val="left" w:pos="5155"/>
                <w:tab w:val="left" w:pos="7675"/>
                <w:tab w:val="left" w:pos="10555"/>
              </w:tabs>
              <w:rPr>
                <w:rFonts w:ascii="Calibri" w:hAnsi="Calibri"/>
                <w:color w:val="000000" w:themeColor="text1"/>
                <w:sz w:val="22"/>
                <w:szCs w:val="22"/>
              </w:rPr>
            </w:pPr>
            <w:r>
              <w:rPr>
                <w:rFonts w:ascii="Calibri" w:hAnsi="Calibri"/>
                <w:color w:val="000000" w:themeColor="text1"/>
                <w:sz w:val="22"/>
                <w:szCs w:val="22"/>
              </w:rPr>
              <w:t>The indirect</w:t>
            </w:r>
            <w:r w:rsidRPr="00B44270">
              <w:rPr>
                <w:rFonts w:ascii="Calibri" w:hAnsi="Calibri"/>
                <w:color w:val="000000" w:themeColor="text1"/>
                <w:sz w:val="22"/>
                <w:szCs w:val="22"/>
              </w:rPr>
              <w:t xml:space="preserve"> beneficiaries</w:t>
            </w:r>
            <w:r>
              <w:rPr>
                <w:rFonts w:ascii="Calibri" w:hAnsi="Calibri"/>
                <w:color w:val="000000" w:themeColor="text1"/>
                <w:sz w:val="22"/>
                <w:szCs w:val="22"/>
              </w:rPr>
              <w:t xml:space="preserve"> of this TC are the </w:t>
            </w:r>
            <w:r w:rsidRPr="001A3860">
              <w:rPr>
                <w:rFonts w:ascii="Calibri" w:hAnsi="Calibri"/>
                <w:b/>
                <w:color w:val="000000" w:themeColor="text1"/>
                <w:sz w:val="22"/>
                <w:szCs w:val="22"/>
              </w:rPr>
              <w:t>base of the pyramid populations</w:t>
            </w:r>
            <w:r w:rsidRPr="00B44270">
              <w:rPr>
                <w:rFonts w:ascii="Calibri" w:hAnsi="Calibri"/>
                <w:color w:val="000000" w:themeColor="text1"/>
                <w:sz w:val="22"/>
                <w:szCs w:val="22"/>
              </w:rPr>
              <w:t xml:space="preserve"> in Latin America </w:t>
            </w:r>
            <w:r>
              <w:rPr>
                <w:rFonts w:ascii="Calibri" w:hAnsi="Calibri"/>
                <w:color w:val="000000" w:themeColor="text1"/>
                <w:sz w:val="22"/>
                <w:szCs w:val="22"/>
              </w:rPr>
              <w:t xml:space="preserve">and Caribbean </w:t>
            </w:r>
            <w:r w:rsidRPr="00B44270">
              <w:rPr>
                <w:rFonts w:ascii="Calibri" w:hAnsi="Calibri"/>
                <w:color w:val="000000" w:themeColor="text1"/>
                <w:sz w:val="22"/>
                <w:szCs w:val="22"/>
              </w:rPr>
              <w:t xml:space="preserve">who are granted access to </w:t>
            </w:r>
            <w:r w:rsidR="00AA3690">
              <w:rPr>
                <w:rFonts w:ascii="Calibri" w:hAnsi="Calibri"/>
                <w:color w:val="000000" w:themeColor="text1"/>
                <w:sz w:val="22"/>
                <w:szCs w:val="22"/>
              </w:rPr>
              <w:t xml:space="preserve">a wide range of </w:t>
            </w:r>
            <w:r w:rsidRPr="00B44270">
              <w:rPr>
                <w:rFonts w:ascii="Calibri" w:hAnsi="Calibri"/>
                <w:color w:val="000000" w:themeColor="text1"/>
                <w:sz w:val="22"/>
                <w:szCs w:val="22"/>
              </w:rPr>
              <w:t>basic services such as housing, water, electricity, education and health</w:t>
            </w:r>
            <w:r w:rsidR="00AA3690">
              <w:rPr>
                <w:rFonts w:ascii="Calibri" w:hAnsi="Calibri"/>
                <w:color w:val="000000" w:themeColor="text1"/>
                <w:sz w:val="22"/>
                <w:szCs w:val="22"/>
              </w:rPr>
              <w:t>,</w:t>
            </w:r>
            <w:r w:rsidRPr="00B44270">
              <w:rPr>
                <w:rFonts w:ascii="Calibri" w:hAnsi="Calibri"/>
                <w:color w:val="000000" w:themeColor="text1"/>
                <w:sz w:val="22"/>
                <w:szCs w:val="22"/>
              </w:rPr>
              <w:t xml:space="preserve"> </w:t>
            </w:r>
            <w:r>
              <w:rPr>
                <w:rFonts w:ascii="Calibri" w:hAnsi="Calibri"/>
                <w:color w:val="000000" w:themeColor="text1"/>
                <w:sz w:val="22"/>
                <w:szCs w:val="22"/>
              </w:rPr>
              <w:t xml:space="preserve">through the growth of 15 social </w:t>
            </w:r>
            <w:r w:rsidR="00AA3690">
              <w:rPr>
                <w:rFonts w:ascii="Calibri" w:hAnsi="Calibri"/>
                <w:color w:val="000000" w:themeColor="text1"/>
                <w:sz w:val="22"/>
                <w:szCs w:val="22"/>
              </w:rPr>
              <w:t xml:space="preserve">business that target at least 40% of clients from the </w:t>
            </w:r>
            <w:proofErr w:type="spellStart"/>
            <w:r w:rsidR="00AA3690">
              <w:rPr>
                <w:rFonts w:ascii="Calibri" w:hAnsi="Calibri"/>
                <w:color w:val="000000" w:themeColor="text1"/>
                <w:sz w:val="22"/>
                <w:szCs w:val="22"/>
              </w:rPr>
              <w:t>BoP</w:t>
            </w:r>
            <w:proofErr w:type="spellEnd"/>
            <w:r w:rsidR="00AA3690">
              <w:rPr>
                <w:rFonts w:ascii="Calibri" w:hAnsi="Calibri"/>
                <w:color w:val="000000" w:themeColor="text1"/>
                <w:sz w:val="22"/>
                <w:szCs w:val="22"/>
              </w:rPr>
              <w:t>.</w:t>
            </w:r>
          </w:p>
        </w:tc>
      </w:tr>
      <w:tr w:rsidR="003A325B" w:rsidRPr="00602B82">
        <w:trPr>
          <w:trHeight w:val="251"/>
        </w:trPr>
        <w:tc>
          <w:tcPr>
            <w:tcW w:w="2552" w:type="dxa"/>
            <w:vMerge w:val="restart"/>
          </w:tcPr>
          <w:p w:rsidR="003A325B" w:rsidRPr="00602B82" w:rsidRDefault="003A325B" w:rsidP="00EB519B">
            <w:pPr>
              <w:tabs>
                <w:tab w:val="left" w:pos="1440"/>
                <w:tab w:val="left" w:pos="2995"/>
                <w:tab w:val="left" w:pos="4680"/>
                <w:tab w:val="left" w:pos="5155"/>
                <w:tab w:val="left" w:pos="7675"/>
                <w:tab w:val="left" w:pos="10555"/>
              </w:tabs>
              <w:rPr>
                <w:sz w:val="22"/>
                <w:szCs w:val="22"/>
              </w:rPr>
            </w:pPr>
            <w:r w:rsidRPr="00602B82">
              <w:rPr>
                <w:rFonts w:ascii="Calibri" w:hAnsi="Calibri"/>
                <w:b/>
                <w:sz w:val="22"/>
                <w:szCs w:val="22"/>
              </w:rPr>
              <w:t>Financing:</w:t>
            </w:r>
          </w:p>
        </w:tc>
        <w:tc>
          <w:tcPr>
            <w:tcW w:w="3330" w:type="dxa"/>
          </w:tcPr>
          <w:p w:rsidR="003A325B" w:rsidRPr="00602B82" w:rsidRDefault="003A325B" w:rsidP="003A325B">
            <w:pPr>
              <w:tabs>
                <w:tab w:val="left" w:pos="1440"/>
                <w:tab w:val="left" w:pos="6032"/>
                <w:tab w:val="left" w:pos="7675"/>
                <w:tab w:val="left" w:pos="10555"/>
              </w:tabs>
              <w:rPr>
                <w:rFonts w:ascii="Calibri" w:hAnsi="Calibri"/>
                <w:color w:val="000000"/>
                <w:sz w:val="22"/>
                <w:szCs w:val="22"/>
              </w:rPr>
            </w:pPr>
            <w:r w:rsidRPr="00602B82">
              <w:rPr>
                <w:rFonts w:ascii="Calibri" w:hAnsi="Calibri"/>
                <w:color w:val="000000"/>
                <w:sz w:val="22"/>
                <w:szCs w:val="22"/>
              </w:rPr>
              <w:t>Technical Cooperation:</w:t>
            </w:r>
          </w:p>
        </w:tc>
        <w:tc>
          <w:tcPr>
            <w:tcW w:w="1890" w:type="dxa"/>
          </w:tcPr>
          <w:p w:rsidR="003A325B" w:rsidRPr="00602B82" w:rsidRDefault="003A325B" w:rsidP="0048569A">
            <w:pPr>
              <w:tabs>
                <w:tab w:val="left" w:pos="1"/>
                <w:tab w:val="left" w:pos="331"/>
                <w:tab w:val="left" w:pos="1440"/>
                <w:tab w:val="left" w:pos="2995"/>
                <w:tab w:val="left" w:pos="4680"/>
                <w:tab w:val="left" w:pos="5155"/>
                <w:tab w:val="left" w:pos="7675"/>
                <w:tab w:val="left" w:pos="10555"/>
              </w:tabs>
              <w:jc w:val="right"/>
              <w:rPr>
                <w:rFonts w:ascii="Calibri" w:hAnsi="Calibri"/>
                <w:sz w:val="22"/>
                <w:szCs w:val="22"/>
              </w:rPr>
            </w:pPr>
            <w:r w:rsidRPr="00602B82">
              <w:rPr>
                <w:rFonts w:ascii="Calibri" w:hAnsi="Calibri"/>
                <w:sz w:val="22"/>
                <w:szCs w:val="22"/>
              </w:rPr>
              <w:t xml:space="preserve">US$ </w:t>
            </w:r>
            <w:r w:rsidR="00FB4508">
              <w:rPr>
                <w:rFonts w:ascii="Calibri" w:hAnsi="Calibri"/>
                <w:sz w:val="22"/>
                <w:szCs w:val="22"/>
              </w:rPr>
              <w:t>251,249</w:t>
            </w:r>
          </w:p>
        </w:tc>
        <w:tc>
          <w:tcPr>
            <w:tcW w:w="968" w:type="dxa"/>
          </w:tcPr>
          <w:p w:rsidR="003A325B" w:rsidRPr="00602B82" w:rsidRDefault="00FB4508" w:rsidP="003A325B">
            <w:pPr>
              <w:tabs>
                <w:tab w:val="left" w:pos="1440"/>
                <w:tab w:val="left" w:pos="2995"/>
                <w:tab w:val="left" w:pos="4680"/>
                <w:tab w:val="left" w:pos="5155"/>
                <w:tab w:val="left" w:pos="7675"/>
                <w:tab w:val="left" w:pos="10555"/>
              </w:tabs>
              <w:jc w:val="right"/>
              <w:rPr>
                <w:rFonts w:ascii="Calibri" w:hAnsi="Calibri"/>
                <w:sz w:val="22"/>
                <w:szCs w:val="22"/>
              </w:rPr>
            </w:pPr>
            <w:r>
              <w:rPr>
                <w:rFonts w:ascii="Calibri" w:hAnsi="Calibri"/>
                <w:sz w:val="22"/>
                <w:szCs w:val="22"/>
              </w:rPr>
              <w:t>55</w:t>
            </w:r>
            <w:r w:rsidR="003A325B" w:rsidRPr="00602B82">
              <w:rPr>
                <w:rFonts w:ascii="Calibri" w:hAnsi="Calibri"/>
                <w:sz w:val="22"/>
                <w:szCs w:val="22"/>
              </w:rPr>
              <w:t>%</w:t>
            </w:r>
          </w:p>
        </w:tc>
      </w:tr>
      <w:tr w:rsidR="003A325B" w:rsidRPr="00602B82">
        <w:trPr>
          <w:trHeight w:val="260"/>
        </w:trPr>
        <w:tc>
          <w:tcPr>
            <w:tcW w:w="2552" w:type="dxa"/>
            <w:vMerge/>
          </w:tcPr>
          <w:p w:rsidR="003A325B" w:rsidRPr="00602B82" w:rsidRDefault="003A325B" w:rsidP="00EB519B">
            <w:pPr>
              <w:tabs>
                <w:tab w:val="left" w:pos="1440"/>
                <w:tab w:val="left" w:pos="2995"/>
                <w:tab w:val="left" w:pos="4680"/>
                <w:tab w:val="left" w:pos="5155"/>
                <w:tab w:val="left" w:pos="7675"/>
                <w:tab w:val="left" w:pos="10555"/>
              </w:tabs>
              <w:rPr>
                <w:rFonts w:ascii="Calibri" w:hAnsi="Calibri"/>
                <w:b/>
                <w:sz w:val="22"/>
                <w:szCs w:val="22"/>
              </w:rPr>
            </w:pPr>
          </w:p>
        </w:tc>
        <w:tc>
          <w:tcPr>
            <w:tcW w:w="3330" w:type="dxa"/>
          </w:tcPr>
          <w:p w:rsidR="003A325B" w:rsidRPr="00602B82" w:rsidRDefault="003A325B" w:rsidP="00552C0A">
            <w:pPr>
              <w:tabs>
                <w:tab w:val="left" w:pos="1440"/>
                <w:tab w:val="left" w:pos="6032"/>
                <w:tab w:val="left" w:pos="7675"/>
                <w:tab w:val="left" w:pos="10555"/>
              </w:tabs>
              <w:rPr>
                <w:rFonts w:ascii="Calibri" w:hAnsi="Calibri"/>
                <w:color w:val="000000"/>
                <w:sz w:val="22"/>
                <w:szCs w:val="22"/>
              </w:rPr>
            </w:pPr>
            <w:r w:rsidRPr="00602B82">
              <w:rPr>
                <w:rFonts w:ascii="Calibri" w:hAnsi="Calibri"/>
                <w:color w:val="000000"/>
                <w:sz w:val="22"/>
                <w:szCs w:val="22"/>
              </w:rPr>
              <w:t>Investment:</w:t>
            </w:r>
          </w:p>
        </w:tc>
        <w:tc>
          <w:tcPr>
            <w:tcW w:w="1890" w:type="dxa"/>
          </w:tcPr>
          <w:p w:rsidR="003A325B" w:rsidRPr="00602B82" w:rsidRDefault="003A325B" w:rsidP="003A325B">
            <w:pPr>
              <w:tabs>
                <w:tab w:val="left" w:pos="1"/>
                <w:tab w:val="left" w:pos="331"/>
                <w:tab w:val="left" w:pos="1440"/>
                <w:tab w:val="left" w:pos="2995"/>
                <w:tab w:val="left" w:pos="4680"/>
                <w:tab w:val="left" w:pos="5155"/>
                <w:tab w:val="left" w:pos="7675"/>
                <w:tab w:val="left" w:pos="10555"/>
              </w:tabs>
              <w:jc w:val="right"/>
              <w:rPr>
                <w:rFonts w:ascii="Calibri" w:hAnsi="Calibri"/>
                <w:sz w:val="22"/>
                <w:szCs w:val="22"/>
              </w:rPr>
            </w:pPr>
            <w:r w:rsidRPr="00602B82">
              <w:rPr>
                <w:rFonts w:ascii="Calibri" w:hAnsi="Calibri"/>
                <w:sz w:val="22"/>
                <w:szCs w:val="22"/>
              </w:rPr>
              <w:t>US$ 000,000</w:t>
            </w:r>
          </w:p>
        </w:tc>
        <w:tc>
          <w:tcPr>
            <w:tcW w:w="968" w:type="dxa"/>
          </w:tcPr>
          <w:p w:rsidR="003A325B" w:rsidRPr="00602B82" w:rsidRDefault="00D13002" w:rsidP="003A325B">
            <w:pPr>
              <w:tabs>
                <w:tab w:val="left" w:pos="1"/>
                <w:tab w:val="left" w:pos="331"/>
                <w:tab w:val="left" w:pos="1440"/>
                <w:tab w:val="left" w:pos="2995"/>
                <w:tab w:val="left" w:pos="4680"/>
                <w:tab w:val="left" w:pos="5155"/>
                <w:tab w:val="left" w:pos="7675"/>
                <w:tab w:val="left" w:pos="10555"/>
              </w:tabs>
              <w:jc w:val="right"/>
              <w:rPr>
                <w:rFonts w:ascii="Calibri" w:hAnsi="Calibri"/>
                <w:sz w:val="22"/>
                <w:szCs w:val="22"/>
              </w:rPr>
            </w:pPr>
            <w:r w:rsidRPr="00602B82">
              <w:rPr>
                <w:rFonts w:ascii="Calibri" w:hAnsi="Calibri"/>
                <w:sz w:val="22"/>
                <w:szCs w:val="22"/>
              </w:rPr>
              <w:t>0%</w:t>
            </w:r>
          </w:p>
        </w:tc>
      </w:tr>
      <w:tr w:rsidR="003A325B" w:rsidRPr="00602B82">
        <w:trPr>
          <w:trHeight w:val="233"/>
        </w:trPr>
        <w:tc>
          <w:tcPr>
            <w:tcW w:w="2552" w:type="dxa"/>
            <w:vMerge/>
          </w:tcPr>
          <w:p w:rsidR="003A325B" w:rsidRPr="00602B82" w:rsidRDefault="003A325B" w:rsidP="00EB519B">
            <w:pPr>
              <w:tabs>
                <w:tab w:val="left" w:pos="1440"/>
                <w:tab w:val="left" w:pos="2995"/>
                <w:tab w:val="left" w:pos="4680"/>
                <w:tab w:val="left" w:pos="5155"/>
                <w:tab w:val="left" w:pos="7675"/>
                <w:tab w:val="left" w:pos="10555"/>
              </w:tabs>
              <w:rPr>
                <w:rFonts w:ascii="Calibri" w:hAnsi="Calibri"/>
                <w:b/>
                <w:sz w:val="22"/>
                <w:szCs w:val="22"/>
              </w:rPr>
            </w:pPr>
          </w:p>
        </w:tc>
        <w:tc>
          <w:tcPr>
            <w:tcW w:w="3330" w:type="dxa"/>
          </w:tcPr>
          <w:p w:rsidR="003A325B" w:rsidRPr="00602B82" w:rsidRDefault="003A325B" w:rsidP="00552C0A">
            <w:pPr>
              <w:tabs>
                <w:tab w:val="left" w:pos="1440"/>
                <w:tab w:val="left" w:pos="6032"/>
                <w:tab w:val="left" w:pos="7675"/>
                <w:tab w:val="left" w:pos="10555"/>
              </w:tabs>
              <w:rPr>
                <w:rFonts w:ascii="Calibri" w:hAnsi="Calibri"/>
                <w:color w:val="000000"/>
                <w:sz w:val="22"/>
                <w:szCs w:val="22"/>
              </w:rPr>
            </w:pPr>
            <w:r w:rsidRPr="00602B82">
              <w:rPr>
                <w:rFonts w:ascii="Calibri" w:hAnsi="Calibri"/>
                <w:color w:val="000000"/>
                <w:sz w:val="22"/>
                <w:szCs w:val="22"/>
              </w:rPr>
              <w:t xml:space="preserve">Loan: </w:t>
            </w:r>
          </w:p>
        </w:tc>
        <w:tc>
          <w:tcPr>
            <w:tcW w:w="1890" w:type="dxa"/>
          </w:tcPr>
          <w:p w:rsidR="003A325B" w:rsidRPr="00602B82" w:rsidRDefault="003A325B" w:rsidP="003A325B">
            <w:pPr>
              <w:tabs>
                <w:tab w:val="left" w:pos="1"/>
                <w:tab w:val="left" w:pos="331"/>
                <w:tab w:val="left" w:pos="1440"/>
                <w:tab w:val="left" w:pos="2995"/>
                <w:tab w:val="left" w:pos="4680"/>
                <w:tab w:val="left" w:pos="5155"/>
                <w:tab w:val="left" w:pos="7675"/>
                <w:tab w:val="left" w:pos="10555"/>
              </w:tabs>
              <w:jc w:val="right"/>
              <w:rPr>
                <w:rFonts w:ascii="Calibri" w:hAnsi="Calibri"/>
                <w:sz w:val="22"/>
                <w:szCs w:val="22"/>
              </w:rPr>
            </w:pPr>
            <w:r w:rsidRPr="00602B82">
              <w:rPr>
                <w:rFonts w:ascii="Calibri" w:hAnsi="Calibri"/>
                <w:sz w:val="22"/>
                <w:szCs w:val="22"/>
              </w:rPr>
              <w:t>US$ 000,000</w:t>
            </w:r>
          </w:p>
        </w:tc>
        <w:tc>
          <w:tcPr>
            <w:tcW w:w="968" w:type="dxa"/>
          </w:tcPr>
          <w:p w:rsidR="003A325B" w:rsidRPr="00602B82" w:rsidRDefault="00D13002" w:rsidP="003A325B">
            <w:pPr>
              <w:tabs>
                <w:tab w:val="left" w:pos="1"/>
                <w:tab w:val="left" w:pos="331"/>
                <w:tab w:val="left" w:pos="1440"/>
                <w:tab w:val="left" w:pos="2995"/>
                <w:tab w:val="left" w:pos="4680"/>
                <w:tab w:val="left" w:pos="5155"/>
                <w:tab w:val="left" w:pos="7675"/>
                <w:tab w:val="left" w:pos="10555"/>
              </w:tabs>
              <w:jc w:val="right"/>
              <w:rPr>
                <w:rFonts w:ascii="Calibri" w:hAnsi="Calibri"/>
                <w:sz w:val="22"/>
                <w:szCs w:val="22"/>
              </w:rPr>
            </w:pPr>
            <w:r w:rsidRPr="00602B82">
              <w:rPr>
                <w:rFonts w:ascii="Calibri" w:hAnsi="Calibri"/>
                <w:sz w:val="22"/>
                <w:szCs w:val="22"/>
              </w:rPr>
              <w:t>0%</w:t>
            </w:r>
          </w:p>
        </w:tc>
      </w:tr>
      <w:tr w:rsidR="003A325B" w:rsidRPr="00602B82">
        <w:trPr>
          <w:trHeight w:val="233"/>
        </w:trPr>
        <w:tc>
          <w:tcPr>
            <w:tcW w:w="2552" w:type="dxa"/>
            <w:vMerge/>
          </w:tcPr>
          <w:p w:rsidR="003A325B" w:rsidRPr="00602B82" w:rsidRDefault="003A325B" w:rsidP="00EB519B">
            <w:pPr>
              <w:tabs>
                <w:tab w:val="left" w:pos="1440"/>
                <w:tab w:val="left" w:pos="2995"/>
                <w:tab w:val="left" w:pos="4680"/>
                <w:tab w:val="left" w:pos="5155"/>
                <w:tab w:val="left" w:pos="7675"/>
                <w:tab w:val="left" w:pos="10555"/>
              </w:tabs>
              <w:rPr>
                <w:rFonts w:ascii="Calibri" w:hAnsi="Calibri"/>
                <w:b/>
                <w:sz w:val="22"/>
                <w:szCs w:val="22"/>
              </w:rPr>
            </w:pPr>
          </w:p>
        </w:tc>
        <w:tc>
          <w:tcPr>
            <w:tcW w:w="3330" w:type="dxa"/>
          </w:tcPr>
          <w:p w:rsidR="003A325B" w:rsidRPr="00602B82" w:rsidRDefault="003A325B" w:rsidP="003A325B">
            <w:pPr>
              <w:tabs>
                <w:tab w:val="left" w:pos="1440"/>
                <w:tab w:val="left" w:pos="2995"/>
                <w:tab w:val="left" w:pos="4680"/>
                <w:tab w:val="left" w:pos="5155"/>
                <w:tab w:val="left" w:pos="7675"/>
                <w:tab w:val="left" w:pos="10555"/>
              </w:tabs>
              <w:rPr>
                <w:rFonts w:ascii="Calibri" w:hAnsi="Calibri"/>
                <w:color w:val="000000"/>
                <w:sz w:val="22"/>
                <w:szCs w:val="22"/>
              </w:rPr>
            </w:pPr>
            <w:r w:rsidRPr="00602B82">
              <w:rPr>
                <w:rFonts w:ascii="Calibri" w:hAnsi="Calibri"/>
                <w:b/>
                <w:color w:val="000000"/>
                <w:sz w:val="22"/>
                <w:szCs w:val="22"/>
              </w:rPr>
              <w:t>TOTAL MIF FUNDING:</w:t>
            </w:r>
          </w:p>
        </w:tc>
        <w:tc>
          <w:tcPr>
            <w:tcW w:w="1890" w:type="dxa"/>
          </w:tcPr>
          <w:p w:rsidR="003A325B" w:rsidRPr="00602B82" w:rsidRDefault="00E1552A" w:rsidP="0048569A">
            <w:pPr>
              <w:tabs>
                <w:tab w:val="left" w:pos="1"/>
                <w:tab w:val="left" w:pos="331"/>
                <w:tab w:val="left" w:pos="1440"/>
                <w:tab w:val="left" w:pos="2995"/>
                <w:tab w:val="left" w:pos="4680"/>
                <w:tab w:val="left" w:pos="5155"/>
                <w:tab w:val="left" w:pos="7675"/>
                <w:tab w:val="left" w:pos="10555"/>
              </w:tabs>
              <w:jc w:val="right"/>
              <w:rPr>
                <w:rFonts w:ascii="Calibri" w:hAnsi="Calibri"/>
                <w:sz w:val="22"/>
                <w:szCs w:val="22"/>
              </w:rPr>
            </w:pPr>
            <w:r w:rsidRPr="00602B82">
              <w:rPr>
                <w:rFonts w:ascii="Calibri" w:hAnsi="Calibri"/>
                <w:sz w:val="22"/>
                <w:szCs w:val="22"/>
              </w:rPr>
              <w:t xml:space="preserve">US$ </w:t>
            </w:r>
            <w:r w:rsidR="00D13002">
              <w:rPr>
                <w:rFonts w:ascii="Calibri" w:hAnsi="Calibri"/>
                <w:sz w:val="22"/>
                <w:szCs w:val="22"/>
              </w:rPr>
              <w:t>25</w:t>
            </w:r>
            <w:r w:rsidR="00FB4508">
              <w:rPr>
                <w:rFonts w:ascii="Calibri" w:hAnsi="Calibri"/>
                <w:sz w:val="22"/>
                <w:szCs w:val="22"/>
              </w:rPr>
              <w:t>1,249</w:t>
            </w:r>
          </w:p>
        </w:tc>
        <w:tc>
          <w:tcPr>
            <w:tcW w:w="968" w:type="dxa"/>
          </w:tcPr>
          <w:p w:rsidR="003A325B" w:rsidRPr="00602B82" w:rsidRDefault="00FB4508" w:rsidP="003A325B">
            <w:pPr>
              <w:tabs>
                <w:tab w:val="left" w:pos="1"/>
                <w:tab w:val="left" w:pos="331"/>
                <w:tab w:val="left" w:pos="1440"/>
                <w:tab w:val="left" w:pos="2995"/>
                <w:tab w:val="left" w:pos="4680"/>
                <w:tab w:val="left" w:pos="5155"/>
                <w:tab w:val="left" w:pos="7675"/>
                <w:tab w:val="left" w:pos="10555"/>
              </w:tabs>
              <w:jc w:val="right"/>
              <w:rPr>
                <w:rFonts w:ascii="Calibri" w:hAnsi="Calibri"/>
                <w:sz w:val="22"/>
                <w:szCs w:val="22"/>
              </w:rPr>
            </w:pPr>
            <w:r>
              <w:rPr>
                <w:rFonts w:ascii="Calibri" w:hAnsi="Calibri"/>
                <w:sz w:val="22"/>
                <w:szCs w:val="22"/>
              </w:rPr>
              <w:t>55</w:t>
            </w:r>
            <w:r w:rsidR="00D13002" w:rsidRPr="00602B82">
              <w:rPr>
                <w:rFonts w:ascii="Calibri" w:hAnsi="Calibri"/>
                <w:sz w:val="22"/>
                <w:szCs w:val="22"/>
              </w:rPr>
              <w:t>%</w:t>
            </w:r>
          </w:p>
        </w:tc>
      </w:tr>
      <w:tr w:rsidR="003A325B" w:rsidRPr="008C47C4">
        <w:trPr>
          <w:trHeight w:val="233"/>
        </w:trPr>
        <w:tc>
          <w:tcPr>
            <w:tcW w:w="2552" w:type="dxa"/>
            <w:vMerge/>
          </w:tcPr>
          <w:p w:rsidR="003A325B" w:rsidRPr="00602B82" w:rsidRDefault="003A325B" w:rsidP="00EB519B">
            <w:pPr>
              <w:tabs>
                <w:tab w:val="left" w:pos="1440"/>
                <w:tab w:val="left" w:pos="2995"/>
                <w:tab w:val="left" w:pos="4680"/>
                <w:tab w:val="left" w:pos="5155"/>
                <w:tab w:val="left" w:pos="7675"/>
                <w:tab w:val="left" w:pos="10555"/>
              </w:tabs>
              <w:rPr>
                <w:rFonts w:ascii="Calibri" w:hAnsi="Calibri"/>
                <w:b/>
                <w:sz w:val="22"/>
                <w:szCs w:val="22"/>
              </w:rPr>
            </w:pPr>
          </w:p>
        </w:tc>
        <w:tc>
          <w:tcPr>
            <w:tcW w:w="3330" w:type="dxa"/>
          </w:tcPr>
          <w:p w:rsidR="003A325B" w:rsidRPr="00602B82" w:rsidRDefault="003A325B" w:rsidP="003A325B">
            <w:pPr>
              <w:tabs>
                <w:tab w:val="left" w:pos="1440"/>
                <w:tab w:val="left" w:pos="2995"/>
                <w:tab w:val="left" w:pos="4680"/>
                <w:tab w:val="left" w:pos="5155"/>
                <w:tab w:val="left" w:pos="7675"/>
                <w:tab w:val="left" w:pos="10555"/>
              </w:tabs>
              <w:rPr>
                <w:rFonts w:ascii="Calibri" w:hAnsi="Calibri"/>
                <w:color w:val="000000"/>
                <w:sz w:val="22"/>
                <w:szCs w:val="22"/>
              </w:rPr>
            </w:pPr>
            <w:r w:rsidRPr="00602B82">
              <w:rPr>
                <w:rFonts w:ascii="Calibri" w:hAnsi="Calibri"/>
                <w:color w:val="000000"/>
                <w:sz w:val="22"/>
                <w:szCs w:val="22"/>
              </w:rPr>
              <w:t>Counterpart:</w:t>
            </w:r>
          </w:p>
        </w:tc>
        <w:tc>
          <w:tcPr>
            <w:tcW w:w="1890" w:type="dxa"/>
          </w:tcPr>
          <w:p w:rsidR="003A325B" w:rsidRPr="00FA5778" w:rsidRDefault="00E1552A" w:rsidP="00A252E0">
            <w:pPr>
              <w:tabs>
                <w:tab w:val="left" w:pos="1"/>
                <w:tab w:val="left" w:pos="331"/>
                <w:tab w:val="left" w:pos="1440"/>
                <w:tab w:val="left" w:pos="2995"/>
                <w:tab w:val="left" w:pos="4680"/>
                <w:tab w:val="left" w:pos="5155"/>
                <w:tab w:val="left" w:pos="7675"/>
                <w:tab w:val="left" w:pos="10555"/>
              </w:tabs>
              <w:jc w:val="right"/>
              <w:rPr>
                <w:rFonts w:ascii="Calibri" w:hAnsi="Calibri"/>
                <w:sz w:val="22"/>
                <w:szCs w:val="22"/>
              </w:rPr>
            </w:pPr>
            <w:r w:rsidRPr="00FA5778">
              <w:rPr>
                <w:rFonts w:ascii="Calibri" w:hAnsi="Calibri"/>
                <w:sz w:val="22"/>
                <w:szCs w:val="22"/>
              </w:rPr>
              <w:t xml:space="preserve">US$ </w:t>
            </w:r>
            <w:r w:rsidR="00FB4508">
              <w:rPr>
                <w:rFonts w:ascii="Calibri" w:hAnsi="Calibri"/>
                <w:sz w:val="22"/>
                <w:szCs w:val="22"/>
              </w:rPr>
              <w:t>208,376</w:t>
            </w:r>
          </w:p>
        </w:tc>
        <w:tc>
          <w:tcPr>
            <w:tcW w:w="968" w:type="dxa"/>
          </w:tcPr>
          <w:p w:rsidR="003A325B" w:rsidRPr="00AF2165" w:rsidRDefault="00FB4508" w:rsidP="003A325B">
            <w:pPr>
              <w:tabs>
                <w:tab w:val="left" w:pos="1"/>
                <w:tab w:val="left" w:pos="331"/>
                <w:tab w:val="left" w:pos="1440"/>
                <w:tab w:val="left" w:pos="2995"/>
                <w:tab w:val="left" w:pos="4680"/>
                <w:tab w:val="left" w:pos="5155"/>
                <w:tab w:val="left" w:pos="7675"/>
                <w:tab w:val="left" w:pos="10555"/>
              </w:tabs>
              <w:jc w:val="right"/>
              <w:rPr>
                <w:rFonts w:ascii="Calibri" w:hAnsi="Calibri"/>
                <w:sz w:val="22"/>
                <w:szCs w:val="22"/>
              </w:rPr>
            </w:pPr>
            <w:r>
              <w:rPr>
                <w:rFonts w:ascii="Calibri" w:hAnsi="Calibri"/>
                <w:sz w:val="22"/>
                <w:szCs w:val="22"/>
              </w:rPr>
              <w:t>45</w:t>
            </w:r>
            <w:r w:rsidR="003A325B" w:rsidRPr="00AF2165">
              <w:rPr>
                <w:rFonts w:ascii="Calibri" w:hAnsi="Calibri"/>
                <w:sz w:val="22"/>
                <w:szCs w:val="22"/>
              </w:rPr>
              <w:t>%</w:t>
            </w:r>
          </w:p>
        </w:tc>
      </w:tr>
      <w:tr w:rsidR="003A325B" w:rsidRPr="00602B82">
        <w:trPr>
          <w:trHeight w:val="224"/>
        </w:trPr>
        <w:tc>
          <w:tcPr>
            <w:tcW w:w="2552" w:type="dxa"/>
            <w:vMerge/>
          </w:tcPr>
          <w:p w:rsidR="003A325B" w:rsidRPr="00602B82" w:rsidRDefault="003A325B" w:rsidP="00EB519B">
            <w:pPr>
              <w:tabs>
                <w:tab w:val="left" w:pos="1440"/>
                <w:tab w:val="left" w:pos="2995"/>
                <w:tab w:val="left" w:pos="4680"/>
                <w:tab w:val="left" w:pos="5155"/>
                <w:tab w:val="left" w:pos="7675"/>
                <w:tab w:val="left" w:pos="10555"/>
              </w:tabs>
              <w:rPr>
                <w:rFonts w:ascii="Calibri" w:hAnsi="Calibri"/>
                <w:b/>
                <w:sz w:val="22"/>
                <w:szCs w:val="22"/>
              </w:rPr>
            </w:pPr>
          </w:p>
        </w:tc>
        <w:tc>
          <w:tcPr>
            <w:tcW w:w="3330" w:type="dxa"/>
          </w:tcPr>
          <w:p w:rsidR="003A325B" w:rsidRPr="00602B82" w:rsidRDefault="003A325B" w:rsidP="00552C0A">
            <w:pPr>
              <w:tabs>
                <w:tab w:val="left" w:pos="1440"/>
                <w:tab w:val="left" w:pos="6032"/>
                <w:tab w:val="left" w:pos="7675"/>
                <w:tab w:val="left" w:pos="10555"/>
              </w:tabs>
              <w:rPr>
                <w:rFonts w:ascii="Calibri" w:hAnsi="Calibri"/>
                <w:color w:val="000000"/>
                <w:sz w:val="22"/>
                <w:szCs w:val="22"/>
              </w:rPr>
            </w:pPr>
            <w:r w:rsidRPr="00602B82">
              <w:rPr>
                <w:rFonts w:ascii="Calibri" w:hAnsi="Calibri"/>
                <w:color w:val="000000"/>
                <w:sz w:val="22"/>
                <w:szCs w:val="22"/>
              </w:rPr>
              <w:t>Co-financing (if available):</w:t>
            </w:r>
          </w:p>
        </w:tc>
        <w:tc>
          <w:tcPr>
            <w:tcW w:w="1890" w:type="dxa"/>
          </w:tcPr>
          <w:p w:rsidR="003A325B" w:rsidRPr="00602B82" w:rsidRDefault="00D13002" w:rsidP="003A325B">
            <w:pPr>
              <w:tabs>
                <w:tab w:val="left" w:pos="1"/>
                <w:tab w:val="left" w:pos="331"/>
                <w:tab w:val="left" w:pos="1440"/>
                <w:tab w:val="left" w:pos="2995"/>
                <w:tab w:val="left" w:pos="4680"/>
                <w:tab w:val="left" w:pos="5155"/>
                <w:tab w:val="left" w:pos="7675"/>
                <w:tab w:val="left" w:pos="10555"/>
              </w:tabs>
              <w:jc w:val="right"/>
              <w:rPr>
                <w:rFonts w:ascii="Calibri" w:hAnsi="Calibri"/>
                <w:sz w:val="22"/>
                <w:szCs w:val="22"/>
              </w:rPr>
            </w:pPr>
            <w:r w:rsidRPr="00602B82">
              <w:rPr>
                <w:rFonts w:ascii="Calibri" w:hAnsi="Calibri"/>
                <w:sz w:val="22"/>
                <w:szCs w:val="22"/>
              </w:rPr>
              <w:t>US$ 000,000</w:t>
            </w:r>
          </w:p>
        </w:tc>
        <w:tc>
          <w:tcPr>
            <w:tcW w:w="968" w:type="dxa"/>
          </w:tcPr>
          <w:p w:rsidR="003A325B" w:rsidRPr="00602B82" w:rsidRDefault="003A325B" w:rsidP="003A325B">
            <w:pPr>
              <w:tabs>
                <w:tab w:val="left" w:pos="1"/>
                <w:tab w:val="left" w:pos="331"/>
                <w:tab w:val="left" w:pos="1440"/>
                <w:tab w:val="left" w:pos="2995"/>
                <w:tab w:val="left" w:pos="4680"/>
                <w:tab w:val="left" w:pos="5155"/>
                <w:tab w:val="left" w:pos="7675"/>
                <w:tab w:val="left" w:pos="10555"/>
              </w:tabs>
              <w:jc w:val="right"/>
              <w:rPr>
                <w:rFonts w:ascii="Calibri" w:hAnsi="Calibri"/>
                <w:sz w:val="22"/>
                <w:szCs w:val="22"/>
              </w:rPr>
            </w:pPr>
            <w:r w:rsidRPr="00602B82">
              <w:rPr>
                <w:rFonts w:ascii="Calibri" w:hAnsi="Calibri"/>
                <w:sz w:val="22"/>
                <w:szCs w:val="22"/>
              </w:rPr>
              <w:t>0%</w:t>
            </w:r>
          </w:p>
        </w:tc>
      </w:tr>
      <w:tr w:rsidR="003A325B" w:rsidRPr="00602B82">
        <w:trPr>
          <w:trHeight w:val="215"/>
        </w:trPr>
        <w:tc>
          <w:tcPr>
            <w:tcW w:w="2552" w:type="dxa"/>
            <w:vMerge/>
          </w:tcPr>
          <w:p w:rsidR="003A325B" w:rsidRPr="00602B82" w:rsidRDefault="003A325B" w:rsidP="00EB519B">
            <w:pPr>
              <w:tabs>
                <w:tab w:val="left" w:pos="1440"/>
                <w:tab w:val="left" w:pos="2995"/>
                <w:tab w:val="left" w:pos="4680"/>
                <w:tab w:val="left" w:pos="5155"/>
                <w:tab w:val="left" w:pos="7675"/>
                <w:tab w:val="left" w:pos="10555"/>
              </w:tabs>
              <w:rPr>
                <w:rFonts w:ascii="Calibri" w:hAnsi="Calibri"/>
                <w:b/>
                <w:sz w:val="22"/>
                <w:szCs w:val="22"/>
              </w:rPr>
            </w:pPr>
          </w:p>
        </w:tc>
        <w:tc>
          <w:tcPr>
            <w:tcW w:w="3330" w:type="dxa"/>
          </w:tcPr>
          <w:p w:rsidR="003A325B" w:rsidRPr="00602B82" w:rsidRDefault="003A325B" w:rsidP="00552C0A">
            <w:pPr>
              <w:tabs>
                <w:tab w:val="left" w:pos="1440"/>
                <w:tab w:val="left" w:pos="6032"/>
                <w:tab w:val="left" w:pos="7675"/>
                <w:tab w:val="left" w:pos="10555"/>
              </w:tabs>
              <w:rPr>
                <w:rFonts w:ascii="Calibri" w:hAnsi="Calibri"/>
                <w:b/>
                <w:color w:val="000000"/>
                <w:sz w:val="22"/>
                <w:szCs w:val="22"/>
              </w:rPr>
            </w:pPr>
            <w:r w:rsidRPr="00602B82">
              <w:rPr>
                <w:rFonts w:ascii="Calibri" w:hAnsi="Calibri"/>
                <w:b/>
                <w:color w:val="000000"/>
                <w:sz w:val="22"/>
                <w:szCs w:val="22"/>
              </w:rPr>
              <w:t>TOTAL PRO</w:t>
            </w:r>
            <w:r w:rsidRPr="00A56CD0">
              <w:rPr>
                <w:rFonts w:ascii="Calibri" w:hAnsi="Calibri"/>
                <w:b/>
                <w:color w:val="000000"/>
                <w:sz w:val="22"/>
                <w:szCs w:val="22"/>
              </w:rPr>
              <w:t>JEC</w:t>
            </w:r>
            <w:r w:rsidRPr="00602B82">
              <w:rPr>
                <w:rFonts w:ascii="Calibri" w:hAnsi="Calibri"/>
                <w:b/>
                <w:color w:val="000000"/>
                <w:sz w:val="22"/>
                <w:szCs w:val="22"/>
              </w:rPr>
              <w:t>T BUDGET:</w:t>
            </w:r>
          </w:p>
        </w:tc>
        <w:tc>
          <w:tcPr>
            <w:tcW w:w="1890" w:type="dxa"/>
          </w:tcPr>
          <w:p w:rsidR="003A325B" w:rsidRPr="00602B82" w:rsidRDefault="00E1552A" w:rsidP="00D13002">
            <w:pPr>
              <w:tabs>
                <w:tab w:val="left" w:pos="1"/>
                <w:tab w:val="left" w:pos="331"/>
                <w:tab w:val="left" w:pos="1440"/>
                <w:tab w:val="left" w:pos="2995"/>
                <w:tab w:val="left" w:pos="4680"/>
                <w:tab w:val="left" w:pos="5155"/>
                <w:tab w:val="left" w:pos="7675"/>
                <w:tab w:val="left" w:pos="10555"/>
              </w:tabs>
              <w:jc w:val="right"/>
              <w:rPr>
                <w:rFonts w:ascii="Calibri" w:hAnsi="Calibri"/>
                <w:sz w:val="22"/>
                <w:szCs w:val="22"/>
              </w:rPr>
            </w:pPr>
            <w:r w:rsidRPr="00602B82">
              <w:rPr>
                <w:rFonts w:ascii="Calibri" w:hAnsi="Calibri"/>
                <w:sz w:val="22"/>
                <w:szCs w:val="22"/>
              </w:rPr>
              <w:t xml:space="preserve">US$ </w:t>
            </w:r>
            <w:r w:rsidR="00FB4508">
              <w:rPr>
                <w:rFonts w:ascii="Calibri" w:hAnsi="Calibri"/>
                <w:sz w:val="22"/>
                <w:szCs w:val="22"/>
              </w:rPr>
              <w:t>45</w:t>
            </w:r>
            <w:r w:rsidR="00D13002">
              <w:rPr>
                <w:rFonts w:ascii="Calibri" w:hAnsi="Calibri"/>
                <w:sz w:val="22"/>
                <w:szCs w:val="22"/>
              </w:rPr>
              <w:t>9,625</w:t>
            </w:r>
          </w:p>
        </w:tc>
        <w:tc>
          <w:tcPr>
            <w:tcW w:w="968" w:type="dxa"/>
          </w:tcPr>
          <w:p w:rsidR="003A325B" w:rsidRPr="00602B82" w:rsidRDefault="003A325B" w:rsidP="003A325B">
            <w:pPr>
              <w:tabs>
                <w:tab w:val="left" w:pos="1"/>
                <w:tab w:val="left" w:pos="331"/>
                <w:tab w:val="left" w:pos="1440"/>
                <w:tab w:val="left" w:pos="2995"/>
                <w:tab w:val="left" w:pos="4680"/>
                <w:tab w:val="left" w:pos="5155"/>
                <w:tab w:val="left" w:pos="7675"/>
                <w:tab w:val="left" w:pos="10555"/>
              </w:tabs>
              <w:jc w:val="right"/>
              <w:rPr>
                <w:rFonts w:ascii="Calibri" w:hAnsi="Calibri"/>
                <w:sz w:val="22"/>
                <w:szCs w:val="22"/>
              </w:rPr>
            </w:pPr>
            <w:r w:rsidRPr="00602B82">
              <w:rPr>
                <w:rFonts w:ascii="Calibri" w:hAnsi="Calibri"/>
                <w:sz w:val="22"/>
                <w:szCs w:val="22"/>
              </w:rPr>
              <w:t>100%</w:t>
            </w:r>
          </w:p>
        </w:tc>
      </w:tr>
      <w:tr w:rsidR="00EB519B" w:rsidRPr="00602B82" w:rsidTr="00AF2165">
        <w:trPr>
          <w:trHeight w:val="521"/>
        </w:trPr>
        <w:tc>
          <w:tcPr>
            <w:tcW w:w="2552" w:type="dxa"/>
          </w:tcPr>
          <w:p w:rsidR="00E1552A" w:rsidRPr="00A56CD0" w:rsidRDefault="00EB519B" w:rsidP="00EB519B">
            <w:pPr>
              <w:tabs>
                <w:tab w:val="left" w:pos="1440"/>
                <w:tab w:val="left" w:pos="2995"/>
                <w:tab w:val="left" w:pos="4680"/>
                <w:tab w:val="left" w:pos="5155"/>
                <w:tab w:val="left" w:pos="7675"/>
                <w:tab w:val="left" w:pos="10555"/>
              </w:tabs>
              <w:rPr>
                <w:rFonts w:ascii="Calibri" w:hAnsi="Calibri"/>
                <w:b/>
                <w:sz w:val="22"/>
                <w:szCs w:val="22"/>
              </w:rPr>
            </w:pPr>
            <w:r w:rsidRPr="00602B82">
              <w:rPr>
                <w:rFonts w:ascii="Calibri" w:hAnsi="Calibri"/>
                <w:b/>
                <w:sz w:val="22"/>
                <w:szCs w:val="22"/>
              </w:rPr>
              <w:t>Exe</w:t>
            </w:r>
            <w:r w:rsidR="00A56CD0">
              <w:rPr>
                <w:rFonts w:ascii="Calibri" w:hAnsi="Calibri"/>
                <w:b/>
                <w:sz w:val="22"/>
                <w:szCs w:val="22"/>
              </w:rPr>
              <w:t>cution and Disbursement Period:</w:t>
            </w:r>
          </w:p>
        </w:tc>
        <w:tc>
          <w:tcPr>
            <w:tcW w:w="6188" w:type="dxa"/>
            <w:gridSpan w:val="3"/>
          </w:tcPr>
          <w:p w:rsidR="00EB519B" w:rsidRPr="00602B82" w:rsidRDefault="00A56CD0" w:rsidP="00552C0A">
            <w:pPr>
              <w:pStyle w:val="Annex"/>
              <w:tabs>
                <w:tab w:val="left" w:pos="1440"/>
                <w:tab w:val="left" w:pos="2995"/>
                <w:tab w:val="left" w:pos="4680"/>
                <w:tab w:val="left" w:pos="5155"/>
                <w:tab w:val="left" w:pos="7675"/>
                <w:tab w:val="left" w:pos="10555"/>
              </w:tabs>
              <w:rPr>
                <w:rFonts w:ascii="Calibri" w:hAnsi="Calibri"/>
                <w:caps w:val="0"/>
                <w:color w:val="808080"/>
                <w:sz w:val="22"/>
                <w:szCs w:val="22"/>
                <w:lang w:val="en-US"/>
              </w:rPr>
            </w:pPr>
            <w:r w:rsidRPr="00A56CD0">
              <w:rPr>
                <w:rFonts w:ascii="Calibri" w:hAnsi="Calibri"/>
                <w:caps w:val="0"/>
                <w:color w:val="000000" w:themeColor="text1"/>
                <w:sz w:val="22"/>
                <w:szCs w:val="22"/>
                <w:lang w:val="en-US"/>
              </w:rPr>
              <w:t>18</w:t>
            </w:r>
            <w:r w:rsidR="00DC7B2D" w:rsidRPr="00A56CD0">
              <w:rPr>
                <w:rFonts w:ascii="Calibri" w:hAnsi="Calibri"/>
                <w:caps w:val="0"/>
                <w:color w:val="000000" w:themeColor="text1"/>
                <w:sz w:val="22"/>
                <w:szCs w:val="22"/>
                <w:lang w:val="en-US"/>
              </w:rPr>
              <w:t xml:space="preserve"> </w:t>
            </w:r>
            <w:r w:rsidR="00EB519B" w:rsidRPr="00A56CD0">
              <w:rPr>
                <w:rFonts w:ascii="Calibri" w:hAnsi="Calibri"/>
                <w:caps w:val="0"/>
                <w:color w:val="000000" w:themeColor="text1"/>
                <w:sz w:val="22"/>
                <w:szCs w:val="22"/>
                <w:lang w:val="en-US"/>
              </w:rPr>
              <w:t>months</w:t>
            </w:r>
            <w:r w:rsidR="00EB519B" w:rsidRPr="00602B82">
              <w:rPr>
                <w:rFonts w:ascii="Calibri" w:hAnsi="Calibri"/>
                <w:caps w:val="0"/>
                <w:sz w:val="22"/>
                <w:szCs w:val="22"/>
                <w:lang w:val="en-US"/>
              </w:rPr>
              <w:t xml:space="preserve"> of execution </w:t>
            </w:r>
            <w:r w:rsidR="00EB519B" w:rsidRPr="00A56CD0">
              <w:rPr>
                <w:rFonts w:ascii="Calibri" w:hAnsi="Calibri"/>
                <w:caps w:val="0"/>
                <w:color w:val="000000" w:themeColor="text1"/>
                <w:sz w:val="22"/>
                <w:szCs w:val="22"/>
                <w:lang w:val="en-US"/>
              </w:rPr>
              <w:t xml:space="preserve">and </w:t>
            </w:r>
            <w:r w:rsidRPr="00A56CD0">
              <w:rPr>
                <w:rFonts w:ascii="Calibri" w:hAnsi="Calibri"/>
                <w:caps w:val="0"/>
                <w:color w:val="000000" w:themeColor="text1"/>
                <w:sz w:val="22"/>
                <w:szCs w:val="22"/>
                <w:lang w:val="en-US"/>
              </w:rPr>
              <w:t xml:space="preserve">24 </w:t>
            </w:r>
            <w:r w:rsidR="006213D3" w:rsidRPr="00A56CD0">
              <w:rPr>
                <w:rFonts w:ascii="Calibri" w:hAnsi="Calibri"/>
                <w:caps w:val="0"/>
                <w:color w:val="000000" w:themeColor="text1"/>
                <w:sz w:val="22"/>
                <w:szCs w:val="22"/>
                <w:lang w:val="en-US"/>
              </w:rPr>
              <w:t>months</w:t>
            </w:r>
            <w:r w:rsidR="006213D3" w:rsidRPr="00602B82">
              <w:rPr>
                <w:rFonts w:ascii="Calibri" w:hAnsi="Calibri"/>
                <w:caps w:val="0"/>
                <w:sz w:val="22"/>
                <w:szCs w:val="22"/>
                <w:lang w:val="en-US"/>
              </w:rPr>
              <w:t xml:space="preserve"> of disbursement.</w:t>
            </w:r>
          </w:p>
          <w:p w:rsidR="00EB519B" w:rsidRPr="00602B82" w:rsidRDefault="00EB519B" w:rsidP="00552C0A">
            <w:pPr>
              <w:pStyle w:val="Annex"/>
              <w:tabs>
                <w:tab w:val="left" w:pos="1440"/>
                <w:tab w:val="left" w:pos="2995"/>
                <w:tab w:val="left" w:pos="4680"/>
                <w:tab w:val="left" w:pos="5155"/>
                <w:tab w:val="left" w:pos="7675"/>
                <w:tab w:val="left" w:pos="10555"/>
              </w:tabs>
              <w:rPr>
                <w:rFonts w:ascii="Calibri" w:hAnsi="Calibri"/>
                <w:sz w:val="22"/>
                <w:szCs w:val="22"/>
                <w:lang w:val="en-US"/>
              </w:rPr>
            </w:pPr>
          </w:p>
        </w:tc>
      </w:tr>
      <w:tr w:rsidR="00682AA8" w:rsidRPr="00602B82">
        <w:trPr>
          <w:trHeight w:val="20"/>
        </w:trPr>
        <w:tc>
          <w:tcPr>
            <w:tcW w:w="2552" w:type="dxa"/>
          </w:tcPr>
          <w:p w:rsidR="00682AA8" w:rsidRPr="00602B82" w:rsidRDefault="00682AA8" w:rsidP="00EB519B">
            <w:pPr>
              <w:tabs>
                <w:tab w:val="left" w:pos="1440"/>
                <w:tab w:val="left" w:pos="2995"/>
                <w:tab w:val="left" w:pos="4680"/>
                <w:tab w:val="left" w:pos="5155"/>
                <w:tab w:val="left" w:pos="7675"/>
                <w:tab w:val="left" w:pos="10555"/>
              </w:tabs>
              <w:rPr>
                <w:sz w:val="22"/>
                <w:szCs w:val="22"/>
              </w:rPr>
            </w:pPr>
            <w:r w:rsidRPr="00602B82">
              <w:rPr>
                <w:rFonts w:ascii="Calibri" w:hAnsi="Calibri"/>
                <w:b/>
                <w:sz w:val="22"/>
                <w:szCs w:val="22"/>
              </w:rPr>
              <w:t>Special Contractual Conditions:</w:t>
            </w:r>
          </w:p>
        </w:tc>
        <w:tc>
          <w:tcPr>
            <w:tcW w:w="6188" w:type="dxa"/>
            <w:gridSpan w:val="3"/>
          </w:tcPr>
          <w:p w:rsidR="00682AA8" w:rsidRPr="00602B82" w:rsidRDefault="00682AA8" w:rsidP="001B13F0">
            <w:pPr>
              <w:pStyle w:val="Paragraph"/>
              <w:tabs>
                <w:tab w:val="clear" w:pos="720"/>
                <w:tab w:val="num" w:pos="0"/>
              </w:tabs>
              <w:spacing w:before="0" w:after="0"/>
              <w:ind w:left="0" w:firstLine="0"/>
              <w:jc w:val="left"/>
              <w:rPr>
                <w:rFonts w:ascii="Calibri" w:hAnsi="Calibri"/>
                <w:color w:val="FF0000"/>
                <w:sz w:val="22"/>
                <w:szCs w:val="22"/>
                <w:lang w:val="en-US"/>
              </w:rPr>
            </w:pPr>
            <w:r w:rsidRPr="00602B82">
              <w:rPr>
                <w:rFonts w:ascii="Calibri" w:hAnsi="Calibri"/>
                <w:sz w:val="22"/>
                <w:szCs w:val="22"/>
                <w:lang w:val="en-US"/>
              </w:rPr>
              <w:t xml:space="preserve">None </w:t>
            </w:r>
          </w:p>
        </w:tc>
      </w:tr>
      <w:tr w:rsidR="00682AA8" w:rsidRPr="00602B82">
        <w:trPr>
          <w:trHeight w:val="20"/>
        </w:trPr>
        <w:tc>
          <w:tcPr>
            <w:tcW w:w="2552" w:type="dxa"/>
          </w:tcPr>
          <w:p w:rsidR="00682AA8" w:rsidRPr="00602B82" w:rsidRDefault="00682AA8" w:rsidP="00EB519B">
            <w:pPr>
              <w:tabs>
                <w:tab w:val="left" w:pos="1440"/>
                <w:tab w:val="left" w:pos="2995"/>
                <w:tab w:val="left" w:pos="4680"/>
                <w:tab w:val="left" w:pos="5155"/>
                <w:tab w:val="left" w:pos="7675"/>
                <w:tab w:val="left" w:pos="10555"/>
              </w:tabs>
              <w:rPr>
                <w:rFonts w:ascii="Calibri" w:hAnsi="Calibri"/>
                <w:b/>
                <w:sz w:val="22"/>
                <w:szCs w:val="22"/>
              </w:rPr>
            </w:pPr>
            <w:r w:rsidRPr="00602B82">
              <w:rPr>
                <w:rFonts w:ascii="Calibri" w:hAnsi="Calibri"/>
                <w:b/>
                <w:sz w:val="22"/>
                <w:szCs w:val="22"/>
              </w:rPr>
              <w:t>Environmental and Social Impact Review:</w:t>
            </w:r>
          </w:p>
          <w:p w:rsidR="00682AA8" w:rsidRPr="00602B82" w:rsidRDefault="00682AA8" w:rsidP="00EB519B">
            <w:pPr>
              <w:tabs>
                <w:tab w:val="left" w:pos="1440"/>
                <w:tab w:val="left" w:pos="2995"/>
                <w:tab w:val="left" w:pos="4680"/>
                <w:tab w:val="left" w:pos="5155"/>
                <w:tab w:val="left" w:pos="7675"/>
                <w:tab w:val="left" w:pos="10555"/>
              </w:tabs>
              <w:rPr>
                <w:sz w:val="22"/>
                <w:szCs w:val="22"/>
              </w:rPr>
            </w:pPr>
          </w:p>
        </w:tc>
        <w:tc>
          <w:tcPr>
            <w:tcW w:w="6188" w:type="dxa"/>
            <w:gridSpan w:val="3"/>
          </w:tcPr>
          <w:p w:rsidR="00682AA8" w:rsidRPr="00207D84" w:rsidRDefault="00682AA8" w:rsidP="0080264F">
            <w:pPr>
              <w:pStyle w:val="Paragraph"/>
              <w:tabs>
                <w:tab w:val="clear" w:pos="720"/>
                <w:tab w:val="num" w:pos="0"/>
              </w:tabs>
              <w:spacing w:before="0" w:after="0"/>
              <w:ind w:left="0" w:hanging="14"/>
              <w:rPr>
                <w:rFonts w:ascii="Calibri" w:hAnsi="Calibri"/>
                <w:color w:val="000000" w:themeColor="text1"/>
                <w:sz w:val="22"/>
                <w:szCs w:val="22"/>
                <w:lang w:val="en-US"/>
              </w:rPr>
            </w:pPr>
            <w:r w:rsidRPr="00207D84">
              <w:rPr>
                <w:rFonts w:ascii="Calibri" w:hAnsi="Calibri"/>
                <w:color w:val="000000" w:themeColor="text1"/>
                <w:sz w:val="22"/>
                <w:szCs w:val="22"/>
                <w:lang w:val="en-US"/>
              </w:rPr>
              <w:t>This operation was screened and classified as required by the IDB’s safeguard policy (OP-703). Given the limited impacts and risks, the proposed category for the project is C.</w:t>
            </w:r>
          </w:p>
        </w:tc>
      </w:tr>
      <w:tr w:rsidR="00EB519B" w:rsidRPr="00602B82">
        <w:trPr>
          <w:trHeight w:val="548"/>
        </w:trPr>
        <w:tc>
          <w:tcPr>
            <w:tcW w:w="2552" w:type="dxa"/>
          </w:tcPr>
          <w:p w:rsidR="00EB519B" w:rsidRPr="00602B82" w:rsidRDefault="00EB519B" w:rsidP="00EB519B">
            <w:pPr>
              <w:tabs>
                <w:tab w:val="left" w:pos="1440"/>
                <w:tab w:val="left" w:pos="2995"/>
                <w:tab w:val="left" w:pos="4680"/>
                <w:tab w:val="left" w:pos="5155"/>
                <w:tab w:val="left" w:pos="7675"/>
                <w:tab w:val="left" w:pos="10555"/>
              </w:tabs>
              <w:rPr>
                <w:rFonts w:ascii="Calibri" w:hAnsi="Calibri"/>
                <w:b/>
                <w:sz w:val="22"/>
                <w:szCs w:val="22"/>
              </w:rPr>
            </w:pPr>
            <w:r w:rsidRPr="00602B82">
              <w:rPr>
                <w:rFonts w:ascii="Calibri" w:hAnsi="Calibri"/>
                <w:b/>
                <w:sz w:val="22"/>
                <w:szCs w:val="22"/>
              </w:rPr>
              <w:t xml:space="preserve">Unit with Disbursement Responsibility: </w:t>
            </w:r>
          </w:p>
        </w:tc>
        <w:tc>
          <w:tcPr>
            <w:tcW w:w="6188" w:type="dxa"/>
            <w:gridSpan w:val="3"/>
          </w:tcPr>
          <w:p w:rsidR="00EB519B" w:rsidRPr="00682AA8" w:rsidRDefault="00A56CD0" w:rsidP="00682AA8">
            <w:pPr>
              <w:tabs>
                <w:tab w:val="left" w:pos="1440"/>
                <w:tab w:val="left" w:pos="2995"/>
                <w:tab w:val="left" w:pos="4680"/>
                <w:tab w:val="left" w:pos="5155"/>
                <w:tab w:val="left" w:pos="7675"/>
                <w:tab w:val="left" w:pos="10555"/>
              </w:tabs>
              <w:ind w:right="-115"/>
              <w:rPr>
                <w:rFonts w:ascii="Calibri" w:hAnsi="Calibri"/>
                <w:color w:val="000000" w:themeColor="text1"/>
                <w:sz w:val="22"/>
                <w:szCs w:val="22"/>
              </w:rPr>
            </w:pPr>
            <w:r>
              <w:rPr>
                <w:rFonts w:ascii="Calibri" w:hAnsi="Calibri"/>
                <w:color w:val="000000" w:themeColor="text1"/>
                <w:sz w:val="22"/>
                <w:szCs w:val="22"/>
              </w:rPr>
              <w:t>MIF/</w:t>
            </w:r>
            <w:r w:rsidR="00682AA8" w:rsidRPr="00682AA8">
              <w:rPr>
                <w:rFonts w:ascii="Calibri" w:hAnsi="Calibri"/>
                <w:color w:val="000000" w:themeColor="text1"/>
                <w:sz w:val="22"/>
                <w:szCs w:val="22"/>
              </w:rPr>
              <w:t>H</w:t>
            </w:r>
            <w:r w:rsidR="00592BD8">
              <w:rPr>
                <w:rFonts w:ascii="Calibri" w:hAnsi="Calibri"/>
                <w:color w:val="000000" w:themeColor="text1"/>
                <w:sz w:val="22"/>
                <w:szCs w:val="22"/>
              </w:rPr>
              <w:t>Q</w:t>
            </w:r>
          </w:p>
        </w:tc>
      </w:tr>
    </w:tbl>
    <w:p w:rsidR="002B3E4E" w:rsidRPr="009648B2" w:rsidRDefault="0050565B">
      <w:pPr>
        <w:pStyle w:val="Chapter"/>
        <w:numPr>
          <w:ilvl w:val="0"/>
          <w:numId w:val="1"/>
        </w:numPr>
        <w:spacing w:before="120" w:after="0"/>
        <w:rPr>
          <w:rFonts w:asciiTheme="minorHAnsi" w:hAnsiTheme="minorHAnsi"/>
          <w:lang w:val="en-US"/>
        </w:rPr>
      </w:pPr>
      <w:bookmarkStart w:id="0" w:name="ESSectionPages"/>
      <w:bookmarkStart w:id="1" w:name="_Toc309632499"/>
      <w:bookmarkEnd w:id="0"/>
      <w:r w:rsidRPr="009648B2">
        <w:rPr>
          <w:rFonts w:asciiTheme="minorHAnsi" w:hAnsiTheme="minorHAnsi"/>
          <w:lang w:val="en-US"/>
        </w:rPr>
        <w:lastRenderedPageBreak/>
        <w:t>Background and Justification</w:t>
      </w:r>
      <w:bookmarkEnd w:id="1"/>
    </w:p>
    <w:p w:rsidR="002B3E4E" w:rsidRPr="00382623" w:rsidRDefault="002B3E4E">
      <w:pPr>
        <w:rPr>
          <w:rFonts w:asciiTheme="minorHAnsi" w:hAnsiTheme="minorHAnsi"/>
          <w:b/>
        </w:rPr>
      </w:pPr>
    </w:p>
    <w:p w:rsidR="002B3E4E" w:rsidRPr="00382623" w:rsidRDefault="004B124A" w:rsidP="003D47C6">
      <w:pPr>
        <w:pStyle w:val="Default"/>
        <w:rPr>
          <w:rFonts w:asciiTheme="minorHAnsi" w:hAnsiTheme="minorHAnsi"/>
          <w:b/>
        </w:rPr>
      </w:pPr>
      <w:r w:rsidRPr="00382623">
        <w:rPr>
          <w:rFonts w:asciiTheme="minorHAnsi" w:hAnsiTheme="minorHAnsi"/>
          <w:b/>
        </w:rPr>
        <w:fldChar w:fldCharType="begin"/>
      </w:r>
      <w:r w:rsidR="002B3E4E" w:rsidRPr="00382623">
        <w:rPr>
          <w:rFonts w:asciiTheme="minorHAnsi" w:hAnsiTheme="minorHAnsi"/>
          <w:b/>
        </w:rPr>
        <w:instrText xml:space="preserve"> SEQ "</w:instrText>
      </w:r>
      <w:fldSimple w:instr=" SECTION  \* MERGEFORMAT ">
        <w:r w:rsidR="00412F44" w:rsidRPr="00412F44">
          <w:rPr>
            <w:rFonts w:asciiTheme="minorHAnsi" w:hAnsiTheme="minorHAnsi"/>
            <w:b/>
            <w:noProof/>
          </w:rPr>
          <w:instrText>1</w:instrText>
        </w:r>
      </w:fldSimple>
      <w:r w:rsidR="002B3E4E" w:rsidRPr="00382623">
        <w:rPr>
          <w:rFonts w:asciiTheme="minorHAnsi" w:hAnsiTheme="minorHAnsi"/>
          <w:b/>
        </w:rPr>
        <w:instrText xml:space="preserve">#"\* ALPHABETIC \* MERGEFORMAT </w:instrText>
      </w:r>
      <w:r w:rsidRPr="00382623">
        <w:rPr>
          <w:rFonts w:asciiTheme="minorHAnsi" w:hAnsiTheme="minorHAnsi"/>
          <w:b/>
        </w:rPr>
        <w:fldChar w:fldCharType="separate"/>
      </w:r>
      <w:r w:rsidR="00412F44">
        <w:rPr>
          <w:rFonts w:asciiTheme="minorHAnsi" w:hAnsiTheme="minorHAnsi"/>
          <w:b/>
          <w:noProof/>
        </w:rPr>
        <w:t>A</w:t>
      </w:r>
      <w:r w:rsidRPr="00382623">
        <w:rPr>
          <w:rFonts w:asciiTheme="minorHAnsi" w:hAnsiTheme="minorHAnsi"/>
          <w:b/>
        </w:rPr>
        <w:fldChar w:fldCharType="end"/>
      </w:r>
      <w:r w:rsidR="002B3E4E" w:rsidRPr="00382623">
        <w:rPr>
          <w:rFonts w:asciiTheme="minorHAnsi" w:hAnsiTheme="minorHAnsi"/>
          <w:b/>
        </w:rPr>
        <w:t>.</w:t>
      </w:r>
      <w:r w:rsidR="002B3E4E" w:rsidRPr="00382623">
        <w:rPr>
          <w:rFonts w:asciiTheme="minorHAnsi" w:hAnsiTheme="minorHAnsi"/>
          <w:b/>
        </w:rPr>
        <w:tab/>
      </w:r>
      <w:r w:rsidR="00303E32" w:rsidRPr="00382623">
        <w:rPr>
          <w:rFonts w:asciiTheme="minorHAnsi" w:hAnsiTheme="minorHAnsi"/>
          <w:b/>
        </w:rPr>
        <w:t xml:space="preserve">Diagnosis of the Problem to be addressed by the Project </w:t>
      </w:r>
    </w:p>
    <w:p w:rsidR="00943530" w:rsidRDefault="00943530" w:rsidP="00943530">
      <w:pPr>
        <w:ind w:left="720"/>
        <w:rPr>
          <w:rFonts w:asciiTheme="minorHAnsi" w:hAnsiTheme="minorHAnsi"/>
          <w:b/>
        </w:rPr>
      </w:pPr>
    </w:p>
    <w:p w:rsidR="00A56CD0" w:rsidRDefault="00A56CD0" w:rsidP="00943530">
      <w:pPr>
        <w:ind w:left="720"/>
        <w:rPr>
          <w:rFonts w:ascii="Calibri" w:hAnsi="Calibri"/>
          <w:b/>
        </w:rPr>
      </w:pPr>
      <w:r>
        <w:rPr>
          <w:rFonts w:ascii="Calibri" w:hAnsi="Calibri"/>
          <w:b/>
        </w:rPr>
        <w:t>Problem Diagnosis:</w:t>
      </w:r>
    </w:p>
    <w:p w:rsidR="00A56CD0" w:rsidRDefault="00A56CD0" w:rsidP="00A56CD0">
      <w:pPr>
        <w:pStyle w:val="Normal1"/>
        <w:numPr>
          <w:ilvl w:val="0"/>
          <w:numId w:val="21"/>
        </w:numPr>
        <w:spacing w:line="240" w:lineRule="auto"/>
        <w:ind w:hanging="720"/>
        <w:jc w:val="both"/>
        <w:rPr>
          <w:rFonts w:asciiTheme="minorHAnsi" w:hAnsiTheme="minorHAnsi"/>
          <w:sz w:val="24"/>
        </w:rPr>
      </w:pPr>
      <w:r w:rsidRPr="00382623">
        <w:rPr>
          <w:rFonts w:asciiTheme="minorHAnsi" w:hAnsiTheme="minorHAnsi"/>
          <w:sz w:val="24"/>
        </w:rPr>
        <w:t>Ever-increasing amounts of financial capital have been committed to the growing impact investing sector with the intention of supporting businesses that create both profit and impact. However, le</w:t>
      </w:r>
      <w:r>
        <w:rPr>
          <w:rFonts w:asciiTheme="minorHAnsi" w:hAnsiTheme="minorHAnsi"/>
          <w:sz w:val="24"/>
        </w:rPr>
        <w:t>ss than 5% of impact investments</w:t>
      </w:r>
      <w:r w:rsidRPr="00382623">
        <w:rPr>
          <w:rFonts w:asciiTheme="minorHAnsi" w:hAnsiTheme="minorHAnsi"/>
          <w:sz w:val="24"/>
        </w:rPr>
        <w:t xml:space="preserve"> go to early-stage ventures</w:t>
      </w:r>
      <w:r w:rsidRPr="00382623">
        <w:rPr>
          <w:rStyle w:val="FootnoteReference"/>
          <w:rFonts w:asciiTheme="minorHAnsi" w:hAnsiTheme="minorHAnsi"/>
          <w:sz w:val="24"/>
        </w:rPr>
        <w:footnoteReference w:id="6"/>
      </w:r>
      <w:r>
        <w:rPr>
          <w:rFonts w:asciiTheme="minorHAnsi" w:hAnsiTheme="minorHAnsi"/>
          <w:sz w:val="24"/>
        </w:rPr>
        <w:t>. Furthermore, those that do get investment are typically seeking</w:t>
      </w:r>
      <w:r w:rsidRPr="00382623">
        <w:rPr>
          <w:rFonts w:asciiTheme="minorHAnsi" w:hAnsiTheme="minorHAnsi"/>
          <w:sz w:val="24"/>
        </w:rPr>
        <w:t xml:space="preserve"> $3 mil</w:t>
      </w:r>
      <w:r>
        <w:rPr>
          <w:rFonts w:asciiTheme="minorHAnsi" w:hAnsiTheme="minorHAnsi"/>
          <w:sz w:val="24"/>
        </w:rPr>
        <w:t>lion or more in investment. There is a dynamic</w:t>
      </w:r>
      <w:r w:rsidRPr="00382623">
        <w:rPr>
          <w:rFonts w:asciiTheme="minorHAnsi" w:hAnsiTheme="minorHAnsi"/>
          <w:sz w:val="24"/>
        </w:rPr>
        <w:t xml:space="preserve"> sector of early-stage businesses looking for betwe</w:t>
      </w:r>
      <w:r>
        <w:rPr>
          <w:rFonts w:asciiTheme="minorHAnsi" w:hAnsiTheme="minorHAnsi"/>
          <w:sz w:val="24"/>
        </w:rPr>
        <w:t>en $100,000 and $2MM in growth capital</w:t>
      </w:r>
      <w:r w:rsidRPr="00382623">
        <w:rPr>
          <w:rFonts w:asciiTheme="minorHAnsi" w:hAnsiTheme="minorHAnsi"/>
          <w:sz w:val="24"/>
        </w:rPr>
        <w:t>. The lack of financial support for these companies makes it prohibitive for these new, in</w:t>
      </w:r>
      <w:r>
        <w:rPr>
          <w:rFonts w:asciiTheme="minorHAnsi" w:hAnsiTheme="minorHAnsi"/>
          <w:sz w:val="24"/>
        </w:rPr>
        <w:t xml:space="preserve">novative business models to </w:t>
      </w:r>
      <w:proofErr w:type="gramStart"/>
      <w:r>
        <w:rPr>
          <w:rFonts w:asciiTheme="minorHAnsi" w:hAnsiTheme="minorHAnsi"/>
          <w:sz w:val="24"/>
        </w:rPr>
        <w:t>rise</w:t>
      </w:r>
      <w:proofErr w:type="gramEnd"/>
      <w:r>
        <w:rPr>
          <w:rFonts w:asciiTheme="minorHAnsi" w:hAnsiTheme="minorHAnsi"/>
          <w:sz w:val="24"/>
        </w:rPr>
        <w:t xml:space="preserve"> to the surface, scale, and service the wider population with their social and environmental solutions. </w:t>
      </w:r>
    </w:p>
    <w:p w:rsidR="00A56CD0" w:rsidRPr="004E6FE9" w:rsidRDefault="00A56CD0" w:rsidP="00A56CD0">
      <w:pPr>
        <w:pStyle w:val="ListParagraph"/>
        <w:jc w:val="both"/>
        <w:rPr>
          <w:rFonts w:ascii="Calibri" w:hAnsi="Calibri"/>
          <w:b/>
        </w:rPr>
      </w:pPr>
    </w:p>
    <w:p w:rsidR="009648B2" w:rsidRPr="00A56CD0" w:rsidRDefault="00026124" w:rsidP="00A56CD0">
      <w:pPr>
        <w:pStyle w:val="ListParagraph"/>
        <w:numPr>
          <w:ilvl w:val="1"/>
          <w:numId w:val="14"/>
        </w:numPr>
        <w:ind w:left="720" w:hanging="720"/>
        <w:jc w:val="both"/>
        <w:rPr>
          <w:rFonts w:ascii="Calibri" w:hAnsi="Calibri"/>
        </w:rPr>
      </w:pPr>
      <w:r>
        <w:rPr>
          <w:rFonts w:asciiTheme="minorHAnsi" w:hAnsiTheme="minorHAnsi"/>
        </w:rPr>
        <w:t xml:space="preserve">The causes </w:t>
      </w:r>
      <w:r w:rsidR="00865E6F">
        <w:rPr>
          <w:rFonts w:asciiTheme="minorHAnsi" w:hAnsiTheme="minorHAnsi"/>
        </w:rPr>
        <w:t xml:space="preserve">behind </w:t>
      </w:r>
      <w:r>
        <w:rPr>
          <w:rFonts w:asciiTheme="minorHAnsi" w:hAnsiTheme="minorHAnsi"/>
        </w:rPr>
        <w:t>why f</w:t>
      </w:r>
      <w:r w:rsidR="009648B2" w:rsidRPr="00A56CD0">
        <w:rPr>
          <w:rFonts w:asciiTheme="minorHAnsi" w:hAnsiTheme="minorHAnsi"/>
        </w:rPr>
        <w:t>inancial capital is not flowing into these businesses</w:t>
      </w:r>
      <w:r w:rsidR="00865E6F">
        <w:rPr>
          <w:rFonts w:asciiTheme="minorHAnsi" w:hAnsiTheme="minorHAnsi"/>
        </w:rPr>
        <w:t xml:space="preserve"> are the following</w:t>
      </w:r>
      <w:r w:rsidR="009648B2" w:rsidRPr="00A56CD0">
        <w:rPr>
          <w:rFonts w:asciiTheme="minorHAnsi" w:hAnsiTheme="minorHAnsi"/>
        </w:rPr>
        <w:t>:</w:t>
      </w:r>
    </w:p>
    <w:p w:rsidR="009648B2" w:rsidRPr="00382623" w:rsidRDefault="009648B2" w:rsidP="00382623">
      <w:pPr>
        <w:pStyle w:val="Normal1"/>
        <w:spacing w:line="240" w:lineRule="auto"/>
        <w:jc w:val="both"/>
        <w:rPr>
          <w:rFonts w:asciiTheme="minorHAnsi" w:hAnsiTheme="minorHAnsi"/>
          <w:sz w:val="24"/>
        </w:rPr>
      </w:pPr>
    </w:p>
    <w:p w:rsidR="009648B2" w:rsidRPr="00382623" w:rsidRDefault="009648B2" w:rsidP="00A56CD0">
      <w:pPr>
        <w:pStyle w:val="Normal1"/>
        <w:spacing w:line="240" w:lineRule="auto"/>
        <w:ind w:left="720"/>
        <w:jc w:val="both"/>
        <w:rPr>
          <w:rFonts w:asciiTheme="minorHAnsi" w:hAnsiTheme="minorHAnsi"/>
          <w:sz w:val="24"/>
        </w:rPr>
      </w:pPr>
      <w:r w:rsidRPr="00382623">
        <w:rPr>
          <w:rFonts w:asciiTheme="minorHAnsi" w:hAnsiTheme="minorHAnsi"/>
          <w:sz w:val="24"/>
        </w:rPr>
        <w:t xml:space="preserve">1. </w:t>
      </w:r>
      <w:r w:rsidRPr="00382623">
        <w:rPr>
          <w:rFonts w:asciiTheme="minorHAnsi" w:hAnsiTheme="minorHAnsi"/>
          <w:b/>
          <w:sz w:val="24"/>
        </w:rPr>
        <w:t>Deal Flow:</w:t>
      </w:r>
      <w:r w:rsidRPr="00382623">
        <w:rPr>
          <w:rFonts w:asciiTheme="minorHAnsi" w:hAnsiTheme="minorHAnsi"/>
          <w:sz w:val="24"/>
        </w:rPr>
        <w:t xml:space="preserve"> Despite tremendous potential, there is a serious shortage of investment-ready deals. The vast majority of early-stage entrepreneurs in Latin America </w:t>
      </w:r>
      <w:r w:rsidR="000C1663">
        <w:rPr>
          <w:rFonts w:asciiTheme="minorHAnsi" w:hAnsiTheme="minorHAnsi"/>
          <w:sz w:val="24"/>
        </w:rPr>
        <w:t>do not have</w:t>
      </w:r>
      <w:r w:rsidR="000C1663" w:rsidRPr="00382623">
        <w:rPr>
          <w:rFonts w:asciiTheme="minorHAnsi" w:hAnsiTheme="minorHAnsi"/>
          <w:sz w:val="24"/>
        </w:rPr>
        <w:t xml:space="preserve"> </w:t>
      </w:r>
      <w:r w:rsidRPr="00382623">
        <w:rPr>
          <w:rFonts w:asciiTheme="minorHAnsi" w:hAnsiTheme="minorHAnsi"/>
          <w:sz w:val="24"/>
        </w:rPr>
        <w:t>access to the knowledge, networks and capital that they need to grow their businesses, which keeps them stalled below $500,000 in annual revenue.</w:t>
      </w:r>
    </w:p>
    <w:p w:rsidR="009648B2" w:rsidRPr="00382623" w:rsidRDefault="009648B2" w:rsidP="00A56CD0">
      <w:pPr>
        <w:pStyle w:val="Normal1"/>
        <w:spacing w:line="240" w:lineRule="auto"/>
        <w:ind w:left="720"/>
        <w:jc w:val="both"/>
        <w:rPr>
          <w:rFonts w:asciiTheme="minorHAnsi" w:hAnsiTheme="minorHAnsi"/>
          <w:sz w:val="24"/>
        </w:rPr>
      </w:pPr>
      <w:r w:rsidRPr="00382623">
        <w:rPr>
          <w:rFonts w:asciiTheme="minorHAnsi" w:hAnsiTheme="minorHAnsi"/>
          <w:sz w:val="24"/>
        </w:rPr>
        <w:t xml:space="preserve">2. </w:t>
      </w:r>
      <w:r w:rsidRPr="00382623">
        <w:rPr>
          <w:rFonts w:asciiTheme="minorHAnsi" w:hAnsiTheme="minorHAnsi"/>
          <w:b/>
          <w:sz w:val="24"/>
        </w:rPr>
        <w:t>Limited Exit Opportunities:</w:t>
      </w:r>
      <w:r w:rsidRPr="00382623">
        <w:rPr>
          <w:rFonts w:asciiTheme="minorHAnsi" w:hAnsiTheme="minorHAnsi"/>
          <w:sz w:val="24"/>
        </w:rPr>
        <w:t xml:space="preserve"> The vast majority of small and growing businesses operating in Latin America are not aiming for eventual public offering or private sale, and there have been few examples to date of successful exits for equity investors.</w:t>
      </w:r>
    </w:p>
    <w:p w:rsidR="009648B2" w:rsidRPr="00382623" w:rsidRDefault="009648B2" w:rsidP="00A56CD0">
      <w:pPr>
        <w:pStyle w:val="Normal1"/>
        <w:spacing w:line="240" w:lineRule="auto"/>
        <w:ind w:left="720"/>
        <w:jc w:val="both"/>
        <w:rPr>
          <w:rFonts w:asciiTheme="minorHAnsi" w:hAnsiTheme="minorHAnsi"/>
          <w:sz w:val="24"/>
        </w:rPr>
      </w:pPr>
      <w:r w:rsidRPr="00382623">
        <w:rPr>
          <w:rFonts w:asciiTheme="minorHAnsi" w:hAnsiTheme="minorHAnsi"/>
          <w:sz w:val="24"/>
        </w:rPr>
        <w:t xml:space="preserve">3. </w:t>
      </w:r>
      <w:r w:rsidRPr="00382623">
        <w:rPr>
          <w:rFonts w:asciiTheme="minorHAnsi" w:hAnsiTheme="minorHAnsi"/>
          <w:b/>
          <w:sz w:val="24"/>
        </w:rPr>
        <w:t>High Transaction Costs:</w:t>
      </w:r>
      <w:r w:rsidRPr="00382623">
        <w:rPr>
          <w:rFonts w:asciiTheme="minorHAnsi" w:hAnsiTheme="minorHAnsi"/>
          <w:sz w:val="24"/>
        </w:rPr>
        <w:t xml:space="preserve"> Early stage impact companies tend to require smaller investment amounts. They often work in relatively difficult to access locations, with poorly defined markets, limited legal support structures, and asymmetrical information. To address these risks, investors must invest substantial resources in due diligence and legal preparation.</w:t>
      </w:r>
    </w:p>
    <w:p w:rsidR="009648B2" w:rsidRPr="00382623" w:rsidRDefault="009648B2" w:rsidP="00A56CD0">
      <w:pPr>
        <w:pStyle w:val="Normal1"/>
        <w:spacing w:line="240" w:lineRule="auto"/>
        <w:ind w:left="720"/>
        <w:jc w:val="both"/>
        <w:rPr>
          <w:rFonts w:asciiTheme="minorHAnsi" w:hAnsiTheme="minorHAnsi"/>
          <w:sz w:val="24"/>
        </w:rPr>
      </w:pPr>
      <w:r w:rsidRPr="00382623">
        <w:rPr>
          <w:rFonts w:asciiTheme="minorHAnsi" w:hAnsiTheme="minorHAnsi"/>
          <w:sz w:val="24"/>
        </w:rPr>
        <w:t xml:space="preserve">4. </w:t>
      </w:r>
      <w:r w:rsidRPr="00382623">
        <w:rPr>
          <w:rFonts w:asciiTheme="minorHAnsi" w:hAnsiTheme="minorHAnsi"/>
          <w:b/>
          <w:sz w:val="24"/>
        </w:rPr>
        <w:t>Few Co-Investment Opportunities:</w:t>
      </w:r>
      <w:r w:rsidRPr="00382623">
        <w:rPr>
          <w:rFonts w:asciiTheme="minorHAnsi" w:hAnsiTheme="minorHAnsi"/>
          <w:sz w:val="24"/>
        </w:rPr>
        <w:t xml:space="preserve"> There are few investors able to take on these risks. As a result, there are relatively few potential investors and they often have incompatible investment parameters. It can be a challenge to coordinate capital and share risk.</w:t>
      </w:r>
    </w:p>
    <w:p w:rsidR="009648B2" w:rsidRPr="00382623" w:rsidRDefault="009648B2" w:rsidP="00382623">
      <w:pPr>
        <w:pStyle w:val="Normal1"/>
        <w:spacing w:line="240" w:lineRule="auto"/>
        <w:jc w:val="both"/>
        <w:rPr>
          <w:rFonts w:asciiTheme="minorHAnsi" w:hAnsiTheme="minorHAnsi"/>
          <w:sz w:val="24"/>
        </w:rPr>
      </w:pPr>
    </w:p>
    <w:p w:rsidR="009648B2" w:rsidRPr="00865E6F" w:rsidRDefault="009648B2" w:rsidP="00865E6F">
      <w:pPr>
        <w:pStyle w:val="ListParagraph"/>
        <w:jc w:val="both"/>
        <w:rPr>
          <w:rFonts w:asciiTheme="minorHAnsi" w:hAnsiTheme="minorHAnsi"/>
          <w:b/>
        </w:rPr>
      </w:pPr>
      <w:r w:rsidRPr="00865E6F">
        <w:rPr>
          <w:rFonts w:asciiTheme="minorHAnsi" w:hAnsiTheme="minorHAnsi"/>
          <w:b/>
        </w:rPr>
        <w:t>Market Failure:</w:t>
      </w:r>
    </w:p>
    <w:p w:rsidR="009648B2" w:rsidRDefault="009648B2" w:rsidP="00865E6F">
      <w:pPr>
        <w:pStyle w:val="ListParagraph"/>
        <w:numPr>
          <w:ilvl w:val="1"/>
          <w:numId w:val="14"/>
        </w:numPr>
        <w:ind w:left="720" w:hanging="720"/>
        <w:jc w:val="both"/>
        <w:rPr>
          <w:rFonts w:asciiTheme="minorHAnsi" w:hAnsiTheme="minorHAnsi"/>
        </w:rPr>
      </w:pPr>
      <w:r w:rsidRPr="00382623">
        <w:rPr>
          <w:rFonts w:asciiTheme="minorHAnsi" w:hAnsiTheme="minorHAnsi"/>
        </w:rPr>
        <w:t xml:space="preserve">The bottleneck that prevents entrepreneurial talent from connecting with investment capital is caused by a number of market barriers. According to Monitor’s </w:t>
      </w:r>
      <w:r w:rsidRPr="00382623">
        <w:rPr>
          <w:rFonts w:asciiTheme="minorHAnsi" w:hAnsiTheme="minorHAnsi"/>
          <w:i/>
        </w:rPr>
        <w:t xml:space="preserve">From Blueprint to Scale </w:t>
      </w:r>
      <w:r w:rsidRPr="00382623">
        <w:rPr>
          <w:rFonts w:asciiTheme="minorHAnsi" w:hAnsiTheme="minorHAnsi"/>
        </w:rPr>
        <w:t>report</w:t>
      </w:r>
      <w:r w:rsidR="000C1663">
        <w:rPr>
          <w:rStyle w:val="FootnoteReference"/>
          <w:rFonts w:asciiTheme="minorHAnsi" w:hAnsiTheme="minorHAnsi"/>
        </w:rPr>
        <w:footnoteReference w:id="7"/>
      </w:r>
      <w:r w:rsidRPr="00382623">
        <w:rPr>
          <w:rFonts w:asciiTheme="minorHAnsi" w:hAnsiTheme="minorHAnsi"/>
        </w:rPr>
        <w:t>, when attempting to provide access to basic services, “</w:t>
      </w:r>
      <w:r w:rsidRPr="00382623">
        <w:rPr>
          <w:rFonts w:asciiTheme="minorHAnsi" w:hAnsiTheme="minorHAnsi"/>
          <w:i/>
        </w:rPr>
        <w:t>many of these businesses cannot simply follow business models that have been established to serve more developed, non-</w:t>
      </w:r>
      <w:proofErr w:type="spellStart"/>
      <w:r w:rsidRPr="00382623">
        <w:rPr>
          <w:rFonts w:asciiTheme="minorHAnsi" w:hAnsiTheme="minorHAnsi"/>
          <w:i/>
        </w:rPr>
        <w:t>BoP</w:t>
      </w:r>
      <w:proofErr w:type="spellEnd"/>
      <w:r w:rsidRPr="00382623">
        <w:rPr>
          <w:rFonts w:asciiTheme="minorHAnsi" w:hAnsiTheme="minorHAnsi"/>
          <w:i/>
        </w:rPr>
        <w:t xml:space="preserve"> populations. Instead, they are required to innovate on multiple dimensions simultaneously, often pioneering new business models that are tailored to </w:t>
      </w:r>
      <w:r w:rsidRPr="00382623">
        <w:rPr>
          <w:rFonts w:asciiTheme="minorHAnsi" w:hAnsiTheme="minorHAnsi"/>
          <w:i/>
        </w:rPr>
        <w:lastRenderedPageBreak/>
        <w:t xml:space="preserve">the particular needs and constraints of the </w:t>
      </w:r>
      <w:proofErr w:type="spellStart"/>
      <w:r w:rsidRPr="00382623">
        <w:rPr>
          <w:rFonts w:asciiTheme="minorHAnsi" w:hAnsiTheme="minorHAnsi"/>
          <w:i/>
        </w:rPr>
        <w:t>BoP</w:t>
      </w:r>
      <w:proofErr w:type="spellEnd"/>
      <w:r w:rsidRPr="00382623">
        <w:rPr>
          <w:rFonts w:asciiTheme="minorHAnsi" w:hAnsiTheme="minorHAnsi"/>
          <w:i/>
        </w:rPr>
        <w:t xml:space="preserve"> marketplace.</w:t>
      </w:r>
      <w:r w:rsidR="00382623">
        <w:rPr>
          <w:rFonts w:asciiTheme="minorHAnsi" w:hAnsiTheme="minorHAnsi"/>
        </w:rPr>
        <w:t xml:space="preserve">” This is </w:t>
      </w:r>
      <w:r w:rsidRPr="00382623">
        <w:rPr>
          <w:rFonts w:asciiTheme="minorHAnsi" w:hAnsiTheme="minorHAnsi"/>
        </w:rPr>
        <w:t>particularly difficult within the context of an emerging economy for a variety of reasons:</w:t>
      </w:r>
    </w:p>
    <w:p w:rsidR="00865E6F" w:rsidRPr="00382623" w:rsidRDefault="00865E6F" w:rsidP="00865E6F">
      <w:pPr>
        <w:pStyle w:val="ListParagraph"/>
        <w:ind w:left="360"/>
        <w:jc w:val="both"/>
        <w:rPr>
          <w:rFonts w:asciiTheme="minorHAnsi" w:hAnsiTheme="minorHAnsi"/>
        </w:rPr>
      </w:pPr>
    </w:p>
    <w:p w:rsidR="009648B2" w:rsidRPr="00382623" w:rsidRDefault="009648B2" w:rsidP="00AF2165">
      <w:pPr>
        <w:pStyle w:val="Normal1"/>
        <w:numPr>
          <w:ilvl w:val="0"/>
          <w:numId w:val="17"/>
        </w:numPr>
        <w:spacing w:line="240" w:lineRule="auto"/>
        <w:ind w:left="1260" w:hanging="540"/>
        <w:contextualSpacing/>
        <w:jc w:val="both"/>
        <w:rPr>
          <w:rFonts w:asciiTheme="minorHAnsi" w:hAnsiTheme="minorHAnsi"/>
          <w:sz w:val="24"/>
        </w:rPr>
      </w:pPr>
      <w:r w:rsidRPr="00382623">
        <w:rPr>
          <w:rFonts w:asciiTheme="minorHAnsi" w:hAnsiTheme="minorHAnsi"/>
          <w:sz w:val="24"/>
        </w:rPr>
        <w:t>Very low and volatile margins because</w:t>
      </w:r>
      <w:r w:rsidR="00D02DFA">
        <w:rPr>
          <w:rFonts w:asciiTheme="minorHAnsi" w:hAnsiTheme="minorHAnsi"/>
          <w:sz w:val="24"/>
        </w:rPr>
        <w:t xml:space="preserve"> </w:t>
      </w:r>
      <w:r w:rsidRPr="00382623">
        <w:rPr>
          <w:rFonts w:asciiTheme="minorHAnsi" w:hAnsiTheme="minorHAnsi"/>
          <w:sz w:val="24"/>
        </w:rPr>
        <w:t>customers are often located in hard to reach areas and have a severely low ability to pay</w:t>
      </w:r>
    </w:p>
    <w:p w:rsidR="009648B2" w:rsidRPr="00382623" w:rsidRDefault="00DD1D89" w:rsidP="00AF2165">
      <w:pPr>
        <w:pStyle w:val="Normal1"/>
        <w:numPr>
          <w:ilvl w:val="0"/>
          <w:numId w:val="17"/>
        </w:numPr>
        <w:spacing w:line="240" w:lineRule="auto"/>
        <w:ind w:left="1260" w:hanging="540"/>
        <w:contextualSpacing/>
        <w:jc w:val="both"/>
        <w:rPr>
          <w:rFonts w:asciiTheme="minorHAnsi" w:hAnsiTheme="minorHAnsi"/>
          <w:sz w:val="24"/>
        </w:rPr>
      </w:pPr>
      <w:r>
        <w:rPr>
          <w:rFonts w:asciiTheme="minorHAnsi" w:hAnsiTheme="minorHAnsi"/>
          <w:color w:val="232323"/>
          <w:sz w:val="24"/>
        </w:rPr>
        <w:t>Lack of supportive</w:t>
      </w:r>
      <w:r w:rsidR="009648B2" w:rsidRPr="00382623">
        <w:rPr>
          <w:rFonts w:asciiTheme="minorHAnsi" w:hAnsiTheme="minorHAnsi"/>
          <w:color w:val="232323"/>
          <w:sz w:val="24"/>
        </w:rPr>
        <w:t xml:space="preserve"> government policies regarding business, poor infrastructure, and inefficient regulation</w:t>
      </w:r>
    </w:p>
    <w:p w:rsidR="009648B2" w:rsidRPr="00382623" w:rsidRDefault="009648B2" w:rsidP="00AF2165">
      <w:pPr>
        <w:pStyle w:val="Normal1"/>
        <w:numPr>
          <w:ilvl w:val="0"/>
          <w:numId w:val="17"/>
        </w:numPr>
        <w:spacing w:line="240" w:lineRule="auto"/>
        <w:ind w:left="1260" w:hanging="540"/>
        <w:contextualSpacing/>
        <w:jc w:val="both"/>
        <w:rPr>
          <w:rFonts w:asciiTheme="minorHAnsi" w:hAnsiTheme="minorHAnsi"/>
          <w:sz w:val="24"/>
        </w:rPr>
      </w:pPr>
      <w:r w:rsidRPr="00382623">
        <w:rPr>
          <w:rFonts w:asciiTheme="minorHAnsi" w:hAnsiTheme="minorHAnsi"/>
          <w:sz w:val="24"/>
        </w:rPr>
        <w:t>The products and services are often ‘push’ solutions and require a significant investment in educating customers about the benefits</w:t>
      </w:r>
    </w:p>
    <w:p w:rsidR="009648B2" w:rsidRPr="00382623" w:rsidRDefault="009648B2" w:rsidP="00AF2165">
      <w:pPr>
        <w:pStyle w:val="Normal1"/>
        <w:numPr>
          <w:ilvl w:val="0"/>
          <w:numId w:val="17"/>
        </w:numPr>
        <w:spacing w:line="240" w:lineRule="auto"/>
        <w:ind w:left="1260" w:hanging="540"/>
        <w:contextualSpacing/>
        <w:jc w:val="both"/>
        <w:rPr>
          <w:rFonts w:asciiTheme="minorHAnsi" w:hAnsiTheme="minorHAnsi"/>
          <w:sz w:val="24"/>
        </w:rPr>
      </w:pPr>
      <w:r w:rsidRPr="00382623">
        <w:rPr>
          <w:rFonts w:asciiTheme="minorHAnsi" w:hAnsiTheme="minorHAnsi"/>
          <w:sz w:val="24"/>
        </w:rPr>
        <w:t xml:space="preserve">To limit costs, entrepreneurs are often forced to work with unreliable suppliers with limited capabilities </w:t>
      </w:r>
    </w:p>
    <w:p w:rsidR="009648B2" w:rsidRPr="00382623" w:rsidRDefault="009648B2" w:rsidP="00AF2165">
      <w:pPr>
        <w:pStyle w:val="Normal1"/>
        <w:numPr>
          <w:ilvl w:val="0"/>
          <w:numId w:val="17"/>
        </w:numPr>
        <w:spacing w:line="240" w:lineRule="auto"/>
        <w:ind w:left="1260" w:hanging="540"/>
        <w:contextualSpacing/>
        <w:jc w:val="both"/>
        <w:rPr>
          <w:rFonts w:asciiTheme="minorHAnsi" w:hAnsiTheme="minorHAnsi"/>
          <w:sz w:val="24"/>
        </w:rPr>
      </w:pPr>
      <w:r w:rsidRPr="00382623">
        <w:rPr>
          <w:rFonts w:asciiTheme="minorHAnsi" w:hAnsiTheme="minorHAnsi"/>
          <w:sz w:val="24"/>
        </w:rPr>
        <w:t>The distribution channels needed are often fragmented and sometimes non-existent</w:t>
      </w:r>
    </w:p>
    <w:p w:rsidR="009648B2" w:rsidRPr="00382623" w:rsidRDefault="009648B2" w:rsidP="00AF2165">
      <w:pPr>
        <w:pStyle w:val="Normal1"/>
        <w:numPr>
          <w:ilvl w:val="0"/>
          <w:numId w:val="17"/>
        </w:numPr>
        <w:spacing w:line="240" w:lineRule="auto"/>
        <w:ind w:left="1260" w:hanging="540"/>
        <w:contextualSpacing/>
        <w:jc w:val="both"/>
        <w:rPr>
          <w:rFonts w:asciiTheme="minorHAnsi" w:hAnsiTheme="minorHAnsi"/>
          <w:sz w:val="24"/>
        </w:rPr>
      </w:pPr>
      <w:r w:rsidRPr="00382623">
        <w:rPr>
          <w:rFonts w:asciiTheme="minorHAnsi" w:hAnsiTheme="minorHAnsi"/>
          <w:sz w:val="24"/>
        </w:rPr>
        <w:t>Lack of collateral and high level of risk makes it very difficult to access financing which in turn makes it difficult to attract and retain quality human capital</w:t>
      </w:r>
    </w:p>
    <w:p w:rsidR="009648B2" w:rsidRPr="00382623" w:rsidRDefault="009648B2" w:rsidP="00AF2165">
      <w:pPr>
        <w:pStyle w:val="Normal1"/>
        <w:numPr>
          <w:ilvl w:val="0"/>
          <w:numId w:val="17"/>
        </w:numPr>
        <w:spacing w:line="240" w:lineRule="auto"/>
        <w:ind w:left="1260" w:hanging="540"/>
        <w:contextualSpacing/>
        <w:jc w:val="both"/>
        <w:rPr>
          <w:rFonts w:asciiTheme="minorHAnsi" w:hAnsiTheme="minorHAnsi"/>
          <w:sz w:val="24"/>
        </w:rPr>
      </w:pPr>
      <w:r w:rsidRPr="00382623">
        <w:rPr>
          <w:rFonts w:asciiTheme="minorHAnsi" w:hAnsiTheme="minorHAnsi"/>
          <w:sz w:val="24"/>
        </w:rPr>
        <w:t>People are much more reluctant to purchase an unknown brand</w:t>
      </w:r>
    </w:p>
    <w:p w:rsidR="009648B2" w:rsidRPr="00382623" w:rsidRDefault="009648B2" w:rsidP="00382623">
      <w:pPr>
        <w:pStyle w:val="Normal1"/>
        <w:spacing w:line="240" w:lineRule="auto"/>
        <w:jc w:val="both"/>
        <w:rPr>
          <w:rFonts w:asciiTheme="minorHAnsi" w:hAnsiTheme="minorHAnsi"/>
          <w:sz w:val="24"/>
        </w:rPr>
      </w:pPr>
    </w:p>
    <w:p w:rsidR="009648B2" w:rsidRPr="00382623" w:rsidRDefault="009648B2" w:rsidP="00865E6F">
      <w:pPr>
        <w:pStyle w:val="Normal1"/>
        <w:spacing w:line="240" w:lineRule="auto"/>
        <w:ind w:left="720"/>
        <w:jc w:val="both"/>
        <w:rPr>
          <w:rFonts w:asciiTheme="minorHAnsi" w:hAnsiTheme="minorHAnsi"/>
          <w:sz w:val="24"/>
        </w:rPr>
      </w:pPr>
      <w:r w:rsidRPr="00382623">
        <w:rPr>
          <w:rFonts w:asciiTheme="minorHAnsi" w:hAnsiTheme="minorHAnsi"/>
          <w:sz w:val="24"/>
        </w:rPr>
        <w:t xml:space="preserve">When combined, these challenges make it costly and time-consuming to build attractive businesses for impact investors. </w:t>
      </w:r>
    </w:p>
    <w:p w:rsidR="009648B2" w:rsidRPr="00382623" w:rsidRDefault="009648B2" w:rsidP="00382623">
      <w:pPr>
        <w:pStyle w:val="Normal1"/>
        <w:spacing w:line="240" w:lineRule="auto"/>
        <w:jc w:val="both"/>
        <w:rPr>
          <w:rFonts w:asciiTheme="minorHAnsi" w:hAnsiTheme="minorHAnsi"/>
          <w:sz w:val="24"/>
        </w:rPr>
      </w:pPr>
    </w:p>
    <w:p w:rsidR="009648B2" w:rsidRPr="00382623" w:rsidRDefault="009648B2" w:rsidP="00865E6F">
      <w:pPr>
        <w:pStyle w:val="Normal1"/>
        <w:spacing w:line="240" w:lineRule="auto"/>
        <w:ind w:firstLine="720"/>
        <w:jc w:val="both"/>
        <w:rPr>
          <w:rFonts w:asciiTheme="minorHAnsi" w:hAnsiTheme="minorHAnsi"/>
          <w:b/>
          <w:sz w:val="24"/>
          <w:shd w:val="clear" w:color="auto" w:fill="D9EAD3"/>
        </w:rPr>
      </w:pPr>
      <w:r w:rsidRPr="00382623">
        <w:rPr>
          <w:rFonts w:asciiTheme="minorHAnsi" w:hAnsiTheme="minorHAnsi"/>
          <w:b/>
          <w:sz w:val="24"/>
        </w:rPr>
        <w:t>Justification:</w:t>
      </w:r>
    </w:p>
    <w:p w:rsidR="00CD232D" w:rsidRPr="00EA23D7" w:rsidRDefault="00CD232D" w:rsidP="00865E6F">
      <w:pPr>
        <w:pStyle w:val="ListParagraph"/>
        <w:numPr>
          <w:ilvl w:val="1"/>
          <w:numId w:val="14"/>
        </w:numPr>
        <w:ind w:left="720" w:hanging="720"/>
        <w:jc w:val="both"/>
        <w:rPr>
          <w:rFonts w:asciiTheme="minorHAnsi" w:hAnsiTheme="minorHAnsi"/>
          <w:highlight w:val="white"/>
        </w:rPr>
      </w:pPr>
      <w:r w:rsidRPr="00EA23D7">
        <w:rPr>
          <w:rFonts w:asciiTheme="minorHAnsi" w:hAnsiTheme="minorHAnsi"/>
          <w:highlight w:val="white"/>
        </w:rPr>
        <w:t xml:space="preserve">In partnering with Agora Partnerships the MIF is interested </w:t>
      </w:r>
      <w:r w:rsidRPr="002E7614">
        <w:rPr>
          <w:rFonts w:asciiTheme="minorHAnsi" w:hAnsiTheme="minorHAnsi"/>
          <w:highlight w:val="white"/>
        </w:rPr>
        <w:t xml:space="preserve">in </w:t>
      </w:r>
      <w:r w:rsidRPr="00EA23D7">
        <w:rPr>
          <w:rFonts w:asciiTheme="minorHAnsi" w:hAnsiTheme="minorHAnsi"/>
        </w:rPr>
        <w:t>testing a new business accelerator model by supporting a</w:t>
      </w:r>
      <w:r w:rsidR="00BE273F">
        <w:rPr>
          <w:rFonts w:asciiTheme="minorHAnsi" w:hAnsiTheme="minorHAnsi"/>
        </w:rPr>
        <w:t xml:space="preserve"> </w:t>
      </w:r>
      <w:r w:rsidRPr="00EA23D7">
        <w:rPr>
          <w:rFonts w:asciiTheme="minorHAnsi" w:hAnsiTheme="minorHAnsi"/>
        </w:rPr>
        <w:t>n</w:t>
      </w:r>
      <w:r w:rsidR="00BE273F">
        <w:rPr>
          <w:rFonts w:asciiTheme="minorHAnsi" w:hAnsiTheme="minorHAnsi"/>
        </w:rPr>
        <w:t>on-profit</w:t>
      </w:r>
      <w:r w:rsidRPr="00EA23D7">
        <w:rPr>
          <w:rFonts w:asciiTheme="minorHAnsi" w:hAnsiTheme="minorHAnsi"/>
        </w:rPr>
        <w:t xml:space="preserve"> organization that is already implementing its own Accelerator Program and has the potential of proving to be a cost efficient and effective solution for supporting the acceleration of social businesses in </w:t>
      </w:r>
      <w:r w:rsidR="00461BC7">
        <w:rPr>
          <w:rFonts w:asciiTheme="minorHAnsi" w:hAnsiTheme="minorHAnsi"/>
        </w:rPr>
        <w:t xml:space="preserve">basic services throughout </w:t>
      </w:r>
      <w:r w:rsidRPr="00EA23D7">
        <w:rPr>
          <w:rFonts w:asciiTheme="minorHAnsi" w:hAnsiTheme="minorHAnsi"/>
        </w:rPr>
        <w:t xml:space="preserve">Latin America and the Caribbean. </w:t>
      </w:r>
    </w:p>
    <w:p w:rsidR="00CD232D" w:rsidRDefault="00CD232D" w:rsidP="00382623">
      <w:pPr>
        <w:pStyle w:val="Normal1"/>
        <w:spacing w:line="240" w:lineRule="auto"/>
        <w:jc w:val="both"/>
        <w:rPr>
          <w:rFonts w:asciiTheme="minorHAnsi" w:hAnsiTheme="minorHAnsi"/>
          <w:sz w:val="24"/>
          <w:highlight w:val="white"/>
        </w:rPr>
      </w:pPr>
    </w:p>
    <w:p w:rsidR="009648B2" w:rsidRPr="00382623" w:rsidRDefault="009648B2" w:rsidP="005A0A19">
      <w:pPr>
        <w:pStyle w:val="ListParagraph"/>
        <w:numPr>
          <w:ilvl w:val="1"/>
          <w:numId w:val="14"/>
        </w:numPr>
        <w:ind w:left="720" w:hanging="720"/>
        <w:jc w:val="both"/>
        <w:rPr>
          <w:rFonts w:asciiTheme="minorHAnsi" w:hAnsiTheme="minorHAnsi"/>
        </w:rPr>
      </w:pPr>
      <w:r w:rsidRPr="00382623">
        <w:rPr>
          <w:rFonts w:asciiTheme="minorHAnsi" w:hAnsiTheme="minorHAnsi"/>
          <w:highlight w:val="white"/>
        </w:rPr>
        <w:t>Since 2011, Agora Partnerships has provided more than 6,400 hours of personalized consulting to 67 entrepreneurs working in 15 countries across Latin America, providing them with the knowledge and networks needed to strengthen the business and prepare for growth. As a result, 98</w:t>
      </w:r>
      <w:r w:rsidR="00CD232D">
        <w:rPr>
          <w:rFonts w:asciiTheme="minorHAnsi" w:hAnsiTheme="minorHAnsi"/>
          <w:highlight w:val="white"/>
        </w:rPr>
        <w:t>%</w:t>
      </w:r>
      <w:r w:rsidRPr="00382623">
        <w:rPr>
          <w:rFonts w:asciiTheme="minorHAnsi" w:hAnsiTheme="minorHAnsi"/>
          <w:highlight w:val="white"/>
        </w:rPr>
        <w:t xml:space="preserve"> of these companies are still in operation and more than $13.7MM has been channeled into their businesses.</w:t>
      </w:r>
      <w:r w:rsidR="00D02DFA">
        <w:rPr>
          <w:rStyle w:val="FootnoteReference"/>
          <w:rFonts w:asciiTheme="minorHAnsi" w:hAnsiTheme="minorHAnsi"/>
          <w:highlight w:val="white"/>
        </w:rPr>
        <w:footnoteReference w:id="8"/>
      </w:r>
      <w:r w:rsidRPr="00382623">
        <w:rPr>
          <w:rFonts w:asciiTheme="minorHAnsi" w:hAnsiTheme="minorHAnsi"/>
          <w:highlight w:val="white"/>
        </w:rPr>
        <w:t xml:space="preserve"> </w:t>
      </w:r>
    </w:p>
    <w:p w:rsidR="009648B2" w:rsidRPr="00382623" w:rsidRDefault="009648B2" w:rsidP="00382623">
      <w:pPr>
        <w:pStyle w:val="Normal1"/>
        <w:spacing w:line="240" w:lineRule="auto"/>
        <w:jc w:val="both"/>
        <w:rPr>
          <w:rFonts w:asciiTheme="minorHAnsi" w:hAnsiTheme="minorHAnsi"/>
          <w:sz w:val="24"/>
        </w:rPr>
      </w:pPr>
    </w:p>
    <w:p w:rsidR="00363B6E" w:rsidRPr="00DA2509" w:rsidRDefault="009648B2" w:rsidP="005A0A19">
      <w:pPr>
        <w:pStyle w:val="ListParagraph"/>
        <w:numPr>
          <w:ilvl w:val="1"/>
          <w:numId w:val="14"/>
        </w:numPr>
        <w:ind w:left="720" w:hanging="720"/>
        <w:jc w:val="both"/>
        <w:rPr>
          <w:rFonts w:asciiTheme="minorHAnsi" w:hAnsiTheme="minorHAnsi"/>
          <w:color w:val="000000" w:themeColor="text1"/>
        </w:rPr>
      </w:pPr>
      <w:r w:rsidRPr="00382623">
        <w:rPr>
          <w:rFonts w:asciiTheme="minorHAnsi" w:hAnsiTheme="minorHAnsi"/>
          <w:highlight w:val="white"/>
        </w:rPr>
        <w:t>Agora’s entrepreneurs have built for-profit businesses that solve social and environmental problems in Latin America. Their businesses have an average revenue growth of 80</w:t>
      </w:r>
      <w:r w:rsidR="00CD232D">
        <w:rPr>
          <w:rFonts w:asciiTheme="minorHAnsi" w:hAnsiTheme="minorHAnsi"/>
          <w:highlight w:val="white"/>
        </w:rPr>
        <w:t>%</w:t>
      </w:r>
      <w:r w:rsidRPr="00382623">
        <w:rPr>
          <w:rFonts w:asciiTheme="minorHAnsi" w:hAnsiTheme="minorHAnsi"/>
          <w:highlight w:val="white"/>
        </w:rPr>
        <w:t xml:space="preserve"> after participating in the</w:t>
      </w:r>
      <w:r w:rsidR="0071425B">
        <w:rPr>
          <w:rFonts w:asciiTheme="minorHAnsi" w:hAnsiTheme="minorHAnsi"/>
          <w:highlight w:val="white"/>
        </w:rPr>
        <w:t xml:space="preserve"> Agora</w:t>
      </w:r>
      <w:r w:rsidRPr="00382623">
        <w:rPr>
          <w:rFonts w:asciiTheme="minorHAnsi" w:hAnsiTheme="minorHAnsi"/>
          <w:highlight w:val="white"/>
        </w:rPr>
        <w:t xml:space="preserve"> Accelerator and have created thousands of new jobs. Agora has accelerated 11 companies that have created sustainable market-driven business models to increase access to basic services for </w:t>
      </w:r>
      <w:proofErr w:type="spellStart"/>
      <w:r w:rsidRPr="00382623">
        <w:rPr>
          <w:rFonts w:asciiTheme="minorHAnsi" w:hAnsiTheme="minorHAnsi"/>
          <w:highlight w:val="white"/>
        </w:rPr>
        <w:t>BoP</w:t>
      </w:r>
      <w:proofErr w:type="spellEnd"/>
      <w:r w:rsidRPr="00382623">
        <w:rPr>
          <w:rFonts w:asciiTheme="minorHAnsi" w:hAnsiTheme="minorHAnsi"/>
          <w:highlight w:val="white"/>
        </w:rPr>
        <w:t xml:space="preserve"> populations</w:t>
      </w:r>
      <w:r w:rsidR="0071425B">
        <w:rPr>
          <w:rStyle w:val="FootnoteReference"/>
          <w:rFonts w:asciiTheme="minorHAnsi" w:hAnsiTheme="minorHAnsi"/>
          <w:highlight w:val="white"/>
        </w:rPr>
        <w:footnoteReference w:id="9"/>
      </w:r>
      <w:r w:rsidRPr="00382623">
        <w:rPr>
          <w:rFonts w:asciiTheme="minorHAnsi" w:hAnsiTheme="minorHAnsi"/>
          <w:highlight w:val="white"/>
        </w:rPr>
        <w:t>. These businesses range from employing local micro-entrepreneurs to sell solar lighting products in rural Peru</w:t>
      </w:r>
      <w:r w:rsidR="0071425B">
        <w:rPr>
          <w:rFonts w:asciiTheme="minorHAnsi" w:hAnsiTheme="minorHAnsi"/>
          <w:highlight w:val="white"/>
        </w:rPr>
        <w:t>,</w:t>
      </w:r>
      <w:r w:rsidRPr="00382623">
        <w:rPr>
          <w:rFonts w:asciiTheme="minorHAnsi" w:hAnsiTheme="minorHAnsi"/>
          <w:highlight w:val="white"/>
        </w:rPr>
        <w:t xml:space="preserve"> to hygiene education in public schools in Guatemala</w:t>
      </w:r>
      <w:r w:rsidR="0071425B">
        <w:rPr>
          <w:rFonts w:asciiTheme="minorHAnsi" w:hAnsiTheme="minorHAnsi"/>
          <w:highlight w:val="white"/>
        </w:rPr>
        <w:t>, and</w:t>
      </w:r>
      <w:r w:rsidRPr="00382623">
        <w:rPr>
          <w:rFonts w:asciiTheme="minorHAnsi" w:hAnsiTheme="minorHAnsi"/>
          <w:highlight w:val="white"/>
        </w:rPr>
        <w:t xml:space="preserve"> to an innovative process to install pipeline in off-the-</w:t>
      </w:r>
      <w:r w:rsidRPr="00DA2509">
        <w:rPr>
          <w:rFonts w:asciiTheme="minorHAnsi" w:hAnsiTheme="minorHAnsi"/>
          <w:color w:val="000000" w:themeColor="text1"/>
          <w:highlight w:val="white"/>
        </w:rPr>
        <w:t xml:space="preserve">grid regions of Chile in order to provide water access. </w:t>
      </w:r>
    </w:p>
    <w:p w:rsidR="00363B6E" w:rsidRPr="00DA2509" w:rsidRDefault="00363B6E" w:rsidP="00382623">
      <w:pPr>
        <w:pStyle w:val="Normal1"/>
        <w:spacing w:line="240" w:lineRule="auto"/>
        <w:jc w:val="both"/>
        <w:rPr>
          <w:rFonts w:asciiTheme="minorHAnsi" w:hAnsiTheme="minorHAnsi"/>
          <w:color w:val="000000" w:themeColor="text1"/>
          <w:sz w:val="24"/>
        </w:rPr>
      </w:pPr>
    </w:p>
    <w:p w:rsidR="005A0A19" w:rsidRPr="005A0A19" w:rsidRDefault="00A21103" w:rsidP="005A0A19">
      <w:pPr>
        <w:pStyle w:val="ListParagraph"/>
        <w:numPr>
          <w:ilvl w:val="1"/>
          <w:numId w:val="14"/>
        </w:numPr>
        <w:ind w:left="720" w:hanging="720"/>
        <w:jc w:val="both"/>
        <w:rPr>
          <w:rFonts w:ascii="Calibri" w:hAnsi="Calibri" w:cs="Arial"/>
          <w:snapToGrid/>
          <w:color w:val="000000" w:themeColor="text1"/>
          <w:szCs w:val="26"/>
          <w:lang w:eastAsia="en-US"/>
        </w:rPr>
      </w:pPr>
      <w:r w:rsidRPr="00DA2509">
        <w:rPr>
          <w:rFonts w:ascii="Calibri" w:hAnsi="Calibri" w:cs="Arial"/>
          <w:snapToGrid/>
          <w:color w:val="000000" w:themeColor="text1"/>
          <w:szCs w:val="26"/>
          <w:lang w:eastAsia="en-US"/>
        </w:rPr>
        <w:lastRenderedPageBreak/>
        <w:t>The Agora Accelerator distinguishes itself from its competitors</w:t>
      </w:r>
      <w:r w:rsidR="00530D27">
        <w:rPr>
          <w:rStyle w:val="FootnoteReference"/>
          <w:rFonts w:ascii="Calibri" w:hAnsi="Calibri"/>
          <w:snapToGrid/>
          <w:color w:val="000000" w:themeColor="text1"/>
          <w:szCs w:val="26"/>
          <w:lang w:eastAsia="en-US"/>
        </w:rPr>
        <w:footnoteReference w:id="10"/>
      </w:r>
      <w:r w:rsidRPr="00DA2509">
        <w:rPr>
          <w:rFonts w:ascii="Calibri" w:hAnsi="Calibri" w:cs="Arial"/>
          <w:snapToGrid/>
          <w:color w:val="000000" w:themeColor="text1"/>
          <w:szCs w:val="26"/>
          <w:lang w:eastAsia="en-US"/>
        </w:rPr>
        <w:t xml:space="preserve"> </w:t>
      </w:r>
      <w:r w:rsidR="0071425B">
        <w:rPr>
          <w:rFonts w:ascii="Calibri" w:hAnsi="Calibri" w:cs="Arial"/>
          <w:snapToGrid/>
          <w:color w:val="000000" w:themeColor="text1"/>
          <w:szCs w:val="26"/>
          <w:lang w:eastAsia="en-US"/>
        </w:rPr>
        <w:t xml:space="preserve">in the region </w:t>
      </w:r>
      <w:r w:rsidRPr="00DA2509">
        <w:rPr>
          <w:rFonts w:ascii="Calibri" w:hAnsi="Calibri" w:cs="Arial"/>
          <w:snapToGrid/>
          <w:color w:val="000000" w:themeColor="text1"/>
          <w:szCs w:val="26"/>
          <w:lang w:eastAsia="en-US"/>
        </w:rPr>
        <w:t>due to its unique, hands-on approach to consulting. Agora’s intensive program aims to both accelerate companies toward investment while also ensuring that participating companies have the proper foundation for growth</w:t>
      </w:r>
      <w:r w:rsidR="0071425B">
        <w:rPr>
          <w:rStyle w:val="FootnoteReference"/>
          <w:rFonts w:ascii="Calibri" w:hAnsi="Calibri"/>
          <w:snapToGrid/>
          <w:color w:val="000000" w:themeColor="text1"/>
          <w:szCs w:val="26"/>
          <w:lang w:eastAsia="en-US"/>
        </w:rPr>
        <w:footnoteReference w:id="11"/>
      </w:r>
      <w:r w:rsidRPr="00DA2509">
        <w:rPr>
          <w:rFonts w:ascii="Calibri" w:hAnsi="Calibri" w:cs="Arial"/>
          <w:snapToGrid/>
          <w:color w:val="000000" w:themeColor="text1"/>
          <w:szCs w:val="26"/>
          <w:lang w:eastAsia="en-US"/>
        </w:rPr>
        <w:t>.</w:t>
      </w:r>
      <w:r w:rsidR="00DC4A98" w:rsidRPr="00DA2509">
        <w:rPr>
          <w:rFonts w:ascii="Calibri" w:hAnsi="Calibri" w:cs="Arial"/>
          <w:snapToGrid/>
          <w:color w:val="000000" w:themeColor="text1"/>
          <w:szCs w:val="26"/>
          <w:lang w:eastAsia="en-US"/>
        </w:rPr>
        <w:t xml:space="preserve"> Agora’s program funnels many of the traditional elements of an </w:t>
      </w:r>
      <w:r w:rsidR="001F5E45">
        <w:rPr>
          <w:rFonts w:ascii="Calibri" w:hAnsi="Calibri" w:cs="Arial"/>
          <w:i/>
          <w:snapToGrid/>
          <w:color w:val="000000" w:themeColor="text1"/>
          <w:szCs w:val="26"/>
          <w:lang w:eastAsia="en-US"/>
        </w:rPr>
        <w:t>A</w:t>
      </w:r>
      <w:r w:rsidR="00DC4A98" w:rsidRPr="00DA2509">
        <w:rPr>
          <w:rFonts w:ascii="Calibri" w:hAnsi="Calibri" w:cs="Arial"/>
          <w:i/>
          <w:snapToGrid/>
          <w:color w:val="000000" w:themeColor="text1"/>
          <w:szCs w:val="26"/>
          <w:lang w:eastAsia="en-US"/>
        </w:rPr>
        <w:t>ccelerator</w:t>
      </w:r>
      <w:r w:rsidR="001F5E45">
        <w:rPr>
          <w:rFonts w:ascii="Calibri" w:hAnsi="Calibri" w:cs="Arial"/>
          <w:i/>
          <w:snapToGrid/>
          <w:color w:val="000000" w:themeColor="text1"/>
          <w:szCs w:val="26"/>
          <w:lang w:eastAsia="en-US"/>
        </w:rPr>
        <w:t xml:space="preserve"> Program</w:t>
      </w:r>
      <w:r w:rsidR="009A04F0" w:rsidRPr="00DA2509">
        <w:rPr>
          <w:rFonts w:ascii="Calibri" w:hAnsi="Calibri" w:cs="Arial"/>
          <w:snapToGrid/>
          <w:color w:val="000000" w:themeColor="text1"/>
          <w:szCs w:val="26"/>
          <w:lang w:eastAsia="en-US"/>
        </w:rPr>
        <w:t xml:space="preserve"> in an organized curriculum of mentors, consulting modules, thematic groups, trainings, speakers, events, and even homework to create both an in-depth and tailored experience.</w:t>
      </w:r>
      <w:r w:rsidR="00DC4A98" w:rsidRPr="00DA2509">
        <w:rPr>
          <w:rFonts w:ascii="Calibri" w:hAnsi="Calibri" w:cs="Arial"/>
          <w:snapToGrid/>
          <w:color w:val="000000" w:themeColor="text1"/>
          <w:szCs w:val="26"/>
          <w:lang w:eastAsia="en-US"/>
        </w:rPr>
        <w:t xml:space="preserve"> </w:t>
      </w:r>
      <w:r w:rsidRPr="00DA2509">
        <w:rPr>
          <w:rFonts w:ascii="Calibri" w:hAnsi="Calibri" w:cs="Arial"/>
          <w:snapToGrid/>
          <w:color w:val="000000" w:themeColor="text1"/>
          <w:szCs w:val="26"/>
          <w:lang w:eastAsia="en-US"/>
        </w:rPr>
        <w:t>Other differentiating features of the Accelerator include:</w:t>
      </w:r>
    </w:p>
    <w:p w:rsidR="005A0A19" w:rsidRDefault="005A0A19" w:rsidP="005A0A19">
      <w:pPr>
        <w:pStyle w:val="ListParagraph"/>
        <w:jc w:val="both"/>
        <w:rPr>
          <w:rFonts w:ascii="Calibri" w:hAnsi="Calibri" w:cs="Arial"/>
          <w:snapToGrid/>
          <w:color w:val="000000" w:themeColor="text1"/>
          <w:szCs w:val="26"/>
          <w:lang w:eastAsia="en-US"/>
        </w:rPr>
      </w:pPr>
    </w:p>
    <w:p w:rsidR="00B26B97" w:rsidRDefault="00A21103" w:rsidP="009C7086">
      <w:pPr>
        <w:pStyle w:val="ListParagraph"/>
        <w:widowControl w:val="0"/>
        <w:numPr>
          <w:ilvl w:val="0"/>
          <w:numId w:val="19"/>
        </w:numPr>
        <w:autoSpaceDE w:val="0"/>
        <w:autoSpaceDN w:val="0"/>
        <w:adjustRightInd w:val="0"/>
        <w:ind w:left="1170" w:hanging="450"/>
        <w:jc w:val="both"/>
        <w:rPr>
          <w:rFonts w:ascii="Calibri" w:hAnsi="Calibri" w:cs="Arial"/>
          <w:snapToGrid/>
          <w:color w:val="000000" w:themeColor="text1"/>
          <w:szCs w:val="26"/>
          <w:lang w:eastAsia="en-US"/>
        </w:rPr>
      </w:pPr>
      <w:r w:rsidRPr="00DA2509">
        <w:rPr>
          <w:rFonts w:ascii="Calibri" w:hAnsi="Calibri" w:cs="Arial"/>
          <w:snapToGrid/>
          <w:color w:val="000000" w:themeColor="text1"/>
          <w:szCs w:val="26"/>
          <w:lang w:eastAsia="en-US"/>
        </w:rPr>
        <w:t xml:space="preserve">The </w:t>
      </w:r>
      <w:r w:rsidR="00530D27">
        <w:rPr>
          <w:rFonts w:ascii="Calibri" w:hAnsi="Calibri" w:cs="Arial"/>
          <w:snapToGrid/>
          <w:color w:val="000000" w:themeColor="text1"/>
          <w:szCs w:val="26"/>
          <w:lang w:eastAsia="en-US"/>
        </w:rPr>
        <w:t>LAC focus</w:t>
      </w:r>
      <w:r w:rsidRPr="00DA2509">
        <w:rPr>
          <w:rFonts w:ascii="Calibri" w:hAnsi="Calibri" w:cs="Arial"/>
          <w:snapToGrid/>
          <w:color w:val="000000" w:themeColor="text1"/>
          <w:szCs w:val="26"/>
          <w:lang w:eastAsia="en-US"/>
        </w:rPr>
        <w:t xml:space="preserve"> of the </w:t>
      </w:r>
      <w:r w:rsidR="00EA23D7">
        <w:rPr>
          <w:rFonts w:ascii="Calibri" w:hAnsi="Calibri" w:cs="Arial"/>
          <w:snapToGrid/>
          <w:color w:val="000000" w:themeColor="text1"/>
          <w:szCs w:val="26"/>
          <w:lang w:eastAsia="en-US"/>
        </w:rPr>
        <w:t xml:space="preserve">Agora </w:t>
      </w:r>
      <w:r w:rsidRPr="00DA2509">
        <w:rPr>
          <w:rFonts w:ascii="Calibri" w:hAnsi="Calibri" w:cs="Arial"/>
          <w:snapToGrid/>
          <w:color w:val="000000" w:themeColor="text1"/>
          <w:szCs w:val="26"/>
          <w:lang w:eastAsia="en-US"/>
        </w:rPr>
        <w:t>Accelerator facilitates knowledge transfer</w:t>
      </w:r>
      <w:r w:rsidR="00442B2F" w:rsidRPr="00DA2509">
        <w:rPr>
          <w:rFonts w:ascii="Calibri" w:hAnsi="Calibri" w:cs="Arial"/>
          <w:snapToGrid/>
          <w:color w:val="000000" w:themeColor="text1"/>
          <w:szCs w:val="26"/>
          <w:lang w:eastAsia="en-US"/>
        </w:rPr>
        <w:t>s</w:t>
      </w:r>
      <w:r w:rsidRPr="00DA2509">
        <w:rPr>
          <w:rFonts w:ascii="Calibri" w:hAnsi="Calibri" w:cs="Arial"/>
          <w:snapToGrid/>
          <w:color w:val="000000" w:themeColor="text1"/>
          <w:szCs w:val="26"/>
          <w:lang w:eastAsia="en-US"/>
        </w:rPr>
        <w:t xml:space="preserve"> across international borders. </w:t>
      </w:r>
    </w:p>
    <w:p w:rsidR="00B26B97" w:rsidRDefault="000919E7" w:rsidP="009C7086">
      <w:pPr>
        <w:pStyle w:val="ListParagraph"/>
        <w:widowControl w:val="0"/>
        <w:numPr>
          <w:ilvl w:val="0"/>
          <w:numId w:val="19"/>
        </w:numPr>
        <w:autoSpaceDE w:val="0"/>
        <w:autoSpaceDN w:val="0"/>
        <w:adjustRightInd w:val="0"/>
        <w:ind w:left="1170" w:hanging="450"/>
        <w:jc w:val="both"/>
        <w:rPr>
          <w:rFonts w:ascii="Calibri" w:hAnsi="Calibri" w:cs="Arial"/>
          <w:snapToGrid/>
          <w:color w:val="000000" w:themeColor="text1"/>
          <w:szCs w:val="26"/>
          <w:lang w:eastAsia="en-US"/>
        </w:rPr>
      </w:pPr>
      <w:r>
        <w:rPr>
          <w:rFonts w:ascii="Calibri" w:hAnsi="Calibri" w:cs="Arial"/>
          <w:snapToGrid/>
          <w:color w:val="000000" w:themeColor="text1"/>
          <w:szCs w:val="26"/>
          <w:lang w:eastAsia="en-US"/>
        </w:rPr>
        <w:t>Agora</w:t>
      </w:r>
      <w:r w:rsidR="00A21103" w:rsidRPr="00DA2509">
        <w:rPr>
          <w:rFonts w:ascii="Calibri" w:hAnsi="Calibri" w:cs="Arial"/>
          <w:snapToGrid/>
          <w:color w:val="000000" w:themeColor="text1"/>
          <w:szCs w:val="26"/>
          <w:lang w:eastAsia="en-US"/>
        </w:rPr>
        <w:t xml:space="preserve"> engage</w:t>
      </w:r>
      <w:r>
        <w:rPr>
          <w:rFonts w:ascii="Calibri" w:hAnsi="Calibri" w:cs="Arial"/>
          <w:snapToGrid/>
          <w:color w:val="000000" w:themeColor="text1"/>
          <w:szCs w:val="26"/>
          <w:lang w:eastAsia="en-US"/>
        </w:rPr>
        <w:t>s</w:t>
      </w:r>
      <w:r w:rsidR="00A21103" w:rsidRPr="00DA2509">
        <w:rPr>
          <w:rFonts w:ascii="Calibri" w:hAnsi="Calibri" w:cs="Arial"/>
          <w:snapToGrid/>
          <w:color w:val="000000" w:themeColor="text1"/>
          <w:szCs w:val="26"/>
          <w:lang w:eastAsia="en-US"/>
        </w:rPr>
        <w:t xml:space="preserve"> in direct long-term relationships with the entrepreneurs, which allows for a high level of trust to be developed between the entrepreneur and their designated consultant. </w:t>
      </w:r>
    </w:p>
    <w:p w:rsidR="00B26B97" w:rsidRDefault="000919E7" w:rsidP="009C7086">
      <w:pPr>
        <w:pStyle w:val="ListParagraph"/>
        <w:widowControl w:val="0"/>
        <w:numPr>
          <w:ilvl w:val="0"/>
          <w:numId w:val="19"/>
        </w:numPr>
        <w:autoSpaceDE w:val="0"/>
        <w:autoSpaceDN w:val="0"/>
        <w:adjustRightInd w:val="0"/>
        <w:ind w:left="1170" w:hanging="450"/>
        <w:jc w:val="both"/>
        <w:rPr>
          <w:rFonts w:ascii="Calibri" w:hAnsi="Calibri" w:cs="Arial"/>
          <w:snapToGrid/>
          <w:color w:val="000000" w:themeColor="text1"/>
          <w:szCs w:val="26"/>
          <w:lang w:eastAsia="en-US"/>
        </w:rPr>
      </w:pPr>
      <w:r>
        <w:rPr>
          <w:rFonts w:ascii="Calibri" w:hAnsi="Calibri" w:cs="Arial"/>
          <w:snapToGrid/>
          <w:color w:val="000000" w:themeColor="text1"/>
          <w:szCs w:val="26"/>
          <w:lang w:eastAsia="en-US"/>
        </w:rPr>
        <w:t>Agora is</w:t>
      </w:r>
      <w:r w:rsidR="00A21103" w:rsidRPr="00DA2509">
        <w:rPr>
          <w:rFonts w:ascii="Calibri" w:hAnsi="Calibri" w:cs="Arial"/>
          <w:snapToGrid/>
          <w:color w:val="000000" w:themeColor="text1"/>
          <w:szCs w:val="26"/>
          <w:lang w:eastAsia="en-US"/>
        </w:rPr>
        <w:t xml:space="preserve"> able to provide high-touch, high-quality consulting services </w:t>
      </w:r>
      <w:r>
        <w:rPr>
          <w:rFonts w:ascii="Calibri" w:hAnsi="Calibri" w:cs="Arial"/>
          <w:snapToGrid/>
          <w:color w:val="000000" w:themeColor="text1"/>
          <w:szCs w:val="26"/>
          <w:lang w:eastAsia="en-US"/>
        </w:rPr>
        <w:t>at an affordable rate because it</w:t>
      </w:r>
      <w:r w:rsidR="00A21103" w:rsidRPr="00DA2509">
        <w:rPr>
          <w:rFonts w:ascii="Calibri" w:hAnsi="Calibri" w:cs="Arial"/>
          <w:snapToGrid/>
          <w:color w:val="000000" w:themeColor="text1"/>
          <w:szCs w:val="26"/>
          <w:lang w:eastAsia="en-US"/>
        </w:rPr>
        <w:t xml:space="preserve"> draw</w:t>
      </w:r>
      <w:r>
        <w:rPr>
          <w:rFonts w:ascii="Calibri" w:hAnsi="Calibri" w:cs="Arial"/>
          <w:snapToGrid/>
          <w:color w:val="000000" w:themeColor="text1"/>
          <w:szCs w:val="26"/>
          <w:lang w:eastAsia="en-US"/>
        </w:rPr>
        <w:t>s its</w:t>
      </w:r>
      <w:r w:rsidR="00A21103" w:rsidRPr="00DA2509">
        <w:rPr>
          <w:rFonts w:ascii="Calibri" w:hAnsi="Calibri" w:cs="Arial"/>
          <w:snapToGrid/>
          <w:color w:val="000000" w:themeColor="text1"/>
          <w:szCs w:val="26"/>
          <w:lang w:eastAsia="en-US"/>
        </w:rPr>
        <w:t xml:space="preserve"> talent pool from recent MBA graduates. </w:t>
      </w:r>
    </w:p>
    <w:p w:rsidR="00B26B97" w:rsidRDefault="000919E7" w:rsidP="009C7086">
      <w:pPr>
        <w:pStyle w:val="ListParagraph"/>
        <w:widowControl w:val="0"/>
        <w:numPr>
          <w:ilvl w:val="0"/>
          <w:numId w:val="19"/>
        </w:numPr>
        <w:autoSpaceDE w:val="0"/>
        <w:autoSpaceDN w:val="0"/>
        <w:adjustRightInd w:val="0"/>
        <w:ind w:left="1170" w:hanging="450"/>
        <w:jc w:val="both"/>
        <w:rPr>
          <w:rFonts w:ascii="Calibri" w:hAnsi="Calibri" w:cs="Arial"/>
          <w:snapToGrid/>
          <w:color w:val="000000" w:themeColor="text1"/>
          <w:szCs w:val="26"/>
          <w:lang w:eastAsia="en-US"/>
        </w:rPr>
      </w:pPr>
      <w:r>
        <w:rPr>
          <w:rFonts w:ascii="Calibri" w:hAnsi="Calibri" w:cs="Arial"/>
          <w:snapToGrid/>
          <w:color w:val="000000" w:themeColor="text1"/>
          <w:szCs w:val="26"/>
          <w:lang w:eastAsia="en-US"/>
        </w:rPr>
        <w:t>Agora has</w:t>
      </w:r>
      <w:r w:rsidR="00A21103" w:rsidRPr="00DA2509">
        <w:rPr>
          <w:rFonts w:ascii="Calibri" w:hAnsi="Calibri" w:cs="Arial"/>
          <w:snapToGrid/>
          <w:color w:val="000000" w:themeColor="text1"/>
          <w:szCs w:val="26"/>
          <w:lang w:eastAsia="en-US"/>
        </w:rPr>
        <w:t xml:space="preserve"> supported entrepreneurs for nearly a decade</w:t>
      </w:r>
      <w:r w:rsidR="00530D27">
        <w:rPr>
          <w:rStyle w:val="FootnoteReference"/>
          <w:rFonts w:ascii="Calibri" w:hAnsi="Calibri"/>
          <w:snapToGrid/>
          <w:color w:val="000000" w:themeColor="text1"/>
          <w:szCs w:val="26"/>
          <w:lang w:eastAsia="en-US"/>
        </w:rPr>
        <w:footnoteReference w:id="12"/>
      </w:r>
      <w:r>
        <w:rPr>
          <w:rFonts w:ascii="Calibri" w:hAnsi="Calibri" w:cs="Arial"/>
          <w:snapToGrid/>
          <w:color w:val="000000" w:themeColor="text1"/>
          <w:szCs w:val="26"/>
          <w:lang w:eastAsia="en-US"/>
        </w:rPr>
        <w:t>, learning</w:t>
      </w:r>
      <w:r w:rsidR="00A21103" w:rsidRPr="00DA2509">
        <w:rPr>
          <w:rFonts w:ascii="Calibri" w:hAnsi="Calibri" w:cs="Arial"/>
          <w:snapToGrid/>
          <w:color w:val="000000" w:themeColor="text1"/>
          <w:szCs w:val="26"/>
          <w:lang w:eastAsia="en-US"/>
        </w:rPr>
        <w:t xml:space="preserve"> from both successes and failures, and </w:t>
      </w:r>
      <w:r w:rsidRPr="00DA2509">
        <w:rPr>
          <w:rFonts w:ascii="Calibri" w:hAnsi="Calibri" w:cs="Arial"/>
          <w:snapToGrid/>
          <w:color w:val="000000" w:themeColor="text1"/>
          <w:szCs w:val="26"/>
          <w:lang w:eastAsia="en-US"/>
        </w:rPr>
        <w:t>apply</w:t>
      </w:r>
      <w:r>
        <w:rPr>
          <w:rFonts w:ascii="Calibri" w:hAnsi="Calibri" w:cs="Arial"/>
          <w:snapToGrid/>
          <w:color w:val="000000" w:themeColor="text1"/>
          <w:szCs w:val="26"/>
          <w:lang w:eastAsia="en-US"/>
        </w:rPr>
        <w:t>ing best practices to its</w:t>
      </w:r>
      <w:r w:rsidR="00A21103" w:rsidRPr="00DA2509">
        <w:rPr>
          <w:rFonts w:ascii="Calibri" w:hAnsi="Calibri" w:cs="Arial"/>
          <w:snapToGrid/>
          <w:color w:val="000000" w:themeColor="text1"/>
          <w:szCs w:val="26"/>
          <w:lang w:eastAsia="en-US"/>
        </w:rPr>
        <w:t xml:space="preserve"> process</w:t>
      </w:r>
      <w:r w:rsidR="00363B6E" w:rsidRPr="00DA2509">
        <w:rPr>
          <w:rFonts w:asciiTheme="minorHAnsi" w:hAnsiTheme="minorHAnsi"/>
          <w:color w:val="000000" w:themeColor="text1"/>
        </w:rPr>
        <w:t xml:space="preserve">. </w:t>
      </w:r>
    </w:p>
    <w:p w:rsidR="009648B2" w:rsidRPr="00DA2509" w:rsidRDefault="009648B2" w:rsidP="009648B2">
      <w:pPr>
        <w:pStyle w:val="Normal1"/>
        <w:spacing w:line="240" w:lineRule="auto"/>
        <w:rPr>
          <w:rFonts w:asciiTheme="minorHAnsi" w:hAnsiTheme="minorHAnsi"/>
          <w:color w:val="000000" w:themeColor="text1"/>
          <w:sz w:val="24"/>
        </w:rPr>
      </w:pPr>
    </w:p>
    <w:p w:rsidR="002B3E4E" w:rsidRDefault="002B3E4E">
      <w:pPr>
        <w:pStyle w:val="Paragraph"/>
        <w:spacing w:after="0"/>
        <w:rPr>
          <w:rFonts w:asciiTheme="minorHAnsi" w:hAnsiTheme="minorHAnsi"/>
          <w:b/>
          <w:color w:val="000000" w:themeColor="text1"/>
          <w:lang w:val="en-US"/>
        </w:rPr>
      </w:pPr>
      <w:r w:rsidRPr="00DA2509">
        <w:rPr>
          <w:rFonts w:asciiTheme="minorHAnsi" w:hAnsiTheme="minorHAnsi"/>
          <w:b/>
          <w:color w:val="000000" w:themeColor="text1"/>
          <w:lang w:val="en-US"/>
        </w:rPr>
        <w:t xml:space="preserve">B. </w:t>
      </w:r>
      <w:r w:rsidRPr="00DA2509">
        <w:rPr>
          <w:rFonts w:asciiTheme="minorHAnsi" w:hAnsiTheme="minorHAnsi"/>
          <w:b/>
          <w:color w:val="000000" w:themeColor="text1"/>
          <w:lang w:val="en-US"/>
        </w:rPr>
        <w:tab/>
      </w:r>
      <w:r w:rsidR="00303E32" w:rsidRPr="00DA2509">
        <w:rPr>
          <w:rFonts w:asciiTheme="minorHAnsi" w:hAnsiTheme="minorHAnsi"/>
          <w:b/>
          <w:color w:val="000000" w:themeColor="text1"/>
          <w:lang w:val="en-US"/>
        </w:rPr>
        <w:t>Project Beneficiaries</w:t>
      </w:r>
      <w:r w:rsidR="001C6E67" w:rsidRPr="00DA2509">
        <w:rPr>
          <w:rFonts w:asciiTheme="minorHAnsi" w:hAnsiTheme="minorHAnsi"/>
          <w:b/>
          <w:color w:val="000000" w:themeColor="text1"/>
          <w:lang w:val="en-US"/>
        </w:rPr>
        <w:t xml:space="preserve">: </w:t>
      </w:r>
    </w:p>
    <w:p w:rsidR="005A0A19" w:rsidRPr="00DA2509" w:rsidRDefault="005A0A19" w:rsidP="005A0A19">
      <w:pPr>
        <w:pStyle w:val="Paragraph"/>
        <w:spacing w:before="0" w:after="0"/>
        <w:rPr>
          <w:rFonts w:asciiTheme="minorHAnsi" w:hAnsiTheme="minorHAnsi"/>
          <w:color w:val="000000" w:themeColor="text1"/>
          <w:lang w:val="en-US"/>
        </w:rPr>
      </w:pPr>
    </w:p>
    <w:p w:rsidR="00382623" w:rsidRPr="002E7614" w:rsidRDefault="002703F5" w:rsidP="005A0A19">
      <w:pPr>
        <w:pStyle w:val="ListParagraph"/>
        <w:jc w:val="both"/>
        <w:rPr>
          <w:rFonts w:asciiTheme="minorHAnsi" w:hAnsiTheme="minorHAnsi"/>
          <w:b/>
          <w:color w:val="000000" w:themeColor="text1"/>
        </w:rPr>
      </w:pPr>
      <w:r w:rsidRPr="002703F5">
        <w:rPr>
          <w:rFonts w:asciiTheme="minorHAnsi" w:hAnsiTheme="minorHAnsi"/>
          <w:b/>
          <w:color w:val="000000" w:themeColor="text1"/>
        </w:rPr>
        <w:t xml:space="preserve">Agora Partnerships </w:t>
      </w:r>
    </w:p>
    <w:p w:rsidR="000D6C49" w:rsidRPr="00207D84" w:rsidRDefault="003B0FB2" w:rsidP="005A0A19">
      <w:pPr>
        <w:pStyle w:val="ListParagraph"/>
        <w:numPr>
          <w:ilvl w:val="1"/>
          <w:numId w:val="14"/>
        </w:numPr>
        <w:ind w:left="720" w:hanging="720"/>
        <w:jc w:val="both"/>
        <w:rPr>
          <w:rFonts w:asciiTheme="minorHAnsi" w:hAnsiTheme="minorHAnsi"/>
          <w:color w:val="000000" w:themeColor="text1"/>
        </w:rPr>
      </w:pPr>
      <w:r w:rsidRPr="00DA2509">
        <w:rPr>
          <w:rFonts w:asciiTheme="minorHAnsi" w:hAnsiTheme="minorHAnsi"/>
          <w:color w:val="000000" w:themeColor="text1"/>
        </w:rPr>
        <w:t xml:space="preserve">Executing a cohort of entrepreneurs focused on access to basic services will </w:t>
      </w:r>
      <w:r w:rsidR="00D02DFA">
        <w:rPr>
          <w:rFonts w:asciiTheme="minorHAnsi" w:hAnsiTheme="minorHAnsi"/>
          <w:color w:val="000000" w:themeColor="text1"/>
        </w:rPr>
        <w:t xml:space="preserve">accelerate </w:t>
      </w:r>
      <w:r w:rsidR="00D02DFA" w:rsidRPr="00207D84">
        <w:rPr>
          <w:rFonts w:asciiTheme="minorHAnsi" w:hAnsiTheme="minorHAnsi"/>
          <w:color w:val="000000" w:themeColor="text1"/>
        </w:rPr>
        <w:t>entrepreneurial</w:t>
      </w:r>
      <w:r w:rsidR="008C15EB" w:rsidRPr="00207D84">
        <w:rPr>
          <w:rFonts w:asciiTheme="minorHAnsi" w:hAnsiTheme="minorHAnsi"/>
          <w:color w:val="000000" w:themeColor="text1"/>
        </w:rPr>
        <w:t xml:space="preserve"> solutions t</w:t>
      </w:r>
      <w:r w:rsidRPr="00207D84">
        <w:rPr>
          <w:rFonts w:asciiTheme="minorHAnsi" w:hAnsiTheme="minorHAnsi"/>
          <w:color w:val="000000" w:themeColor="text1"/>
        </w:rPr>
        <w:t xml:space="preserve">o social and environmental problems across Latin America. </w:t>
      </w:r>
      <w:r w:rsidR="00DD1D89" w:rsidRPr="00207D84">
        <w:rPr>
          <w:rFonts w:asciiTheme="minorHAnsi" w:hAnsiTheme="minorHAnsi"/>
          <w:color w:val="000000" w:themeColor="text1"/>
        </w:rPr>
        <w:t xml:space="preserve">This project </w:t>
      </w:r>
      <w:r w:rsidR="000D6C49" w:rsidRPr="00207D84">
        <w:rPr>
          <w:rFonts w:asciiTheme="minorHAnsi" w:hAnsiTheme="minorHAnsi"/>
          <w:color w:val="000000" w:themeColor="text1"/>
        </w:rPr>
        <w:t>wi</w:t>
      </w:r>
      <w:r w:rsidR="00442B2F" w:rsidRPr="00207D84">
        <w:rPr>
          <w:rFonts w:asciiTheme="minorHAnsi" w:hAnsiTheme="minorHAnsi"/>
          <w:color w:val="000000" w:themeColor="text1"/>
        </w:rPr>
        <w:t>ll eliminate the cost barrier for entrepreneurs</w:t>
      </w:r>
      <w:r w:rsidR="000D6C49" w:rsidRPr="00207D84">
        <w:rPr>
          <w:rFonts w:asciiTheme="minorHAnsi" w:hAnsiTheme="minorHAnsi"/>
          <w:color w:val="000000" w:themeColor="text1"/>
        </w:rPr>
        <w:t xml:space="preserve"> participa</w:t>
      </w:r>
      <w:r w:rsidR="00442B2F" w:rsidRPr="00207D84">
        <w:rPr>
          <w:rFonts w:asciiTheme="minorHAnsi" w:hAnsiTheme="minorHAnsi"/>
          <w:color w:val="000000" w:themeColor="text1"/>
        </w:rPr>
        <w:t xml:space="preserve">ting in the </w:t>
      </w:r>
      <w:r w:rsidR="00EA23D7" w:rsidRPr="00207D84">
        <w:rPr>
          <w:rFonts w:asciiTheme="minorHAnsi" w:hAnsiTheme="minorHAnsi"/>
          <w:color w:val="000000" w:themeColor="text1"/>
        </w:rPr>
        <w:t xml:space="preserve">Agora </w:t>
      </w:r>
      <w:r w:rsidR="00442B2F" w:rsidRPr="00207D84">
        <w:rPr>
          <w:rFonts w:asciiTheme="minorHAnsi" w:hAnsiTheme="minorHAnsi"/>
          <w:color w:val="000000" w:themeColor="text1"/>
        </w:rPr>
        <w:t xml:space="preserve">Accelerator and </w:t>
      </w:r>
      <w:r w:rsidR="00EA23D7" w:rsidRPr="00207D84">
        <w:rPr>
          <w:rFonts w:asciiTheme="minorHAnsi" w:hAnsiTheme="minorHAnsi"/>
          <w:color w:val="000000" w:themeColor="text1"/>
        </w:rPr>
        <w:t xml:space="preserve">allow the organization to </w:t>
      </w:r>
      <w:r w:rsidR="00442B2F" w:rsidRPr="00207D84">
        <w:rPr>
          <w:rFonts w:asciiTheme="minorHAnsi" w:hAnsiTheme="minorHAnsi"/>
          <w:color w:val="000000" w:themeColor="text1"/>
        </w:rPr>
        <w:t xml:space="preserve">apply </w:t>
      </w:r>
      <w:r w:rsidR="00EA23D7" w:rsidRPr="00207D84">
        <w:rPr>
          <w:rFonts w:asciiTheme="minorHAnsi" w:hAnsiTheme="minorHAnsi"/>
          <w:color w:val="000000" w:themeColor="text1"/>
        </w:rPr>
        <w:t>its</w:t>
      </w:r>
      <w:r w:rsidR="00442B2F" w:rsidRPr="00207D84">
        <w:rPr>
          <w:rFonts w:asciiTheme="minorHAnsi" w:hAnsiTheme="minorHAnsi"/>
          <w:color w:val="000000" w:themeColor="text1"/>
        </w:rPr>
        <w:t xml:space="preserve"> methodology to 15 high-potential</w:t>
      </w:r>
      <w:r w:rsidR="000D6C49" w:rsidRPr="00207D84">
        <w:rPr>
          <w:rFonts w:asciiTheme="minorHAnsi" w:hAnsiTheme="minorHAnsi"/>
          <w:color w:val="000000" w:themeColor="text1"/>
        </w:rPr>
        <w:t xml:space="preserve"> en</w:t>
      </w:r>
      <w:r w:rsidR="00442B2F" w:rsidRPr="00207D84">
        <w:rPr>
          <w:rFonts w:asciiTheme="minorHAnsi" w:hAnsiTheme="minorHAnsi"/>
          <w:color w:val="000000" w:themeColor="text1"/>
        </w:rPr>
        <w:t>trepreneurs poised for sustainable</w:t>
      </w:r>
      <w:r w:rsidR="000D6C49" w:rsidRPr="00207D84">
        <w:rPr>
          <w:rFonts w:asciiTheme="minorHAnsi" w:hAnsiTheme="minorHAnsi"/>
          <w:color w:val="000000" w:themeColor="text1"/>
        </w:rPr>
        <w:t xml:space="preserve"> growth. Their impact stories and metrics </w:t>
      </w:r>
      <w:r w:rsidR="00337065" w:rsidRPr="00207D84">
        <w:rPr>
          <w:rFonts w:asciiTheme="minorHAnsi" w:hAnsiTheme="minorHAnsi"/>
          <w:color w:val="000000" w:themeColor="text1"/>
        </w:rPr>
        <w:t xml:space="preserve">generated from the </w:t>
      </w:r>
      <w:r w:rsidR="00592BD8" w:rsidRPr="00207D84">
        <w:rPr>
          <w:rFonts w:asciiTheme="minorHAnsi" w:hAnsiTheme="minorHAnsi"/>
          <w:color w:val="000000" w:themeColor="text1"/>
        </w:rPr>
        <w:t>initiative</w:t>
      </w:r>
      <w:r w:rsidR="00337065" w:rsidRPr="00207D84">
        <w:rPr>
          <w:rFonts w:asciiTheme="minorHAnsi" w:hAnsiTheme="minorHAnsi"/>
          <w:color w:val="000000" w:themeColor="text1"/>
        </w:rPr>
        <w:t xml:space="preserve"> </w:t>
      </w:r>
      <w:r w:rsidR="000D6C49" w:rsidRPr="00207D84">
        <w:rPr>
          <w:rFonts w:asciiTheme="minorHAnsi" w:hAnsiTheme="minorHAnsi"/>
          <w:color w:val="000000" w:themeColor="text1"/>
        </w:rPr>
        <w:t xml:space="preserve">serve to attract similar high-potential entrepreneurs in the future. </w:t>
      </w:r>
    </w:p>
    <w:p w:rsidR="005A0A19" w:rsidRPr="00DA2509" w:rsidRDefault="005A0A19" w:rsidP="005A0A19">
      <w:pPr>
        <w:pStyle w:val="ListParagraph"/>
        <w:jc w:val="both"/>
        <w:rPr>
          <w:rFonts w:asciiTheme="minorHAnsi" w:hAnsiTheme="minorHAnsi"/>
          <w:color w:val="000000" w:themeColor="text1"/>
        </w:rPr>
      </w:pPr>
    </w:p>
    <w:p w:rsidR="005A0A19" w:rsidRPr="005A0A19" w:rsidRDefault="00337065" w:rsidP="005A0A19">
      <w:pPr>
        <w:pStyle w:val="ListParagraph"/>
        <w:numPr>
          <w:ilvl w:val="1"/>
          <w:numId w:val="14"/>
        </w:numPr>
        <w:ind w:left="720" w:hanging="720"/>
        <w:jc w:val="both"/>
        <w:rPr>
          <w:rFonts w:asciiTheme="minorHAnsi" w:hAnsiTheme="minorHAnsi"/>
          <w:color w:val="000000" w:themeColor="text1"/>
        </w:rPr>
      </w:pPr>
      <w:r w:rsidRPr="00DA2509">
        <w:rPr>
          <w:rFonts w:asciiTheme="minorHAnsi" w:hAnsiTheme="minorHAnsi"/>
          <w:color w:val="000000" w:themeColor="text1"/>
        </w:rPr>
        <w:t xml:space="preserve">More strategically, this funding </w:t>
      </w:r>
      <w:r w:rsidR="00C34EED" w:rsidRPr="00DA2509">
        <w:rPr>
          <w:rFonts w:asciiTheme="minorHAnsi" w:hAnsiTheme="minorHAnsi"/>
          <w:color w:val="000000" w:themeColor="text1"/>
        </w:rPr>
        <w:t>will help</w:t>
      </w:r>
      <w:r w:rsidRPr="00DA2509">
        <w:rPr>
          <w:rFonts w:asciiTheme="minorHAnsi" w:hAnsiTheme="minorHAnsi"/>
          <w:color w:val="000000" w:themeColor="text1"/>
        </w:rPr>
        <w:t xml:space="preserve"> Agora launch its first dedicated “track” in </w:t>
      </w:r>
      <w:r w:rsidR="00EA23D7">
        <w:rPr>
          <w:rFonts w:asciiTheme="minorHAnsi" w:hAnsiTheme="minorHAnsi"/>
          <w:color w:val="000000" w:themeColor="text1"/>
        </w:rPr>
        <w:t>its</w:t>
      </w:r>
      <w:r w:rsidRPr="00DA2509">
        <w:rPr>
          <w:rFonts w:asciiTheme="minorHAnsi" w:hAnsiTheme="minorHAnsi"/>
          <w:color w:val="000000" w:themeColor="text1"/>
        </w:rPr>
        <w:t xml:space="preserve"> Accelerator</w:t>
      </w:r>
      <w:r w:rsidR="00EA23D7">
        <w:rPr>
          <w:rFonts w:asciiTheme="minorHAnsi" w:hAnsiTheme="minorHAnsi"/>
          <w:color w:val="000000" w:themeColor="text1"/>
        </w:rPr>
        <w:t xml:space="preserve"> Program</w:t>
      </w:r>
      <w:r w:rsidRPr="00DA2509">
        <w:rPr>
          <w:rFonts w:asciiTheme="minorHAnsi" w:hAnsiTheme="minorHAnsi"/>
          <w:color w:val="000000" w:themeColor="text1"/>
        </w:rPr>
        <w:t xml:space="preserve">. Since its inception in 2011, the </w:t>
      </w:r>
      <w:r w:rsidR="00EA23D7">
        <w:rPr>
          <w:rFonts w:asciiTheme="minorHAnsi" w:hAnsiTheme="minorHAnsi"/>
          <w:color w:val="000000" w:themeColor="text1"/>
        </w:rPr>
        <w:t xml:space="preserve">Agora </w:t>
      </w:r>
      <w:r w:rsidRPr="00DA2509">
        <w:rPr>
          <w:rFonts w:asciiTheme="minorHAnsi" w:hAnsiTheme="minorHAnsi"/>
          <w:color w:val="000000" w:themeColor="text1"/>
        </w:rPr>
        <w:t>Accelerator has</w:t>
      </w:r>
      <w:r w:rsidR="00C34EED" w:rsidRPr="00DA2509">
        <w:rPr>
          <w:rFonts w:asciiTheme="minorHAnsi" w:hAnsiTheme="minorHAnsi"/>
          <w:color w:val="000000" w:themeColor="text1"/>
        </w:rPr>
        <w:t xml:space="preserve"> remained sector-agnostic, accelerat</w:t>
      </w:r>
      <w:r w:rsidR="00EA23D7">
        <w:rPr>
          <w:rFonts w:asciiTheme="minorHAnsi" w:hAnsiTheme="minorHAnsi"/>
          <w:color w:val="000000" w:themeColor="text1"/>
        </w:rPr>
        <w:t>ing</w:t>
      </w:r>
      <w:r w:rsidR="00C34EED" w:rsidRPr="00DA2509">
        <w:rPr>
          <w:rFonts w:asciiTheme="minorHAnsi" w:hAnsiTheme="minorHAnsi"/>
          <w:color w:val="000000" w:themeColor="text1"/>
        </w:rPr>
        <w:t xml:space="preserve"> companies selected based off of their individual business models</w:t>
      </w:r>
      <w:r w:rsidR="00EA23D7">
        <w:rPr>
          <w:rFonts w:asciiTheme="minorHAnsi" w:hAnsiTheme="minorHAnsi"/>
          <w:color w:val="000000" w:themeColor="text1"/>
        </w:rPr>
        <w:t xml:space="preserve"> and</w:t>
      </w:r>
      <w:r w:rsidR="00C34EED" w:rsidRPr="00DA2509">
        <w:rPr>
          <w:rFonts w:asciiTheme="minorHAnsi" w:hAnsiTheme="minorHAnsi"/>
          <w:color w:val="000000" w:themeColor="text1"/>
        </w:rPr>
        <w:t xml:space="preserve"> not their association with a broader impact theme or industry. </w:t>
      </w:r>
      <w:r w:rsidR="00EA23D7">
        <w:rPr>
          <w:rFonts w:asciiTheme="minorHAnsi" w:hAnsiTheme="minorHAnsi"/>
          <w:color w:val="000000" w:themeColor="text1"/>
        </w:rPr>
        <w:t>For</w:t>
      </w:r>
      <w:r w:rsidR="00EA23D7" w:rsidRPr="00DA2509">
        <w:rPr>
          <w:rFonts w:asciiTheme="minorHAnsi" w:hAnsiTheme="minorHAnsi"/>
          <w:color w:val="000000" w:themeColor="text1"/>
        </w:rPr>
        <w:t xml:space="preserve"> </w:t>
      </w:r>
      <w:r w:rsidR="00C34EED" w:rsidRPr="00DA2509">
        <w:rPr>
          <w:rFonts w:asciiTheme="minorHAnsi" w:hAnsiTheme="minorHAnsi"/>
          <w:color w:val="000000" w:themeColor="text1"/>
        </w:rPr>
        <w:t xml:space="preserve">the class of 2015, Agora will organize its accelerator around industries and themes (called “cohorts”) to better and more efficiently funnel resources to participating </w:t>
      </w:r>
      <w:r w:rsidR="00C34EED" w:rsidRPr="00DA2509">
        <w:rPr>
          <w:rFonts w:asciiTheme="minorHAnsi" w:hAnsiTheme="minorHAnsi"/>
          <w:color w:val="000000" w:themeColor="text1"/>
        </w:rPr>
        <w:lastRenderedPageBreak/>
        <w:t xml:space="preserve">entrepreneurs. </w:t>
      </w:r>
      <w:r w:rsidR="00C34EED" w:rsidRPr="00DA2509">
        <w:rPr>
          <w:rFonts w:asciiTheme="minorHAnsi" w:hAnsiTheme="minorHAnsi"/>
          <w:i/>
          <w:color w:val="000000" w:themeColor="text1"/>
        </w:rPr>
        <w:t>Access to Basic Service</w:t>
      </w:r>
      <w:r w:rsidR="00C34EED" w:rsidRPr="00DA2509">
        <w:rPr>
          <w:rFonts w:asciiTheme="minorHAnsi" w:hAnsiTheme="minorHAnsi"/>
          <w:color w:val="000000" w:themeColor="text1"/>
        </w:rPr>
        <w:t xml:space="preserve"> will be </w:t>
      </w:r>
      <w:r w:rsidR="00DD1D89">
        <w:rPr>
          <w:rFonts w:asciiTheme="minorHAnsi" w:hAnsiTheme="minorHAnsi"/>
          <w:color w:val="000000" w:themeColor="text1"/>
        </w:rPr>
        <w:t>the</w:t>
      </w:r>
      <w:r w:rsidR="00C34EED" w:rsidRPr="00DA2509">
        <w:rPr>
          <w:rFonts w:asciiTheme="minorHAnsi" w:hAnsiTheme="minorHAnsi"/>
          <w:color w:val="000000" w:themeColor="text1"/>
        </w:rPr>
        <w:t xml:space="preserve"> first cohort, and thus, a central catalyst for launching </w:t>
      </w:r>
      <w:r w:rsidR="002E7614">
        <w:rPr>
          <w:rFonts w:asciiTheme="minorHAnsi" w:hAnsiTheme="minorHAnsi"/>
          <w:color w:val="000000" w:themeColor="text1"/>
        </w:rPr>
        <w:t>Agora’s</w:t>
      </w:r>
      <w:r w:rsidR="00C34EED" w:rsidRPr="00DA2509">
        <w:rPr>
          <w:rFonts w:asciiTheme="minorHAnsi" w:hAnsiTheme="minorHAnsi"/>
          <w:color w:val="000000" w:themeColor="text1"/>
        </w:rPr>
        <w:t xml:space="preserve"> improved model. </w:t>
      </w:r>
    </w:p>
    <w:p w:rsidR="005A0A19" w:rsidRPr="00DA2509" w:rsidRDefault="005A0A19" w:rsidP="005A0A19">
      <w:pPr>
        <w:pStyle w:val="ListParagraph"/>
        <w:jc w:val="both"/>
        <w:rPr>
          <w:rFonts w:asciiTheme="minorHAnsi" w:hAnsiTheme="minorHAnsi"/>
          <w:color w:val="000000" w:themeColor="text1"/>
        </w:rPr>
      </w:pPr>
    </w:p>
    <w:p w:rsidR="005A0A19" w:rsidRPr="005A0A19" w:rsidRDefault="00DD1D89" w:rsidP="005A0A19">
      <w:pPr>
        <w:pStyle w:val="ListParagraph"/>
        <w:numPr>
          <w:ilvl w:val="1"/>
          <w:numId w:val="14"/>
        </w:numPr>
        <w:ind w:left="720" w:hanging="720"/>
        <w:jc w:val="both"/>
        <w:rPr>
          <w:rFonts w:asciiTheme="minorHAnsi" w:hAnsiTheme="minorHAnsi"/>
          <w:color w:val="000000" w:themeColor="text1"/>
        </w:rPr>
      </w:pPr>
      <w:r>
        <w:rPr>
          <w:rFonts w:asciiTheme="minorHAnsi" w:hAnsiTheme="minorHAnsi"/>
          <w:color w:val="000000" w:themeColor="text1"/>
        </w:rPr>
        <w:t>The</w:t>
      </w:r>
      <w:r w:rsidR="00D02DFA">
        <w:rPr>
          <w:rFonts w:asciiTheme="minorHAnsi" w:hAnsiTheme="minorHAnsi"/>
          <w:color w:val="000000" w:themeColor="text1"/>
        </w:rPr>
        <w:t xml:space="preserve"> </w:t>
      </w:r>
      <w:r w:rsidR="00F75D49" w:rsidRPr="00DA2509">
        <w:rPr>
          <w:rFonts w:asciiTheme="minorHAnsi" w:hAnsiTheme="minorHAnsi"/>
          <w:color w:val="000000" w:themeColor="text1"/>
        </w:rPr>
        <w:t>funding allows for 15</w:t>
      </w:r>
      <w:r w:rsidR="00DB1FC6" w:rsidRPr="00DA2509">
        <w:rPr>
          <w:rFonts w:asciiTheme="minorHAnsi" w:hAnsiTheme="minorHAnsi"/>
          <w:color w:val="000000" w:themeColor="text1"/>
        </w:rPr>
        <w:t xml:space="preserve"> entrepreneurs to participate in the accelerator</w:t>
      </w:r>
      <w:r w:rsidR="00D02DFA">
        <w:rPr>
          <w:rFonts w:asciiTheme="minorHAnsi" w:hAnsiTheme="minorHAnsi"/>
          <w:color w:val="000000" w:themeColor="text1"/>
        </w:rPr>
        <w:t xml:space="preserve">. The </w:t>
      </w:r>
      <w:r w:rsidR="00DB1FC6" w:rsidRPr="00DA2509">
        <w:rPr>
          <w:rFonts w:asciiTheme="minorHAnsi" w:hAnsiTheme="minorHAnsi"/>
          <w:color w:val="000000" w:themeColor="text1"/>
        </w:rPr>
        <w:t>curriculum development</w:t>
      </w:r>
      <w:r w:rsidR="002E7614">
        <w:rPr>
          <w:rFonts w:asciiTheme="minorHAnsi" w:hAnsiTheme="minorHAnsi"/>
          <w:color w:val="000000" w:themeColor="text1"/>
        </w:rPr>
        <w:t xml:space="preserve"> that will be part of the TC</w:t>
      </w:r>
      <w:r w:rsidR="00DB1FC6" w:rsidRPr="00DA2509">
        <w:rPr>
          <w:rFonts w:asciiTheme="minorHAnsi" w:hAnsiTheme="minorHAnsi"/>
          <w:color w:val="000000" w:themeColor="text1"/>
        </w:rPr>
        <w:t xml:space="preserve"> will significantly strengthen the </w:t>
      </w:r>
      <w:r>
        <w:rPr>
          <w:rFonts w:asciiTheme="minorHAnsi" w:hAnsiTheme="minorHAnsi"/>
          <w:color w:val="000000" w:themeColor="text1"/>
        </w:rPr>
        <w:t xml:space="preserve">Agora </w:t>
      </w:r>
      <w:r w:rsidR="00DB1FC6" w:rsidRPr="00DA2509">
        <w:rPr>
          <w:rFonts w:asciiTheme="minorHAnsi" w:hAnsiTheme="minorHAnsi"/>
          <w:color w:val="000000" w:themeColor="text1"/>
        </w:rPr>
        <w:t>program,</w:t>
      </w:r>
      <w:r w:rsidR="00C34EED" w:rsidRPr="00DA2509">
        <w:rPr>
          <w:rFonts w:asciiTheme="minorHAnsi" w:hAnsiTheme="minorHAnsi"/>
          <w:color w:val="000000" w:themeColor="text1"/>
        </w:rPr>
        <w:t xml:space="preserve"> build</w:t>
      </w:r>
      <w:r>
        <w:rPr>
          <w:rFonts w:asciiTheme="minorHAnsi" w:hAnsiTheme="minorHAnsi"/>
          <w:color w:val="000000" w:themeColor="text1"/>
        </w:rPr>
        <w:t>ing a</w:t>
      </w:r>
      <w:r w:rsidR="00C34EED" w:rsidRPr="00DA2509">
        <w:rPr>
          <w:rFonts w:asciiTheme="minorHAnsi" w:hAnsiTheme="minorHAnsi"/>
          <w:color w:val="000000" w:themeColor="text1"/>
        </w:rPr>
        <w:t xml:space="preserve"> more specialized element to the </w:t>
      </w:r>
      <w:r w:rsidR="006A3C3F" w:rsidRPr="00DA2509">
        <w:rPr>
          <w:rFonts w:asciiTheme="minorHAnsi" w:hAnsiTheme="minorHAnsi"/>
          <w:color w:val="000000" w:themeColor="text1"/>
        </w:rPr>
        <w:t>overall Accelerator experience</w:t>
      </w:r>
      <w:r w:rsidR="00DB1FC6" w:rsidRPr="00DA2509">
        <w:rPr>
          <w:rFonts w:asciiTheme="minorHAnsi" w:hAnsiTheme="minorHAnsi"/>
          <w:color w:val="000000" w:themeColor="text1"/>
        </w:rPr>
        <w:t xml:space="preserve">. </w:t>
      </w:r>
    </w:p>
    <w:p w:rsidR="005A0A19" w:rsidRPr="00DA2509" w:rsidRDefault="005A0A19" w:rsidP="005A0A19">
      <w:pPr>
        <w:pStyle w:val="ListParagraph"/>
        <w:jc w:val="both"/>
        <w:rPr>
          <w:rFonts w:asciiTheme="minorHAnsi" w:hAnsiTheme="minorHAnsi"/>
          <w:color w:val="000000" w:themeColor="text1"/>
        </w:rPr>
      </w:pPr>
    </w:p>
    <w:p w:rsidR="005A0A19" w:rsidRDefault="0058173D" w:rsidP="005A0A19">
      <w:pPr>
        <w:pStyle w:val="ListParagraph"/>
        <w:numPr>
          <w:ilvl w:val="1"/>
          <w:numId w:val="14"/>
        </w:numPr>
        <w:ind w:left="720" w:hanging="720"/>
        <w:jc w:val="both"/>
        <w:rPr>
          <w:rFonts w:asciiTheme="minorHAnsi" w:hAnsiTheme="minorHAnsi"/>
          <w:color w:val="000000" w:themeColor="text1"/>
        </w:rPr>
      </w:pPr>
      <w:r>
        <w:rPr>
          <w:rFonts w:asciiTheme="minorHAnsi" w:hAnsiTheme="minorHAnsi"/>
          <w:color w:val="000000" w:themeColor="text1"/>
        </w:rPr>
        <w:t>T</w:t>
      </w:r>
      <w:r w:rsidR="003B0FB2" w:rsidRPr="00DA2509">
        <w:rPr>
          <w:rFonts w:asciiTheme="minorHAnsi" w:hAnsiTheme="minorHAnsi"/>
          <w:color w:val="000000" w:themeColor="text1"/>
        </w:rPr>
        <w:t xml:space="preserve">he success of this </w:t>
      </w:r>
      <w:r w:rsidR="002E7614">
        <w:rPr>
          <w:rFonts w:asciiTheme="minorHAnsi" w:hAnsiTheme="minorHAnsi"/>
          <w:color w:val="000000" w:themeColor="text1"/>
        </w:rPr>
        <w:t xml:space="preserve">basic services </w:t>
      </w:r>
      <w:r w:rsidR="003B0FB2" w:rsidRPr="00DA2509">
        <w:rPr>
          <w:rFonts w:asciiTheme="minorHAnsi" w:hAnsiTheme="minorHAnsi"/>
          <w:color w:val="000000" w:themeColor="text1"/>
        </w:rPr>
        <w:t xml:space="preserve">cohort </w:t>
      </w:r>
      <w:r w:rsidR="002E7614">
        <w:rPr>
          <w:rFonts w:asciiTheme="minorHAnsi" w:hAnsiTheme="minorHAnsi"/>
          <w:color w:val="000000" w:themeColor="text1"/>
        </w:rPr>
        <w:t xml:space="preserve">will </w:t>
      </w:r>
      <w:r w:rsidR="006A3C3F" w:rsidRPr="00DA2509">
        <w:rPr>
          <w:rFonts w:asciiTheme="minorHAnsi" w:hAnsiTheme="minorHAnsi"/>
          <w:color w:val="000000" w:themeColor="text1"/>
        </w:rPr>
        <w:t>set the stage for scaling Agora’s activities in the access to basic services space</w:t>
      </w:r>
      <w:r w:rsidR="003B0FB2" w:rsidRPr="00DA2509">
        <w:rPr>
          <w:rFonts w:asciiTheme="minorHAnsi" w:hAnsiTheme="minorHAnsi"/>
          <w:color w:val="000000" w:themeColor="text1"/>
        </w:rPr>
        <w:t xml:space="preserve"> over the next 3-5 </w:t>
      </w:r>
      <w:r w:rsidR="00DB1FC6" w:rsidRPr="00DA2509">
        <w:rPr>
          <w:rFonts w:asciiTheme="minorHAnsi" w:hAnsiTheme="minorHAnsi"/>
          <w:color w:val="000000" w:themeColor="text1"/>
        </w:rPr>
        <w:t xml:space="preserve">years. </w:t>
      </w:r>
      <w:r w:rsidR="00E824DA">
        <w:rPr>
          <w:rFonts w:asciiTheme="minorHAnsi" w:hAnsiTheme="minorHAnsi"/>
          <w:color w:val="000000" w:themeColor="text1"/>
        </w:rPr>
        <w:t xml:space="preserve">More specifically, pending a successful cohort of companies providing access to basic services in 2015, Agora plans to build an entire Accelerator in 2016 and 2017 comprised of 30 companies per year providing access to basic services. Including the 11 companies providing access to basic </w:t>
      </w:r>
      <w:r w:rsidR="00E824DA" w:rsidRPr="005A0A19">
        <w:rPr>
          <w:rFonts w:asciiTheme="minorHAnsi" w:hAnsiTheme="minorHAnsi"/>
          <w:color w:val="000000" w:themeColor="text1"/>
        </w:rPr>
        <w:t>services that have participated in the Agora Accelerator 2011-2014, Agora will have served 86 companies providing access to basic services by the end of 2017.</w:t>
      </w:r>
    </w:p>
    <w:p w:rsidR="005A0A19" w:rsidRPr="005A0A19" w:rsidRDefault="005A0A19" w:rsidP="005A0A19">
      <w:pPr>
        <w:pStyle w:val="ListParagraph"/>
        <w:rPr>
          <w:rFonts w:asciiTheme="minorHAnsi" w:hAnsiTheme="minorHAnsi"/>
          <w:color w:val="000000" w:themeColor="text1"/>
        </w:rPr>
      </w:pPr>
    </w:p>
    <w:p w:rsidR="005A0A19" w:rsidRPr="005A0A19" w:rsidRDefault="0058173D" w:rsidP="005A0A19">
      <w:pPr>
        <w:pStyle w:val="ListParagraph"/>
        <w:numPr>
          <w:ilvl w:val="1"/>
          <w:numId w:val="14"/>
        </w:numPr>
        <w:ind w:left="720" w:hanging="720"/>
        <w:jc w:val="both"/>
        <w:rPr>
          <w:rFonts w:asciiTheme="minorHAnsi" w:hAnsiTheme="minorHAnsi"/>
          <w:color w:val="000000" w:themeColor="text1"/>
        </w:rPr>
      </w:pPr>
      <w:r w:rsidRPr="005A0A19">
        <w:rPr>
          <w:rFonts w:asciiTheme="minorHAnsi" w:hAnsiTheme="minorHAnsi"/>
          <w:color w:val="000000" w:themeColor="text1"/>
        </w:rPr>
        <w:t>To support this expansion, Agora will partner with additional funders interested in increasing the provision of basic services to poor and vulnerable populations. Furthermore, Agora will build up partnerships with entrepreneurial networks and other organizations, individuals, and competitions that can source potential access to basic services compani</w:t>
      </w:r>
      <w:r w:rsidR="0056573D">
        <w:rPr>
          <w:rFonts w:asciiTheme="minorHAnsi" w:hAnsiTheme="minorHAnsi"/>
          <w:color w:val="000000" w:themeColor="text1"/>
        </w:rPr>
        <w:t>es for the Agora Accelerator. Agora</w:t>
      </w:r>
      <w:r w:rsidRPr="005A0A19">
        <w:rPr>
          <w:rFonts w:asciiTheme="minorHAnsi" w:hAnsiTheme="minorHAnsi"/>
          <w:color w:val="000000" w:themeColor="text1"/>
        </w:rPr>
        <w:t xml:space="preserve"> would also look forward to the opportunity </w:t>
      </w:r>
      <w:r w:rsidR="0056573D">
        <w:rPr>
          <w:rFonts w:asciiTheme="minorHAnsi" w:hAnsiTheme="minorHAnsi"/>
          <w:color w:val="000000" w:themeColor="text1"/>
        </w:rPr>
        <w:t>of partnering with other organizations, such as</w:t>
      </w:r>
      <w:r w:rsidRPr="005A0A19">
        <w:rPr>
          <w:rFonts w:asciiTheme="minorHAnsi" w:hAnsiTheme="minorHAnsi"/>
          <w:color w:val="000000" w:themeColor="text1"/>
        </w:rPr>
        <w:t xml:space="preserve"> OMJ, to create investment products for access to basic services companies that have graduated from the Agora Accelerator.</w:t>
      </w:r>
      <w:r w:rsidRPr="005A0A19">
        <w:rPr>
          <w:rFonts w:ascii="Times" w:hAnsi="Times"/>
          <w:snapToGrid/>
          <w:sz w:val="20"/>
          <w:szCs w:val="20"/>
          <w:lang w:eastAsia="en-US"/>
        </w:rPr>
        <w:t xml:space="preserve"> </w:t>
      </w:r>
    </w:p>
    <w:p w:rsidR="005A0A19" w:rsidRPr="005A0A19" w:rsidRDefault="005A0A19" w:rsidP="005A0A19">
      <w:pPr>
        <w:pStyle w:val="ListParagraph"/>
        <w:rPr>
          <w:rFonts w:asciiTheme="minorHAnsi" w:hAnsiTheme="minorHAnsi"/>
          <w:b/>
          <w:color w:val="000000" w:themeColor="text1"/>
        </w:rPr>
      </w:pPr>
    </w:p>
    <w:p w:rsidR="00B26B97" w:rsidRPr="005A0A19" w:rsidRDefault="000D6C49" w:rsidP="005A0A19">
      <w:pPr>
        <w:pStyle w:val="ListParagraph"/>
        <w:jc w:val="both"/>
        <w:rPr>
          <w:rFonts w:asciiTheme="minorHAnsi" w:hAnsiTheme="minorHAnsi"/>
          <w:b/>
          <w:color w:val="000000" w:themeColor="text1"/>
        </w:rPr>
      </w:pPr>
      <w:r w:rsidRPr="005A0A19">
        <w:rPr>
          <w:rFonts w:asciiTheme="minorHAnsi" w:hAnsiTheme="minorHAnsi"/>
          <w:b/>
          <w:color w:val="000000" w:themeColor="text1"/>
        </w:rPr>
        <w:t>Entrepreneurs</w:t>
      </w:r>
      <w:r w:rsidR="0081204A" w:rsidRPr="005A0A19">
        <w:rPr>
          <w:rFonts w:asciiTheme="minorHAnsi" w:hAnsiTheme="minorHAnsi"/>
          <w:b/>
          <w:color w:val="000000" w:themeColor="text1"/>
        </w:rPr>
        <w:t xml:space="preserve"> &amp; Investors</w:t>
      </w:r>
    </w:p>
    <w:p w:rsidR="005D242A" w:rsidRDefault="000D6C49" w:rsidP="005A0A19">
      <w:pPr>
        <w:pStyle w:val="ListParagraph"/>
        <w:numPr>
          <w:ilvl w:val="1"/>
          <w:numId w:val="14"/>
        </w:numPr>
        <w:ind w:left="720" w:hanging="720"/>
        <w:jc w:val="both"/>
        <w:rPr>
          <w:rFonts w:asciiTheme="minorHAnsi" w:hAnsiTheme="minorHAnsi"/>
          <w:color w:val="000000" w:themeColor="text1"/>
        </w:rPr>
      </w:pPr>
      <w:r w:rsidRPr="00DA2509">
        <w:rPr>
          <w:rFonts w:asciiTheme="minorHAnsi" w:hAnsiTheme="minorHAnsi"/>
          <w:color w:val="000000" w:themeColor="text1"/>
        </w:rPr>
        <w:t>Th</w:t>
      </w:r>
      <w:r w:rsidR="00F75D49" w:rsidRPr="00DA2509">
        <w:rPr>
          <w:rFonts w:asciiTheme="minorHAnsi" w:hAnsiTheme="minorHAnsi"/>
          <w:color w:val="000000" w:themeColor="text1"/>
        </w:rPr>
        <w:t>e cohort will be comprised of 15</w:t>
      </w:r>
      <w:r w:rsidRPr="00DA2509">
        <w:rPr>
          <w:rFonts w:asciiTheme="minorHAnsi" w:hAnsiTheme="minorHAnsi"/>
          <w:color w:val="000000" w:themeColor="text1"/>
        </w:rPr>
        <w:t xml:space="preserve"> companies from </w:t>
      </w:r>
      <w:r w:rsidR="002E7614">
        <w:rPr>
          <w:rFonts w:asciiTheme="minorHAnsi" w:hAnsiTheme="minorHAnsi"/>
          <w:color w:val="000000" w:themeColor="text1"/>
        </w:rPr>
        <w:t>Latin America and the Caribbean</w:t>
      </w:r>
      <w:r w:rsidRPr="00DA2509">
        <w:rPr>
          <w:rFonts w:asciiTheme="minorHAnsi" w:hAnsiTheme="minorHAnsi"/>
          <w:color w:val="000000" w:themeColor="text1"/>
        </w:rPr>
        <w:t xml:space="preserve"> that are providing access to basic services</w:t>
      </w:r>
      <w:r w:rsidR="005D242A" w:rsidRPr="00DA2509">
        <w:rPr>
          <w:rFonts w:asciiTheme="minorHAnsi" w:hAnsiTheme="minorHAnsi"/>
          <w:color w:val="000000" w:themeColor="text1"/>
        </w:rPr>
        <w:t xml:space="preserve"> </w:t>
      </w:r>
      <w:r w:rsidR="006A3C3F" w:rsidRPr="00DA2509">
        <w:rPr>
          <w:rFonts w:asciiTheme="minorHAnsi" w:hAnsiTheme="minorHAnsi"/>
          <w:color w:val="000000" w:themeColor="text1"/>
        </w:rPr>
        <w:t>with a particular focus on the areas</w:t>
      </w:r>
      <w:r w:rsidR="005D242A" w:rsidRPr="00DA2509">
        <w:rPr>
          <w:rFonts w:asciiTheme="minorHAnsi" w:hAnsiTheme="minorHAnsi"/>
          <w:color w:val="000000" w:themeColor="text1"/>
        </w:rPr>
        <w:t xml:space="preserve"> of housing, water, electricity, education and health</w:t>
      </w:r>
      <w:r w:rsidR="0058173D">
        <w:rPr>
          <w:rStyle w:val="FootnoteReference"/>
          <w:rFonts w:asciiTheme="minorHAnsi" w:hAnsiTheme="minorHAnsi"/>
          <w:color w:val="000000" w:themeColor="text1"/>
        </w:rPr>
        <w:footnoteReference w:id="13"/>
      </w:r>
      <w:r w:rsidRPr="00DA2509">
        <w:rPr>
          <w:rFonts w:asciiTheme="minorHAnsi" w:hAnsiTheme="minorHAnsi"/>
          <w:color w:val="000000" w:themeColor="text1"/>
        </w:rPr>
        <w:t>. The companies will be early-stage</w:t>
      </w:r>
      <w:r w:rsidR="002E7614">
        <w:rPr>
          <w:rFonts w:asciiTheme="minorHAnsi" w:hAnsiTheme="minorHAnsi"/>
          <w:color w:val="000000" w:themeColor="text1"/>
        </w:rPr>
        <w:t>,</w:t>
      </w:r>
      <w:r w:rsidRPr="00DA2509">
        <w:rPr>
          <w:rFonts w:asciiTheme="minorHAnsi" w:hAnsiTheme="minorHAnsi"/>
          <w:color w:val="000000" w:themeColor="text1"/>
        </w:rPr>
        <w:t xml:space="preserve"> </w:t>
      </w:r>
      <w:r w:rsidR="002E7614">
        <w:rPr>
          <w:rFonts w:asciiTheme="minorHAnsi" w:hAnsiTheme="minorHAnsi"/>
          <w:color w:val="000000" w:themeColor="text1"/>
        </w:rPr>
        <w:t xml:space="preserve">understood as </w:t>
      </w:r>
      <w:r w:rsidR="00F75D49" w:rsidRPr="00DA2509">
        <w:rPr>
          <w:rFonts w:asciiTheme="minorHAnsi" w:hAnsiTheme="minorHAnsi"/>
          <w:color w:val="000000" w:themeColor="text1"/>
        </w:rPr>
        <w:t>beyond proof-of-</w:t>
      </w:r>
      <w:r w:rsidRPr="00DA2509">
        <w:rPr>
          <w:rFonts w:asciiTheme="minorHAnsi" w:hAnsiTheme="minorHAnsi"/>
          <w:color w:val="000000" w:themeColor="text1"/>
        </w:rPr>
        <w:t>concept</w:t>
      </w:r>
      <w:r w:rsidR="002E7614">
        <w:rPr>
          <w:rFonts w:asciiTheme="minorHAnsi" w:hAnsiTheme="minorHAnsi"/>
          <w:color w:val="000000" w:themeColor="text1"/>
        </w:rPr>
        <w:t>,</w:t>
      </w:r>
      <w:r w:rsidRPr="00DA2509">
        <w:rPr>
          <w:rFonts w:asciiTheme="minorHAnsi" w:hAnsiTheme="minorHAnsi"/>
          <w:color w:val="000000" w:themeColor="text1"/>
        </w:rPr>
        <w:t xml:space="preserve"> and have US$100k-2MM in annual revenues</w:t>
      </w:r>
      <w:r w:rsidR="002E7614">
        <w:rPr>
          <w:rStyle w:val="FootnoteReference"/>
          <w:rFonts w:asciiTheme="minorHAnsi" w:hAnsiTheme="minorHAnsi"/>
          <w:color w:val="000000" w:themeColor="text1"/>
        </w:rPr>
        <w:footnoteReference w:id="14"/>
      </w:r>
      <w:r w:rsidRPr="00DA2509">
        <w:rPr>
          <w:rFonts w:asciiTheme="minorHAnsi" w:hAnsiTheme="minorHAnsi"/>
          <w:color w:val="000000" w:themeColor="text1"/>
        </w:rPr>
        <w:t>.</w:t>
      </w:r>
      <w:r w:rsidR="005D242A" w:rsidRPr="00DA2509">
        <w:rPr>
          <w:rFonts w:asciiTheme="minorHAnsi" w:hAnsiTheme="minorHAnsi"/>
          <w:color w:val="000000" w:themeColor="text1"/>
        </w:rPr>
        <w:t xml:space="preserve"> </w:t>
      </w:r>
      <w:r w:rsidR="008A4EE3" w:rsidRPr="00DA2509">
        <w:rPr>
          <w:rFonts w:asciiTheme="minorHAnsi" w:hAnsiTheme="minorHAnsi"/>
          <w:color w:val="000000" w:themeColor="text1"/>
        </w:rPr>
        <w:t xml:space="preserve"> Furthermore, these companies will be poised for financial investment (whether philanthropic or </w:t>
      </w:r>
      <w:r w:rsidR="00125051" w:rsidRPr="00DA2509">
        <w:rPr>
          <w:rFonts w:asciiTheme="minorHAnsi" w:hAnsiTheme="minorHAnsi"/>
          <w:color w:val="000000" w:themeColor="text1"/>
        </w:rPr>
        <w:t>growth-stage</w:t>
      </w:r>
      <w:r w:rsidR="008A4EE3" w:rsidRPr="00DA2509">
        <w:rPr>
          <w:rFonts w:asciiTheme="minorHAnsi" w:hAnsiTheme="minorHAnsi"/>
          <w:color w:val="000000" w:themeColor="text1"/>
        </w:rPr>
        <w:t>) within 6 to 18 months upon entrance into the</w:t>
      </w:r>
      <w:r w:rsidR="008F02A3">
        <w:rPr>
          <w:rFonts w:asciiTheme="minorHAnsi" w:hAnsiTheme="minorHAnsi"/>
          <w:color w:val="000000" w:themeColor="text1"/>
        </w:rPr>
        <w:t xml:space="preserve"> Agora</w:t>
      </w:r>
      <w:r w:rsidR="008A4EE3" w:rsidRPr="00DA2509">
        <w:rPr>
          <w:rFonts w:asciiTheme="minorHAnsi" w:hAnsiTheme="minorHAnsi"/>
          <w:color w:val="000000" w:themeColor="text1"/>
        </w:rPr>
        <w:t xml:space="preserve"> Accelerator. </w:t>
      </w:r>
    </w:p>
    <w:p w:rsidR="005A0A19" w:rsidRPr="00DA2509" w:rsidRDefault="005A0A19" w:rsidP="005A0A19">
      <w:pPr>
        <w:pStyle w:val="ListParagraph"/>
        <w:jc w:val="both"/>
        <w:rPr>
          <w:rFonts w:asciiTheme="minorHAnsi" w:hAnsiTheme="minorHAnsi"/>
          <w:color w:val="000000" w:themeColor="text1"/>
        </w:rPr>
      </w:pPr>
    </w:p>
    <w:p w:rsidR="005A0A19" w:rsidRPr="005A0A19" w:rsidRDefault="005D242A" w:rsidP="005A0A19">
      <w:pPr>
        <w:pStyle w:val="ListParagraph"/>
        <w:numPr>
          <w:ilvl w:val="1"/>
          <w:numId w:val="14"/>
        </w:numPr>
        <w:ind w:left="720" w:hanging="720"/>
        <w:jc w:val="both"/>
        <w:rPr>
          <w:rFonts w:asciiTheme="minorHAnsi" w:hAnsiTheme="minorHAnsi"/>
          <w:color w:val="000000" w:themeColor="text1"/>
        </w:rPr>
      </w:pPr>
      <w:r w:rsidRPr="00DA2509">
        <w:rPr>
          <w:rFonts w:asciiTheme="minorHAnsi" w:hAnsiTheme="minorHAnsi"/>
          <w:color w:val="000000" w:themeColor="text1"/>
        </w:rPr>
        <w:t>All companies will hav</w:t>
      </w:r>
      <w:r w:rsidR="008A4EE3" w:rsidRPr="00DA2509">
        <w:rPr>
          <w:rFonts w:asciiTheme="minorHAnsi" w:hAnsiTheme="minorHAnsi"/>
          <w:color w:val="000000" w:themeColor="text1"/>
        </w:rPr>
        <w:t xml:space="preserve">e clearly defined impact. One example of this impact could be </w:t>
      </w:r>
      <w:r w:rsidR="00CB234E">
        <w:rPr>
          <w:rFonts w:asciiTheme="minorHAnsi" w:hAnsiTheme="minorHAnsi"/>
          <w:color w:val="000000" w:themeColor="text1"/>
        </w:rPr>
        <w:t>significantly increasing income and other benefits for employees</w:t>
      </w:r>
      <w:r w:rsidRPr="00DA2509">
        <w:rPr>
          <w:rFonts w:asciiTheme="minorHAnsi" w:hAnsiTheme="minorHAnsi"/>
          <w:color w:val="000000" w:themeColor="text1"/>
        </w:rPr>
        <w:t xml:space="preserve">. </w:t>
      </w:r>
      <w:r w:rsidR="00CB234E">
        <w:rPr>
          <w:rFonts w:asciiTheme="minorHAnsi" w:hAnsiTheme="minorHAnsi"/>
          <w:color w:val="000000" w:themeColor="text1"/>
        </w:rPr>
        <w:t xml:space="preserve">Another example could be increasing savings for consumers by offering high quality but affordable products. </w:t>
      </w:r>
      <w:r w:rsidRPr="00DA2509">
        <w:rPr>
          <w:rFonts w:asciiTheme="minorHAnsi" w:hAnsiTheme="minorHAnsi"/>
          <w:color w:val="000000" w:themeColor="text1"/>
        </w:rPr>
        <w:t>Most companies will directly impact 500-2</w:t>
      </w:r>
      <w:r w:rsidR="008F02A3">
        <w:rPr>
          <w:rFonts w:asciiTheme="minorHAnsi" w:hAnsiTheme="minorHAnsi"/>
          <w:color w:val="000000" w:themeColor="text1"/>
        </w:rPr>
        <w:t>,</w:t>
      </w:r>
      <w:r w:rsidRPr="00DA2509">
        <w:rPr>
          <w:rFonts w:asciiTheme="minorHAnsi" w:hAnsiTheme="minorHAnsi"/>
          <w:color w:val="000000" w:themeColor="text1"/>
        </w:rPr>
        <w:t xml:space="preserve">000 individuals, with the potential to increase and </w:t>
      </w:r>
      <w:r w:rsidR="00125051" w:rsidRPr="00DA2509">
        <w:rPr>
          <w:rFonts w:asciiTheme="minorHAnsi" w:hAnsiTheme="minorHAnsi"/>
          <w:color w:val="000000" w:themeColor="text1"/>
        </w:rPr>
        <w:t xml:space="preserve">scale by a rate of </w:t>
      </w:r>
      <w:r w:rsidRPr="00DA2509">
        <w:rPr>
          <w:rFonts w:asciiTheme="minorHAnsi" w:hAnsiTheme="minorHAnsi"/>
          <w:color w:val="000000" w:themeColor="text1"/>
        </w:rPr>
        <w:t xml:space="preserve">5-10 times over the period of the investment. </w:t>
      </w:r>
    </w:p>
    <w:p w:rsidR="005A0A19" w:rsidRPr="00DA2509" w:rsidRDefault="005A0A19" w:rsidP="005A0A19">
      <w:pPr>
        <w:pStyle w:val="ListParagraph"/>
        <w:jc w:val="both"/>
        <w:rPr>
          <w:rFonts w:asciiTheme="minorHAnsi" w:hAnsiTheme="minorHAnsi"/>
          <w:color w:val="000000" w:themeColor="text1"/>
        </w:rPr>
      </w:pPr>
    </w:p>
    <w:p w:rsidR="00631AF5" w:rsidRDefault="00631AF5" w:rsidP="005A0A19">
      <w:pPr>
        <w:pStyle w:val="ListParagraph"/>
        <w:numPr>
          <w:ilvl w:val="1"/>
          <w:numId w:val="14"/>
        </w:numPr>
        <w:ind w:left="720" w:hanging="720"/>
        <w:jc w:val="both"/>
        <w:rPr>
          <w:rFonts w:asciiTheme="minorHAnsi" w:hAnsiTheme="minorHAnsi"/>
        </w:rPr>
      </w:pPr>
      <w:r w:rsidRPr="00631AF5">
        <w:rPr>
          <w:rFonts w:asciiTheme="minorHAnsi" w:hAnsiTheme="minorHAnsi"/>
        </w:rPr>
        <w:t xml:space="preserve">Due to their shared interest in providing access to basic services, Agora will be able to build trust and leverage the assets of each actor effectively, resulting in lowered </w:t>
      </w:r>
      <w:r w:rsidRPr="00631AF5">
        <w:rPr>
          <w:rFonts w:asciiTheme="minorHAnsi" w:hAnsiTheme="minorHAnsi"/>
        </w:rPr>
        <w:lastRenderedPageBreak/>
        <w:t xml:space="preserve">transaction costs and risk, increased efficiency, and maximized growth potential for the most important stakeholder: the entrepreneur. </w:t>
      </w:r>
    </w:p>
    <w:p w:rsidR="005A0A19" w:rsidRPr="005A0A19" w:rsidRDefault="005A0A19" w:rsidP="005A0A19">
      <w:pPr>
        <w:jc w:val="both"/>
        <w:rPr>
          <w:rFonts w:asciiTheme="minorHAnsi" w:hAnsiTheme="minorHAnsi"/>
        </w:rPr>
      </w:pPr>
    </w:p>
    <w:p w:rsidR="00A40324" w:rsidRDefault="00125051" w:rsidP="005A0A19">
      <w:pPr>
        <w:pStyle w:val="ListParagraph"/>
        <w:numPr>
          <w:ilvl w:val="1"/>
          <w:numId w:val="14"/>
        </w:numPr>
        <w:ind w:left="720" w:hanging="720"/>
        <w:jc w:val="both"/>
        <w:rPr>
          <w:rFonts w:asciiTheme="minorHAnsi" w:hAnsiTheme="minorHAnsi"/>
          <w:color w:val="000000" w:themeColor="text1"/>
        </w:rPr>
      </w:pPr>
      <w:r w:rsidRPr="00DA2509">
        <w:rPr>
          <w:rFonts w:asciiTheme="minorHAnsi" w:hAnsiTheme="minorHAnsi"/>
          <w:color w:val="000000" w:themeColor="text1"/>
        </w:rPr>
        <w:t xml:space="preserve">Furthermore, </w:t>
      </w:r>
      <w:r w:rsidR="005D242A" w:rsidRPr="00DA2509">
        <w:rPr>
          <w:rFonts w:asciiTheme="minorHAnsi" w:hAnsiTheme="minorHAnsi"/>
          <w:color w:val="000000" w:themeColor="text1"/>
        </w:rPr>
        <w:t xml:space="preserve">companies </w:t>
      </w:r>
      <w:r w:rsidRPr="00DA2509">
        <w:rPr>
          <w:rFonts w:asciiTheme="minorHAnsi" w:hAnsiTheme="minorHAnsi"/>
          <w:color w:val="000000" w:themeColor="text1"/>
        </w:rPr>
        <w:t>in this cohort will not have</w:t>
      </w:r>
      <w:r w:rsidR="005D242A" w:rsidRPr="00DA2509">
        <w:rPr>
          <w:rFonts w:asciiTheme="minorHAnsi" w:hAnsiTheme="minorHAnsi"/>
          <w:color w:val="000000" w:themeColor="text1"/>
        </w:rPr>
        <w:t xml:space="preserve"> participated in an accelerator</w:t>
      </w:r>
      <w:r w:rsidR="008F02A3">
        <w:rPr>
          <w:rFonts w:asciiTheme="minorHAnsi" w:hAnsiTheme="minorHAnsi"/>
          <w:color w:val="000000" w:themeColor="text1"/>
        </w:rPr>
        <w:t xml:space="preserve"> program</w:t>
      </w:r>
      <w:r w:rsidRPr="00DA2509">
        <w:rPr>
          <w:rFonts w:asciiTheme="minorHAnsi" w:hAnsiTheme="minorHAnsi"/>
          <w:color w:val="000000" w:themeColor="text1"/>
        </w:rPr>
        <w:t>,</w:t>
      </w:r>
      <w:r w:rsidR="00631AF5">
        <w:rPr>
          <w:rFonts w:asciiTheme="minorHAnsi" w:hAnsiTheme="minorHAnsi"/>
          <w:color w:val="000000" w:themeColor="text1"/>
        </w:rPr>
        <w:t xml:space="preserve"> </w:t>
      </w:r>
      <w:r w:rsidR="005D242A" w:rsidRPr="00DA2509">
        <w:rPr>
          <w:rFonts w:asciiTheme="minorHAnsi" w:hAnsiTheme="minorHAnsi"/>
          <w:color w:val="000000" w:themeColor="text1"/>
        </w:rPr>
        <w:t>and</w:t>
      </w:r>
      <w:r w:rsidRPr="00DA2509">
        <w:rPr>
          <w:rFonts w:asciiTheme="minorHAnsi" w:hAnsiTheme="minorHAnsi"/>
          <w:color w:val="000000" w:themeColor="text1"/>
        </w:rPr>
        <w:t xml:space="preserve"> thus,</w:t>
      </w:r>
      <w:r w:rsidR="005D242A" w:rsidRPr="00DA2509">
        <w:rPr>
          <w:rFonts w:asciiTheme="minorHAnsi" w:hAnsiTheme="minorHAnsi"/>
          <w:color w:val="000000" w:themeColor="text1"/>
        </w:rPr>
        <w:t xml:space="preserve"> will gain enormous benefit from all aspects of the accelerator services as well as from their peers in the cohort.</w:t>
      </w:r>
      <w:r w:rsidR="00BE561A">
        <w:rPr>
          <w:rFonts w:asciiTheme="minorHAnsi" w:hAnsiTheme="minorHAnsi"/>
          <w:color w:val="000000" w:themeColor="text1"/>
        </w:rPr>
        <w:t xml:space="preserve"> The Entrepreneur </w:t>
      </w:r>
      <w:r w:rsidR="00BE561A" w:rsidRPr="00631AF5">
        <w:rPr>
          <w:rFonts w:asciiTheme="minorHAnsi" w:hAnsiTheme="minorHAnsi"/>
          <w:color w:val="000000" w:themeColor="text1"/>
        </w:rPr>
        <w:t xml:space="preserve">Retreat will provide in-person space and time for peer-to-peer discussion, knowledge-sharing, and other interactions. The Entrepreneur Retreat will also allow entrepreneurs to interact with other entrepreneurs within the access to basic services cohort as well as entrepreneurs in other cohorts. During the consulting period of the Accelerator, there will be special programming tailored specifically to entrepreneurs in the access to basic services cohort such as webinars and other facilitated interaction time. Within the access to basic services cohort, </w:t>
      </w:r>
      <w:r w:rsidR="007B374D" w:rsidRPr="00631AF5">
        <w:rPr>
          <w:rFonts w:asciiTheme="minorHAnsi" w:hAnsiTheme="minorHAnsi"/>
          <w:color w:val="000000" w:themeColor="text1"/>
        </w:rPr>
        <w:t xml:space="preserve">there may be sub-groupings (depending on the make-up of the cohort) around topics such as water or electricity. </w:t>
      </w:r>
      <w:r w:rsidR="00A40324" w:rsidRPr="00631AF5">
        <w:rPr>
          <w:rFonts w:asciiTheme="minorHAnsi" w:hAnsiTheme="minorHAnsi"/>
          <w:color w:val="000000" w:themeColor="text1"/>
        </w:rPr>
        <w:t>These sub-groups could</w:t>
      </w:r>
      <w:r w:rsidR="00A40324">
        <w:rPr>
          <w:rFonts w:asciiTheme="minorHAnsi" w:hAnsiTheme="minorHAnsi"/>
          <w:color w:val="000000" w:themeColor="text1"/>
        </w:rPr>
        <w:t xml:space="preserve"> have access to special events organized around the topic or mentors with expertise on the topic. </w:t>
      </w:r>
    </w:p>
    <w:p w:rsidR="005A0A19" w:rsidRPr="005A0A19" w:rsidRDefault="005A0A19" w:rsidP="005A0A19">
      <w:pPr>
        <w:jc w:val="both"/>
        <w:rPr>
          <w:rFonts w:asciiTheme="minorHAnsi" w:hAnsiTheme="minorHAnsi"/>
          <w:color w:val="000000" w:themeColor="text1"/>
        </w:rPr>
      </w:pPr>
    </w:p>
    <w:p w:rsidR="005A0A19" w:rsidRPr="005A0A19" w:rsidRDefault="007B374D" w:rsidP="005A0A19">
      <w:pPr>
        <w:pStyle w:val="ListParagraph"/>
        <w:numPr>
          <w:ilvl w:val="1"/>
          <w:numId w:val="14"/>
        </w:numPr>
        <w:ind w:left="720" w:hanging="720"/>
        <w:jc w:val="both"/>
        <w:rPr>
          <w:rFonts w:asciiTheme="minorHAnsi" w:hAnsiTheme="minorHAnsi"/>
        </w:rPr>
      </w:pPr>
      <w:r>
        <w:rPr>
          <w:rFonts w:asciiTheme="minorHAnsi" w:hAnsiTheme="minorHAnsi"/>
          <w:color w:val="000000" w:themeColor="text1"/>
        </w:rPr>
        <w:t>Finally, t</w:t>
      </w:r>
      <w:r w:rsidR="00BE561A">
        <w:rPr>
          <w:rFonts w:asciiTheme="minorHAnsi" w:hAnsiTheme="minorHAnsi"/>
          <w:color w:val="000000" w:themeColor="text1"/>
        </w:rPr>
        <w:t xml:space="preserve">he cohort structure allows for a focused channeling of resources to a specific group of </w:t>
      </w:r>
      <w:r w:rsidR="00BE561A" w:rsidRPr="00631AF5">
        <w:rPr>
          <w:rFonts w:asciiTheme="minorHAnsi" w:hAnsiTheme="minorHAnsi"/>
          <w:color w:val="000000" w:themeColor="text1"/>
        </w:rPr>
        <w:t xml:space="preserve">entrepreneurs who are solving similar problems and who have the ability to use these resources to create real </w:t>
      </w:r>
      <w:r w:rsidR="00631AF5">
        <w:rPr>
          <w:rFonts w:asciiTheme="minorHAnsi" w:hAnsiTheme="minorHAnsi"/>
        </w:rPr>
        <w:t xml:space="preserve">impact. </w:t>
      </w:r>
      <w:r w:rsidR="008C431B" w:rsidRPr="00631AF5">
        <w:rPr>
          <w:rFonts w:asciiTheme="minorHAnsi" w:hAnsiTheme="minorHAnsi"/>
        </w:rPr>
        <w:t xml:space="preserve">The consultants working with the access to basic services cohort will </w:t>
      </w:r>
      <w:r w:rsidR="00E7064F">
        <w:rPr>
          <w:rFonts w:asciiTheme="minorHAnsi" w:hAnsiTheme="minorHAnsi"/>
        </w:rPr>
        <w:t>collaborate with</w:t>
      </w:r>
      <w:r w:rsidR="008C431B" w:rsidRPr="00631AF5">
        <w:rPr>
          <w:rFonts w:asciiTheme="minorHAnsi" w:hAnsiTheme="minorHAnsi"/>
        </w:rPr>
        <w:t xml:space="preserve"> strategic partners, government entities, and financial institutions to find synergies that will ultimately drive capital to companies in the cohort.</w:t>
      </w:r>
      <w:r w:rsidR="00631AF5">
        <w:rPr>
          <w:rFonts w:asciiTheme="minorHAnsi" w:hAnsiTheme="minorHAnsi"/>
        </w:rPr>
        <w:t xml:space="preserve"> </w:t>
      </w:r>
    </w:p>
    <w:p w:rsidR="005A0A19" w:rsidRPr="00631AF5" w:rsidRDefault="005A0A19" w:rsidP="005A0A19">
      <w:pPr>
        <w:pStyle w:val="ListParagraph"/>
        <w:jc w:val="both"/>
        <w:rPr>
          <w:rFonts w:asciiTheme="minorHAnsi" w:hAnsiTheme="minorHAnsi"/>
        </w:rPr>
      </w:pPr>
    </w:p>
    <w:p w:rsidR="003B0FB2" w:rsidRPr="0081204A" w:rsidRDefault="0081204A" w:rsidP="005A0A19">
      <w:pPr>
        <w:pStyle w:val="ListParagraph"/>
        <w:numPr>
          <w:ilvl w:val="1"/>
          <w:numId w:val="14"/>
        </w:numPr>
        <w:ind w:left="720" w:hanging="720"/>
        <w:jc w:val="both"/>
        <w:rPr>
          <w:rFonts w:asciiTheme="minorHAnsi" w:hAnsiTheme="minorHAnsi"/>
          <w:color w:val="000000" w:themeColor="text1"/>
        </w:rPr>
      </w:pPr>
      <w:r w:rsidRPr="00631AF5">
        <w:rPr>
          <w:rFonts w:asciiTheme="minorHAnsi" w:hAnsiTheme="minorHAnsi"/>
        </w:rPr>
        <w:t>In terms of investments</w:t>
      </w:r>
      <w:r w:rsidR="00715F6D">
        <w:rPr>
          <w:rStyle w:val="FootnoteReference"/>
          <w:rFonts w:asciiTheme="minorHAnsi" w:hAnsiTheme="minorHAnsi"/>
        </w:rPr>
        <w:footnoteReference w:id="15"/>
      </w:r>
      <w:r w:rsidRPr="00631AF5">
        <w:rPr>
          <w:rFonts w:asciiTheme="minorHAnsi" w:hAnsiTheme="minorHAnsi"/>
        </w:rPr>
        <w:t>, t</w:t>
      </w:r>
      <w:r w:rsidR="003B0FB2" w:rsidRPr="00631AF5">
        <w:rPr>
          <w:rFonts w:asciiTheme="minorHAnsi" w:hAnsiTheme="minorHAnsi"/>
        </w:rPr>
        <w:t>he project will significantly reduce the bottleneck that limits capital from flowing to entrepreneurs by eliminating the</w:t>
      </w:r>
      <w:r w:rsidR="003B0FB2" w:rsidRPr="00631AF5">
        <w:rPr>
          <w:rFonts w:asciiTheme="minorHAnsi" w:hAnsiTheme="minorHAnsi"/>
          <w:color w:val="000000" w:themeColor="text1"/>
        </w:rPr>
        <w:t xml:space="preserve"> following</w:t>
      </w:r>
      <w:r w:rsidR="003B0FB2" w:rsidRPr="0081204A">
        <w:rPr>
          <w:rFonts w:asciiTheme="minorHAnsi" w:hAnsiTheme="minorHAnsi"/>
          <w:color w:val="000000" w:themeColor="text1"/>
        </w:rPr>
        <w:t xml:space="preserve"> barriers:</w:t>
      </w:r>
    </w:p>
    <w:p w:rsidR="003B0FB2" w:rsidRPr="00DA2509" w:rsidRDefault="003B0FB2" w:rsidP="00006FC3">
      <w:pPr>
        <w:pStyle w:val="Paragraph"/>
        <w:numPr>
          <w:ilvl w:val="0"/>
          <w:numId w:val="15"/>
        </w:numPr>
        <w:ind w:left="990" w:hanging="270"/>
        <w:rPr>
          <w:rFonts w:asciiTheme="minorHAnsi" w:hAnsiTheme="minorHAnsi"/>
          <w:color w:val="000000" w:themeColor="text1"/>
          <w:lang w:val="en-US"/>
        </w:rPr>
      </w:pPr>
      <w:r w:rsidRPr="00DA2509">
        <w:rPr>
          <w:rFonts w:asciiTheme="minorHAnsi" w:hAnsiTheme="minorHAnsi"/>
          <w:color w:val="000000" w:themeColor="text1"/>
          <w:lang w:val="en-US"/>
        </w:rPr>
        <w:t xml:space="preserve">Deal Flow: Through </w:t>
      </w:r>
      <w:r w:rsidR="00C45BB9">
        <w:rPr>
          <w:rFonts w:asciiTheme="minorHAnsi" w:hAnsiTheme="minorHAnsi"/>
          <w:color w:val="000000" w:themeColor="text1"/>
          <w:lang w:val="en-US"/>
        </w:rPr>
        <w:t>the</w:t>
      </w:r>
      <w:r w:rsidR="0081204A">
        <w:rPr>
          <w:rFonts w:asciiTheme="minorHAnsi" w:hAnsiTheme="minorHAnsi"/>
          <w:color w:val="000000" w:themeColor="text1"/>
          <w:lang w:val="en-US"/>
        </w:rPr>
        <w:t xml:space="preserve"> </w:t>
      </w:r>
      <w:r w:rsidRPr="00DA2509">
        <w:rPr>
          <w:rFonts w:asciiTheme="minorHAnsi" w:hAnsiTheme="minorHAnsi"/>
          <w:color w:val="000000" w:themeColor="text1"/>
          <w:lang w:val="en-US"/>
        </w:rPr>
        <w:t>re</w:t>
      </w:r>
      <w:bookmarkStart w:id="2" w:name="_GoBack"/>
      <w:bookmarkEnd w:id="2"/>
      <w:r w:rsidRPr="00DA2509">
        <w:rPr>
          <w:rFonts w:asciiTheme="minorHAnsi" w:hAnsiTheme="minorHAnsi"/>
          <w:color w:val="000000" w:themeColor="text1"/>
          <w:lang w:val="en-US"/>
        </w:rPr>
        <w:t xml:space="preserve">cruitment and selection process, </w:t>
      </w:r>
      <w:r w:rsidR="0081204A">
        <w:rPr>
          <w:rFonts w:asciiTheme="minorHAnsi" w:hAnsiTheme="minorHAnsi"/>
          <w:color w:val="000000" w:themeColor="text1"/>
          <w:lang w:val="en-US"/>
        </w:rPr>
        <w:t>Agora</w:t>
      </w:r>
      <w:r w:rsidRPr="00DA2509">
        <w:rPr>
          <w:rFonts w:asciiTheme="minorHAnsi" w:hAnsiTheme="minorHAnsi"/>
          <w:color w:val="000000" w:themeColor="text1"/>
          <w:lang w:val="en-US"/>
        </w:rPr>
        <w:t xml:space="preserve"> create</w:t>
      </w:r>
      <w:r w:rsidR="0081204A">
        <w:rPr>
          <w:rFonts w:asciiTheme="minorHAnsi" w:hAnsiTheme="minorHAnsi"/>
          <w:color w:val="000000" w:themeColor="text1"/>
          <w:lang w:val="en-US"/>
        </w:rPr>
        <w:t>s</w:t>
      </w:r>
      <w:r w:rsidRPr="00DA2509">
        <w:rPr>
          <w:rFonts w:asciiTheme="minorHAnsi" w:hAnsiTheme="minorHAnsi"/>
          <w:color w:val="000000" w:themeColor="text1"/>
          <w:lang w:val="en-US"/>
        </w:rPr>
        <w:t xml:space="preserve"> a pipeline of potential deals for a variety of investors. The cap</w:t>
      </w:r>
      <w:r w:rsidR="0056573D">
        <w:rPr>
          <w:rFonts w:asciiTheme="minorHAnsi" w:hAnsiTheme="minorHAnsi"/>
          <w:color w:val="000000" w:themeColor="text1"/>
          <w:lang w:val="en-US"/>
        </w:rPr>
        <w:t>acity building components of the</w:t>
      </w:r>
      <w:r w:rsidRPr="00DA2509">
        <w:rPr>
          <w:rFonts w:asciiTheme="minorHAnsi" w:hAnsiTheme="minorHAnsi"/>
          <w:color w:val="000000" w:themeColor="text1"/>
          <w:lang w:val="en-US"/>
        </w:rPr>
        <w:t xml:space="preserve"> program ensure that these companies have sound business models and strong financials, and are able to effectively communicate with potential investors.</w:t>
      </w:r>
    </w:p>
    <w:p w:rsidR="003B0FB2" w:rsidRPr="00DA2509" w:rsidRDefault="003B0FB2" w:rsidP="00006FC3">
      <w:pPr>
        <w:pStyle w:val="Paragraph"/>
        <w:numPr>
          <w:ilvl w:val="0"/>
          <w:numId w:val="15"/>
        </w:numPr>
        <w:ind w:left="990" w:hanging="270"/>
        <w:rPr>
          <w:rFonts w:asciiTheme="minorHAnsi" w:hAnsiTheme="minorHAnsi"/>
          <w:color w:val="000000" w:themeColor="text1"/>
          <w:lang w:val="en-US"/>
        </w:rPr>
      </w:pPr>
      <w:r w:rsidRPr="00DA2509">
        <w:rPr>
          <w:rFonts w:asciiTheme="minorHAnsi" w:hAnsiTheme="minorHAnsi"/>
          <w:color w:val="000000" w:themeColor="text1"/>
          <w:lang w:val="en-US"/>
        </w:rPr>
        <w:t xml:space="preserve">Limited Exit Opportunities: </w:t>
      </w:r>
      <w:r w:rsidR="00C45BB9">
        <w:rPr>
          <w:rFonts w:asciiTheme="minorHAnsi" w:hAnsiTheme="minorHAnsi"/>
          <w:color w:val="000000" w:themeColor="text1"/>
          <w:lang w:val="en-US"/>
        </w:rPr>
        <w:t>The</w:t>
      </w:r>
      <w:r w:rsidR="00D02DFA">
        <w:rPr>
          <w:rFonts w:asciiTheme="minorHAnsi" w:hAnsiTheme="minorHAnsi"/>
          <w:color w:val="000000" w:themeColor="text1"/>
          <w:lang w:val="en-US"/>
        </w:rPr>
        <w:t xml:space="preserve"> </w:t>
      </w:r>
      <w:r w:rsidRPr="00DA2509">
        <w:rPr>
          <w:rFonts w:asciiTheme="minorHAnsi" w:hAnsiTheme="minorHAnsi"/>
          <w:color w:val="000000" w:themeColor="text1"/>
          <w:lang w:val="en-US"/>
        </w:rPr>
        <w:t xml:space="preserve">consulting and capital advisory services help entrepreneurs to structure terms that will allow them to retain control while ensuring investors a path to recover capital. </w:t>
      </w:r>
      <w:r w:rsidR="00C45BB9">
        <w:rPr>
          <w:rFonts w:asciiTheme="minorHAnsi" w:hAnsiTheme="minorHAnsi"/>
          <w:color w:val="000000" w:themeColor="text1"/>
          <w:lang w:val="en-US"/>
        </w:rPr>
        <w:t>Agora is</w:t>
      </w:r>
      <w:r w:rsidR="0081204A">
        <w:rPr>
          <w:rFonts w:asciiTheme="minorHAnsi" w:hAnsiTheme="minorHAnsi"/>
          <w:color w:val="000000" w:themeColor="text1"/>
          <w:lang w:val="en-US"/>
        </w:rPr>
        <w:t xml:space="preserve"> </w:t>
      </w:r>
      <w:r w:rsidRPr="00DA2509">
        <w:rPr>
          <w:rFonts w:asciiTheme="minorHAnsi" w:hAnsiTheme="minorHAnsi"/>
          <w:color w:val="000000" w:themeColor="text1"/>
          <w:lang w:val="en-US"/>
        </w:rPr>
        <w:t>increasingly supporting deals that utilize convertible debt, demand dividend</w:t>
      </w:r>
      <w:r w:rsidR="003154D3" w:rsidRPr="00DA2509">
        <w:rPr>
          <w:rStyle w:val="FootnoteReference"/>
          <w:rFonts w:asciiTheme="minorHAnsi" w:hAnsiTheme="minorHAnsi"/>
          <w:color w:val="000000" w:themeColor="text1"/>
          <w:lang w:val="en-US"/>
        </w:rPr>
        <w:footnoteReference w:id="16"/>
      </w:r>
      <w:r w:rsidRPr="00DA2509">
        <w:rPr>
          <w:rFonts w:asciiTheme="minorHAnsi" w:hAnsiTheme="minorHAnsi"/>
          <w:color w:val="000000" w:themeColor="text1"/>
          <w:lang w:val="en-US"/>
        </w:rPr>
        <w:t>, or other non-traditional mechanisms to provide flexibility to entrepreneurs and exits to investors.</w:t>
      </w:r>
    </w:p>
    <w:p w:rsidR="003B0FB2" w:rsidRPr="00DA2509" w:rsidRDefault="003B0FB2" w:rsidP="00006FC3">
      <w:pPr>
        <w:pStyle w:val="Paragraph"/>
        <w:numPr>
          <w:ilvl w:val="0"/>
          <w:numId w:val="15"/>
        </w:numPr>
        <w:ind w:left="990" w:hanging="270"/>
        <w:rPr>
          <w:rFonts w:asciiTheme="minorHAnsi" w:hAnsiTheme="minorHAnsi"/>
          <w:color w:val="000000" w:themeColor="text1"/>
          <w:lang w:val="en-US"/>
        </w:rPr>
      </w:pPr>
      <w:r w:rsidRPr="00DA2509">
        <w:rPr>
          <w:rFonts w:asciiTheme="minorHAnsi" w:hAnsiTheme="minorHAnsi"/>
          <w:color w:val="000000" w:themeColor="text1"/>
          <w:lang w:val="en-US"/>
        </w:rPr>
        <w:t xml:space="preserve">High Transaction Costs: </w:t>
      </w:r>
      <w:r w:rsidR="0081204A">
        <w:rPr>
          <w:rFonts w:asciiTheme="minorHAnsi" w:hAnsiTheme="minorHAnsi"/>
          <w:color w:val="000000" w:themeColor="text1"/>
          <w:lang w:val="en-US"/>
        </w:rPr>
        <w:t xml:space="preserve">Cost-efficient </w:t>
      </w:r>
      <w:r w:rsidRPr="00DA2509">
        <w:rPr>
          <w:rFonts w:asciiTheme="minorHAnsi" w:hAnsiTheme="minorHAnsi"/>
          <w:color w:val="000000" w:themeColor="text1"/>
          <w:lang w:val="en-US"/>
        </w:rPr>
        <w:t xml:space="preserve">consulting and capital advisory services prep entrepreneurs for due diligence. At </w:t>
      </w:r>
      <w:r w:rsidR="00C45BB9">
        <w:rPr>
          <w:rFonts w:asciiTheme="minorHAnsi" w:hAnsiTheme="minorHAnsi"/>
          <w:color w:val="000000" w:themeColor="text1"/>
          <w:lang w:val="en-US"/>
        </w:rPr>
        <w:t xml:space="preserve">the Agora </w:t>
      </w:r>
      <w:r w:rsidRPr="00DA2509">
        <w:rPr>
          <w:rFonts w:asciiTheme="minorHAnsi" w:hAnsiTheme="minorHAnsi"/>
          <w:color w:val="000000" w:themeColor="text1"/>
          <w:lang w:val="en-US"/>
        </w:rPr>
        <w:t xml:space="preserve">Entrepreneur Retreat and Impact Investing in Action (IIA) conference, investors have the opportunity to meet with multiple companies. </w:t>
      </w:r>
      <w:r w:rsidR="00C45BB9">
        <w:rPr>
          <w:rFonts w:asciiTheme="minorHAnsi" w:hAnsiTheme="minorHAnsi"/>
          <w:color w:val="000000" w:themeColor="text1"/>
          <w:lang w:val="en-US"/>
        </w:rPr>
        <w:t>The</w:t>
      </w:r>
      <w:r w:rsidRPr="00DA2509">
        <w:rPr>
          <w:rFonts w:asciiTheme="minorHAnsi" w:hAnsiTheme="minorHAnsi"/>
          <w:color w:val="000000" w:themeColor="text1"/>
          <w:lang w:val="en-US"/>
        </w:rPr>
        <w:t xml:space="preserve"> investor matchmaking services connect the right investors with the right companies.</w:t>
      </w:r>
    </w:p>
    <w:p w:rsidR="00006FC3" w:rsidRDefault="003B0FB2" w:rsidP="00006FC3">
      <w:pPr>
        <w:pStyle w:val="Paragraph"/>
        <w:numPr>
          <w:ilvl w:val="0"/>
          <w:numId w:val="15"/>
        </w:numPr>
        <w:ind w:left="990" w:hanging="270"/>
        <w:rPr>
          <w:rFonts w:asciiTheme="minorHAnsi" w:hAnsiTheme="minorHAnsi"/>
          <w:color w:val="000000" w:themeColor="text1"/>
          <w:lang w:val="en-US"/>
        </w:rPr>
      </w:pPr>
      <w:r w:rsidRPr="00DA2509">
        <w:rPr>
          <w:rFonts w:asciiTheme="minorHAnsi" w:hAnsiTheme="minorHAnsi"/>
          <w:color w:val="000000" w:themeColor="text1"/>
          <w:lang w:val="en-US"/>
        </w:rPr>
        <w:lastRenderedPageBreak/>
        <w:t xml:space="preserve">Few Co-Investment Opportunities: Agora facilitates co-investment in several ways. </w:t>
      </w:r>
      <w:r w:rsidR="0081204A">
        <w:rPr>
          <w:rFonts w:asciiTheme="minorHAnsi" w:hAnsiTheme="minorHAnsi"/>
          <w:color w:val="000000" w:themeColor="text1"/>
          <w:lang w:val="en-US"/>
        </w:rPr>
        <w:t xml:space="preserve">Agora’s </w:t>
      </w:r>
      <w:r w:rsidRPr="00DA2509">
        <w:rPr>
          <w:rFonts w:asciiTheme="minorHAnsi" w:hAnsiTheme="minorHAnsi"/>
          <w:color w:val="000000" w:themeColor="text1"/>
          <w:lang w:val="en-US"/>
        </w:rPr>
        <w:t>Impact Investing in Action (IIA)</w:t>
      </w:r>
      <w:r w:rsidR="0081204A">
        <w:rPr>
          <w:rFonts w:asciiTheme="minorHAnsi" w:hAnsiTheme="minorHAnsi"/>
          <w:color w:val="000000" w:themeColor="text1"/>
          <w:lang w:val="en-US"/>
        </w:rPr>
        <w:t xml:space="preserve"> conference</w:t>
      </w:r>
      <w:r w:rsidRPr="00DA2509">
        <w:rPr>
          <w:rFonts w:asciiTheme="minorHAnsi" w:hAnsiTheme="minorHAnsi"/>
          <w:color w:val="000000" w:themeColor="text1"/>
          <w:lang w:val="en-US"/>
        </w:rPr>
        <w:t xml:space="preserve"> provides a key venue for investors to meet and identify shared interests. </w:t>
      </w:r>
      <w:r w:rsidR="00C45BB9">
        <w:rPr>
          <w:rFonts w:asciiTheme="minorHAnsi" w:hAnsiTheme="minorHAnsi"/>
          <w:color w:val="000000" w:themeColor="text1"/>
          <w:lang w:val="en-US"/>
        </w:rPr>
        <w:t>I</w:t>
      </w:r>
      <w:r w:rsidRPr="00DA2509">
        <w:rPr>
          <w:rFonts w:asciiTheme="minorHAnsi" w:hAnsiTheme="minorHAnsi"/>
          <w:color w:val="000000" w:themeColor="text1"/>
          <w:lang w:val="en-US"/>
        </w:rPr>
        <w:t>nvestor matchmaking services encourage capital coordination, and innovative partnerships such as the Agora-</w:t>
      </w:r>
      <w:proofErr w:type="spellStart"/>
      <w:r w:rsidRPr="00DA2509">
        <w:rPr>
          <w:rFonts w:asciiTheme="minorHAnsi" w:hAnsiTheme="minorHAnsi"/>
          <w:color w:val="000000" w:themeColor="text1"/>
          <w:lang w:val="en-US"/>
        </w:rPr>
        <w:t>Eleos</w:t>
      </w:r>
      <w:proofErr w:type="spellEnd"/>
      <w:r w:rsidRPr="00DA2509">
        <w:rPr>
          <w:rFonts w:asciiTheme="minorHAnsi" w:hAnsiTheme="minorHAnsi"/>
          <w:color w:val="000000" w:themeColor="text1"/>
          <w:lang w:val="en-US"/>
        </w:rPr>
        <w:t xml:space="preserve"> Latin American Women’s Fund</w:t>
      </w:r>
      <w:r w:rsidR="00CB234E">
        <w:rPr>
          <w:rStyle w:val="FootnoteReference"/>
          <w:rFonts w:asciiTheme="minorHAnsi" w:hAnsiTheme="minorHAnsi"/>
          <w:color w:val="000000" w:themeColor="text1"/>
          <w:lang w:val="en-US"/>
        </w:rPr>
        <w:footnoteReference w:id="17"/>
      </w:r>
      <w:r w:rsidRPr="00DA2509">
        <w:rPr>
          <w:rFonts w:asciiTheme="minorHAnsi" w:hAnsiTheme="minorHAnsi"/>
          <w:color w:val="000000" w:themeColor="text1"/>
          <w:lang w:val="en-US"/>
        </w:rPr>
        <w:t xml:space="preserve"> </w:t>
      </w:r>
      <w:r w:rsidR="00C45BB9">
        <w:rPr>
          <w:rFonts w:asciiTheme="minorHAnsi" w:hAnsiTheme="minorHAnsi"/>
          <w:color w:val="000000" w:themeColor="text1"/>
          <w:lang w:val="en-US"/>
        </w:rPr>
        <w:t xml:space="preserve">that </w:t>
      </w:r>
      <w:r w:rsidRPr="00DA2509">
        <w:rPr>
          <w:rFonts w:asciiTheme="minorHAnsi" w:hAnsiTheme="minorHAnsi"/>
          <w:color w:val="000000" w:themeColor="text1"/>
          <w:lang w:val="en-US"/>
        </w:rPr>
        <w:t>enable</w:t>
      </w:r>
      <w:r w:rsidR="00C45BB9">
        <w:rPr>
          <w:rFonts w:asciiTheme="minorHAnsi" w:hAnsiTheme="minorHAnsi"/>
          <w:color w:val="000000" w:themeColor="text1"/>
          <w:lang w:val="en-US"/>
        </w:rPr>
        <w:t>s</w:t>
      </w:r>
      <w:r w:rsidRPr="00DA2509">
        <w:rPr>
          <w:rFonts w:asciiTheme="minorHAnsi" w:hAnsiTheme="minorHAnsi"/>
          <w:color w:val="000000" w:themeColor="text1"/>
          <w:lang w:val="en-US"/>
        </w:rPr>
        <w:t xml:space="preserve"> investors to efficiently share due diligence and legal costs.</w:t>
      </w:r>
    </w:p>
    <w:p w:rsidR="003B0FB2" w:rsidRPr="00006FC3" w:rsidRDefault="003B0FB2" w:rsidP="00006FC3">
      <w:pPr>
        <w:pStyle w:val="Paragraph"/>
        <w:tabs>
          <w:tab w:val="clear" w:pos="720"/>
        </w:tabs>
        <w:ind w:firstLine="0"/>
        <w:rPr>
          <w:rFonts w:asciiTheme="minorHAnsi" w:hAnsiTheme="minorHAnsi"/>
          <w:b/>
          <w:color w:val="000000" w:themeColor="text1"/>
          <w:lang w:val="en-US"/>
        </w:rPr>
      </w:pPr>
      <w:r w:rsidRPr="00006FC3">
        <w:rPr>
          <w:rFonts w:asciiTheme="minorHAnsi" w:hAnsiTheme="minorHAnsi"/>
          <w:b/>
          <w:color w:val="000000" w:themeColor="text1"/>
          <w:lang w:val="en-US"/>
        </w:rPr>
        <w:t>Indirect Beneficiaries</w:t>
      </w:r>
    </w:p>
    <w:p w:rsidR="003B0FB2" w:rsidRDefault="003B0FB2" w:rsidP="00006FC3">
      <w:pPr>
        <w:pStyle w:val="ListParagraph"/>
        <w:numPr>
          <w:ilvl w:val="1"/>
          <w:numId w:val="14"/>
        </w:numPr>
        <w:ind w:left="720" w:hanging="720"/>
        <w:jc w:val="both"/>
        <w:rPr>
          <w:rFonts w:asciiTheme="minorHAnsi" w:hAnsiTheme="minorHAnsi"/>
          <w:color w:val="000000" w:themeColor="text1"/>
        </w:rPr>
      </w:pPr>
      <w:r w:rsidRPr="00DA2509">
        <w:rPr>
          <w:rFonts w:asciiTheme="minorHAnsi" w:hAnsiTheme="minorHAnsi"/>
          <w:color w:val="000000" w:themeColor="text1"/>
        </w:rPr>
        <w:t xml:space="preserve">The </w:t>
      </w:r>
      <w:r w:rsidR="00B44270">
        <w:rPr>
          <w:rFonts w:asciiTheme="minorHAnsi" w:hAnsiTheme="minorHAnsi"/>
          <w:color w:val="000000" w:themeColor="text1"/>
        </w:rPr>
        <w:t>final</w:t>
      </w:r>
      <w:r w:rsidRPr="00DA2509">
        <w:rPr>
          <w:rFonts w:asciiTheme="minorHAnsi" w:hAnsiTheme="minorHAnsi"/>
          <w:color w:val="000000" w:themeColor="text1"/>
        </w:rPr>
        <w:t xml:space="preserve"> beneficiaries are </w:t>
      </w:r>
      <w:proofErr w:type="spellStart"/>
      <w:r w:rsidRPr="00DA2509">
        <w:rPr>
          <w:rFonts w:asciiTheme="minorHAnsi" w:hAnsiTheme="minorHAnsi"/>
          <w:color w:val="000000" w:themeColor="text1"/>
        </w:rPr>
        <w:t>BoP</w:t>
      </w:r>
      <w:proofErr w:type="spellEnd"/>
      <w:r w:rsidRPr="00DA2509">
        <w:rPr>
          <w:rFonts w:asciiTheme="minorHAnsi" w:hAnsiTheme="minorHAnsi"/>
          <w:color w:val="000000" w:themeColor="text1"/>
        </w:rPr>
        <w:t xml:space="preserve"> populations in Latin America </w:t>
      </w:r>
      <w:r w:rsidR="00382623" w:rsidRPr="00DA2509">
        <w:rPr>
          <w:rFonts w:asciiTheme="minorHAnsi" w:hAnsiTheme="minorHAnsi"/>
          <w:color w:val="000000" w:themeColor="text1"/>
        </w:rPr>
        <w:t xml:space="preserve">who are granted access to basic </w:t>
      </w:r>
      <w:r w:rsidRPr="00DA2509">
        <w:rPr>
          <w:rFonts w:asciiTheme="minorHAnsi" w:hAnsiTheme="minorHAnsi"/>
          <w:color w:val="000000" w:themeColor="text1"/>
        </w:rPr>
        <w:t>services</w:t>
      </w:r>
      <w:r w:rsidR="00BD082C">
        <w:rPr>
          <w:rFonts w:asciiTheme="minorHAnsi" w:hAnsiTheme="minorHAnsi"/>
          <w:color w:val="000000" w:themeColor="text1"/>
        </w:rPr>
        <w:t xml:space="preserve"> such as </w:t>
      </w:r>
      <w:r w:rsidR="00BD082C" w:rsidRPr="00DA2509">
        <w:rPr>
          <w:rFonts w:asciiTheme="minorHAnsi" w:hAnsiTheme="minorHAnsi"/>
          <w:color w:val="000000" w:themeColor="text1"/>
        </w:rPr>
        <w:t>housing, water, electricity, education and health</w:t>
      </w:r>
      <w:r w:rsidRPr="00DA2509">
        <w:rPr>
          <w:rFonts w:asciiTheme="minorHAnsi" w:hAnsiTheme="minorHAnsi"/>
          <w:color w:val="000000" w:themeColor="text1"/>
        </w:rPr>
        <w:t xml:space="preserve"> they previously were unable to access. Access to these basic services is a critical step in reducing poverty and spurring development. </w:t>
      </w:r>
      <w:r w:rsidR="00631AF5">
        <w:rPr>
          <w:rFonts w:asciiTheme="minorHAnsi" w:hAnsiTheme="minorHAnsi"/>
          <w:color w:val="000000" w:themeColor="text1"/>
        </w:rPr>
        <w:t xml:space="preserve">These companies will be serving clients that are </w:t>
      </w:r>
      <w:r w:rsidR="00ED08CA">
        <w:rPr>
          <w:rFonts w:asciiTheme="minorHAnsi" w:hAnsiTheme="minorHAnsi"/>
          <w:color w:val="000000" w:themeColor="text1"/>
        </w:rPr>
        <w:t xml:space="preserve">fully within the </w:t>
      </w:r>
      <w:proofErr w:type="spellStart"/>
      <w:r w:rsidR="00ED08CA">
        <w:rPr>
          <w:rFonts w:asciiTheme="minorHAnsi" w:hAnsiTheme="minorHAnsi"/>
          <w:color w:val="000000" w:themeColor="text1"/>
        </w:rPr>
        <w:t>BoP</w:t>
      </w:r>
      <w:proofErr w:type="spellEnd"/>
      <w:r w:rsidR="00ED08CA">
        <w:rPr>
          <w:rFonts w:asciiTheme="minorHAnsi" w:hAnsiTheme="minorHAnsi"/>
          <w:color w:val="000000" w:themeColor="text1"/>
        </w:rPr>
        <w:t xml:space="preserve"> (incomes levels considered to be “</w:t>
      </w:r>
      <w:proofErr w:type="spellStart"/>
      <w:r w:rsidR="00ED08CA">
        <w:rPr>
          <w:rFonts w:asciiTheme="minorHAnsi" w:hAnsiTheme="minorHAnsi"/>
          <w:color w:val="000000" w:themeColor="text1"/>
        </w:rPr>
        <w:t>BoP</w:t>
      </w:r>
      <w:proofErr w:type="spellEnd"/>
      <w:r w:rsidR="00ED08CA">
        <w:rPr>
          <w:rFonts w:asciiTheme="minorHAnsi" w:hAnsiTheme="minorHAnsi"/>
          <w:color w:val="000000" w:themeColor="text1"/>
        </w:rPr>
        <w:t>” vary based on country</w:t>
      </w:r>
      <w:r w:rsidR="00ED08CA">
        <w:rPr>
          <w:rStyle w:val="FootnoteReference"/>
          <w:rFonts w:asciiTheme="minorHAnsi" w:hAnsiTheme="minorHAnsi"/>
          <w:color w:val="000000" w:themeColor="text1"/>
        </w:rPr>
        <w:footnoteReference w:id="18"/>
      </w:r>
      <w:r w:rsidR="00ED08CA">
        <w:rPr>
          <w:rFonts w:asciiTheme="minorHAnsi" w:hAnsiTheme="minorHAnsi"/>
          <w:color w:val="000000" w:themeColor="text1"/>
        </w:rPr>
        <w:t xml:space="preserve">) with at least 40% of the clients in the </w:t>
      </w:r>
      <w:proofErr w:type="spellStart"/>
      <w:r w:rsidR="00ED08CA">
        <w:rPr>
          <w:rFonts w:asciiTheme="minorHAnsi" w:hAnsiTheme="minorHAnsi"/>
          <w:color w:val="000000" w:themeColor="text1"/>
        </w:rPr>
        <w:t>BoP</w:t>
      </w:r>
      <w:proofErr w:type="spellEnd"/>
      <w:r w:rsidR="00ED08CA">
        <w:rPr>
          <w:rFonts w:asciiTheme="minorHAnsi" w:hAnsiTheme="minorHAnsi"/>
          <w:color w:val="000000" w:themeColor="text1"/>
        </w:rPr>
        <w:t>.</w:t>
      </w:r>
      <w:r w:rsidR="00ED08CA">
        <w:rPr>
          <w:rStyle w:val="FootnoteReference"/>
          <w:rFonts w:asciiTheme="minorHAnsi" w:hAnsiTheme="minorHAnsi"/>
          <w:color w:val="000000" w:themeColor="text1"/>
        </w:rPr>
        <w:footnoteReference w:id="19"/>
      </w:r>
    </w:p>
    <w:p w:rsidR="00006FC3" w:rsidRPr="00006FC3" w:rsidRDefault="00006FC3" w:rsidP="00006FC3">
      <w:pPr>
        <w:pStyle w:val="ListParagraph"/>
        <w:jc w:val="both"/>
        <w:rPr>
          <w:rFonts w:asciiTheme="minorHAnsi" w:hAnsiTheme="minorHAnsi"/>
          <w:color w:val="000000" w:themeColor="text1"/>
        </w:rPr>
      </w:pPr>
    </w:p>
    <w:p w:rsidR="00597698" w:rsidRPr="00DA2509" w:rsidRDefault="00597698" w:rsidP="00382623">
      <w:pPr>
        <w:pStyle w:val="Paragraph"/>
        <w:tabs>
          <w:tab w:val="clear" w:pos="720"/>
        </w:tabs>
        <w:ind w:left="0" w:firstLine="0"/>
        <w:rPr>
          <w:rFonts w:asciiTheme="minorHAnsi" w:hAnsiTheme="minorHAnsi"/>
          <w:b/>
          <w:color w:val="000000" w:themeColor="text1"/>
          <w:lang w:val="en-US"/>
        </w:rPr>
      </w:pPr>
      <w:r w:rsidRPr="00DA2509">
        <w:rPr>
          <w:rFonts w:asciiTheme="minorHAnsi" w:hAnsiTheme="minorHAnsi"/>
          <w:b/>
          <w:color w:val="000000" w:themeColor="text1"/>
          <w:lang w:val="en-US"/>
        </w:rPr>
        <w:t xml:space="preserve">C. </w:t>
      </w:r>
      <w:r w:rsidRPr="00DA2509">
        <w:rPr>
          <w:rFonts w:asciiTheme="minorHAnsi" w:hAnsiTheme="minorHAnsi"/>
          <w:b/>
          <w:color w:val="000000" w:themeColor="text1"/>
          <w:lang w:val="en-US"/>
        </w:rPr>
        <w:tab/>
        <w:t>Contribution to MIF Mandate</w:t>
      </w:r>
      <w:r w:rsidR="00833057" w:rsidRPr="00DA2509">
        <w:rPr>
          <w:rFonts w:asciiTheme="minorHAnsi" w:hAnsiTheme="minorHAnsi"/>
          <w:b/>
          <w:color w:val="000000" w:themeColor="text1"/>
          <w:lang w:val="en-US"/>
        </w:rPr>
        <w:t>, Access Framework and IDB Strategy</w:t>
      </w:r>
    </w:p>
    <w:p w:rsidR="003B0FB2" w:rsidRPr="00006FC3" w:rsidRDefault="003B0FB2" w:rsidP="009C7086">
      <w:pPr>
        <w:pStyle w:val="ListParagraph"/>
        <w:numPr>
          <w:ilvl w:val="1"/>
          <w:numId w:val="14"/>
        </w:numPr>
        <w:ind w:left="720" w:hanging="720"/>
        <w:jc w:val="both"/>
        <w:rPr>
          <w:rFonts w:asciiTheme="minorHAnsi" w:hAnsiTheme="minorHAnsi"/>
          <w:color w:val="000000" w:themeColor="text1"/>
        </w:rPr>
      </w:pPr>
      <w:r w:rsidRPr="00006FC3">
        <w:rPr>
          <w:rFonts w:asciiTheme="minorHAnsi" w:hAnsiTheme="minorHAnsi"/>
          <w:color w:val="000000" w:themeColor="text1"/>
        </w:rPr>
        <w:t>The project contributes to MIF’s mandate on both private sector development and poverty reduction. The project is also contributing to the Agenda of Access to Basic Services for the Poor in terms of results and knowledge. More specifically, it will pilot an innovative model for the Acc</w:t>
      </w:r>
      <w:r w:rsidR="00006FC3">
        <w:rPr>
          <w:rFonts w:asciiTheme="minorHAnsi" w:hAnsiTheme="minorHAnsi"/>
          <w:color w:val="000000" w:themeColor="text1"/>
        </w:rPr>
        <w:t>eleration of s</w:t>
      </w:r>
      <w:r w:rsidR="00006FC3" w:rsidRPr="00006FC3">
        <w:rPr>
          <w:rFonts w:asciiTheme="minorHAnsi" w:hAnsiTheme="minorHAnsi"/>
          <w:color w:val="000000" w:themeColor="text1"/>
        </w:rPr>
        <w:t>ocial enterprises</w:t>
      </w:r>
      <w:r w:rsidRPr="00006FC3">
        <w:rPr>
          <w:rFonts w:asciiTheme="minorHAnsi" w:hAnsiTheme="minorHAnsi"/>
          <w:color w:val="000000" w:themeColor="text1"/>
        </w:rPr>
        <w:t xml:space="preserve"> that have the capacity for job creation and basic service delivery.</w:t>
      </w:r>
    </w:p>
    <w:p w:rsidR="002B3E4E" w:rsidRDefault="002B3E4E" w:rsidP="00382623">
      <w:pPr>
        <w:jc w:val="both"/>
        <w:rPr>
          <w:rFonts w:asciiTheme="minorHAnsi" w:hAnsiTheme="minorHAnsi"/>
          <w:color w:val="000000" w:themeColor="text1"/>
        </w:rPr>
      </w:pPr>
    </w:p>
    <w:p w:rsidR="00006FC3" w:rsidRPr="00DA2509" w:rsidRDefault="00006FC3" w:rsidP="00382623">
      <w:pPr>
        <w:jc w:val="both"/>
        <w:rPr>
          <w:rFonts w:asciiTheme="minorHAnsi" w:hAnsiTheme="minorHAnsi"/>
          <w:color w:val="000000" w:themeColor="text1"/>
        </w:rPr>
      </w:pPr>
    </w:p>
    <w:p w:rsidR="002B3E4E" w:rsidRPr="00DA2509" w:rsidRDefault="00673E04" w:rsidP="00006FC3">
      <w:pPr>
        <w:pStyle w:val="Chapter"/>
        <w:numPr>
          <w:ilvl w:val="0"/>
          <w:numId w:val="1"/>
        </w:numPr>
        <w:spacing w:before="120" w:after="0"/>
        <w:rPr>
          <w:rFonts w:asciiTheme="minorHAnsi" w:hAnsiTheme="minorHAnsi"/>
          <w:color w:val="000000" w:themeColor="text1"/>
          <w:lang w:val="en-US"/>
        </w:rPr>
      </w:pPr>
      <w:bookmarkStart w:id="3" w:name="_Toc309632500"/>
      <w:r w:rsidRPr="00DA2509">
        <w:rPr>
          <w:rFonts w:asciiTheme="minorHAnsi" w:hAnsiTheme="minorHAnsi"/>
          <w:color w:val="000000" w:themeColor="text1"/>
          <w:lang w:val="en-US"/>
        </w:rPr>
        <w:t>Project</w:t>
      </w:r>
      <w:r w:rsidR="003D6FF7" w:rsidRPr="00DA2509">
        <w:rPr>
          <w:rFonts w:asciiTheme="minorHAnsi" w:hAnsiTheme="minorHAnsi"/>
          <w:color w:val="000000" w:themeColor="text1"/>
          <w:lang w:val="en-US"/>
        </w:rPr>
        <w:t xml:space="preserve"> </w:t>
      </w:r>
      <w:r w:rsidR="003D6FF7" w:rsidRPr="00006FC3">
        <w:rPr>
          <w:rFonts w:asciiTheme="minorHAnsi" w:hAnsiTheme="minorHAnsi"/>
          <w:color w:val="000000" w:themeColor="text1"/>
          <w:lang w:val="en-US"/>
        </w:rPr>
        <w:t>Description</w:t>
      </w:r>
      <w:bookmarkEnd w:id="3"/>
    </w:p>
    <w:p w:rsidR="003014AA" w:rsidRPr="00DA2509" w:rsidRDefault="003014AA" w:rsidP="00382623">
      <w:pPr>
        <w:jc w:val="both"/>
        <w:rPr>
          <w:rFonts w:asciiTheme="minorHAnsi" w:hAnsiTheme="minorHAnsi"/>
          <w:color w:val="000000" w:themeColor="text1"/>
        </w:rPr>
      </w:pPr>
    </w:p>
    <w:p w:rsidR="00006FC3" w:rsidRPr="00006FC3" w:rsidRDefault="001C6E67" w:rsidP="00006FC3">
      <w:pPr>
        <w:pStyle w:val="Default"/>
        <w:numPr>
          <w:ilvl w:val="0"/>
          <w:numId w:val="25"/>
        </w:numPr>
        <w:ind w:left="720"/>
        <w:jc w:val="both"/>
        <w:rPr>
          <w:rFonts w:asciiTheme="minorHAnsi" w:hAnsiTheme="minorHAnsi"/>
          <w:b/>
          <w:color w:val="000000" w:themeColor="text1"/>
        </w:rPr>
      </w:pPr>
      <w:bookmarkStart w:id="4" w:name="OLE_LINK10"/>
      <w:r w:rsidRPr="00DA2509">
        <w:rPr>
          <w:rFonts w:asciiTheme="minorHAnsi" w:hAnsiTheme="minorHAnsi"/>
          <w:b/>
          <w:color w:val="000000" w:themeColor="text1"/>
        </w:rPr>
        <w:t xml:space="preserve">Objectives: </w:t>
      </w:r>
    </w:p>
    <w:p w:rsidR="00006FC3" w:rsidRPr="00006FC3" w:rsidRDefault="00006FC3" w:rsidP="00006FC3">
      <w:pPr>
        <w:pStyle w:val="ListParagraph"/>
        <w:numPr>
          <w:ilvl w:val="1"/>
          <w:numId w:val="1"/>
        </w:numPr>
        <w:ind w:hanging="702"/>
        <w:rPr>
          <w:rFonts w:ascii="Calibri" w:hAnsi="Calibri"/>
        </w:rPr>
      </w:pPr>
      <w:r w:rsidRPr="00006FC3">
        <w:rPr>
          <w:rFonts w:ascii="Calibri" w:hAnsi="Calibri"/>
        </w:rPr>
        <w:t xml:space="preserve">Agora’s goal is to accelerate a 15 early- and growth-stage for-profit business models providing access to basic services to </w:t>
      </w:r>
      <w:proofErr w:type="spellStart"/>
      <w:proofErr w:type="gramStart"/>
      <w:r w:rsidRPr="00006FC3">
        <w:rPr>
          <w:rFonts w:ascii="Calibri" w:hAnsi="Calibri"/>
        </w:rPr>
        <w:t>BoP</w:t>
      </w:r>
      <w:proofErr w:type="spellEnd"/>
      <w:proofErr w:type="gramEnd"/>
      <w:r w:rsidRPr="00006FC3">
        <w:rPr>
          <w:rFonts w:ascii="Calibri" w:hAnsi="Calibri"/>
        </w:rPr>
        <w:t xml:space="preserve"> populations in LAC in 2015.  Agora will create a specialized curriculum for access to basic services companies within the Accelerator and will recruit investors to join the Agora Network with a special interest in investing in access to basic services companies.</w:t>
      </w:r>
    </w:p>
    <w:p w:rsidR="00262EF6" w:rsidRPr="00006FC3" w:rsidRDefault="00006FC3" w:rsidP="00006FC3">
      <w:pPr>
        <w:pStyle w:val="Paragraph"/>
        <w:numPr>
          <w:ilvl w:val="1"/>
          <w:numId w:val="1"/>
        </w:numPr>
        <w:ind w:hanging="702"/>
        <w:rPr>
          <w:rFonts w:ascii="Calibri" w:hAnsi="Calibri"/>
          <w:lang w:val="en-US"/>
        </w:rPr>
      </w:pPr>
      <w:r w:rsidRPr="00006FC3">
        <w:rPr>
          <w:rFonts w:ascii="Calibri" w:hAnsi="Calibri"/>
          <w:lang w:val="en-US"/>
        </w:rPr>
        <w:t>As a long-term result of the accelerator process, Agora aims for the access to basic services companies t</w:t>
      </w:r>
      <w:r w:rsidR="00371DB2">
        <w:rPr>
          <w:rFonts w:ascii="Calibri" w:hAnsi="Calibri"/>
          <w:lang w:val="en-US"/>
        </w:rPr>
        <w:t>o raise US$ 3 million in capital within 1 year of</w:t>
      </w:r>
      <w:r w:rsidRPr="00006FC3">
        <w:rPr>
          <w:rFonts w:ascii="Calibri" w:hAnsi="Calibri"/>
          <w:lang w:val="en-US"/>
        </w:rPr>
        <w:t xml:space="preserve"> partici</w:t>
      </w:r>
      <w:r w:rsidR="00DA2722">
        <w:rPr>
          <w:rFonts w:ascii="Calibri" w:hAnsi="Calibri"/>
          <w:lang w:val="en-US"/>
        </w:rPr>
        <w:t>pating in the Agora Accelerator and for 85% of the companies to have annual sales growths of at least 10% within 2 years of participating in the program. Agora aims to have 80</w:t>
      </w:r>
      <w:r w:rsidR="00E7064F">
        <w:rPr>
          <w:rFonts w:ascii="Calibri" w:hAnsi="Calibri"/>
          <w:lang w:val="en-US"/>
        </w:rPr>
        <w:t>%</w:t>
      </w:r>
      <w:r w:rsidRPr="00006FC3">
        <w:rPr>
          <w:rFonts w:ascii="Calibri" w:hAnsi="Calibri"/>
          <w:lang w:val="en-US"/>
        </w:rPr>
        <w:t xml:space="preserve"> of these companies </w:t>
      </w:r>
      <w:r w:rsidR="00E7064F">
        <w:rPr>
          <w:rFonts w:ascii="Calibri" w:hAnsi="Calibri"/>
          <w:lang w:val="en-US"/>
        </w:rPr>
        <w:t xml:space="preserve">in operation </w:t>
      </w:r>
      <w:r w:rsidRPr="00006FC3">
        <w:rPr>
          <w:rFonts w:ascii="Calibri" w:hAnsi="Calibri"/>
          <w:lang w:val="en-US"/>
        </w:rPr>
        <w:t>for at least 3 years post-accelerator.</w:t>
      </w:r>
    </w:p>
    <w:p w:rsidR="008D0B82" w:rsidRPr="00006FC3" w:rsidRDefault="00262EF6" w:rsidP="00006FC3">
      <w:pPr>
        <w:pStyle w:val="Paragraph"/>
        <w:numPr>
          <w:ilvl w:val="1"/>
          <w:numId w:val="1"/>
        </w:numPr>
        <w:ind w:hanging="702"/>
        <w:rPr>
          <w:rFonts w:asciiTheme="minorHAnsi" w:hAnsiTheme="minorHAnsi"/>
          <w:color w:val="000000" w:themeColor="text1"/>
          <w:lang w:val="en-US"/>
        </w:rPr>
      </w:pPr>
      <w:r w:rsidRPr="00006FC3">
        <w:rPr>
          <w:rFonts w:asciiTheme="minorHAnsi" w:hAnsiTheme="minorHAnsi"/>
          <w:color w:val="000000" w:themeColor="text1"/>
          <w:lang w:val="en-US"/>
        </w:rPr>
        <w:t xml:space="preserve">To achieve these long-term objectives, Agora aims to meet a number of shorter-term milestones including </w:t>
      </w:r>
      <w:r w:rsidR="00E062F9" w:rsidRPr="00006FC3">
        <w:rPr>
          <w:rFonts w:asciiTheme="minorHAnsi" w:hAnsiTheme="minorHAnsi"/>
          <w:color w:val="000000" w:themeColor="text1"/>
          <w:lang w:val="en-US"/>
        </w:rPr>
        <w:t xml:space="preserve">successful recruiting and selection of the 15 accesses to basic services companies, </w:t>
      </w:r>
      <w:r w:rsidR="005D56BC">
        <w:rPr>
          <w:rFonts w:asciiTheme="minorHAnsi" w:hAnsiTheme="minorHAnsi"/>
          <w:color w:val="000000" w:themeColor="text1"/>
          <w:lang w:val="en-US"/>
        </w:rPr>
        <w:t>90</w:t>
      </w:r>
      <w:r w:rsidR="00651053">
        <w:rPr>
          <w:rFonts w:asciiTheme="minorHAnsi" w:hAnsiTheme="minorHAnsi"/>
          <w:color w:val="000000" w:themeColor="text1"/>
          <w:lang w:val="en-US"/>
        </w:rPr>
        <w:t>%</w:t>
      </w:r>
      <w:r w:rsidR="00E062F9" w:rsidRPr="00006FC3">
        <w:rPr>
          <w:rFonts w:asciiTheme="minorHAnsi" w:hAnsiTheme="minorHAnsi"/>
          <w:color w:val="000000" w:themeColor="text1"/>
          <w:lang w:val="en-US"/>
        </w:rPr>
        <w:t xml:space="preserve"> satisfact</w:t>
      </w:r>
      <w:r w:rsidR="00DA2722">
        <w:rPr>
          <w:rFonts w:asciiTheme="minorHAnsi" w:hAnsiTheme="minorHAnsi"/>
          <w:color w:val="000000" w:themeColor="text1"/>
          <w:lang w:val="en-US"/>
        </w:rPr>
        <w:t>ion of the Entrepreneur Retreat and</w:t>
      </w:r>
      <w:r w:rsidR="00E062F9" w:rsidRPr="00006FC3">
        <w:rPr>
          <w:rFonts w:asciiTheme="minorHAnsi" w:hAnsiTheme="minorHAnsi"/>
          <w:color w:val="000000" w:themeColor="text1"/>
          <w:lang w:val="en-US"/>
        </w:rPr>
        <w:t xml:space="preserve"> </w:t>
      </w:r>
      <w:r w:rsidR="00DA2722">
        <w:rPr>
          <w:rFonts w:asciiTheme="minorHAnsi" w:hAnsiTheme="minorHAnsi"/>
          <w:color w:val="000000" w:themeColor="text1"/>
          <w:lang w:val="en-US"/>
        </w:rPr>
        <w:t xml:space="preserve">of the </w:t>
      </w:r>
      <w:r w:rsidR="00E062F9" w:rsidRPr="00006FC3">
        <w:rPr>
          <w:rFonts w:asciiTheme="minorHAnsi" w:hAnsiTheme="minorHAnsi"/>
          <w:color w:val="000000" w:themeColor="text1"/>
          <w:lang w:val="en-US"/>
        </w:rPr>
        <w:t xml:space="preserve">high quality </w:t>
      </w:r>
      <w:r w:rsidR="00E062F9" w:rsidRPr="00006FC3">
        <w:rPr>
          <w:rFonts w:asciiTheme="minorHAnsi" w:hAnsiTheme="minorHAnsi"/>
          <w:color w:val="000000" w:themeColor="text1"/>
          <w:lang w:val="en-US"/>
        </w:rPr>
        <w:lastRenderedPageBreak/>
        <w:t xml:space="preserve">consulting </w:t>
      </w:r>
      <w:r w:rsidR="00DA2722">
        <w:rPr>
          <w:rFonts w:asciiTheme="minorHAnsi" w:hAnsiTheme="minorHAnsi"/>
          <w:color w:val="000000" w:themeColor="text1"/>
          <w:lang w:val="en-US"/>
        </w:rPr>
        <w:t xml:space="preserve">designed </w:t>
      </w:r>
      <w:r w:rsidR="00E062F9" w:rsidRPr="00006FC3">
        <w:rPr>
          <w:rFonts w:asciiTheme="minorHAnsi" w:hAnsiTheme="minorHAnsi"/>
          <w:color w:val="000000" w:themeColor="text1"/>
          <w:lang w:val="en-US"/>
        </w:rPr>
        <w:t xml:space="preserve">to meet the needs to </w:t>
      </w:r>
      <w:r w:rsidR="00E062F9" w:rsidRPr="00651053">
        <w:rPr>
          <w:rFonts w:asciiTheme="minorHAnsi" w:hAnsiTheme="minorHAnsi"/>
          <w:color w:val="000000" w:themeColor="text1"/>
          <w:lang w:val="en-US"/>
        </w:rPr>
        <w:t xml:space="preserve">the access to basic services companies. </w:t>
      </w:r>
      <w:r w:rsidR="00E062F9" w:rsidRPr="00CB2768">
        <w:rPr>
          <w:rFonts w:asciiTheme="minorHAnsi" w:hAnsiTheme="minorHAnsi"/>
          <w:color w:val="000000" w:themeColor="text1"/>
          <w:lang w:val="en-US"/>
        </w:rPr>
        <w:t xml:space="preserve">In addition, Agora aims to have all 15 access to basic services host a Deal Room with </w:t>
      </w:r>
      <w:r w:rsidR="00DA2722">
        <w:rPr>
          <w:rFonts w:asciiTheme="minorHAnsi" w:hAnsiTheme="minorHAnsi"/>
          <w:color w:val="000000" w:themeColor="text1"/>
          <w:lang w:val="en-US"/>
        </w:rPr>
        <w:t>at least 110 investors and key participants present in total</w:t>
      </w:r>
      <w:r w:rsidR="00E062F9" w:rsidRPr="00CB2768">
        <w:rPr>
          <w:rFonts w:asciiTheme="minorHAnsi" w:hAnsiTheme="minorHAnsi"/>
          <w:color w:val="000000" w:themeColor="text1"/>
          <w:lang w:val="en-US"/>
        </w:rPr>
        <w:t xml:space="preserve">, and </w:t>
      </w:r>
      <w:r w:rsidR="00DA2722">
        <w:rPr>
          <w:rFonts w:asciiTheme="minorHAnsi" w:hAnsiTheme="minorHAnsi"/>
          <w:color w:val="000000" w:themeColor="text1"/>
          <w:lang w:val="en-US"/>
        </w:rPr>
        <w:t>for 40</w:t>
      </w:r>
      <w:r w:rsidR="00E062F9" w:rsidRPr="00CB2768">
        <w:rPr>
          <w:rFonts w:asciiTheme="minorHAnsi" w:hAnsiTheme="minorHAnsi"/>
          <w:color w:val="000000" w:themeColor="text1"/>
          <w:lang w:val="en-US"/>
        </w:rPr>
        <w:t xml:space="preserve">% to receive investment within 1-year post participation in the 2015 Accelerator. </w:t>
      </w:r>
      <w:r w:rsidR="00E062F9" w:rsidRPr="00006FC3">
        <w:rPr>
          <w:rFonts w:asciiTheme="minorHAnsi" w:hAnsiTheme="minorHAnsi"/>
          <w:color w:val="000000" w:themeColor="text1"/>
          <w:lang w:val="en-US"/>
        </w:rPr>
        <w:t xml:space="preserve">Finally, Agora will complete a multimedia project and at least one case study to disseminate information about the access to basic services companies to the industry. </w:t>
      </w:r>
    </w:p>
    <w:p w:rsidR="008D0B82" w:rsidRPr="00CB2768" w:rsidRDefault="006E4359" w:rsidP="00006FC3">
      <w:pPr>
        <w:pStyle w:val="Paragraph"/>
        <w:numPr>
          <w:ilvl w:val="1"/>
          <w:numId w:val="1"/>
        </w:numPr>
        <w:ind w:hanging="702"/>
        <w:rPr>
          <w:rFonts w:asciiTheme="minorHAnsi" w:hAnsiTheme="minorHAnsi"/>
          <w:color w:val="000000" w:themeColor="text1"/>
          <w:lang w:val="en-US"/>
        </w:rPr>
      </w:pPr>
      <w:r w:rsidRPr="00CB2768">
        <w:rPr>
          <w:rFonts w:asciiTheme="minorHAnsi" w:hAnsiTheme="minorHAnsi"/>
          <w:snapToGrid/>
          <w:color w:val="000000" w:themeColor="text1"/>
          <w:lang w:val="en-US"/>
        </w:rPr>
        <w:t>Agora</w:t>
      </w:r>
      <w:r w:rsidR="008D0B82" w:rsidRPr="00CB2768">
        <w:rPr>
          <w:rFonts w:asciiTheme="minorHAnsi" w:hAnsiTheme="minorHAnsi"/>
          <w:snapToGrid/>
          <w:color w:val="000000" w:themeColor="text1"/>
          <w:lang w:val="en-US"/>
        </w:rPr>
        <w:t xml:space="preserve"> view</w:t>
      </w:r>
      <w:r w:rsidRPr="00CB2768">
        <w:rPr>
          <w:rFonts w:asciiTheme="minorHAnsi" w:hAnsiTheme="minorHAnsi"/>
          <w:snapToGrid/>
          <w:color w:val="000000" w:themeColor="text1"/>
          <w:lang w:val="en-US"/>
        </w:rPr>
        <w:t>s</w:t>
      </w:r>
      <w:r w:rsidR="008D0B82" w:rsidRPr="00CB2768">
        <w:rPr>
          <w:rFonts w:asciiTheme="minorHAnsi" w:hAnsiTheme="minorHAnsi"/>
          <w:snapToGrid/>
          <w:color w:val="000000" w:themeColor="text1"/>
          <w:lang w:val="en-US"/>
        </w:rPr>
        <w:t xml:space="preserve"> this cohort as a pilot for the establishm</w:t>
      </w:r>
      <w:r w:rsidR="00E37AA8" w:rsidRPr="00CB2768">
        <w:rPr>
          <w:rFonts w:asciiTheme="minorHAnsi" w:hAnsiTheme="minorHAnsi"/>
          <w:snapToGrid/>
          <w:color w:val="000000" w:themeColor="text1"/>
          <w:lang w:val="en-US"/>
        </w:rPr>
        <w:t>ent of a dedicated Accelerator</w:t>
      </w:r>
      <w:r w:rsidR="00E37AA8" w:rsidRPr="00CB2768">
        <w:rPr>
          <w:rFonts w:asciiTheme="minorHAnsi" w:hAnsiTheme="minorHAnsi"/>
          <w:color w:val="000000" w:themeColor="text1"/>
          <w:lang w:val="en-US"/>
        </w:rPr>
        <w:t xml:space="preserve"> </w:t>
      </w:r>
      <w:r w:rsidR="008D0B82" w:rsidRPr="00CB2768">
        <w:rPr>
          <w:rFonts w:asciiTheme="minorHAnsi" w:hAnsiTheme="minorHAnsi"/>
          <w:color w:val="000000" w:themeColor="text1"/>
          <w:lang w:val="en-US"/>
        </w:rPr>
        <w:t xml:space="preserve">focused on providing key basic services to populations in the region. This “basic services” accelerator will comprise of 30 companies providing access to basic services and will be sub-divided into cohorts focused on specific geographies or sectors. </w:t>
      </w:r>
    </w:p>
    <w:p w:rsidR="008D0B82" w:rsidRPr="00DA2509" w:rsidRDefault="008D0B82" w:rsidP="008D0B82">
      <w:pPr>
        <w:pStyle w:val="Default"/>
        <w:rPr>
          <w:rFonts w:asciiTheme="minorHAnsi" w:hAnsiTheme="minorHAnsi"/>
          <w:b/>
          <w:color w:val="000000" w:themeColor="text1"/>
        </w:rPr>
      </w:pPr>
    </w:p>
    <w:bookmarkEnd w:id="4"/>
    <w:p w:rsidR="001C6E67" w:rsidRPr="00006FC3" w:rsidRDefault="003014AA" w:rsidP="001C6E67">
      <w:pPr>
        <w:pStyle w:val="Paragraph"/>
        <w:spacing w:after="0"/>
        <w:rPr>
          <w:rFonts w:asciiTheme="minorHAnsi" w:hAnsiTheme="minorHAnsi"/>
          <w:b/>
          <w:color w:val="000000" w:themeColor="text1"/>
          <w:lang w:val="en-US"/>
        </w:rPr>
      </w:pPr>
      <w:r w:rsidRPr="00006FC3">
        <w:rPr>
          <w:rFonts w:asciiTheme="minorHAnsi" w:hAnsiTheme="minorHAnsi"/>
          <w:b/>
          <w:color w:val="000000" w:themeColor="text1"/>
          <w:lang w:val="en-US"/>
        </w:rPr>
        <w:t xml:space="preserve">B. </w:t>
      </w:r>
      <w:r w:rsidRPr="00006FC3">
        <w:rPr>
          <w:rFonts w:asciiTheme="minorHAnsi" w:hAnsiTheme="minorHAnsi"/>
          <w:b/>
          <w:color w:val="000000" w:themeColor="text1"/>
          <w:lang w:val="en-US"/>
        </w:rPr>
        <w:tab/>
        <w:t>Descriptio</w:t>
      </w:r>
      <w:r w:rsidR="001C6E67" w:rsidRPr="00006FC3">
        <w:rPr>
          <w:rFonts w:asciiTheme="minorHAnsi" w:hAnsiTheme="minorHAnsi"/>
          <w:b/>
          <w:color w:val="000000" w:themeColor="text1"/>
          <w:lang w:val="en-US"/>
        </w:rPr>
        <w:t xml:space="preserve">n of Model/Solution/Intervention: </w:t>
      </w:r>
    </w:p>
    <w:p w:rsidR="009648B2" w:rsidRPr="00DA2509" w:rsidRDefault="009648B2" w:rsidP="00006FC3">
      <w:pPr>
        <w:pStyle w:val="Paragraph"/>
        <w:numPr>
          <w:ilvl w:val="1"/>
          <w:numId w:val="1"/>
        </w:numPr>
        <w:ind w:hanging="702"/>
        <w:rPr>
          <w:rFonts w:asciiTheme="minorHAnsi" w:hAnsiTheme="minorHAnsi"/>
          <w:color w:val="000000" w:themeColor="text1"/>
          <w:lang w:val="en-US"/>
        </w:rPr>
      </w:pPr>
      <w:r w:rsidRPr="00DA2509">
        <w:rPr>
          <w:rFonts w:asciiTheme="minorHAnsi" w:hAnsiTheme="minorHAnsi"/>
          <w:color w:val="000000" w:themeColor="text1"/>
          <w:lang w:val="en-US"/>
        </w:rPr>
        <w:tab/>
        <w:t>With the e</w:t>
      </w:r>
      <w:r w:rsidR="0056573D">
        <w:rPr>
          <w:rFonts w:asciiTheme="minorHAnsi" w:hAnsiTheme="minorHAnsi"/>
          <w:color w:val="000000" w:themeColor="text1"/>
          <w:lang w:val="en-US"/>
        </w:rPr>
        <w:t>ntrepreneur at the center of the</w:t>
      </w:r>
      <w:r w:rsidRPr="00DA2509">
        <w:rPr>
          <w:rFonts w:asciiTheme="minorHAnsi" w:hAnsiTheme="minorHAnsi"/>
          <w:color w:val="000000" w:themeColor="text1"/>
          <w:lang w:val="en-US"/>
        </w:rPr>
        <w:t xml:space="preserve"> model, Agora has built a multi-stakeholder global community of investors, funders, universities, and other</w:t>
      </w:r>
      <w:r w:rsidR="006E4359">
        <w:rPr>
          <w:rFonts w:asciiTheme="minorHAnsi" w:hAnsiTheme="minorHAnsi"/>
          <w:color w:val="000000" w:themeColor="text1"/>
          <w:lang w:val="en-US"/>
        </w:rPr>
        <w:t xml:space="preserve"> actors</w:t>
      </w:r>
      <w:r w:rsidRPr="00DA2509">
        <w:rPr>
          <w:rFonts w:asciiTheme="minorHAnsi" w:hAnsiTheme="minorHAnsi"/>
          <w:color w:val="000000" w:themeColor="text1"/>
          <w:lang w:val="en-US"/>
        </w:rPr>
        <w:t xml:space="preserve"> who are dedicated to supporting entrepreneurial solutions in Latin America</w:t>
      </w:r>
      <w:r w:rsidR="006E4359">
        <w:rPr>
          <w:rFonts w:asciiTheme="minorHAnsi" w:hAnsiTheme="minorHAnsi"/>
          <w:color w:val="000000" w:themeColor="text1"/>
          <w:lang w:val="en-US"/>
        </w:rPr>
        <w:t xml:space="preserve"> and the Caribbean</w:t>
      </w:r>
      <w:r w:rsidRPr="00DA2509">
        <w:rPr>
          <w:rFonts w:asciiTheme="minorHAnsi" w:hAnsiTheme="minorHAnsi"/>
          <w:color w:val="000000" w:themeColor="text1"/>
          <w:lang w:val="en-US"/>
        </w:rPr>
        <w:t xml:space="preserve">. Agora provides value to the entrepreneur through </w:t>
      </w:r>
      <w:r w:rsidR="006E4359">
        <w:rPr>
          <w:rFonts w:asciiTheme="minorHAnsi" w:hAnsiTheme="minorHAnsi"/>
          <w:color w:val="000000" w:themeColor="text1"/>
          <w:lang w:val="en-US"/>
        </w:rPr>
        <w:t>its</w:t>
      </w:r>
      <w:r w:rsidRPr="00DA2509">
        <w:rPr>
          <w:rFonts w:asciiTheme="minorHAnsi" w:hAnsiTheme="minorHAnsi"/>
          <w:color w:val="000000" w:themeColor="text1"/>
          <w:lang w:val="en-US"/>
        </w:rPr>
        <w:t xml:space="preserve"> Accelerator</w:t>
      </w:r>
      <w:r w:rsidR="006E4359">
        <w:rPr>
          <w:rFonts w:asciiTheme="minorHAnsi" w:hAnsiTheme="minorHAnsi"/>
          <w:color w:val="000000" w:themeColor="text1"/>
          <w:lang w:val="en-US"/>
        </w:rPr>
        <w:t xml:space="preserve"> Program</w:t>
      </w:r>
      <w:r w:rsidRPr="00DA2509">
        <w:rPr>
          <w:rFonts w:asciiTheme="minorHAnsi" w:hAnsiTheme="minorHAnsi"/>
          <w:color w:val="000000" w:themeColor="text1"/>
          <w:lang w:val="en-US"/>
        </w:rPr>
        <w:t xml:space="preserve"> that provides high-quality business consulting, leadership development and capital advisory services to</w:t>
      </w:r>
      <w:r w:rsidR="006E4359">
        <w:rPr>
          <w:rFonts w:asciiTheme="minorHAnsi" w:hAnsiTheme="minorHAnsi"/>
          <w:color w:val="000000" w:themeColor="text1"/>
          <w:lang w:val="en-US"/>
        </w:rPr>
        <w:t xml:space="preserve"> social</w:t>
      </w:r>
      <w:r w:rsidRPr="00DA2509">
        <w:rPr>
          <w:rFonts w:asciiTheme="minorHAnsi" w:hAnsiTheme="minorHAnsi"/>
          <w:color w:val="000000" w:themeColor="text1"/>
          <w:lang w:val="en-US"/>
        </w:rPr>
        <w:t xml:space="preserve"> entrepreneurs at a low cost to help them grow their businesses and </w:t>
      </w:r>
      <w:r w:rsidR="006E4359">
        <w:rPr>
          <w:rFonts w:asciiTheme="minorHAnsi" w:hAnsiTheme="minorHAnsi"/>
          <w:color w:val="000000" w:themeColor="text1"/>
          <w:lang w:val="en-US"/>
        </w:rPr>
        <w:t>scale their</w:t>
      </w:r>
      <w:r w:rsidR="006E4359" w:rsidRPr="00DA2509">
        <w:rPr>
          <w:rFonts w:asciiTheme="minorHAnsi" w:hAnsiTheme="minorHAnsi"/>
          <w:color w:val="000000" w:themeColor="text1"/>
          <w:lang w:val="en-US"/>
        </w:rPr>
        <w:t xml:space="preserve"> </w:t>
      </w:r>
      <w:r w:rsidRPr="00DA2509">
        <w:rPr>
          <w:rFonts w:asciiTheme="minorHAnsi" w:hAnsiTheme="minorHAnsi"/>
          <w:color w:val="000000" w:themeColor="text1"/>
          <w:lang w:val="en-US"/>
        </w:rPr>
        <w:t>positive impact. A key innovation of the program is structured investment readiness consulting, delivered by highly trained MBA gradua</w:t>
      </w:r>
      <w:r w:rsidR="001A4FF3" w:rsidRPr="00DA2509">
        <w:rPr>
          <w:rFonts w:asciiTheme="minorHAnsi" w:hAnsiTheme="minorHAnsi"/>
          <w:color w:val="000000" w:themeColor="text1"/>
          <w:lang w:val="en-US"/>
        </w:rPr>
        <w:t xml:space="preserve">tes sourced through Agora’s </w:t>
      </w:r>
      <w:r w:rsidR="006E4359">
        <w:rPr>
          <w:rFonts w:asciiTheme="minorHAnsi" w:hAnsiTheme="minorHAnsi"/>
          <w:color w:val="000000" w:themeColor="text1"/>
          <w:lang w:val="en-US"/>
        </w:rPr>
        <w:t xml:space="preserve">9-12 </w:t>
      </w:r>
      <w:r w:rsidR="001A4FF3" w:rsidRPr="00DA2509">
        <w:rPr>
          <w:rFonts w:asciiTheme="minorHAnsi" w:hAnsiTheme="minorHAnsi"/>
          <w:color w:val="000000" w:themeColor="text1"/>
          <w:lang w:val="en-US"/>
        </w:rPr>
        <w:t>month</w:t>
      </w:r>
      <w:r w:rsidRPr="00DA2509">
        <w:rPr>
          <w:rFonts w:asciiTheme="minorHAnsi" w:hAnsiTheme="minorHAnsi"/>
          <w:color w:val="000000" w:themeColor="text1"/>
          <w:lang w:val="en-US"/>
        </w:rPr>
        <w:t xml:space="preserve"> consulting fellowship. The goal of these interventions is to facilitate investment for selected companies in the form of both philanthropic bridge and growth-stage financial capital. </w:t>
      </w:r>
    </w:p>
    <w:p w:rsidR="009648B2" w:rsidRPr="00CB2768" w:rsidRDefault="001F0AD7" w:rsidP="00006FC3">
      <w:pPr>
        <w:pStyle w:val="Paragraph"/>
        <w:numPr>
          <w:ilvl w:val="1"/>
          <w:numId w:val="1"/>
        </w:numPr>
        <w:ind w:hanging="702"/>
        <w:rPr>
          <w:rFonts w:asciiTheme="minorHAnsi" w:hAnsiTheme="minorHAnsi"/>
          <w:color w:val="000000" w:themeColor="text1"/>
          <w:lang w:val="en-US"/>
        </w:rPr>
      </w:pPr>
      <w:r w:rsidRPr="00CB2768">
        <w:rPr>
          <w:rFonts w:asciiTheme="minorHAnsi" w:hAnsiTheme="minorHAnsi"/>
          <w:color w:val="000000" w:themeColor="text1"/>
          <w:lang w:val="en-US"/>
        </w:rPr>
        <w:t xml:space="preserve">The Agora Accelerator distinguishes itself from its competitors with its regional focus on </w:t>
      </w:r>
      <w:r w:rsidR="006E4359" w:rsidRPr="00CB2768">
        <w:rPr>
          <w:rFonts w:asciiTheme="minorHAnsi" w:hAnsiTheme="minorHAnsi"/>
          <w:color w:val="000000" w:themeColor="text1"/>
          <w:lang w:val="en-US"/>
        </w:rPr>
        <w:t xml:space="preserve">the LAC region </w:t>
      </w:r>
      <w:r w:rsidRPr="00CB2768">
        <w:rPr>
          <w:rFonts w:asciiTheme="minorHAnsi" w:hAnsiTheme="minorHAnsi"/>
          <w:color w:val="000000" w:themeColor="text1"/>
          <w:lang w:val="en-US"/>
        </w:rPr>
        <w:t xml:space="preserve">and </w:t>
      </w:r>
      <w:r w:rsidR="00A21103" w:rsidRPr="00CB2768">
        <w:rPr>
          <w:rFonts w:asciiTheme="minorHAnsi" w:hAnsiTheme="minorHAnsi"/>
          <w:color w:val="000000" w:themeColor="text1"/>
          <w:lang w:val="en-US"/>
        </w:rPr>
        <w:t>high-touch</w:t>
      </w:r>
      <w:r w:rsidR="00950A3F" w:rsidRPr="00CB2768">
        <w:rPr>
          <w:rFonts w:asciiTheme="minorHAnsi" w:hAnsiTheme="minorHAnsi"/>
          <w:color w:val="000000" w:themeColor="text1"/>
          <w:lang w:val="en-US"/>
        </w:rPr>
        <w:t xml:space="preserve"> strategy and investment </w:t>
      </w:r>
      <w:r w:rsidRPr="00CB2768">
        <w:rPr>
          <w:rFonts w:asciiTheme="minorHAnsi" w:hAnsiTheme="minorHAnsi"/>
          <w:color w:val="000000" w:themeColor="text1"/>
          <w:lang w:val="en-US"/>
        </w:rPr>
        <w:t>consulting program. Top consultants are recruited to implement the consulting methodology</w:t>
      </w:r>
      <w:r w:rsidR="007445A9">
        <w:rPr>
          <w:rStyle w:val="FootnoteReference"/>
          <w:rFonts w:asciiTheme="minorHAnsi" w:hAnsiTheme="minorHAnsi"/>
          <w:color w:val="000000" w:themeColor="text1"/>
        </w:rPr>
        <w:footnoteReference w:id="20"/>
      </w:r>
      <w:r w:rsidRPr="00CB2768">
        <w:rPr>
          <w:rFonts w:asciiTheme="minorHAnsi" w:hAnsiTheme="minorHAnsi"/>
          <w:color w:val="000000" w:themeColor="text1"/>
          <w:lang w:val="en-US"/>
        </w:rPr>
        <w:t xml:space="preserve">, a flexible modular program that allows the consultants to focus on the specific needs of each individual company. </w:t>
      </w:r>
      <w:r w:rsidR="00950A3F" w:rsidRPr="00CB2768">
        <w:rPr>
          <w:rFonts w:asciiTheme="minorHAnsi" w:hAnsiTheme="minorHAnsi"/>
          <w:color w:val="000000" w:themeColor="text1"/>
          <w:lang w:val="en-US"/>
        </w:rPr>
        <w:t xml:space="preserve">The consulting consists of the Entrepreneur Retreat, personalized business consulting, opportunities for entrepreneurs to pitch to investors, and alumni support services (including capital advisory services). </w:t>
      </w:r>
      <w:r w:rsidRPr="00CB2768">
        <w:rPr>
          <w:rFonts w:asciiTheme="minorHAnsi" w:hAnsiTheme="minorHAnsi"/>
          <w:color w:val="000000" w:themeColor="text1"/>
          <w:lang w:val="en-US"/>
        </w:rPr>
        <w:t>The consulting results in tangible deliverables, mentor and investor connections, and the opportunity to pitch to investors at the largest industry conferences.</w:t>
      </w:r>
      <w:r w:rsidR="007445A9">
        <w:rPr>
          <w:rStyle w:val="FootnoteReference"/>
          <w:rFonts w:asciiTheme="minorHAnsi" w:hAnsiTheme="minorHAnsi"/>
          <w:color w:val="000000" w:themeColor="text1"/>
        </w:rPr>
        <w:footnoteReference w:id="21"/>
      </w:r>
      <w:r w:rsidRPr="00CB2768">
        <w:rPr>
          <w:rFonts w:asciiTheme="minorHAnsi" w:hAnsiTheme="minorHAnsi"/>
          <w:color w:val="000000" w:themeColor="text1"/>
          <w:lang w:val="en-US"/>
        </w:rPr>
        <w:t xml:space="preserve"> </w:t>
      </w:r>
    </w:p>
    <w:p w:rsidR="009648B2" w:rsidRPr="00DA2509" w:rsidRDefault="003114C5" w:rsidP="00006FC3">
      <w:pPr>
        <w:pStyle w:val="Paragraph"/>
        <w:numPr>
          <w:ilvl w:val="1"/>
          <w:numId w:val="1"/>
        </w:numPr>
        <w:ind w:hanging="702"/>
        <w:rPr>
          <w:rFonts w:asciiTheme="minorHAnsi" w:hAnsiTheme="minorHAnsi"/>
          <w:color w:val="000000" w:themeColor="text1"/>
          <w:lang w:val="en-US"/>
        </w:rPr>
      </w:pPr>
      <w:r>
        <w:rPr>
          <w:rFonts w:asciiTheme="minorHAnsi" w:hAnsiTheme="minorHAnsi"/>
          <w:color w:val="000000" w:themeColor="text1"/>
          <w:lang w:val="en-US"/>
        </w:rPr>
        <w:t>From its previous experience Agora has</w:t>
      </w:r>
      <w:r w:rsidR="009648B2" w:rsidRPr="00DA2509">
        <w:rPr>
          <w:rFonts w:asciiTheme="minorHAnsi" w:hAnsiTheme="minorHAnsi"/>
          <w:color w:val="000000" w:themeColor="text1"/>
          <w:lang w:val="en-US"/>
        </w:rPr>
        <w:t xml:space="preserve"> found that the best way to provide holistic support to the entrepreneur is to build cohorts within the accelerator of 5–1</w:t>
      </w:r>
      <w:r>
        <w:rPr>
          <w:rFonts w:asciiTheme="minorHAnsi" w:hAnsiTheme="minorHAnsi"/>
          <w:color w:val="000000" w:themeColor="text1"/>
          <w:lang w:val="en-US"/>
        </w:rPr>
        <w:t>5</w:t>
      </w:r>
      <w:r w:rsidR="009648B2" w:rsidRPr="00DA2509">
        <w:rPr>
          <w:rFonts w:asciiTheme="minorHAnsi" w:hAnsiTheme="minorHAnsi"/>
          <w:color w:val="000000" w:themeColor="text1"/>
          <w:lang w:val="en-US"/>
        </w:rPr>
        <w:t xml:space="preserve"> mission-aligned, early- and growth-stage entrepreneurs solving critical social problems through for-profit business models. These groups are convened around an impact theme or industry and can extend across the entire region. These cohorts are part of larger classes of 30 entrepreneurs accepted into the </w:t>
      </w:r>
      <w:r>
        <w:rPr>
          <w:rFonts w:asciiTheme="minorHAnsi" w:hAnsiTheme="minorHAnsi"/>
          <w:color w:val="000000" w:themeColor="text1"/>
          <w:lang w:val="en-US"/>
        </w:rPr>
        <w:t xml:space="preserve">Agora </w:t>
      </w:r>
      <w:r w:rsidR="009648B2" w:rsidRPr="00DA2509">
        <w:rPr>
          <w:rFonts w:asciiTheme="minorHAnsi" w:hAnsiTheme="minorHAnsi"/>
          <w:color w:val="000000" w:themeColor="text1"/>
          <w:lang w:val="en-US"/>
        </w:rPr>
        <w:t xml:space="preserve">Accelerator program each year. All cohorts include 1-2 Accelerator consultants, dedicated Agora staff, an expert partner, a sponsor, and access to Agora's investor and mentor networks.  </w:t>
      </w:r>
      <w:r w:rsidR="00DE61D1">
        <w:rPr>
          <w:rFonts w:asciiTheme="minorHAnsi" w:hAnsiTheme="minorHAnsi"/>
          <w:color w:val="000000" w:themeColor="text1"/>
          <w:lang w:val="en-US"/>
        </w:rPr>
        <w:t xml:space="preserve">By </w:t>
      </w:r>
      <w:r w:rsidR="009648B2" w:rsidRPr="00DA2509">
        <w:rPr>
          <w:rFonts w:asciiTheme="minorHAnsi" w:hAnsiTheme="minorHAnsi"/>
          <w:color w:val="000000" w:themeColor="text1"/>
          <w:lang w:val="en-US"/>
        </w:rPr>
        <w:t xml:space="preserve">selecting and accelerating </w:t>
      </w:r>
      <w:r w:rsidR="009648B2" w:rsidRPr="00DA2509">
        <w:rPr>
          <w:rFonts w:asciiTheme="minorHAnsi" w:hAnsiTheme="minorHAnsi"/>
          <w:color w:val="000000" w:themeColor="text1"/>
          <w:lang w:val="en-US"/>
        </w:rPr>
        <w:lastRenderedPageBreak/>
        <w:t xml:space="preserve">companies in a cohort with clear synergies, </w:t>
      </w:r>
      <w:r w:rsidR="00DE61D1">
        <w:rPr>
          <w:rFonts w:asciiTheme="minorHAnsi" w:hAnsiTheme="minorHAnsi"/>
          <w:color w:val="000000" w:themeColor="text1"/>
          <w:lang w:val="en-US"/>
        </w:rPr>
        <w:t>the program</w:t>
      </w:r>
      <w:r w:rsidR="009648B2" w:rsidRPr="00DA2509">
        <w:rPr>
          <w:rFonts w:asciiTheme="minorHAnsi" w:hAnsiTheme="minorHAnsi"/>
          <w:color w:val="000000" w:themeColor="text1"/>
          <w:lang w:val="en-US"/>
        </w:rPr>
        <w:t xml:space="preserve"> can create a more efficient, coordinated market that can drive resources more effectively to entrepreneurs.</w:t>
      </w:r>
    </w:p>
    <w:p w:rsidR="009648B2" w:rsidRPr="00DA2509" w:rsidRDefault="009648B2" w:rsidP="00006FC3">
      <w:pPr>
        <w:pStyle w:val="Paragraph"/>
        <w:numPr>
          <w:ilvl w:val="1"/>
          <w:numId w:val="1"/>
        </w:numPr>
        <w:ind w:hanging="702"/>
        <w:rPr>
          <w:rFonts w:asciiTheme="minorHAnsi" w:hAnsiTheme="minorHAnsi"/>
          <w:color w:val="000000" w:themeColor="text1"/>
          <w:lang w:val="en-US"/>
        </w:rPr>
      </w:pPr>
      <w:r w:rsidRPr="00DA2509">
        <w:rPr>
          <w:rFonts w:asciiTheme="minorHAnsi" w:hAnsiTheme="minorHAnsi"/>
          <w:color w:val="000000" w:themeColor="text1"/>
          <w:lang w:val="en-US"/>
        </w:rPr>
        <w:tab/>
        <w:t>Creating a cohort of 1</w:t>
      </w:r>
      <w:r w:rsidR="006E4359">
        <w:rPr>
          <w:rFonts w:asciiTheme="minorHAnsi" w:hAnsiTheme="minorHAnsi"/>
          <w:color w:val="000000" w:themeColor="text1"/>
          <w:lang w:val="en-US"/>
        </w:rPr>
        <w:t>5</w:t>
      </w:r>
      <w:r w:rsidRPr="00DA2509">
        <w:rPr>
          <w:rFonts w:asciiTheme="minorHAnsi" w:hAnsiTheme="minorHAnsi"/>
          <w:color w:val="000000" w:themeColor="text1"/>
          <w:lang w:val="en-US"/>
        </w:rPr>
        <w:t xml:space="preserve"> entrepreneurs building sustainable business models to provide access to basic services will </w:t>
      </w:r>
      <w:r w:rsidR="00DE61D1">
        <w:rPr>
          <w:rFonts w:asciiTheme="minorHAnsi" w:hAnsiTheme="minorHAnsi"/>
          <w:color w:val="000000" w:themeColor="text1"/>
          <w:lang w:val="en-US"/>
        </w:rPr>
        <w:t>enable Agora</w:t>
      </w:r>
      <w:r w:rsidR="003114C5">
        <w:rPr>
          <w:rFonts w:asciiTheme="minorHAnsi" w:hAnsiTheme="minorHAnsi"/>
          <w:color w:val="000000" w:themeColor="text1"/>
          <w:lang w:val="en-US"/>
        </w:rPr>
        <w:t xml:space="preserve"> </w:t>
      </w:r>
      <w:r w:rsidRPr="00DA2509">
        <w:rPr>
          <w:rFonts w:asciiTheme="minorHAnsi" w:hAnsiTheme="minorHAnsi"/>
          <w:color w:val="000000" w:themeColor="text1"/>
          <w:lang w:val="en-US"/>
        </w:rPr>
        <w:t xml:space="preserve">to identify and engage funders, investors, recruiting partners and media in a coordinated effort to successfully accelerate the cohort. Due to their shared interest in providing access to basic services, </w:t>
      </w:r>
      <w:r w:rsidR="00DE61D1">
        <w:rPr>
          <w:rFonts w:asciiTheme="minorHAnsi" w:hAnsiTheme="minorHAnsi"/>
          <w:color w:val="000000" w:themeColor="text1"/>
          <w:lang w:val="en-US"/>
        </w:rPr>
        <w:t>Agora</w:t>
      </w:r>
      <w:r w:rsidR="003114C5">
        <w:rPr>
          <w:rFonts w:asciiTheme="minorHAnsi" w:hAnsiTheme="minorHAnsi"/>
          <w:color w:val="000000" w:themeColor="text1"/>
          <w:lang w:val="en-US"/>
        </w:rPr>
        <w:t xml:space="preserve"> </w:t>
      </w:r>
      <w:r w:rsidRPr="00DA2509">
        <w:rPr>
          <w:rFonts w:asciiTheme="minorHAnsi" w:hAnsiTheme="minorHAnsi"/>
          <w:color w:val="000000" w:themeColor="text1"/>
          <w:lang w:val="en-US"/>
        </w:rPr>
        <w:t xml:space="preserve">will be able to build trust and leverage the assets of each actor effectively, resulting in lowered transaction costs and risk, increased efficiency, and maximized growth potential for the most important stakeholder: the entrepreneur. </w:t>
      </w:r>
    </w:p>
    <w:p w:rsidR="002B3E4E" w:rsidRPr="00DA2509" w:rsidRDefault="009648B2" w:rsidP="00006FC3">
      <w:pPr>
        <w:pStyle w:val="Paragraph"/>
        <w:numPr>
          <w:ilvl w:val="1"/>
          <w:numId w:val="1"/>
        </w:numPr>
        <w:ind w:hanging="702"/>
        <w:rPr>
          <w:rFonts w:asciiTheme="minorHAnsi" w:hAnsiTheme="minorHAnsi"/>
          <w:color w:val="000000" w:themeColor="text1"/>
          <w:lang w:val="en-US"/>
        </w:rPr>
      </w:pPr>
      <w:r w:rsidRPr="00DA2509">
        <w:rPr>
          <w:rFonts w:asciiTheme="minorHAnsi" w:hAnsiTheme="minorHAnsi"/>
          <w:color w:val="000000" w:themeColor="text1"/>
          <w:lang w:val="en-US"/>
        </w:rPr>
        <w:tab/>
        <w:t xml:space="preserve">Furthermore, the cohort structure aims to foster a community of problem solvers who can share knowledge, experiences, and best practices, building a bridge across which entrepreneurs can collaborate, regardless of their geography, to develop truly sustainable methods for which to provide basic services to the </w:t>
      </w:r>
      <w:proofErr w:type="spellStart"/>
      <w:r w:rsidRPr="00DA2509">
        <w:rPr>
          <w:rFonts w:asciiTheme="minorHAnsi" w:hAnsiTheme="minorHAnsi"/>
          <w:color w:val="000000" w:themeColor="text1"/>
          <w:lang w:val="en-US"/>
        </w:rPr>
        <w:t>BoP</w:t>
      </w:r>
      <w:proofErr w:type="spellEnd"/>
      <w:r w:rsidRPr="00DA2509">
        <w:rPr>
          <w:rFonts w:asciiTheme="minorHAnsi" w:hAnsiTheme="minorHAnsi"/>
          <w:color w:val="000000" w:themeColor="text1"/>
          <w:lang w:val="en-US"/>
        </w:rPr>
        <w:t xml:space="preserve"> in Latin America.</w:t>
      </w:r>
      <w:r w:rsidR="00216BDA">
        <w:rPr>
          <w:rFonts w:asciiTheme="minorHAnsi" w:hAnsiTheme="minorHAnsi"/>
          <w:color w:val="000000" w:themeColor="text1"/>
          <w:lang w:val="en-US"/>
        </w:rPr>
        <w:t xml:space="preserve"> Agora supports the sharing of this information by equipping consultants with pertinent knowledge to pass on to the entrepreneurs they are consulting, by facilitating in-person interactions at the Entrepreneur Retreat, through online platforms including Agora entrepreneurs groups on Facebook and a new partnership with </w:t>
      </w:r>
      <w:proofErr w:type="spellStart"/>
      <w:r w:rsidR="00216BDA">
        <w:rPr>
          <w:rFonts w:asciiTheme="minorHAnsi" w:hAnsiTheme="minorHAnsi"/>
          <w:color w:val="000000" w:themeColor="text1"/>
          <w:lang w:val="en-US"/>
        </w:rPr>
        <w:t>Startgrid</w:t>
      </w:r>
      <w:proofErr w:type="spellEnd"/>
      <w:r w:rsidR="00216BDA">
        <w:rPr>
          <w:rStyle w:val="FootnoteReference"/>
          <w:rFonts w:asciiTheme="minorHAnsi" w:hAnsiTheme="minorHAnsi"/>
          <w:color w:val="000000" w:themeColor="text1"/>
          <w:lang w:val="en-US"/>
        </w:rPr>
        <w:footnoteReference w:id="22"/>
      </w:r>
      <w:r w:rsidR="00216BDA">
        <w:rPr>
          <w:rFonts w:asciiTheme="minorHAnsi" w:hAnsiTheme="minorHAnsi"/>
          <w:color w:val="000000" w:themeColor="text1"/>
          <w:lang w:val="en-US"/>
        </w:rPr>
        <w:t>, and through general social media.</w:t>
      </w:r>
    </w:p>
    <w:p w:rsidR="00EB4399" w:rsidRPr="00DA2509" w:rsidRDefault="00EB4399" w:rsidP="0013705E">
      <w:pPr>
        <w:pStyle w:val="Paragraph"/>
        <w:tabs>
          <w:tab w:val="clear" w:pos="720"/>
        </w:tabs>
        <w:ind w:left="702" w:firstLine="0"/>
        <w:rPr>
          <w:rFonts w:asciiTheme="minorHAnsi" w:hAnsiTheme="minorHAnsi"/>
          <w:color w:val="000000" w:themeColor="text1"/>
          <w:lang w:val="en-US"/>
        </w:rPr>
      </w:pPr>
    </w:p>
    <w:p w:rsidR="003014AA" w:rsidRDefault="00AA5560" w:rsidP="003014AA">
      <w:pPr>
        <w:pStyle w:val="Default"/>
        <w:ind w:left="720" w:hanging="720"/>
        <w:rPr>
          <w:rFonts w:asciiTheme="minorHAnsi" w:hAnsiTheme="minorHAnsi"/>
          <w:b/>
          <w:bCs/>
          <w:color w:val="000000" w:themeColor="text1"/>
        </w:rPr>
      </w:pPr>
      <w:r w:rsidRPr="00DA2509">
        <w:rPr>
          <w:rFonts w:asciiTheme="minorHAnsi" w:hAnsiTheme="minorHAnsi"/>
          <w:b/>
          <w:bCs/>
          <w:color w:val="000000" w:themeColor="text1"/>
        </w:rPr>
        <w:t xml:space="preserve">C. </w:t>
      </w:r>
      <w:r w:rsidR="003014AA" w:rsidRPr="00DA2509">
        <w:rPr>
          <w:rFonts w:asciiTheme="minorHAnsi" w:hAnsiTheme="minorHAnsi"/>
          <w:b/>
          <w:bCs/>
          <w:color w:val="000000" w:themeColor="text1"/>
        </w:rPr>
        <w:tab/>
      </w:r>
      <w:r w:rsidRPr="00DA2509">
        <w:rPr>
          <w:rFonts w:asciiTheme="minorHAnsi" w:hAnsiTheme="minorHAnsi"/>
          <w:b/>
          <w:bCs/>
          <w:color w:val="000000" w:themeColor="text1"/>
        </w:rPr>
        <w:t>Components</w:t>
      </w:r>
      <w:r w:rsidR="001C6E67" w:rsidRPr="00DA2509">
        <w:rPr>
          <w:rFonts w:asciiTheme="minorHAnsi" w:hAnsiTheme="minorHAnsi"/>
          <w:b/>
          <w:bCs/>
          <w:color w:val="000000" w:themeColor="text1"/>
        </w:rPr>
        <w:t xml:space="preserve">: </w:t>
      </w:r>
    </w:p>
    <w:p w:rsidR="003114C5" w:rsidRDefault="003114C5" w:rsidP="003014AA">
      <w:pPr>
        <w:pStyle w:val="Default"/>
        <w:ind w:left="720" w:hanging="720"/>
        <w:rPr>
          <w:rFonts w:asciiTheme="minorHAnsi" w:hAnsiTheme="minorHAnsi"/>
          <w:b/>
          <w:bCs/>
          <w:color w:val="000000" w:themeColor="text1"/>
        </w:rPr>
      </w:pPr>
    </w:p>
    <w:p w:rsidR="003114C5" w:rsidRPr="00821BB1" w:rsidRDefault="003114C5" w:rsidP="003114C5">
      <w:pPr>
        <w:pStyle w:val="Default"/>
        <w:ind w:left="720"/>
        <w:rPr>
          <w:rFonts w:ascii="Calibri" w:hAnsi="Calibri"/>
          <w:color w:val="808080"/>
        </w:rPr>
      </w:pPr>
      <w:r w:rsidRPr="001252EE">
        <w:rPr>
          <w:rFonts w:ascii="Calibri" w:hAnsi="Calibri"/>
          <w:b/>
          <w:bCs/>
          <w:color w:val="000000" w:themeColor="text1"/>
        </w:rPr>
        <w:t xml:space="preserve">Component 1: </w:t>
      </w:r>
      <w:r w:rsidRPr="003114C5">
        <w:rPr>
          <w:rFonts w:ascii="Calibri" w:hAnsi="Calibri"/>
          <w:b/>
          <w:color w:val="000000" w:themeColor="text1"/>
        </w:rPr>
        <w:t>Recruitment, Selection, and On-</w:t>
      </w:r>
      <w:r w:rsidR="0076452E">
        <w:rPr>
          <w:rFonts w:ascii="Calibri" w:hAnsi="Calibri"/>
          <w:b/>
          <w:color w:val="000000" w:themeColor="text1"/>
        </w:rPr>
        <w:t>B</w:t>
      </w:r>
      <w:r w:rsidRPr="003114C5">
        <w:rPr>
          <w:rFonts w:ascii="Calibri" w:hAnsi="Calibri"/>
          <w:b/>
          <w:color w:val="000000" w:themeColor="text1"/>
        </w:rPr>
        <w:t>oarding</w:t>
      </w:r>
      <w:r w:rsidR="009F772B">
        <w:rPr>
          <w:rFonts w:ascii="Calibri" w:hAnsi="Calibri"/>
          <w:b/>
          <w:color w:val="000000" w:themeColor="text1"/>
        </w:rPr>
        <w:t xml:space="preserve"> of </w:t>
      </w:r>
      <w:r w:rsidR="0076452E">
        <w:rPr>
          <w:rFonts w:ascii="Calibri" w:hAnsi="Calibri"/>
          <w:b/>
          <w:color w:val="000000" w:themeColor="text1"/>
        </w:rPr>
        <w:t>A</w:t>
      </w:r>
      <w:r w:rsidR="009F772B">
        <w:rPr>
          <w:rFonts w:ascii="Calibri" w:hAnsi="Calibri"/>
          <w:b/>
          <w:color w:val="000000" w:themeColor="text1"/>
        </w:rPr>
        <w:t xml:space="preserve">ccess to </w:t>
      </w:r>
      <w:r w:rsidR="0076452E">
        <w:rPr>
          <w:rFonts w:ascii="Calibri" w:hAnsi="Calibri"/>
          <w:b/>
          <w:color w:val="000000" w:themeColor="text1"/>
        </w:rPr>
        <w:t>B</w:t>
      </w:r>
      <w:r w:rsidR="009F772B">
        <w:rPr>
          <w:rFonts w:ascii="Calibri" w:hAnsi="Calibri"/>
          <w:b/>
          <w:color w:val="000000" w:themeColor="text1"/>
        </w:rPr>
        <w:t xml:space="preserve">asic </w:t>
      </w:r>
      <w:r w:rsidR="0076452E">
        <w:rPr>
          <w:rFonts w:ascii="Calibri" w:hAnsi="Calibri"/>
          <w:b/>
          <w:color w:val="000000" w:themeColor="text1"/>
        </w:rPr>
        <w:t>S</w:t>
      </w:r>
      <w:r w:rsidR="009F772B">
        <w:rPr>
          <w:rFonts w:ascii="Calibri" w:hAnsi="Calibri"/>
          <w:b/>
          <w:color w:val="000000" w:themeColor="text1"/>
        </w:rPr>
        <w:t xml:space="preserve">ervices </w:t>
      </w:r>
      <w:r w:rsidR="0076452E">
        <w:rPr>
          <w:rFonts w:ascii="Calibri" w:hAnsi="Calibri"/>
          <w:b/>
          <w:color w:val="000000" w:themeColor="text1"/>
        </w:rPr>
        <w:t>C</w:t>
      </w:r>
      <w:r w:rsidR="009F772B">
        <w:rPr>
          <w:rFonts w:ascii="Calibri" w:hAnsi="Calibri"/>
          <w:b/>
          <w:color w:val="000000" w:themeColor="text1"/>
        </w:rPr>
        <w:t>ompanies</w:t>
      </w:r>
      <w:r w:rsidR="00090F80">
        <w:rPr>
          <w:rFonts w:ascii="Calibri" w:hAnsi="Calibri"/>
          <w:b/>
          <w:color w:val="000000" w:themeColor="text1"/>
        </w:rPr>
        <w:t>.</w:t>
      </w:r>
      <w:r w:rsidRPr="003114C5">
        <w:rPr>
          <w:rFonts w:ascii="Calibri" w:hAnsi="Calibri"/>
          <w:b/>
          <w:color w:val="000000" w:themeColor="text1"/>
        </w:rPr>
        <w:t xml:space="preserve"> </w:t>
      </w:r>
    </w:p>
    <w:p w:rsidR="00090F80" w:rsidRDefault="00A743E2" w:rsidP="00A743E2">
      <w:pPr>
        <w:pStyle w:val="Paragraph"/>
        <w:tabs>
          <w:tab w:val="clear" w:pos="720"/>
        </w:tabs>
        <w:spacing w:before="0" w:after="0"/>
        <w:ind w:firstLine="0"/>
        <w:rPr>
          <w:rFonts w:asciiTheme="minorHAnsi" w:hAnsiTheme="minorHAnsi" w:cstheme="minorHAnsi"/>
          <w:b/>
          <w:lang w:val="en-US"/>
        </w:rPr>
      </w:pPr>
      <w:r>
        <w:rPr>
          <w:rFonts w:asciiTheme="minorHAnsi" w:hAnsiTheme="minorHAnsi" w:cstheme="minorHAnsi"/>
          <w:b/>
          <w:lang w:val="en-US"/>
        </w:rPr>
        <w:t>(MIF: US$26,010/</w:t>
      </w:r>
      <w:r w:rsidR="003114C5" w:rsidRPr="00A743E2">
        <w:rPr>
          <w:rFonts w:asciiTheme="minorHAnsi" w:hAnsiTheme="minorHAnsi" w:cstheme="minorHAnsi"/>
          <w:b/>
          <w:lang w:val="en-US"/>
        </w:rPr>
        <w:t>Counterpart: US$</w:t>
      </w:r>
      <w:r>
        <w:rPr>
          <w:rFonts w:asciiTheme="minorHAnsi" w:hAnsiTheme="minorHAnsi" w:cstheme="minorHAnsi"/>
          <w:b/>
          <w:lang w:val="en-US"/>
        </w:rPr>
        <w:t>14,190</w:t>
      </w:r>
      <w:r w:rsidR="003114C5" w:rsidRPr="00A743E2">
        <w:rPr>
          <w:rFonts w:asciiTheme="minorHAnsi" w:hAnsiTheme="minorHAnsi" w:cstheme="minorHAnsi"/>
          <w:b/>
          <w:lang w:val="en-US"/>
        </w:rPr>
        <w:t>)</w:t>
      </w:r>
    </w:p>
    <w:p w:rsidR="00E14022" w:rsidRPr="00715F6D" w:rsidRDefault="00A743E2" w:rsidP="00715F6D">
      <w:pPr>
        <w:pStyle w:val="Paragraph"/>
        <w:numPr>
          <w:ilvl w:val="1"/>
          <w:numId w:val="1"/>
        </w:numPr>
        <w:ind w:hanging="702"/>
        <w:rPr>
          <w:rFonts w:asciiTheme="minorHAnsi" w:hAnsiTheme="minorHAnsi" w:cstheme="minorHAnsi"/>
          <w:lang w:val="en-US"/>
        </w:rPr>
      </w:pPr>
      <w:r>
        <w:rPr>
          <w:rFonts w:asciiTheme="minorHAnsi" w:hAnsiTheme="minorHAnsi" w:cstheme="minorHAnsi"/>
          <w:lang w:val="en-US"/>
        </w:rPr>
        <w:t>The objective of this component is to assure that</w:t>
      </w:r>
      <w:r w:rsidR="00090F80">
        <w:rPr>
          <w:rFonts w:asciiTheme="minorHAnsi" w:hAnsiTheme="minorHAnsi" w:cstheme="minorHAnsi"/>
          <w:lang w:val="en-US"/>
        </w:rPr>
        <w:t xml:space="preserve"> the access to basic services cohort is comprised of the </w:t>
      </w:r>
      <w:r>
        <w:rPr>
          <w:rFonts w:asciiTheme="minorHAnsi" w:hAnsiTheme="minorHAnsi" w:cstheme="minorHAnsi"/>
          <w:lang w:val="en-US"/>
        </w:rPr>
        <w:t>best</w:t>
      </w:r>
      <w:r w:rsidR="00090F80">
        <w:rPr>
          <w:rFonts w:asciiTheme="minorHAnsi" w:hAnsiTheme="minorHAnsi" w:cstheme="minorHAnsi"/>
          <w:lang w:val="en-US"/>
        </w:rPr>
        <w:t xml:space="preserve"> entrepreneurs – </w:t>
      </w:r>
      <w:proofErr w:type="gramStart"/>
      <w:r w:rsidR="00090F80">
        <w:rPr>
          <w:rFonts w:asciiTheme="minorHAnsi" w:hAnsiTheme="minorHAnsi" w:cstheme="minorHAnsi"/>
          <w:lang w:val="en-US"/>
        </w:rPr>
        <w:t>those whose</w:t>
      </w:r>
      <w:proofErr w:type="gramEnd"/>
      <w:r w:rsidR="00090F80">
        <w:rPr>
          <w:rFonts w:asciiTheme="minorHAnsi" w:hAnsiTheme="minorHAnsi" w:cstheme="minorHAnsi"/>
          <w:lang w:val="en-US"/>
        </w:rPr>
        <w:t xml:space="preserve"> growth and impact can be amplified as a result of participa</w:t>
      </w:r>
      <w:r>
        <w:rPr>
          <w:rFonts w:asciiTheme="minorHAnsi" w:hAnsiTheme="minorHAnsi" w:cstheme="minorHAnsi"/>
          <w:lang w:val="en-US"/>
        </w:rPr>
        <w:t xml:space="preserve">ting in the Agora Accelerator. </w:t>
      </w:r>
      <w:r w:rsidR="00090F80">
        <w:rPr>
          <w:rFonts w:asciiTheme="minorHAnsi" w:hAnsiTheme="minorHAnsi" w:cstheme="minorHAnsi"/>
          <w:lang w:val="en-US"/>
        </w:rPr>
        <w:t xml:space="preserve">Agora </w:t>
      </w:r>
      <w:r w:rsidR="0076452E">
        <w:rPr>
          <w:rFonts w:asciiTheme="minorHAnsi" w:hAnsiTheme="minorHAnsi" w:cstheme="minorHAnsi"/>
          <w:lang w:val="en-US"/>
        </w:rPr>
        <w:t>will</w:t>
      </w:r>
      <w:r w:rsidR="00715F6D">
        <w:rPr>
          <w:rFonts w:asciiTheme="minorHAnsi" w:hAnsiTheme="minorHAnsi" w:cstheme="minorHAnsi"/>
          <w:lang w:val="en-US"/>
        </w:rPr>
        <w:t xml:space="preserve"> create </w:t>
      </w:r>
      <w:r w:rsidR="00090F80">
        <w:rPr>
          <w:rFonts w:asciiTheme="minorHAnsi" w:hAnsiTheme="minorHAnsi" w:cstheme="minorHAnsi"/>
          <w:lang w:val="en-US"/>
        </w:rPr>
        <w:t xml:space="preserve">explanatory materials to build and strengthen partnerships with the right recruiting partners in order to get </w:t>
      </w:r>
      <w:r w:rsidR="008B07AD">
        <w:rPr>
          <w:rFonts w:asciiTheme="minorHAnsi" w:hAnsiTheme="minorHAnsi" w:cstheme="minorHAnsi"/>
          <w:lang w:val="en-US"/>
        </w:rPr>
        <w:t>high quality applications from which to select the access to basic services cohort.</w:t>
      </w:r>
      <w:r w:rsidR="00352649">
        <w:rPr>
          <w:rFonts w:asciiTheme="minorHAnsi" w:hAnsiTheme="minorHAnsi" w:cstheme="minorHAnsi"/>
          <w:lang w:val="en-US"/>
        </w:rPr>
        <w:t xml:space="preserve"> </w:t>
      </w:r>
      <w:r w:rsidR="00715F6D" w:rsidRPr="00715F6D">
        <w:rPr>
          <w:rFonts w:asciiTheme="minorHAnsi" w:hAnsiTheme="minorHAnsi" w:cstheme="minorHAnsi"/>
          <w:lang w:val="en-US"/>
        </w:rPr>
        <w:t>Agora f</w:t>
      </w:r>
      <w:r w:rsidR="00715F6D">
        <w:rPr>
          <w:rFonts w:asciiTheme="minorHAnsi" w:hAnsiTheme="minorHAnsi" w:cstheme="minorHAnsi"/>
          <w:lang w:val="en-US"/>
        </w:rPr>
        <w:t>osters</w:t>
      </w:r>
      <w:r w:rsidR="00715F6D" w:rsidRPr="00715F6D">
        <w:rPr>
          <w:rFonts w:asciiTheme="minorHAnsi" w:hAnsiTheme="minorHAnsi" w:cstheme="minorHAnsi"/>
          <w:lang w:val="en-US"/>
        </w:rPr>
        <w:t xml:space="preserve"> relationships with entrepreneurial networks, governments, and individual entrepreneurs that have potential to convert into Acce</w:t>
      </w:r>
      <w:r w:rsidR="00715F6D">
        <w:rPr>
          <w:rFonts w:asciiTheme="minorHAnsi" w:hAnsiTheme="minorHAnsi" w:cstheme="minorHAnsi"/>
          <w:lang w:val="en-US"/>
        </w:rPr>
        <w:t xml:space="preserve">lerator participants. </w:t>
      </w:r>
      <w:r w:rsidR="0056573D">
        <w:rPr>
          <w:rFonts w:asciiTheme="minorHAnsi" w:hAnsiTheme="minorHAnsi" w:cstheme="minorHAnsi"/>
          <w:lang w:val="en-US"/>
        </w:rPr>
        <w:t>Agora, in collaboration with the MIF and OMJ team</w:t>
      </w:r>
      <w:r w:rsidR="00352649">
        <w:rPr>
          <w:rFonts w:asciiTheme="minorHAnsi" w:hAnsiTheme="minorHAnsi" w:cstheme="minorHAnsi"/>
          <w:lang w:val="en-US"/>
        </w:rPr>
        <w:t xml:space="preserve"> </w:t>
      </w:r>
      <w:r w:rsidR="00E14022">
        <w:rPr>
          <w:rFonts w:asciiTheme="minorHAnsi" w:hAnsiTheme="minorHAnsi" w:cstheme="minorHAnsi"/>
          <w:lang w:val="en-US"/>
        </w:rPr>
        <w:t>will then</w:t>
      </w:r>
      <w:r w:rsidR="0056573D">
        <w:rPr>
          <w:rFonts w:asciiTheme="minorHAnsi" w:hAnsiTheme="minorHAnsi" w:cstheme="minorHAnsi"/>
          <w:lang w:val="en-US"/>
        </w:rPr>
        <w:t xml:space="preserve"> carry out</w:t>
      </w:r>
      <w:r w:rsidR="00E14022">
        <w:rPr>
          <w:rFonts w:asciiTheme="minorHAnsi" w:hAnsiTheme="minorHAnsi" w:cstheme="minorHAnsi"/>
          <w:lang w:val="en-US"/>
        </w:rPr>
        <w:t xml:space="preserve"> an efficient but intensive selection process to screen and select the best companies</w:t>
      </w:r>
      <w:r w:rsidR="00715F6D">
        <w:rPr>
          <w:rStyle w:val="FootnoteReference"/>
          <w:rFonts w:asciiTheme="minorHAnsi" w:hAnsiTheme="minorHAnsi"/>
          <w:lang w:val="en-US"/>
        </w:rPr>
        <w:footnoteReference w:id="23"/>
      </w:r>
      <w:r w:rsidR="00E14022">
        <w:rPr>
          <w:rFonts w:asciiTheme="minorHAnsi" w:hAnsiTheme="minorHAnsi" w:cstheme="minorHAnsi"/>
          <w:lang w:val="en-US"/>
        </w:rPr>
        <w:t xml:space="preserve">. </w:t>
      </w:r>
      <w:r w:rsidR="00E14022" w:rsidRPr="00715F6D">
        <w:rPr>
          <w:rFonts w:asciiTheme="minorHAnsi" w:hAnsiTheme="minorHAnsi" w:cstheme="minorHAnsi"/>
          <w:lang w:val="en-US"/>
        </w:rPr>
        <w:t xml:space="preserve">Finally, the Agora consultants who will manage the access to basic services cohort will begin the relationship with the entrepreneurs during the on-boarding process. </w:t>
      </w:r>
    </w:p>
    <w:p w:rsidR="003114C5" w:rsidRPr="00DA2509" w:rsidRDefault="003114C5" w:rsidP="00E14022">
      <w:pPr>
        <w:pStyle w:val="Default"/>
        <w:rPr>
          <w:rFonts w:asciiTheme="minorHAnsi" w:hAnsiTheme="minorHAnsi"/>
          <w:b/>
          <w:color w:val="000000" w:themeColor="text1"/>
        </w:rPr>
      </w:pPr>
    </w:p>
    <w:tbl>
      <w:tblPr>
        <w:tblW w:w="8593" w:type="dxa"/>
        <w:tblInd w:w="815"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000" w:firstRow="0" w:lastRow="0" w:firstColumn="0" w:lastColumn="0" w:noHBand="0" w:noVBand="0"/>
      </w:tblPr>
      <w:tblGrid>
        <w:gridCol w:w="8593"/>
      </w:tblGrid>
      <w:tr w:rsidR="003114C5" w:rsidRPr="00DA2509">
        <w:trPr>
          <w:trHeight w:val="336"/>
        </w:trPr>
        <w:tc>
          <w:tcPr>
            <w:tcW w:w="8593" w:type="dxa"/>
            <w:tcBorders>
              <w:top w:val="single" w:sz="4" w:space="0" w:color="auto"/>
              <w:left w:val="single" w:sz="4" w:space="0" w:color="auto"/>
              <w:bottom w:val="single" w:sz="6" w:space="0" w:color="000000"/>
              <w:right w:val="single" w:sz="4" w:space="0" w:color="auto"/>
            </w:tcBorders>
            <w:shd w:val="clear" w:color="auto" w:fill="C9DAF8"/>
            <w:tcMar>
              <w:top w:w="32" w:type="dxa"/>
              <w:left w:w="48" w:type="dxa"/>
              <w:bottom w:w="32" w:type="dxa"/>
              <w:right w:w="48" w:type="dxa"/>
            </w:tcMar>
            <w:vAlign w:val="bottom"/>
          </w:tcPr>
          <w:p w:rsidR="003114C5" w:rsidRPr="00DA2509" w:rsidRDefault="003114C5" w:rsidP="00442F9A">
            <w:pPr>
              <w:rPr>
                <w:rFonts w:ascii="Arial" w:hAnsi="Arial"/>
                <w:b/>
                <w:bCs/>
                <w:caps/>
                <w:snapToGrid/>
                <w:color w:val="000000" w:themeColor="text1"/>
                <w:sz w:val="23"/>
                <w:szCs w:val="23"/>
                <w:lang w:eastAsia="en-US"/>
              </w:rPr>
            </w:pPr>
            <w:r>
              <w:rPr>
                <w:rFonts w:ascii="Arial" w:hAnsi="Arial"/>
                <w:b/>
                <w:bCs/>
                <w:caps/>
                <w:snapToGrid/>
                <w:color w:val="000000" w:themeColor="text1"/>
                <w:sz w:val="23"/>
                <w:szCs w:val="23"/>
                <w:lang w:eastAsia="en-US"/>
              </w:rPr>
              <w:lastRenderedPageBreak/>
              <w:t>Activities</w:t>
            </w:r>
            <w:r w:rsidR="004E36C3">
              <w:rPr>
                <w:rFonts w:ascii="Arial" w:hAnsi="Arial"/>
                <w:b/>
                <w:bCs/>
                <w:caps/>
                <w:snapToGrid/>
                <w:color w:val="000000" w:themeColor="text1"/>
                <w:sz w:val="23"/>
                <w:szCs w:val="23"/>
                <w:lang w:eastAsia="en-US"/>
              </w:rPr>
              <w:t xml:space="preserve"> for Component I</w:t>
            </w:r>
          </w:p>
        </w:tc>
      </w:tr>
      <w:tr w:rsidR="003114C5" w:rsidRPr="00DA2509">
        <w:trPr>
          <w:trHeight w:val="336"/>
        </w:trPr>
        <w:tc>
          <w:tcPr>
            <w:tcW w:w="8593" w:type="dxa"/>
            <w:tcBorders>
              <w:top w:val="single" w:sz="6" w:space="0" w:color="CCCCCC"/>
              <w:left w:val="single" w:sz="4" w:space="0" w:color="auto"/>
              <w:bottom w:val="single" w:sz="6" w:space="0" w:color="000000"/>
              <w:right w:val="single" w:sz="4" w:space="0" w:color="auto"/>
            </w:tcBorders>
            <w:shd w:val="clear" w:color="auto" w:fill="CCCCCC"/>
            <w:tcMar>
              <w:top w:w="32" w:type="dxa"/>
              <w:left w:w="48" w:type="dxa"/>
              <w:bottom w:w="32" w:type="dxa"/>
              <w:right w:w="48" w:type="dxa"/>
            </w:tcMar>
            <w:vAlign w:val="bottom"/>
          </w:tcPr>
          <w:p w:rsidR="003114C5" w:rsidRPr="00DA2509" w:rsidRDefault="00CD14FE" w:rsidP="003114C5">
            <w:pPr>
              <w:rPr>
                <w:rFonts w:ascii="Arial" w:hAnsi="Arial"/>
                <w:b/>
                <w:bCs/>
                <w:snapToGrid/>
                <w:color w:val="000000" w:themeColor="text1"/>
                <w:sz w:val="23"/>
                <w:szCs w:val="23"/>
                <w:lang w:eastAsia="en-US"/>
              </w:rPr>
            </w:pPr>
            <w:r>
              <w:rPr>
                <w:rFonts w:ascii="Arial" w:hAnsi="Arial"/>
                <w:b/>
                <w:bCs/>
                <w:snapToGrid/>
                <w:color w:val="000000" w:themeColor="text1"/>
                <w:sz w:val="23"/>
                <w:szCs w:val="23"/>
                <w:lang w:eastAsia="en-US"/>
              </w:rPr>
              <w:t xml:space="preserve">1.1 </w:t>
            </w:r>
            <w:r w:rsidR="003114C5" w:rsidRPr="00DA2509">
              <w:rPr>
                <w:rFonts w:ascii="Arial" w:hAnsi="Arial"/>
                <w:b/>
                <w:bCs/>
                <w:snapToGrid/>
                <w:color w:val="000000" w:themeColor="text1"/>
                <w:sz w:val="23"/>
                <w:szCs w:val="23"/>
                <w:lang w:eastAsia="en-US"/>
              </w:rPr>
              <w:t>Recruitment</w:t>
            </w:r>
            <w:r w:rsidR="003114C5">
              <w:rPr>
                <w:rFonts w:ascii="Arial" w:hAnsi="Arial"/>
                <w:b/>
                <w:bCs/>
                <w:snapToGrid/>
                <w:color w:val="000000" w:themeColor="text1"/>
                <w:sz w:val="23"/>
                <w:szCs w:val="23"/>
                <w:lang w:eastAsia="en-US"/>
              </w:rPr>
              <w:t xml:space="preserve"> of Entrepreneurs</w:t>
            </w:r>
          </w:p>
        </w:tc>
      </w:tr>
      <w:tr w:rsidR="003114C5" w:rsidRPr="00DA2509">
        <w:trPr>
          <w:trHeight w:val="336"/>
        </w:trPr>
        <w:tc>
          <w:tcPr>
            <w:tcW w:w="8593" w:type="dxa"/>
            <w:tcBorders>
              <w:top w:val="single" w:sz="6" w:space="0" w:color="CCCCCC"/>
              <w:left w:val="single" w:sz="4" w:space="0" w:color="auto"/>
              <w:bottom w:val="single" w:sz="6" w:space="0" w:color="CCCCCC"/>
              <w:right w:val="single" w:sz="4" w:space="0" w:color="auto"/>
            </w:tcBorders>
            <w:shd w:val="clear" w:color="auto" w:fill="auto"/>
            <w:tcMar>
              <w:top w:w="32" w:type="dxa"/>
              <w:left w:w="48" w:type="dxa"/>
              <w:bottom w:w="32" w:type="dxa"/>
              <w:right w:w="48" w:type="dxa"/>
            </w:tcMar>
            <w:vAlign w:val="bottom"/>
          </w:tcPr>
          <w:p w:rsidR="003114C5" w:rsidRPr="00DA2509" w:rsidRDefault="003114C5" w:rsidP="00CA0C0A">
            <w:pPr>
              <w:rPr>
                <w:rFonts w:ascii="Arial" w:hAnsi="Arial"/>
                <w:snapToGrid/>
                <w:color w:val="000000" w:themeColor="text1"/>
                <w:sz w:val="23"/>
                <w:szCs w:val="23"/>
                <w:lang w:eastAsia="en-US"/>
              </w:rPr>
            </w:pPr>
            <w:r>
              <w:rPr>
                <w:rFonts w:ascii="Arial" w:hAnsi="Arial"/>
                <w:snapToGrid/>
                <w:color w:val="000000" w:themeColor="text1"/>
                <w:sz w:val="23"/>
                <w:szCs w:val="23"/>
                <w:lang w:eastAsia="en-US"/>
              </w:rPr>
              <w:t xml:space="preserve">1.1.1 </w:t>
            </w:r>
            <w:r w:rsidR="00CA0C0A" w:rsidRPr="00DA2509">
              <w:rPr>
                <w:rFonts w:ascii="Arial" w:hAnsi="Arial"/>
                <w:snapToGrid/>
                <w:color w:val="000000" w:themeColor="text1"/>
                <w:sz w:val="23"/>
                <w:szCs w:val="23"/>
                <w:lang w:eastAsia="en-US"/>
              </w:rPr>
              <w:t>Synchroniz</w:t>
            </w:r>
            <w:r w:rsidR="00CA0C0A">
              <w:rPr>
                <w:rFonts w:ascii="Arial" w:hAnsi="Arial"/>
                <w:snapToGrid/>
                <w:color w:val="000000" w:themeColor="text1"/>
                <w:sz w:val="23"/>
                <w:szCs w:val="23"/>
                <w:lang w:eastAsia="en-US"/>
              </w:rPr>
              <w:t>e</w:t>
            </w:r>
            <w:r w:rsidR="00CA0C0A" w:rsidRPr="00DA2509">
              <w:rPr>
                <w:rFonts w:ascii="Arial" w:hAnsi="Arial"/>
                <w:snapToGrid/>
                <w:color w:val="000000" w:themeColor="text1"/>
                <w:sz w:val="23"/>
                <w:szCs w:val="23"/>
                <w:lang w:eastAsia="en-US"/>
              </w:rPr>
              <w:t xml:space="preserve"> </w:t>
            </w:r>
            <w:r w:rsidRPr="00DA2509">
              <w:rPr>
                <w:rFonts w:ascii="Arial" w:hAnsi="Arial"/>
                <w:snapToGrid/>
                <w:color w:val="000000" w:themeColor="text1"/>
                <w:sz w:val="23"/>
                <w:szCs w:val="23"/>
                <w:lang w:eastAsia="en-US"/>
              </w:rPr>
              <w:t xml:space="preserve">accelerator services and </w:t>
            </w:r>
            <w:r w:rsidR="00B1703C">
              <w:rPr>
                <w:rFonts w:ascii="Arial" w:hAnsi="Arial"/>
                <w:snapToGrid/>
                <w:color w:val="000000" w:themeColor="text1"/>
                <w:sz w:val="23"/>
                <w:szCs w:val="23"/>
                <w:lang w:eastAsia="en-US"/>
              </w:rPr>
              <w:t xml:space="preserve">access to </w:t>
            </w:r>
            <w:r w:rsidRPr="00DA2509">
              <w:rPr>
                <w:rFonts w:ascii="Arial" w:hAnsi="Arial"/>
                <w:snapToGrid/>
                <w:color w:val="000000" w:themeColor="text1"/>
                <w:sz w:val="23"/>
                <w:szCs w:val="23"/>
                <w:lang w:eastAsia="en-US"/>
              </w:rPr>
              <w:t>basic services cohort</w:t>
            </w:r>
          </w:p>
        </w:tc>
      </w:tr>
      <w:tr w:rsidR="003114C5" w:rsidRPr="00DA2509">
        <w:trPr>
          <w:trHeight w:val="336"/>
        </w:trPr>
        <w:tc>
          <w:tcPr>
            <w:tcW w:w="8593" w:type="dxa"/>
            <w:tcBorders>
              <w:top w:val="single" w:sz="6" w:space="0" w:color="CCCCCC"/>
              <w:left w:val="single" w:sz="4" w:space="0" w:color="auto"/>
              <w:bottom w:val="single" w:sz="6" w:space="0" w:color="CCCCCC"/>
              <w:right w:val="single" w:sz="4" w:space="0" w:color="auto"/>
            </w:tcBorders>
            <w:shd w:val="clear" w:color="auto" w:fill="auto"/>
            <w:tcMar>
              <w:top w:w="32" w:type="dxa"/>
              <w:left w:w="48" w:type="dxa"/>
              <w:bottom w:w="32" w:type="dxa"/>
              <w:right w:w="48" w:type="dxa"/>
            </w:tcMar>
            <w:vAlign w:val="bottom"/>
          </w:tcPr>
          <w:p w:rsidR="003114C5" w:rsidRPr="00DA2509" w:rsidRDefault="003114C5" w:rsidP="00CA0C0A">
            <w:pPr>
              <w:rPr>
                <w:rFonts w:ascii="Arial" w:hAnsi="Arial"/>
                <w:snapToGrid/>
                <w:color w:val="000000" w:themeColor="text1"/>
                <w:sz w:val="23"/>
                <w:szCs w:val="23"/>
                <w:lang w:eastAsia="en-US"/>
              </w:rPr>
            </w:pPr>
            <w:r>
              <w:rPr>
                <w:rFonts w:ascii="Arial" w:hAnsi="Arial"/>
                <w:snapToGrid/>
                <w:color w:val="000000" w:themeColor="text1"/>
                <w:sz w:val="23"/>
                <w:szCs w:val="23"/>
                <w:lang w:eastAsia="en-US"/>
              </w:rPr>
              <w:t xml:space="preserve">1.1.2 </w:t>
            </w:r>
            <w:r w:rsidR="00CA0C0A">
              <w:rPr>
                <w:rFonts w:ascii="Arial" w:hAnsi="Arial"/>
                <w:snapToGrid/>
                <w:color w:val="000000" w:themeColor="text1"/>
                <w:sz w:val="23"/>
                <w:szCs w:val="23"/>
                <w:lang w:eastAsia="en-US"/>
              </w:rPr>
              <w:t>Develop and</w:t>
            </w:r>
            <w:r w:rsidR="00CA0C0A" w:rsidRPr="00DA2509">
              <w:rPr>
                <w:rFonts w:ascii="Arial" w:hAnsi="Arial"/>
                <w:snapToGrid/>
                <w:color w:val="000000" w:themeColor="text1"/>
                <w:sz w:val="23"/>
                <w:szCs w:val="23"/>
                <w:lang w:eastAsia="en-US"/>
              </w:rPr>
              <w:t xml:space="preserve"> distribute mar</w:t>
            </w:r>
            <w:r w:rsidR="00175E64">
              <w:rPr>
                <w:rFonts w:ascii="Arial" w:hAnsi="Arial"/>
                <w:snapToGrid/>
                <w:color w:val="000000" w:themeColor="text1"/>
                <w:sz w:val="23"/>
                <w:szCs w:val="23"/>
                <w:lang w:eastAsia="en-US"/>
              </w:rPr>
              <w:t>keting and communications materials</w:t>
            </w:r>
            <w:r w:rsidR="00CA0C0A">
              <w:rPr>
                <w:rFonts w:ascii="Arial" w:hAnsi="Arial"/>
                <w:snapToGrid/>
                <w:color w:val="000000" w:themeColor="text1"/>
                <w:sz w:val="23"/>
                <w:szCs w:val="23"/>
                <w:lang w:eastAsia="en-US"/>
              </w:rPr>
              <w:t xml:space="preserve"> </w:t>
            </w:r>
            <w:r w:rsidR="00CA0C0A" w:rsidRPr="00DA2509">
              <w:rPr>
                <w:rFonts w:ascii="Arial" w:hAnsi="Arial"/>
                <w:snapToGrid/>
                <w:color w:val="000000" w:themeColor="text1"/>
                <w:sz w:val="23"/>
                <w:szCs w:val="23"/>
                <w:lang w:eastAsia="en-US"/>
              </w:rPr>
              <w:t>in English and Spanish</w:t>
            </w:r>
            <w:r w:rsidR="00CA0C0A" w:rsidRPr="00DA2509" w:rsidDel="00CA0C0A">
              <w:rPr>
                <w:rFonts w:ascii="Arial" w:hAnsi="Arial"/>
                <w:snapToGrid/>
                <w:color w:val="000000" w:themeColor="text1"/>
                <w:sz w:val="23"/>
                <w:szCs w:val="23"/>
                <w:lang w:eastAsia="en-US"/>
              </w:rPr>
              <w:t xml:space="preserve"> </w:t>
            </w:r>
          </w:p>
        </w:tc>
      </w:tr>
      <w:tr w:rsidR="003114C5" w:rsidRPr="00DA2509">
        <w:trPr>
          <w:trHeight w:val="336"/>
        </w:trPr>
        <w:tc>
          <w:tcPr>
            <w:tcW w:w="8593" w:type="dxa"/>
            <w:tcBorders>
              <w:top w:val="single" w:sz="6" w:space="0" w:color="CCCCCC"/>
              <w:left w:val="single" w:sz="4" w:space="0" w:color="auto"/>
              <w:bottom w:val="single" w:sz="6" w:space="0" w:color="CCCCCC"/>
              <w:right w:val="single" w:sz="4" w:space="0" w:color="auto"/>
            </w:tcBorders>
            <w:shd w:val="clear" w:color="auto" w:fill="auto"/>
            <w:tcMar>
              <w:top w:w="32" w:type="dxa"/>
              <w:left w:w="48" w:type="dxa"/>
              <w:bottom w:w="32" w:type="dxa"/>
              <w:right w:w="48" w:type="dxa"/>
            </w:tcMar>
            <w:vAlign w:val="bottom"/>
          </w:tcPr>
          <w:p w:rsidR="00631AF5" w:rsidRDefault="003114C5">
            <w:pPr>
              <w:rPr>
                <w:rFonts w:ascii="Arial" w:hAnsi="Arial"/>
                <w:snapToGrid/>
                <w:color w:val="000000" w:themeColor="text1"/>
                <w:sz w:val="23"/>
                <w:szCs w:val="23"/>
                <w:lang w:eastAsia="en-US"/>
              </w:rPr>
            </w:pPr>
            <w:r>
              <w:rPr>
                <w:rFonts w:ascii="Arial" w:hAnsi="Arial"/>
                <w:snapToGrid/>
                <w:color w:val="000000" w:themeColor="text1"/>
                <w:sz w:val="23"/>
                <w:szCs w:val="23"/>
                <w:lang w:eastAsia="en-US"/>
              </w:rPr>
              <w:t xml:space="preserve">1.1.3 </w:t>
            </w:r>
            <w:r w:rsidR="00CA0C0A" w:rsidRPr="00DA2509">
              <w:rPr>
                <w:rFonts w:ascii="Arial" w:hAnsi="Arial"/>
                <w:snapToGrid/>
                <w:color w:val="000000" w:themeColor="text1"/>
                <w:sz w:val="23"/>
                <w:szCs w:val="23"/>
                <w:lang w:eastAsia="en-US"/>
              </w:rPr>
              <w:t>Identify</w:t>
            </w:r>
            <w:r w:rsidR="00627944">
              <w:rPr>
                <w:rFonts w:ascii="Arial" w:hAnsi="Arial"/>
                <w:snapToGrid/>
                <w:color w:val="000000" w:themeColor="text1"/>
                <w:sz w:val="23"/>
                <w:szCs w:val="23"/>
                <w:lang w:eastAsia="en-US"/>
              </w:rPr>
              <w:t>,</w:t>
            </w:r>
            <w:r w:rsidR="00CA0C0A" w:rsidRPr="00DA2509">
              <w:rPr>
                <w:rFonts w:ascii="Arial" w:hAnsi="Arial"/>
                <w:snapToGrid/>
                <w:color w:val="000000" w:themeColor="text1"/>
                <w:sz w:val="23"/>
                <w:szCs w:val="23"/>
                <w:lang w:eastAsia="en-US"/>
              </w:rPr>
              <w:t xml:space="preserve"> </w:t>
            </w:r>
            <w:r w:rsidR="00175E64">
              <w:rPr>
                <w:rFonts w:ascii="Arial" w:hAnsi="Arial"/>
                <w:snapToGrid/>
                <w:color w:val="000000" w:themeColor="text1"/>
                <w:sz w:val="23"/>
                <w:szCs w:val="23"/>
                <w:lang w:eastAsia="en-US"/>
              </w:rPr>
              <w:t>reach</w:t>
            </w:r>
            <w:r w:rsidR="00CA0C0A" w:rsidRPr="00DA2509">
              <w:rPr>
                <w:rFonts w:ascii="Arial" w:hAnsi="Arial"/>
                <w:snapToGrid/>
                <w:color w:val="000000" w:themeColor="text1"/>
                <w:sz w:val="23"/>
                <w:szCs w:val="23"/>
                <w:lang w:eastAsia="en-US"/>
              </w:rPr>
              <w:t xml:space="preserve"> out to</w:t>
            </w:r>
            <w:r w:rsidR="00627944">
              <w:rPr>
                <w:rFonts w:ascii="Arial" w:hAnsi="Arial"/>
                <w:snapToGrid/>
                <w:color w:val="000000" w:themeColor="text1"/>
                <w:sz w:val="23"/>
                <w:szCs w:val="23"/>
                <w:lang w:eastAsia="en-US"/>
              </w:rPr>
              <w:t>, and meet with</w:t>
            </w:r>
            <w:r w:rsidR="00CA0C0A" w:rsidRPr="00DA2509">
              <w:rPr>
                <w:rFonts w:ascii="Arial" w:hAnsi="Arial"/>
                <w:snapToGrid/>
                <w:color w:val="000000" w:themeColor="text1"/>
                <w:sz w:val="23"/>
                <w:szCs w:val="23"/>
                <w:lang w:eastAsia="en-US"/>
              </w:rPr>
              <w:t xml:space="preserve"> recruiting / pipeline partners</w:t>
            </w:r>
            <w:r w:rsidR="00CA0C0A" w:rsidDel="00CA0C0A">
              <w:rPr>
                <w:rFonts w:ascii="Arial" w:hAnsi="Arial"/>
                <w:snapToGrid/>
                <w:color w:val="000000" w:themeColor="text1"/>
                <w:sz w:val="23"/>
                <w:szCs w:val="23"/>
                <w:lang w:eastAsia="en-US"/>
              </w:rPr>
              <w:t xml:space="preserve"> </w:t>
            </w:r>
          </w:p>
        </w:tc>
      </w:tr>
      <w:tr w:rsidR="003114C5" w:rsidRPr="00DA2509">
        <w:trPr>
          <w:trHeight w:val="336"/>
        </w:trPr>
        <w:tc>
          <w:tcPr>
            <w:tcW w:w="8593" w:type="dxa"/>
            <w:tcBorders>
              <w:top w:val="single" w:sz="6" w:space="0" w:color="CCCCCC"/>
              <w:left w:val="single" w:sz="4" w:space="0" w:color="auto"/>
              <w:bottom w:val="single" w:sz="6" w:space="0" w:color="000000"/>
              <w:right w:val="single" w:sz="4" w:space="0" w:color="auto"/>
            </w:tcBorders>
            <w:shd w:val="clear" w:color="auto" w:fill="CCCCCC"/>
            <w:tcMar>
              <w:top w:w="32" w:type="dxa"/>
              <w:left w:w="48" w:type="dxa"/>
              <w:bottom w:w="32" w:type="dxa"/>
              <w:right w:w="48" w:type="dxa"/>
            </w:tcMar>
            <w:vAlign w:val="bottom"/>
          </w:tcPr>
          <w:p w:rsidR="003114C5" w:rsidRPr="00DA2509" w:rsidRDefault="00CD14FE" w:rsidP="003114C5">
            <w:pPr>
              <w:rPr>
                <w:rFonts w:ascii="Arial" w:hAnsi="Arial"/>
                <w:b/>
                <w:bCs/>
                <w:snapToGrid/>
                <w:color w:val="000000" w:themeColor="text1"/>
                <w:sz w:val="23"/>
                <w:szCs w:val="23"/>
                <w:lang w:eastAsia="en-US"/>
              </w:rPr>
            </w:pPr>
            <w:r>
              <w:rPr>
                <w:rFonts w:ascii="Arial" w:hAnsi="Arial"/>
                <w:b/>
                <w:bCs/>
                <w:snapToGrid/>
                <w:color w:val="000000" w:themeColor="text1"/>
                <w:sz w:val="23"/>
                <w:szCs w:val="23"/>
                <w:lang w:eastAsia="en-US"/>
              </w:rPr>
              <w:t xml:space="preserve">1.2 </w:t>
            </w:r>
            <w:r w:rsidR="003114C5">
              <w:rPr>
                <w:rFonts w:ascii="Arial" w:hAnsi="Arial"/>
                <w:b/>
                <w:bCs/>
                <w:snapToGrid/>
                <w:color w:val="000000" w:themeColor="text1"/>
                <w:sz w:val="23"/>
                <w:szCs w:val="23"/>
                <w:lang w:eastAsia="en-US"/>
              </w:rPr>
              <w:t xml:space="preserve">Company </w:t>
            </w:r>
            <w:r w:rsidR="003114C5" w:rsidRPr="00DA2509">
              <w:rPr>
                <w:rFonts w:ascii="Arial" w:hAnsi="Arial"/>
                <w:b/>
                <w:bCs/>
                <w:snapToGrid/>
                <w:color w:val="000000" w:themeColor="text1"/>
                <w:sz w:val="23"/>
                <w:szCs w:val="23"/>
                <w:lang w:eastAsia="en-US"/>
              </w:rPr>
              <w:t>Selection</w:t>
            </w:r>
            <w:r>
              <w:rPr>
                <w:rStyle w:val="FootnoteReference"/>
                <w:rFonts w:ascii="Arial" w:hAnsi="Arial"/>
                <w:b/>
                <w:bCs/>
                <w:snapToGrid/>
                <w:color w:val="000000" w:themeColor="text1"/>
                <w:sz w:val="23"/>
                <w:szCs w:val="23"/>
                <w:lang w:eastAsia="en-US"/>
              </w:rPr>
              <w:footnoteReference w:id="24"/>
            </w:r>
          </w:p>
        </w:tc>
      </w:tr>
      <w:tr w:rsidR="003114C5" w:rsidRPr="00DA2509">
        <w:trPr>
          <w:trHeight w:val="336"/>
        </w:trPr>
        <w:tc>
          <w:tcPr>
            <w:tcW w:w="8593" w:type="dxa"/>
            <w:tcBorders>
              <w:top w:val="single" w:sz="6" w:space="0" w:color="CCCCCC"/>
              <w:left w:val="single" w:sz="4" w:space="0" w:color="auto"/>
              <w:bottom w:val="single" w:sz="6" w:space="0" w:color="CCCCCC"/>
              <w:right w:val="single" w:sz="4" w:space="0" w:color="auto"/>
            </w:tcBorders>
            <w:shd w:val="clear" w:color="auto" w:fill="auto"/>
            <w:tcMar>
              <w:top w:w="32" w:type="dxa"/>
              <w:left w:w="48" w:type="dxa"/>
              <w:bottom w:w="32" w:type="dxa"/>
              <w:right w:w="48" w:type="dxa"/>
            </w:tcMar>
            <w:vAlign w:val="bottom"/>
          </w:tcPr>
          <w:p w:rsidR="00262EF6" w:rsidRPr="00A743E2" w:rsidRDefault="00627944" w:rsidP="00A743E2">
            <w:pPr>
              <w:ind w:left="-5" w:firstLine="5"/>
              <w:rPr>
                <w:rFonts w:ascii="Arial" w:hAnsi="Arial"/>
                <w:snapToGrid/>
                <w:color w:val="000000" w:themeColor="text1"/>
                <w:sz w:val="23"/>
                <w:szCs w:val="23"/>
                <w:lang w:eastAsia="en-US"/>
              </w:rPr>
            </w:pPr>
            <w:r>
              <w:rPr>
                <w:rFonts w:ascii="Arial" w:hAnsi="Arial"/>
                <w:snapToGrid/>
                <w:color w:val="000000" w:themeColor="text1"/>
                <w:sz w:val="23"/>
                <w:szCs w:val="23"/>
                <w:lang w:eastAsia="en-US"/>
              </w:rPr>
              <w:t xml:space="preserve">1.2.1 </w:t>
            </w:r>
            <w:r w:rsidR="00D5544D">
              <w:rPr>
                <w:rFonts w:ascii="Arial" w:hAnsi="Arial"/>
                <w:snapToGrid/>
                <w:color w:val="000000" w:themeColor="text1"/>
                <w:sz w:val="23"/>
                <w:szCs w:val="23"/>
                <w:lang w:eastAsia="en-US"/>
              </w:rPr>
              <w:t>Develop</w:t>
            </w:r>
            <w:r w:rsidR="00D5544D" w:rsidRPr="00D5544D">
              <w:rPr>
                <w:rFonts w:ascii="Arial" w:hAnsi="Arial"/>
                <w:snapToGrid/>
                <w:color w:val="000000" w:themeColor="text1"/>
                <w:sz w:val="23"/>
                <w:szCs w:val="23"/>
                <w:lang w:eastAsia="en-US"/>
              </w:rPr>
              <w:t xml:space="preserve"> </w:t>
            </w:r>
            <w:r w:rsidR="00D5544D">
              <w:rPr>
                <w:rFonts w:ascii="Arial" w:hAnsi="Arial"/>
                <w:snapToGrid/>
                <w:color w:val="000000" w:themeColor="text1"/>
                <w:sz w:val="23"/>
                <w:szCs w:val="23"/>
                <w:lang w:eastAsia="en-US"/>
              </w:rPr>
              <w:t>selection process</w:t>
            </w:r>
            <w:r>
              <w:rPr>
                <w:rFonts w:ascii="Arial" w:hAnsi="Arial"/>
                <w:snapToGrid/>
                <w:color w:val="000000" w:themeColor="text1"/>
                <w:sz w:val="23"/>
                <w:szCs w:val="23"/>
                <w:lang w:eastAsia="en-US"/>
              </w:rPr>
              <w:t>; Re</w:t>
            </w:r>
            <w:r w:rsidR="00D5544D" w:rsidRPr="00D5544D">
              <w:rPr>
                <w:rFonts w:ascii="Arial" w:hAnsi="Arial"/>
                <w:snapToGrid/>
                <w:color w:val="000000" w:themeColor="text1"/>
                <w:sz w:val="23"/>
                <w:szCs w:val="23"/>
                <w:lang w:eastAsia="en-US"/>
              </w:rPr>
              <w:t>view applications</w:t>
            </w:r>
            <w:r>
              <w:rPr>
                <w:rFonts w:ascii="Arial" w:hAnsi="Arial"/>
                <w:snapToGrid/>
                <w:color w:val="000000" w:themeColor="text1"/>
                <w:sz w:val="23"/>
                <w:szCs w:val="23"/>
                <w:lang w:eastAsia="en-US"/>
              </w:rPr>
              <w:t xml:space="preserve">; </w:t>
            </w:r>
            <w:r w:rsidR="00D5544D" w:rsidRPr="00D5544D">
              <w:rPr>
                <w:rFonts w:ascii="Arial" w:hAnsi="Arial"/>
                <w:snapToGrid/>
                <w:color w:val="000000" w:themeColor="text1"/>
                <w:sz w:val="23"/>
                <w:szCs w:val="23"/>
                <w:lang w:eastAsia="en-US"/>
              </w:rPr>
              <w:t>Conduct interviews</w:t>
            </w:r>
            <w:r>
              <w:rPr>
                <w:rFonts w:ascii="Arial" w:hAnsi="Arial"/>
                <w:snapToGrid/>
                <w:color w:val="000000" w:themeColor="text1"/>
                <w:sz w:val="23"/>
                <w:szCs w:val="23"/>
                <w:lang w:eastAsia="en-US"/>
              </w:rPr>
              <w:t xml:space="preserve">; </w:t>
            </w:r>
            <w:r w:rsidR="000A4011" w:rsidRPr="00A743E2">
              <w:rPr>
                <w:rFonts w:ascii="Arial" w:hAnsi="Arial"/>
                <w:snapToGrid/>
                <w:color w:val="000000" w:themeColor="text1"/>
                <w:sz w:val="23"/>
                <w:szCs w:val="23"/>
                <w:lang w:eastAsia="en-US"/>
              </w:rPr>
              <w:t>Present top applicants to MIF and OMJ for final review and selection</w:t>
            </w:r>
          </w:p>
        </w:tc>
      </w:tr>
      <w:tr w:rsidR="003114C5" w:rsidRPr="00DA2509">
        <w:trPr>
          <w:trHeight w:val="336"/>
        </w:trPr>
        <w:tc>
          <w:tcPr>
            <w:tcW w:w="8593" w:type="dxa"/>
            <w:tcBorders>
              <w:top w:val="single" w:sz="6" w:space="0" w:color="CCCCCC"/>
              <w:left w:val="single" w:sz="4" w:space="0" w:color="auto"/>
              <w:bottom w:val="single" w:sz="6" w:space="0" w:color="000000"/>
              <w:right w:val="single" w:sz="4" w:space="0" w:color="auto"/>
            </w:tcBorders>
            <w:shd w:val="clear" w:color="auto" w:fill="CCCCCC"/>
            <w:tcMar>
              <w:top w:w="32" w:type="dxa"/>
              <w:left w:w="48" w:type="dxa"/>
              <w:bottom w:w="32" w:type="dxa"/>
              <w:right w:w="48" w:type="dxa"/>
            </w:tcMar>
            <w:vAlign w:val="bottom"/>
          </w:tcPr>
          <w:p w:rsidR="00631AF5" w:rsidRPr="00A743E2" w:rsidRDefault="00B1703C">
            <w:pPr>
              <w:rPr>
                <w:rFonts w:ascii="Arial" w:hAnsi="Arial"/>
                <w:b/>
                <w:bCs/>
                <w:snapToGrid/>
                <w:color w:val="000000" w:themeColor="text1"/>
                <w:sz w:val="23"/>
                <w:szCs w:val="23"/>
                <w:lang w:eastAsia="en-US"/>
              </w:rPr>
            </w:pPr>
            <w:r>
              <w:rPr>
                <w:rFonts w:ascii="Arial" w:hAnsi="Arial"/>
                <w:b/>
                <w:bCs/>
                <w:snapToGrid/>
                <w:color w:val="000000" w:themeColor="text1"/>
                <w:sz w:val="23"/>
                <w:szCs w:val="23"/>
                <w:lang w:eastAsia="en-US"/>
              </w:rPr>
              <w:t xml:space="preserve">1.3 </w:t>
            </w:r>
            <w:r w:rsidR="000A4011" w:rsidRPr="00A743E2">
              <w:rPr>
                <w:rFonts w:ascii="Arial" w:hAnsi="Arial"/>
                <w:b/>
                <w:bCs/>
                <w:snapToGrid/>
                <w:color w:val="000000" w:themeColor="text1"/>
                <w:sz w:val="23"/>
                <w:szCs w:val="23"/>
                <w:lang w:eastAsia="en-US"/>
              </w:rPr>
              <w:t>On-boarding</w:t>
            </w:r>
          </w:p>
        </w:tc>
      </w:tr>
      <w:tr w:rsidR="003114C5" w:rsidRPr="00DA2509">
        <w:trPr>
          <w:trHeight w:val="336"/>
        </w:trPr>
        <w:tc>
          <w:tcPr>
            <w:tcW w:w="8593" w:type="dxa"/>
            <w:tcBorders>
              <w:top w:val="single" w:sz="6" w:space="0" w:color="CCCCCC"/>
              <w:left w:val="single" w:sz="4" w:space="0" w:color="auto"/>
              <w:bottom w:val="single" w:sz="4" w:space="0" w:color="auto"/>
              <w:right w:val="single" w:sz="4" w:space="0" w:color="auto"/>
            </w:tcBorders>
            <w:shd w:val="clear" w:color="auto" w:fill="auto"/>
            <w:tcMar>
              <w:top w:w="32" w:type="dxa"/>
              <w:left w:w="48" w:type="dxa"/>
              <w:bottom w:w="32" w:type="dxa"/>
              <w:right w:w="48" w:type="dxa"/>
            </w:tcMar>
            <w:vAlign w:val="bottom"/>
          </w:tcPr>
          <w:p w:rsidR="00631AF5" w:rsidRPr="00A743E2" w:rsidRDefault="00627944" w:rsidP="00651053">
            <w:pPr>
              <w:rPr>
                <w:rFonts w:ascii="Arial" w:hAnsi="Arial"/>
                <w:snapToGrid/>
                <w:color w:val="000000" w:themeColor="text1"/>
                <w:sz w:val="23"/>
                <w:szCs w:val="23"/>
                <w:lang w:eastAsia="en-US"/>
              </w:rPr>
            </w:pPr>
            <w:r>
              <w:rPr>
                <w:rFonts w:ascii="Arial" w:hAnsi="Arial"/>
                <w:snapToGrid/>
                <w:color w:val="000000" w:themeColor="text1"/>
                <w:sz w:val="23"/>
                <w:szCs w:val="23"/>
                <w:lang w:eastAsia="en-US"/>
              </w:rPr>
              <w:t xml:space="preserve">1.3.1 </w:t>
            </w:r>
            <w:r w:rsidR="00D5544D" w:rsidRPr="00D5544D">
              <w:rPr>
                <w:rFonts w:ascii="Arial" w:hAnsi="Arial"/>
                <w:snapToGrid/>
                <w:color w:val="000000" w:themeColor="text1"/>
                <w:sz w:val="23"/>
                <w:szCs w:val="23"/>
                <w:lang w:eastAsia="en-US"/>
              </w:rPr>
              <w:t>Create and communicate pricing policy and "Statements of Understanding"</w:t>
            </w:r>
            <w:r>
              <w:rPr>
                <w:rFonts w:ascii="Arial" w:hAnsi="Arial"/>
                <w:snapToGrid/>
                <w:color w:val="000000" w:themeColor="text1"/>
                <w:sz w:val="23"/>
                <w:szCs w:val="23"/>
                <w:lang w:eastAsia="en-US"/>
              </w:rPr>
              <w:t xml:space="preserve">; </w:t>
            </w:r>
            <w:r w:rsidR="00D5544D" w:rsidRPr="00D5544D">
              <w:rPr>
                <w:rFonts w:ascii="Arial" w:hAnsi="Arial"/>
                <w:snapToGrid/>
                <w:color w:val="000000" w:themeColor="text1"/>
                <w:sz w:val="23"/>
                <w:szCs w:val="23"/>
                <w:lang w:eastAsia="en-US"/>
              </w:rPr>
              <w:t>Provide logistics details and travel arrangements for Retreat</w:t>
            </w:r>
            <w:r w:rsidR="00651053">
              <w:rPr>
                <w:rStyle w:val="FootnoteReference"/>
                <w:rFonts w:ascii="Arial" w:hAnsi="Arial"/>
                <w:snapToGrid/>
                <w:color w:val="000000" w:themeColor="text1"/>
                <w:sz w:val="23"/>
                <w:szCs w:val="23"/>
                <w:lang w:eastAsia="en-US"/>
              </w:rPr>
              <w:footnoteReference w:id="25"/>
            </w:r>
            <w:r>
              <w:rPr>
                <w:rFonts w:ascii="Arial" w:hAnsi="Arial"/>
                <w:snapToGrid/>
                <w:color w:val="000000" w:themeColor="text1"/>
                <w:sz w:val="23"/>
                <w:szCs w:val="23"/>
                <w:lang w:eastAsia="en-US"/>
              </w:rPr>
              <w:t xml:space="preserve">; Begin diagnosis of challenges faced by the entrepreneurs </w:t>
            </w:r>
          </w:p>
        </w:tc>
      </w:tr>
    </w:tbl>
    <w:p w:rsidR="00440AE2" w:rsidRDefault="00440AE2" w:rsidP="00440AE2">
      <w:pPr>
        <w:pStyle w:val="Paragraph"/>
        <w:tabs>
          <w:tab w:val="clear" w:pos="720"/>
        </w:tabs>
        <w:ind w:left="792" w:firstLine="0"/>
        <w:rPr>
          <w:rFonts w:asciiTheme="minorHAnsi" w:hAnsiTheme="minorHAnsi"/>
          <w:color w:val="000000" w:themeColor="text1"/>
          <w:lang w:val="en-US"/>
        </w:rPr>
      </w:pPr>
    </w:p>
    <w:p w:rsidR="00B55101" w:rsidRPr="00821BB1" w:rsidRDefault="00B55101" w:rsidP="00B55101">
      <w:pPr>
        <w:pStyle w:val="Default"/>
        <w:ind w:left="720"/>
        <w:rPr>
          <w:rFonts w:ascii="Calibri" w:hAnsi="Calibri"/>
          <w:color w:val="808080"/>
        </w:rPr>
      </w:pPr>
      <w:r>
        <w:rPr>
          <w:rFonts w:ascii="Calibri" w:hAnsi="Calibri"/>
          <w:b/>
          <w:bCs/>
          <w:color w:val="000000" w:themeColor="text1"/>
        </w:rPr>
        <w:t>Component 2:</w:t>
      </w:r>
      <w:r w:rsidRPr="00B55101">
        <w:rPr>
          <w:rFonts w:ascii="Calibri" w:hAnsi="Calibri"/>
          <w:b/>
          <w:color w:val="000000" w:themeColor="text1"/>
        </w:rPr>
        <w:t xml:space="preserve"> Preparing and </w:t>
      </w:r>
      <w:r w:rsidR="0076452E">
        <w:rPr>
          <w:rFonts w:ascii="Calibri" w:hAnsi="Calibri"/>
          <w:b/>
          <w:color w:val="000000" w:themeColor="text1"/>
        </w:rPr>
        <w:t>E</w:t>
      </w:r>
      <w:r w:rsidRPr="00B55101">
        <w:rPr>
          <w:rFonts w:ascii="Calibri" w:hAnsi="Calibri"/>
          <w:b/>
          <w:color w:val="000000" w:themeColor="text1"/>
        </w:rPr>
        <w:t xml:space="preserve">xecuting </w:t>
      </w:r>
      <w:r w:rsidR="009F772B">
        <w:rPr>
          <w:rFonts w:ascii="Calibri" w:hAnsi="Calibri"/>
          <w:b/>
          <w:color w:val="000000" w:themeColor="text1"/>
        </w:rPr>
        <w:t>the Agora Accelerator (Entrepreneur Retreat and business consulting)</w:t>
      </w:r>
    </w:p>
    <w:p w:rsidR="004E36C3" w:rsidRPr="002451E7" w:rsidRDefault="00A743E2" w:rsidP="00A743E2">
      <w:pPr>
        <w:pStyle w:val="Paragraph"/>
        <w:tabs>
          <w:tab w:val="clear" w:pos="720"/>
        </w:tabs>
        <w:spacing w:before="0" w:after="0"/>
        <w:ind w:firstLine="0"/>
        <w:rPr>
          <w:rFonts w:asciiTheme="minorHAnsi" w:hAnsiTheme="minorHAnsi" w:cstheme="minorHAnsi"/>
          <w:b/>
          <w:lang w:val="en-US"/>
        </w:rPr>
      </w:pPr>
      <w:r>
        <w:rPr>
          <w:rFonts w:asciiTheme="minorHAnsi" w:hAnsiTheme="minorHAnsi" w:cstheme="minorHAnsi"/>
          <w:b/>
          <w:lang w:val="en-US"/>
        </w:rPr>
        <w:t>(MIF: US$145,104/Counterpart: US$67,331</w:t>
      </w:r>
      <w:r w:rsidR="00B55101" w:rsidRPr="00A743E2">
        <w:rPr>
          <w:rFonts w:asciiTheme="minorHAnsi" w:hAnsiTheme="minorHAnsi" w:cstheme="minorHAnsi"/>
          <w:b/>
          <w:lang w:val="en-US"/>
        </w:rPr>
        <w:t>)</w:t>
      </w:r>
    </w:p>
    <w:p w:rsidR="00B55101" w:rsidRPr="00CB2768" w:rsidRDefault="009F772B" w:rsidP="00A743E2">
      <w:pPr>
        <w:pStyle w:val="Paragraph"/>
        <w:numPr>
          <w:ilvl w:val="1"/>
          <w:numId w:val="1"/>
        </w:numPr>
        <w:ind w:hanging="702"/>
        <w:rPr>
          <w:rFonts w:ascii="Calibri" w:hAnsi="Calibri"/>
          <w:color w:val="808080"/>
          <w:lang w:val="en-US"/>
        </w:rPr>
      </w:pPr>
      <w:r w:rsidRPr="00A743E2">
        <w:rPr>
          <w:rFonts w:ascii="Calibri" w:hAnsi="Calibri"/>
          <w:color w:val="000000" w:themeColor="text1"/>
          <w:lang w:val="en-US"/>
        </w:rPr>
        <w:t xml:space="preserve">Preparing and executing the core components for the Agora Accelerator is essential to accelerating access to basic services companies to grow their businesses and their impact. </w:t>
      </w:r>
      <w:r w:rsidR="009625C5" w:rsidRPr="00CB2768">
        <w:rPr>
          <w:rFonts w:ascii="Calibri" w:hAnsi="Calibri"/>
          <w:color w:val="000000" w:themeColor="text1"/>
          <w:lang w:val="en-US"/>
        </w:rPr>
        <w:t>The retreat serves as the official start of the Accelerator and aims to build a strong community of entrepreneurs with access to the knowledge and networks they need to accelerate their growth and impact. The retreat is crucial to the consulting process because it establishes the relationship between the consultant and the entrepreneur and provides in-person time for the consultants and entrepreneurs to work together to diagnose the challenges that will be addressed in the consulting process. The consulting process begins right when the Retreat ends and prepares the entrepreneurs for the capital raising process, matches them to the right mentors and investors, and ensures that have the necessary investment presentation materials.</w:t>
      </w:r>
    </w:p>
    <w:p w:rsidR="00B55101" w:rsidRDefault="00B55101" w:rsidP="00440AE2">
      <w:pPr>
        <w:pStyle w:val="Paragraph"/>
        <w:tabs>
          <w:tab w:val="clear" w:pos="720"/>
        </w:tabs>
        <w:ind w:left="792" w:firstLine="0"/>
        <w:rPr>
          <w:rFonts w:asciiTheme="minorHAnsi" w:hAnsiTheme="minorHAnsi"/>
          <w:color w:val="000000" w:themeColor="text1"/>
          <w:lang w:val="en-US"/>
        </w:rPr>
      </w:pPr>
    </w:p>
    <w:tbl>
      <w:tblPr>
        <w:tblW w:w="8593" w:type="dxa"/>
        <w:tblInd w:w="815"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000" w:firstRow="0" w:lastRow="0" w:firstColumn="0" w:lastColumn="0" w:noHBand="0" w:noVBand="0"/>
      </w:tblPr>
      <w:tblGrid>
        <w:gridCol w:w="8593"/>
      </w:tblGrid>
      <w:tr w:rsidR="004E36C3" w:rsidRPr="00DA2509">
        <w:trPr>
          <w:trHeight w:val="336"/>
        </w:trPr>
        <w:tc>
          <w:tcPr>
            <w:tcW w:w="8593" w:type="dxa"/>
            <w:tcBorders>
              <w:top w:val="single" w:sz="4" w:space="0" w:color="auto"/>
              <w:left w:val="single" w:sz="4" w:space="0" w:color="auto"/>
              <w:bottom w:val="single" w:sz="6" w:space="0" w:color="000000"/>
              <w:right w:val="single" w:sz="4" w:space="0" w:color="auto"/>
            </w:tcBorders>
            <w:shd w:val="clear" w:color="auto" w:fill="8DB3E2" w:themeFill="text2" w:themeFillTint="66"/>
            <w:tcMar>
              <w:top w:w="32" w:type="dxa"/>
              <w:left w:w="48" w:type="dxa"/>
              <w:bottom w:w="32" w:type="dxa"/>
              <w:right w:w="48" w:type="dxa"/>
            </w:tcMar>
            <w:vAlign w:val="bottom"/>
          </w:tcPr>
          <w:p w:rsidR="004E36C3" w:rsidRPr="007F1718" w:rsidRDefault="004E36C3" w:rsidP="00B26B97">
            <w:pPr>
              <w:rPr>
                <w:rFonts w:asciiTheme="minorHAnsi" w:hAnsiTheme="minorHAnsi"/>
                <w:b/>
                <w:bCs/>
                <w:snapToGrid/>
                <w:color w:val="000000" w:themeColor="text1"/>
                <w:lang w:eastAsia="en-US"/>
              </w:rPr>
            </w:pPr>
            <w:r w:rsidRPr="007F1718">
              <w:rPr>
                <w:rFonts w:asciiTheme="minorHAnsi" w:hAnsiTheme="minorHAnsi"/>
                <w:b/>
                <w:bCs/>
                <w:caps/>
                <w:snapToGrid/>
                <w:color w:val="000000" w:themeColor="text1"/>
                <w:lang w:eastAsia="en-US"/>
              </w:rPr>
              <w:t>Activities for Component II</w:t>
            </w:r>
          </w:p>
        </w:tc>
      </w:tr>
      <w:tr w:rsidR="00B55101" w:rsidRPr="00DA2509">
        <w:trPr>
          <w:trHeight w:val="336"/>
        </w:trPr>
        <w:tc>
          <w:tcPr>
            <w:tcW w:w="8593" w:type="dxa"/>
            <w:tcBorders>
              <w:top w:val="single" w:sz="6" w:space="0" w:color="CCCCCC"/>
              <w:left w:val="single" w:sz="4" w:space="0" w:color="auto"/>
              <w:bottom w:val="single" w:sz="6" w:space="0" w:color="000000"/>
              <w:right w:val="single" w:sz="4" w:space="0" w:color="auto"/>
            </w:tcBorders>
            <w:shd w:val="clear" w:color="auto" w:fill="CCCCCC"/>
            <w:tcMar>
              <w:top w:w="32" w:type="dxa"/>
              <w:left w:w="48" w:type="dxa"/>
              <w:bottom w:w="32" w:type="dxa"/>
              <w:right w:w="48" w:type="dxa"/>
            </w:tcMar>
            <w:vAlign w:val="bottom"/>
          </w:tcPr>
          <w:p w:rsidR="00B55101" w:rsidRPr="007F1718" w:rsidRDefault="00B55101" w:rsidP="00B26B97">
            <w:pPr>
              <w:rPr>
                <w:rFonts w:asciiTheme="minorHAnsi" w:hAnsiTheme="minorHAnsi"/>
                <w:b/>
                <w:bCs/>
                <w:snapToGrid/>
                <w:color w:val="000000" w:themeColor="text1"/>
                <w:lang w:eastAsia="en-US"/>
              </w:rPr>
            </w:pPr>
            <w:r w:rsidRPr="007F1718">
              <w:rPr>
                <w:rFonts w:asciiTheme="minorHAnsi" w:hAnsiTheme="minorHAnsi"/>
                <w:b/>
                <w:bCs/>
                <w:snapToGrid/>
                <w:color w:val="000000" w:themeColor="text1"/>
                <w:lang w:eastAsia="en-US"/>
              </w:rPr>
              <w:t>2.1 Retreat</w:t>
            </w:r>
          </w:p>
        </w:tc>
      </w:tr>
      <w:tr w:rsidR="00B55101" w:rsidRPr="00DA2509">
        <w:trPr>
          <w:trHeight w:val="336"/>
        </w:trPr>
        <w:tc>
          <w:tcPr>
            <w:tcW w:w="8593" w:type="dxa"/>
            <w:tcBorders>
              <w:top w:val="single" w:sz="6" w:space="0" w:color="CCCCCC"/>
              <w:left w:val="single" w:sz="4" w:space="0" w:color="auto"/>
              <w:bottom w:val="single" w:sz="6" w:space="0" w:color="CCCCCC"/>
              <w:right w:val="single" w:sz="4" w:space="0" w:color="auto"/>
            </w:tcBorders>
            <w:shd w:val="clear" w:color="auto" w:fill="auto"/>
            <w:tcMar>
              <w:top w:w="32" w:type="dxa"/>
              <w:left w:w="48" w:type="dxa"/>
              <w:bottom w:w="32" w:type="dxa"/>
              <w:right w:w="48" w:type="dxa"/>
            </w:tcMar>
            <w:vAlign w:val="bottom"/>
          </w:tcPr>
          <w:p w:rsidR="00631AF5" w:rsidRPr="007F1718" w:rsidRDefault="00B55101">
            <w:pPr>
              <w:rPr>
                <w:rFonts w:asciiTheme="minorHAnsi" w:hAnsiTheme="minorHAnsi"/>
                <w:snapToGrid/>
                <w:color w:val="000000" w:themeColor="text1"/>
                <w:lang w:eastAsia="en-US"/>
              </w:rPr>
            </w:pPr>
            <w:r w:rsidRPr="007F1718">
              <w:rPr>
                <w:rFonts w:asciiTheme="minorHAnsi" w:hAnsiTheme="minorHAnsi"/>
                <w:snapToGrid/>
                <w:color w:val="000000" w:themeColor="text1"/>
                <w:lang w:eastAsia="en-US"/>
              </w:rPr>
              <w:t>2.1.1 Design</w:t>
            </w:r>
            <w:r w:rsidR="00CA0C0A" w:rsidRPr="007F1718">
              <w:rPr>
                <w:rFonts w:asciiTheme="minorHAnsi" w:hAnsiTheme="minorHAnsi"/>
                <w:snapToGrid/>
                <w:color w:val="000000" w:themeColor="text1"/>
                <w:lang w:eastAsia="en-US"/>
              </w:rPr>
              <w:t xml:space="preserve"> </w:t>
            </w:r>
            <w:r w:rsidR="00627944" w:rsidRPr="007F1718">
              <w:rPr>
                <w:rFonts w:asciiTheme="minorHAnsi" w:hAnsiTheme="minorHAnsi"/>
                <w:snapToGrid/>
                <w:color w:val="000000" w:themeColor="text1"/>
                <w:lang w:eastAsia="en-US"/>
              </w:rPr>
              <w:t xml:space="preserve">access to </w:t>
            </w:r>
            <w:r w:rsidR="00CA0C0A" w:rsidRPr="007F1718">
              <w:rPr>
                <w:rFonts w:asciiTheme="minorHAnsi" w:hAnsiTheme="minorHAnsi"/>
                <w:snapToGrid/>
                <w:color w:val="000000" w:themeColor="text1"/>
                <w:lang w:eastAsia="en-US"/>
              </w:rPr>
              <w:t>basic services track for</w:t>
            </w:r>
            <w:r w:rsidRPr="007F1718">
              <w:rPr>
                <w:rFonts w:asciiTheme="minorHAnsi" w:hAnsiTheme="minorHAnsi"/>
                <w:snapToGrid/>
                <w:color w:val="000000" w:themeColor="text1"/>
                <w:lang w:eastAsia="en-US"/>
              </w:rPr>
              <w:t xml:space="preserve"> retreat</w:t>
            </w:r>
            <w:r w:rsidR="00CA0C0A" w:rsidRPr="007F1718">
              <w:rPr>
                <w:rFonts w:asciiTheme="minorHAnsi" w:hAnsiTheme="minorHAnsi"/>
                <w:snapToGrid/>
                <w:color w:val="000000" w:themeColor="text1"/>
                <w:lang w:eastAsia="en-US"/>
              </w:rPr>
              <w:t xml:space="preserve"> content</w:t>
            </w:r>
            <w:r w:rsidRPr="007F1718">
              <w:rPr>
                <w:rFonts w:asciiTheme="minorHAnsi" w:hAnsiTheme="minorHAnsi"/>
                <w:snapToGrid/>
                <w:color w:val="000000" w:themeColor="text1"/>
                <w:lang w:eastAsia="en-US"/>
              </w:rPr>
              <w:t xml:space="preserve"> and logistics</w:t>
            </w:r>
          </w:p>
        </w:tc>
      </w:tr>
      <w:tr w:rsidR="00B55101" w:rsidRPr="00DA2509">
        <w:trPr>
          <w:trHeight w:val="336"/>
        </w:trPr>
        <w:tc>
          <w:tcPr>
            <w:tcW w:w="8593" w:type="dxa"/>
            <w:tcBorders>
              <w:top w:val="single" w:sz="6" w:space="0" w:color="CCCCCC"/>
              <w:left w:val="single" w:sz="4" w:space="0" w:color="auto"/>
              <w:bottom w:val="single" w:sz="6" w:space="0" w:color="CCCCCC"/>
              <w:right w:val="single" w:sz="4" w:space="0" w:color="auto"/>
            </w:tcBorders>
            <w:shd w:val="clear" w:color="auto" w:fill="auto"/>
            <w:tcMar>
              <w:top w:w="32" w:type="dxa"/>
              <w:left w:w="48" w:type="dxa"/>
              <w:bottom w:w="32" w:type="dxa"/>
              <w:right w:w="48" w:type="dxa"/>
            </w:tcMar>
            <w:vAlign w:val="bottom"/>
          </w:tcPr>
          <w:p w:rsidR="00631AF5" w:rsidRPr="007F1718" w:rsidRDefault="00B55101" w:rsidP="00A37C86">
            <w:pPr>
              <w:rPr>
                <w:rFonts w:asciiTheme="minorHAnsi" w:hAnsiTheme="minorHAnsi"/>
                <w:snapToGrid/>
                <w:color w:val="000000" w:themeColor="text1"/>
                <w:lang w:eastAsia="en-US"/>
              </w:rPr>
            </w:pPr>
            <w:r w:rsidRPr="007F1718">
              <w:rPr>
                <w:rFonts w:asciiTheme="minorHAnsi" w:hAnsiTheme="minorHAnsi"/>
                <w:snapToGrid/>
                <w:color w:val="000000" w:themeColor="text1"/>
                <w:lang w:eastAsia="en-US"/>
              </w:rPr>
              <w:t xml:space="preserve">2.1.2 </w:t>
            </w:r>
            <w:r w:rsidR="00CA0C0A" w:rsidRPr="007F1718">
              <w:rPr>
                <w:rFonts w:asciiTheme="minorHAnsi" w:hAnsiTheme="minorHAnsi"/>
                <w:snapToGrid/>
                <w:color w:val="000000" w:themeColor="text1"/>
                <w:lang w:eastAsia="en-US"/>
              </w:rPr>
              <w:t>Develop and execute communications and marketing</w:t>
            </w:r>
            <w:r w:rsidR="00A37C86">
              <w:rPr>
                <w:rFonts w:asciiTheme="minorHAnsi" w:hAnsiTheme="minorHAnsi"/>
                <w:snapToGrid/>
                <w:color w:val="000000" w:themeColor="text1"/>
                <w:lang w:eastAsia="en-US"/>
              </w:rPr>
              <w:t xml:space="preserve"> and</w:t>
            </w:r>
            <w:r w:rsidR="00CA0C0A" w:rsidRPr="007F1718">
              <w:rPr>
                <w:rFonts w:asciiTheme="minorHAnsi" w:hAnsiTheme="minorHAnsi"/>
                <w:snapToGrid/>
                <w:color w:val="000000" w:themeColor="text1"/>
                <w:lang w:eastAsia="en-US"/>
              </w:rPr>
              <w:t xml:space="preserve"> </w:t>
            </w:r>
            <w:r w:rsidR="00A37C86">
              <w:rPr>
                <w:rFonts w:asciiTheme="minorHAnsi" w:hAnsiTheme="minorHAnsi"/>
                <w:snapToGrid/>
                <w:color w:val="000000" w:themeColor="text1"/>
                <w:lang w:eastAsia="en-US"/>
              </w:rPr>
              <w:t>c</w:t>
            </w:r>
            <w:r w:rsidR="00CA0C0A" w:rsidRPr="007F1718">
              <w:rPr>
                <w:rFonts w:asciiTheme="minorHAnsi" w:hAnsiTheme="minorHAnsi"/>
                <w:snapToGrid/>
                <w:color w:val="000000" w:themeColor="text1"/>
                <w:lang w:eastAsia="en-US"/>
              </w:rPr>
              <w:t>reate all</w:t>
            </w:r>
            <w:r w:rsidR="00A37C86">
              <w:rPr>
                <w:rFonts w:asciiTheme="minorHAnsi" w:hAnsiTheme="minorHAnsi"/>
                <w:snapToGrid/>
                <w:color w:val="000000" w:themeColor="text1"/>
                <w:lang w:eastAsia="en-US"/>
              </w:rPr>
              <w:t xml:space="preserve"> the necessary</w:t>
            </w:r>
            <w:r w:rsidR="00CA0C0A" w:rsidRPr="007F1718">
              <w:rPr>
                <w:rFonts w:asciiTheme="minorHAnsi" w:hAnsiTheme="minorHAnsi"/>
                <w:snapToGrid/>
                <w:color w:val="000000" w:themeColor="text1"/>
                <w:lang w:eastAsia="en-US"/>
              </w:rPr>
              <w:t xml:space="preserve"> materials (including</w:t>
            </w:r>
            <w:r w:rsidR="00D8085E">
              <w:rPr>
                <w:rFonts w:asciiTheme="minorHAnsi" w:hAnsiTheme="minorHAnsi"/>
                <w:snapToGrid/>
                <w:color w:val="000000" w:themeColor="text1"/>
                <w:lang w:eastAsia="en-US"/>
              </w:rPr>
              <w:t xml:space="preserve"> agenda, bios</w:t>
            </w:r>
            <w:r w:rsidR="00CA0C0A" w:rsidRPr="007F1718">
              <w:rPr>
                <w:rFonts w:asciiTheme="minorHAnsi" w:hAnsiTheme="minorHAnsi"/>
                <w:snapToGrid/>
                <w:color w:val="000000" w:themeColor="text1"/>
                <w:lang w:eastAsia="en-US"/>
              </w:rPr>
              <w:t>, banners, etc.)</w:t>
            </w:r>
          </w:p>
        </w:tc>
      </w:tr>
      <w:tr w:rsidR="00B55101" w:rsidRPr="00DA2509">
        <w:trPr>
          <w:trHeight w:val="336"/>
        </w:trPr>
        <w:tc>
          <w:tcPr>
            <w:tcW w:w="8593" w:type="dxa"/>
            <w:tcBorders>
              <w:top w:val="single" w:sz="6" w:space="0" w:color="CCCCCC"/>
              <w:left w:val="single" w:sz="4" w:space="0" w:color="auto"/>
              <w:bottom w:val="single" w:sz="6" w:space="0" w:color="CCCCCC"/>
              <w:right w:val="single" w:sz="4" w:space="0" w:color="auto"/>
            </w:tcBorders>
            <w:shd w:val="clear" w:color="auto" w:fill="auto"/>
            <w:tcMar>
              <w:top w:w="32" w:type="dxa"/>
              <w:left w:w="48" w:type="dxa"/>
              <w:bottom w:w="32" w:type="dxa"/>
              <w:right w:w="48" w:type="dxa"/>
            </w:tcMar>
            <w:vAlign w:val="bottom"/>
          </w:tcPr>
          <w:p w:rsidR="00631AF5" w:rsidRPr="007F1718" w:rsidRDefault="00B55101">
            <w:pPr>
              <w:rPr>
                <w:rFonts w:asciiTheme="minorHAnsi" w:hAnsiTheme="minorHAnsi"/>
                <w:snapToGrid/>
                <w:color w:val="000000" w:themeColor="text1"/>
                <w:lang w:eastAsia="en-US"/>
              </w:rPr>
            </w:pPr>
            <w:r w:rsidRPr="007F1718">
              <w:rPr>
                <w:rFonts w:asciiTheme="minorHAnsi" w:hAnsiTheme="minorHAnsi"/>
                <w:snapToGrid/>
                <w:color w:val="000000" w:themeColor="text1"/>
                <w:lang w:eastAsia="en-US"/>
              </w:rPr>
              <w:lastRenderedPageBreak/>
              <w:t xml:space="preserve">2.1.3 </w:t>
            </w:r>
            <w:r w:rsidR="00CA0C0A" w:rsidRPr="007F1718">
              <w:rPr>
                <w:rFonts w:asciiTheme="minorHAnsi" w:hAnsiTheme="minorHAnsi"/>
                <w:snapToGrid/>
                <w:color w:val="000000" w:themeColor="text1"/>
                <w:lang w:eastAsia="en-US"/>
              </w:rPr>
              <w:t>Invite attendees and</w:t>
            </w:r>
            <w:r w:rsidR="009D03BF" w:rsidRPr="007F1718">
              <w:rPr>
                <w:rFonts w:asciiTheme="minorHAnsi" w:hAnsiTheme="minorHAnsi"/>
                <w:snapToGrid/>
                <w:color w:val="000000" w:themeColor="text1"/>
                <w:lang w:eastAsia="en-US"/>
              </w:rPr>
              <w:t xml:space="preserve"> develop content with</w:t>
            </w:r>
            <w:r w:rsidR="00CA0C0A" w:rsidRPr="007F1718">
              <w:rPr>
                <w:rFonts w:asciiTheme="minorHAnsi" w:hAnsiTheme="minorHAnsi"/>
                <w:snapToGrid/>
                <w:color w:val="000000" w:themeColor="text1"/>
                <w:lang w:eastAsia="en-US"/>
              </w:rPr>
              <w:t xml:space="preserve"> speakers</w:t>
            </w:r>
            <w:r w:rsidR="00CA0C0A" w:rsidRPr="007F1718" w:rsidDel="00CA0C0A">
              <w:rPr>
                <w:rFonts w:asciiTheme="minorHAnsi" w:hAnsiTheme="minorHAnsi"/>
                <w:snapToGrid/>
                <w:color w:val="000000" w:themeColor="text1"/>
                <w:lang w:eastAsia="en-US"/>
              </w:rPr>
              <w:t xml:space="preserve"> </w:t>
            </w:r>
          </w:p>
        </w:tc>
      </w:tr>
      <w:tr w:rsidR="00B55101" w:rsidRPr="00DA2509">
        <w:trPr>
          <w:trHeight w:val="336"/>
        </w:trPr>
        <w:tc>
          <w:tcPr>
            <w:tcW w:w="8593" w:type="dxa"/>
            <w:tcBorders>
              <w:top w:val="single" w:sz="6" w:space="0" w:color="CCCCCC"/>
              <w:left w:val="single" w:sz="4" w:space="0" w:color="auto"/>
              <w:bottom w:val="single" w:sz="6" w:space="0" w:color="CCCCCC"/>
              <w:right w:val="single" w:sz="4" w:space="0" w:color="auto"/>
            </w:tcBorders>
            <w:shd w:val="clear" w:color="auto" w:fill="auto"/>
            <w:tcMar>
              <w:top w:w="32" w:type="dxa"/>
              <w:left w:w="48" w:type="dxa"/>
              <w:bottom w:w="32" w:type="dxa"/>
              <w:right w:w="48" w:type="dxa"/>
            </w:tcMar>
            <w:vAlign w:val="bottom"/>
          </w:tcPr>
          <w:p w:rsidR="00631AF5" w:rsidRPr="007F1718" w:rsidRDefault="00B55101">
            <w:pPr>
              <w:rPr>
                <w:rFonts w:asciiTheme="minorHAnsi" w:hAnsiTheme="minorHAnsi"/>
                <w:snapToGrid/>
                <w:color w:val="000000" w:themeColor="text1"/>
                <w:lang w:eastAsia="en-US"/>
              </w:rPr>
            </w:pPr>
            <w:r w:rsidRPr="007F1718">
              <w:rPr>
                <w:rFonts w:asciiTheme="minorHAnsi" w:hAnsiTheme="minorHAnsi"/>
                <w:snapToGrid/>
                <w:color w:val="000000" w:themeColor="text1"/>
                <w:lang w:eastAsia="en-US"/>
              </w:rPr>
              <w:t xml:space="preserve">2.1.4 </w:t>
            </w:r>
            <w:r w:rsidR="00CA0C0A" w:rsidRPr="007F1718">
              <w:rPr>
                <w:rFonts w:asciiTheme="minorHAnsi" w:hAnsiTheme="minorHAnsi"/>
                <w:snapToGrid/>
                <w:color w:val="000000" w:themeColor="text1"/>
                <w:lang w:eastAsia="en-US"/>
              </w:rPr>
              <w:t>Coordinate with B Lab to deliver GIIRS ratings</w:t>
            </w:r>
            <w:r w:rsidR="00CA0C0A" w:rsidRPr="007F1718">
              <w:rPr>
                <w:rStyle w:val="FootnoteReference"/>
                <w:rFonts w:asciiTheme="minorHAnsi" w:hAnsiTheme="minorHAnsi"/>
                <w:snapToGrid/>
                <w:color w:val="000000" w:themeColor="text1"/>
                <w:lang w:eastAsia="en-US"/>
              </w:rPr>
              <w:footnoteReference w:id="26"/>
            </w:r>
          </w:p>
        </w:tc>
      </w:tr>
      <w:tr w:rsidR="00B55101" w:rsidRPr="00DA2509">
        <w:trPr>
          <w:trHeight w:val="336"/>
        </w:trPr>
        <w:tc>
          <w:tcPr>
            <w:tcW w:w="8593" w:type="dxa"/>
            <w:tcBorders>
              <w:top w:val="single" w:sz="6" w:space="0" w:color="CCCCCC"/>
              <w:left w:val="single" w:sz="4" w:space="0" w:color="auto"/>
              <w:bottom w:val="single" w:sz="6" w:space="0" w:color="CCCCCC"/>
              <w:right w:val="single" w:sz="4" w:space="0" w:color="auto"/>
            </w:tcBorders>
            <w:shd w:val="clear" w:color="auto" w:fill="auto"/>
            <w:tcMar>
              <w:top w:w="32" w:type="dxa"/>
              <w:left w:w="48" w:type="dxa"/>
              <w:bottom w:w="32" w:type="dxa"/>
              <w:right w:w="48" w:type="dxa"/>
            </w:tcMar>
            <w:vAlign w:val="bottom"/>
          </w:tcPr>
          <w:p w:rsidR="00631AF5" w:rsidRPr="007F1718" w:rsidRDefault="00B55101">
            <w:pPr>
              <w:rPr>
                <w:rFonts w:asciiTheme="minorHAnsi" w:hAnsiTheme="minorHAnsi"/>
                <w:snapToGrid/>
                <w:color w:val="000000" w:themeColor="text1"/>
                <w:lang w:eastAsia="en-US"/>
              </w:rPr>
            </w:pPr>
            <w:r w:rsidRPr="007F1718">
              <w:rPr>
                <w:rFonts w:asciiTheme="minorHAnsi" w:hAnsiTheme="minorHAnsi"/>
                <w:snapToGrid/>
                <w:color w:val="000000" w:themeColor="text1"/>
                <w:lang w:eastAsia="en-US"/>
              </w:rPr>
              <w:t xml:space="preserve">2.1.5 </w:t>
            </w:r>
            <w:r w:rsidR="009D03BF" w:rsidRPr="007F1718">
              <w:rPr>
                <w:rFonts w:asciiTheme="minorHAnsi" w:hAnsiTheme="minorHAnsi"/>
                <w:snapToGrid/>
                <w:color w:val="000000" w:themeColor="text1"/>
                <w:lang w:eastAsia="en-US"/>
              </w:rPr>
              <w:t>Implement retreat</w:t>
            </w:r>
          </w:p>
        </w:tc>
      </w:tr>
      <w:tr w:rsidR="00B55101" w:rsidRPr="00DA2509">
        <w:trPr>
          <w:trHeight w:val="336"/>
        </w:trPr>
        <w:tc>
          <w:tcPr>
            <w:tcW w:w="8593" w:type="dxa"/>
            <w:tcBorders>
              <w:top w:val="single" w:sz="6" w:space="0" w:color="CCCCCC"/>
              <w:left w:val="single" w:sz="4" w:space="0" w:color="auto"/>
              <w:bottom w:val="single" w:sz="6" w:space="0" w:color="000000"/>
              <w:right w:val="single" w:sz="4" w:space="0" w:color="auto"/>
            </w:tcBorders>
            <w:shd w:val="clear" w:color="auto" w:fill="CCCCCC"/>
            <w:tcMar>
              <w:top w:w="32" w:type="dxa"/>
              <w:left w:w="48" w:type="dxa"/>
              <w:bottom w:w="32" w:type="dxa"/>
              <w:right w:w="48" w:type="dxa"/>
            </w:tcMar>
            <w:vAlign w:val="bottom"/>
          </w:tcPr>
          <w:p w:rsidR="00B55101" w:rsidRPr="007F1718" w:rsidRDefault="004E36C3" w:rsidP="00B26B97">
            <w:pPr>
              <w:rPr>
                <w:rFonts w:asciiTheme="minorHAnsi" w:hAnsiTheme="minorHAnsi"/>
                <w:b/>
                <w:bCs/>
                <w:snapToGrid/>
                <w:color w:val="000000" w:themeColor="text1"/>
                <w:lang w:eastAsia="en-US"/>
              </w:rPr>
            </w:pPr>
            <w:r w:rsidRPr="007F1718">
              <w:rPr>
                <w:rFonts w:asciiTheme="minorHAnsi" w:hAnsiTheme="minorHAnsi"/>
                <w:b/>
                <w:bCs/>
                <w:snapToGrid/>
                <w:color w:val="000000" w:themeColor="text1"/>
                <w:lang w:eastAsia="en-US"/>
              </w:rPr>
              <w:t xml:space="preserve">2.2 </w:t>
            </w:r>
            <w:r w:rsidR="00B55101" w:rsidRPr="007F1718">
              <w:rPr>
                <w:rFonts w:asciiTheme="minorHAnsi" w:hAnsiTheme="minorHAnsi"/>
                <w:b/>
                <w:bCs/>
                <w:snapToGrid/>
                <w:color w:val="000000" w:themeColor="text1"/>
                <w:lang w:eastAsia="en-US"/>
              </w:rPr>
              <w:t>Consulting</w:t>
            </w:r>
          </w:p>
        </w:tc>
      </w:tr>
      <w:tr w:rsidR="00B55101" w:rsidRPr="00DA2509">
        <w:trPr>
          <w:trHeight w:val="400"/>
        </w:trPr>
        <w:tc>
          <w:tcPr>
            <w:tcW w:w="8593" w:type="dxa"/>
            <w:tcBorders>
              <w:top w:val="single" w:sz="6" w:space="0" w:color="CCCCCC"/>
              <w:left w:val="single" w:sz="4" w:space="0" w:color="auto"/>
              <w:bottom w:val="single" w:sz="6" w:space="0" w:color="CCCCCC"/>
              <w:right w:val="single" w:sz="4" w:space="0" w:color="auto"/>
            </w:tcBorders>
            <w:shd w:val="clear" w:color="auto" w:fill="auto"/>
            <w:tcMar>
              <w:top w:w="32" w:type="dxa"/>
              <w:left w:w="48" w:type="dxa"/>
              <w:bottom w:w="32" w:type="dxa"/>
              <w:right w:w="48" w:type="dxa"/>
            </w:tcMar>
            <w:vAlign w:val="bottom"/>
          </w:tcPr>
          <w:p w:rsidR="00B55101" w:rsidRPr="007F1718" w:rsidRDefault="004E36C3" w:rsidP="00B26B97">
            <w:pPr>
              <w:rPr>
                <w:rFonts w:asciiTheme="minorHAnsi" w:hAnsiTheme="minorHAnsi"/>
                <w:snapToGrid/>
                <w:color w:val="000000" w:themeColor="text1"/>
                <w:lang w:eastAsia="en-US"/>
              </w:rPr>
            </w:pPr>
            <w:r w:rsidRPr="007F1718">
              <w:rPr>
                <w:rFonts w:asciiTheme="minorHAnsi" w:hAnsiTheme="minorHAnsi"/>
                <w:snapToGrid/>
                <w:color w:val="000000" w:themeColor="text1"/>
                <w:lang w:eastAsia="en-US"/>
              </w:rPr>
              <w:t xml:space="preserve">2.2.1 </w:t>
            </w:r>
            <w:r w:rsidR="00B55101" w:rsidRPr="007F1718">
              <w:rPr>
                <w:rFonts w:asciiTheme="minorHAnsi" w:hAnsiTheme="minorHAnsi"/>
                <w:snapToGrid/>
                <w:color w:val="000000" w:themeColor="text1"/>
                <w:lang w:eastAsia="en-US"/>
              </w:rPr>
              <w:t>Recruitment, selection, and training of Consulting Fellows</w:t>
            </w:r>
          </w:p>
        </w:tc>
      </w:tr>
      <w:tr w:rsidR="00B55101" w:rsidRPr="00DA2509">
        <w:trPr>
          <w:trHeight w:val="400"/>
        </w:trPr>
        <w:tc>
          <w:tcPr>
            <w:tcW w:w="8593" w:type="dxa"/>
            <w:tcBorders>
              <w:top w:val="single" w:sz="6" w:space="0" w:color="CCCCCC"/>
              <w:left w:val="single" w:sz="4" w:space="0" w:color="auto"/>
              <w:bottom w:val="single" w:sz="6" w:space="0" w:color="CCCCCC"/>
              <w:right w:val="single" w:sz="4" w:space="0" w:color="auto"/>
            </w:tcBorders>
            <w:shd w:val="clear" w:color="auto" w:fill="auto"/>
            <w:tcMar>
              <w:top w:w="32" w:type="dxa"/>
              <w:left w:w="48" w:type="dxa"/>
              <w:bottom w:w="32" w:type="dxa"/>
              <w:right w:w="48" w:type="dxa"/>
            </w:tcMar>
            <w:vAlign w:val="bottom"/>
          </w:tcPr>
          <w:p w:rsidR="00631AF5" w:rsidRPr="007F1718" w:rsidRDefault="004E36C3" w:rsidP="00A37C86">
            <w:pPr>
              <w:rPr>
                <w:rFonts w:asciiTheme="minorHAnsi" w:hAnsiTheme="minorHAnsi"/>
                <w:snapToGrid/>
                <w:color w:val="000000" w:themeColor="text1"/>
                <w:lang w:eastAsia="en-US"/>
              </w:rPr>
            </w:pPr>
            <w:r w:rsidRPr="007F1718">
              <w:rPr>
                <w:rFonts w:asciiTheme="minorHAnsi" w:hAnsiTheme="minorHAnsi"/>
                <w:snapToGrid/>
                <w:color w:val="000000" w:themeColor="text1"/>
                <w:lang w:eastAsia="en-US"/>
              </w:rPr>
              <w:t xml:space="preserve">2.2.2 </w:t>
            </w:r>
            <w:r w:rsidR="009D03BF" w:rsidRPr="007F1718">
              <w:rPr>
                <w:rFonts w:asciiTheme="minorHAnsi" w:hAnsiTheme="minorHAnsi"/>
                <w:snapToGrid/>
                <w:color w:val="000000" w:themeColor="text1"/>
                <w:lang w:eastAsia="en-US"/>
              </w:rPr>
              <w:t xml:space="preserve">Consulting </w:t>
            </w:r>
            <w:r w:rsidR="00651053" w:rsidRPr="007F1718">
              <w:rPr>
                <w:rFonts w:asciiTheme="minorHAnsi" w:hAnsiTheme="minorHAnsi"/>
                <w:snapToGrid/>
                <w:color w:val="000000" w:themeColor="text1"/>
                <w:lang w:eastAsia="en-US"/>
              </w:rPr>
              <w:t xml:space="preserve">Services </w:t>
            </w:r>
            <w:r w:rsidR="00B1703C" w:rsidRPr="007F1718">
              <w:rPr>
                <w:rFonts w:asciiTheme="minorHAnsi" w:hAnsiTheme="minorHAnsi"/>
                <w:snapToGrid/>
                <w:color w:val="000000" w:themeColor="text1"/>
                <w:lang w:eastAsia="en-US"/>
              </w:rPr>
              <w:t>phase</w:t>
            </w:r>
            <w:r w:rsidR="009D03BF" w:rsidRPr="007F1718">
              <w:rPr>
                <w:rFonts w:asciiTheme="minorHAnsi" w:hAnsiTheme="minorHAnsi"/>
                <w:snapToGrid/>
                <w:color w:val="000000" w:themeColor="text1"/>
                <w:lang w:eastAsia="en-US"/>
              </w:rPr>
              <w:t xml:space="preserve"> - </w:t>
            </w:r>
            <w:r w:rsidR="00B55101" w:rsidRPr="007F1718">
              <w:rPr>
                <w:rFonts w:asciiTheme="minorHAnsi" w:hAnsiTheme="minorHAnsi"/>
                <w:snapToGrid/>
                <w:color w:val="000000" w:themeColor="text1"/>
                <w:lang w:eastAsia="en-US"/>
              </w:rPr>
              <w:t>Weekly 2 hour consulting call with each company around the 8 modules</w:t>
            </w:r>
            <w:r w:rsidR="00A37C86">
              <w:rPr>
                <w:rStyle w:val="FootnoteReference"/>
                <w:rFonts w:asciiTheme="minorHAnsi" w:hAnsiTheme="minorHAnsi"/>
                <w:snapToGrid/>
                <w:color w:val="000000" w:themeColor="text1"/>
                <w:lang w:eastAsia="en-US"/>
              </w:rPr>
              <w:footnoteReference w:id="27"/>
            </w:r>
            <w:r w:rsidR="009D03BF" w:rsidRPr="007F1718">
              <w:rPr>
                <w:rFonts w:asciiTheme="minorHAnsi" w:hAnsiTheme="minorHAnsi"/>
                <w:snapToGrid/>
                <w:color w:val="000000" w:themeColor="text1"/>
                <w:lang w:eastAsia="en-US"/>
              </w:rPr>
              <w:t>; Prepare for weekly consulting sessions with the overall goal of business model refinement and investment project assessment; Create three deliverables (executive summary, complete financials, investment memo); Weekly internal meetings for co</w:t>
            </w:r>
            <w:r w:rsidR="00D8085E">
              <w:rPr>
                <w:rFonts w:asciiTheme="minorHAnsi" w:hAnsiTheme="minorHAnsi"/>
                <w:snapToGrid/>
                <w:color w:val="000000" w:themeColor="text1"/>
                <w:lang w:eastAsia="en-US"/>
              </w:rPr>
              <w:t>nsultants to discuss challenges</w:t>
            </w:r>
            <w:r w:rsidR="009D03BF" w:rsidRPr="007F1718">
              <w:rPr>
                <w:rFonts w:asciiTheme="minorHAnsi" w:hAnsiTheme="minorHAnsi"/>
                <w:snapToGrid/>
                <w:color w:val="000000" w:themeColor="text1"/>
                <w:lang w:eastAsia="en-US"/>
              </w:rPr>
              <w:t xml:space="preserve"> and exchange knowledge and support; Connect entrepreneurs with mentors to meet specific needs</w:t>
            </w:r>
          </w:p>
        </w:tc>
      </w:tr>
      <w:tr w:rsidR="00B55101" w:rsidRPr="00DA2509">
        <w:trPr>
          <w:trHeight w:val="336"/>
        </w:trPr>
        <w:tc>
          <w:tcPr>
            <w:tcW w:w="8593" w:type="dxa"/>
            <w:tcBorders>
              <w:top w:val="single" w:sz="6" w:space="0" w:color="CCCCCC"/>
              <w:left w:val="single" w:sz="4" w:space="0" w:color="auto"/>
              <w:bottom w:val="single" w:sz="6" w:space="0" w:color="CCCCCC"/>
              <w:right w:val="single" w:sz="4" w:space="0" w:color="auto"/>
            </w:tcBorders>
            <w:shd w:val="clear" w:color="auto" w:fill="auto"/>
            <w:tcMar>
              <w:top w:w="32" w:type="dxa"/>
              <w:left w:w="48" w:type="dxa"/>
              <w:bottom w:w="32" w:type="dxa"/>
              <w:right w:w="48" w:type="dxa"/>
            </w:tcMar>
            <w:vAlign w:val="bottom"/>
          </w:tcPr>
          <w:p w:rsidR="00631AF5" w:rsidRPr="007F1718" w:rsidRDefault="004E36C3">
            <w:pPr>
              <w:rPr>
                <w:rFonts w:asciiTheme="minorHAnsi" w:hAnsiTheme="minorHAnsi"/>
                <w:snapToGrid/>
                <w:color w:val="000000" w:themeColor="text1"/>
                <w:lang w:eastAsia="en-US"/>
              </w:rPr>
            </w:pPr>
            <w:r w:rsidRPr="007F1718">
              <w:rPr>
                <w:rFonts w:asciiTheme="minorHAnsi" w:hAnsiTheme="minorHAnsi"/>
                <w:snapToGrid/>
                <w:color w:val="000000" w:themeColor="text1"/>
                <w:lang w:eastAsia="en-US"/>
              </w:rPr>
              <w:t xml:space="preserve">2.2.3 </w:t>
            </w:r>
            <w:r w:rsidR="00B1703C" w:rsidRPr="007F1718">
              <w:rPr>
                <w:rFonts w:asciiTheme="minorHAnsi" w:hAnsiTheme="minorHAnsi"/>
                <w:snapToGrid/>
                <w:color w:val="000000" w:themeColor="text1"/>
                <w:lang w:eastAsia="en-US"/>
              </w:rPr>
              <w:t>R</w:t>
            </w:r>
            <w:r w:rsidR="009D03BF" w:rsidRPr="007F1718">
              <w:rPr>
                <w:rFonts w:asciiTheme="minorHAnsi" w:hAnsiTheme="minorHAnsi"/>
                <w:snapToGrid/>
                <w:color w:val="000000" w:themeColor="text1"/>
                <w:lang w:eastAsia="en-US"/>
              </w:rPr>
              <w:t>elocation</w:t>
            </w:r>
            <w:r w:rsidR="00B1703C" w:rsidRPr="007F1718">
              <w:rPr>
                <w:rFonts w:asciiTheme="minorHAnsi" w:hAnsiTheme="minorHAnsi"/>
                <w:snapToGrid/>
                <w:color w:val="000000" w:themeColor="text1"/>
                <w:lang w:eastAsia="en-US"/>
              </w:rPr>
              <w:t xml:space="preserve"> &amp; due diligence</w:t>
            </w:r>
          </w:p>
        </w:tc>
      </w:tr>
      <w:tr w:rsidR="00B55101" w:rsidRPr="00DA2509">
        <w:trPr>
          <w:trHeight w:val="336"/>
        </w:trPr>
        <w:tc>
          <w:tcPr>
            <w:tcW w:w="8593" w:type="dxa"/>
            <w:tcBorders>
              <w:top w:val="single" w:sz="6" w:space="0" w:color="CCCCCC"/>
              <w:left w:val="single" w:sz="4" w:space="0" w:color="auto"/>
              <w:bottom w:val="single" w:sz="4" w:space="0" w:color="auto"/>
              <w:right w:val="single" w:sz="4" w:space="0" w:color="auto"/>
            </w:tcBorders>
            <w:shd w:val="clear" w:color="auto" w:fill="auto"/>
            <w:tcMar>
              <w:top w:w="32" w:type="dxa"/>
              <w:left w:w="48" w:type="dxa"/>
              <w:bottom w:w="32" w:type="dxa"/>
              <w:right w:w="48" w:type="dxa"/>
            </w:tcMar>
            <w:vAlign w:val="bottom"/>
          </w:tcPr>
          <w:p w:rsidR="00631AF5" w:rsidRPr="007F1718" w:rsidRDefault="004E36C3">
            <w:pPr>
              <w:rPr>
                <w:rFonts w:asciiTheme="minorHAnsi" w:hAnsiTheme="minorHAnsi"/>
                <w:snapToGrid/>
                <w:color w:val="000000" w:themeColor="text1"/>
                <w:lang w:eastAsia="en-US"/>
              </w:rPr>
            </w:pPr>
            <w:r w:rsidRPr="007F1718">
              <w:rPr>
                <w:rFonts w:asciiTheme="minorHAnsi" w:hAnsiTheme="minorHAnsi"/>
                <w:snapToGrid/>
                <w:color w:val="000000" w:themeColor="text1"/>
                <w:lang w:eastAsia="en-US"/>
              </w:rPr>
              <w:t xml:space="preserve">2.2.4 </w:t>
            </w:r>
            <w:r w:rsidR="009D03BF" w:rsidRPr="007F1718">
              <w:rPr>
                <w:rFonts w:asciiTheme="minorHAnsi" w:hAnsiTheme="minorHAnsi"/>
                <w:snapToGrid/>
                <w:color w:val="000000" w:themeColor="text1"/>
                <w:lang w:eastAsia="en-US"/>
              </w:rPr>
              <w:t>Alumni consulting services</w:t>
            </w:r>
          </w:p>
        </w:tc>
      </w:tr>
    </w:tbl>
    <w:p w:rsidR="00B55101" w:rsidRDefault="00B55101" w:rsidP="00440AE2">
      <w:pPr>
        <w:pStyle w:val="Paragraph"/>
        <w:tabs>
          <w:tab w:val="clear" w:pos="720"/>
        </w:tabs>
        <w:ind w:left="792" w:firstLine="0"/>
        <w:rPr>
          <w:rFonts w:asciiTheme="minorHAnsi" w:hAnsiTheme="minorHAnsi"/>
          <w:color w:val="000000" w:themeColor="text1"/>
          <w:lang w:val="en-US"/>
        </w:rPr>
      </w:pPr>
    </w:p>
    <w:p w:rsidR="004E36C3" w:rsidRPr="00821BB1" w:rsidRDefault="004E36C3" w:rsidP="004E36C3">
      <w:pPr>
        <w:pStyle w:val="Default"/>
        <w:ind w:left="720"/>
        <w:rPr>
          <w:rFonts w:ascii="Calibri" w:hAnsi="Calibri"/>
          <w:color w:val="808080"/>
        </w:rPr>
      </w:pPr>
      <w:r>
        <w:rPr>
          <w:rFonts w:ascii="Calibri" w:hAnsi="Calibri"/>
          <w:b/>
          <w:bCs/>
          <w:color w:val="000000" w:themeColor="text1"/>
        </w:rPr>
        <w:t>Component 3:</w:t>
      </w:r>
      <w:r w:rsidRPr="00B55101">
        <w:rPr>
          <w:rFonts w:ascii="Calibri" w:hAnsi="Calibri"/>
          <w:b/>
          <w:color w:val="000000" w:themeColor="text1"/>
        </w:rPr>
        <w:t xml:space="preserve"> </w:t>
      </w:r>
      <w:r w:rsidR="009F772B">
        <w:rPr>
          <w:rFonts w:ascii="Calibri" w:hAnsi="Calibri"/>
          <w:b/>
          <w:color w:val="000000" w:themeColor="text1"/>
        </w:rPr>
        <w:t xml:space="preserve">Investor </w:t>
      </w:r>
      <w:r w:rsidR="0076452E">
        <w:rPr>
          <w:rFonts w:ascii="Calibri" w:hAnsi="Calibri"/>
          <w:b/>
          <w:color w:val="000000" w:themeColor="text1"/>
        </w:rPr>
        <w:t>M</w:t>
      </w:r>
      <w:r w:rsidR="009F772B">
        <w:rPr>
          <w:rFonts w:ascii="Calibri" w:hAnsi="Calibri"/>
          <w:b/>
          <w:color w:val="000000" w:themeColor="text1"/>
        </w:rPr>
        <w:t xml:space="preserve">atchmaking and </w:t>
      </w:r>
      <w:r w:rsidR="0076452E">
        <w:rPr>
          <w:rFonts w:ascii="Calibri" w:hAnsi="Calibri"/>
          <w:b/>
          <w:color w:val="000000" w:themeColor="text1"/>
        </w:rPr>
        <w:t>I</w:t>
      </w:r>
      <w:r w:rsidR="009F772B">
        <w:rPr>
          <w:rFonts w:ascii="Calibri" w:hAnsi="Calibri"/>
          <w:b/>
          <w:color w:val="000000" w:themeColor="text1"/>
        </w:rPr>
        <w:t xml:space="preserve">mpact </w:t>
      </w:r>
      <w:r w:rsidR="0076452E">
        <w:rPr>
          <w:rFonts w:ascii="Calibri" w:hAnsi="Calibri"/>
          <w:b/>
          <w:color w:val="000000" w:themeColor="text1"/>
        </w:rPr>
        <w:t>I</w:t>
      </w:r>
      <w:r w:rsidR="009F772B">
        <w:rPr>
          <w:rFonts w:ascii="Calibri" w:hAnsi="Calibri"/>
          <w:b/>
          <w:color w:val="000000" w:themeColor="text1"/>
        </w:rPr>
        <w:t xml:space="preserve">nvesting in </w:t>
      </w:r>
      <w:r w:rsidR="0076452E">
        <w:rPr>
          <w:rFonts w:ascii="Calibri" w:hAnsi="Calibri"/>
          <w:b/>
          <w:color w:val="000000" w:themeColor="text1"/>
        </w:rPr>
        <w:t>A</w:t>
      </w:r>
      <w:r w:rsidR="009F772B">
        <w:rPr>
          <w:rFonts w:ascii="Calibri" w:hAnsi="Calibri"/>
          <w:b/>
          <w:color w:val="000000" w:themeColor="text1"/>
        </w:rPr>
        <w:t>ction (IIA) partnerships</w:t>
      </w:r>
    </w:p>
    <w:p w:rsidR="004E36C3" w:rsidRPr="002451E7" w:rsidRDefault="004E36C3" w:rsidP="004E36C3">
      <w:pPr>
        <w:pStyle w:val="Paragraph"/>
        <w:tabs>
          <w:tab w:val="clear" w:pos="720"/>
        </w:tabs>
        <w:spacing w:before="0" w:after="0"/>
        <w:ind w:firstLine="0"/>
        <w:rPr>
          <w:rFonts w:asciiTheme="minorHAnsi" w:hAnsiTheme="minorHAnsi" w:cstheme="minorHAnsi"/>
          <w:b/>
          <w:lang w:val="en-US"/>
        </w:rPr>
      </w:pPr>
      <w:r w:rsidRPr="00542FE2">
        <w:rPr>
          <w:rFonts w:asciiTheme="minorHAnsi" w:hAnsiTheme="minorHAnsi" w:cstheme="minorHAnsi"/>
          <w:b/>
          <w:lang w:val="en-US"/>
        </w:rPr>
        <w:t>(</w:t>
      </w:r>
      <w:r w:rsidRPr="00E4024D">
        <w:rPr>
          <w:rFonts w:asciiTheme="minorHAnsi" w:hAnsiTheme="minorHAnsi" w:cstheme="minorHAnsi"/>
          <w:b/>
          <w:lang w:val="en-US"/>
        </w:rPr>
        <w:t>MIF: US$</w:t>
      </w:r>
      <w:r w:rsidR="00A743E2">
        <w:rPr>
          <w:rFonts w:asciiTheme="minorHAnsi" w:hAnsiTheme="minorHAnsi" w:cstheme="minorHAnsi"/>
          <w:b/>
          <w:lang w:val="en-US"/>
        </w:rPr>
        <w:t>45,135/</w:t>
      </w:r>
      <w:r>
        <w:rPr>
          <w:rFonts w:asciiTheme="minorHAnsi" w:hAnsiTheme="minorHAnsi" w:cstheme="minorHAnsi"/>
          <w:b/>
          <w:lang w:val="en-US"/>
        </w:rPr>
        <w:t>Counterpart: US$</w:t>
      </w:r>
      <w:r w:rsidR="00A743E2">
        <w:rPr>
          <w:rFonts w:asciiTheme="minorHAnsi" w:hAnsiTheme="minorHAnsi" w:cstheme="minorHAnsi"/>
          <w:b/>
          <w:lang w:val="en-US"/>
        </w:rPr>
        <w:t>7,965</w:t>
      </w:r>
      <w:r w:rsidRPr="00E4024D">
        <w:rPr>
          <w:rFonts w:asciiTheme="minorHAnsi" w:hAnsiTheme="minorHAnsi" w:cstheme="minorHAnsi"/>
          <w:b/>
          <w:lang w:val="en-US"/>
        </w:rPr>
        <w:t>)</w:t>
      </w:r>
    </w:p>
    <w:p w:rsidR="009625C5" w:rsidRPr="003138C0" w:rsidRDefault="009625C5" w:rsidP="00A743E2">
      <w:pPr>
        <w:pStyle w:val="Paragraph"/>
        <w:numPr>
          <w:ilvl w:val="1"/>
          <w:numId w:val="1"/>
        </w:numPr>
        <w:ind w:hanging="702"/>
        <w:rPr>
          <w:rFonts w:ascii="Calibri" w:hAnsi="Calibri"/>
          <w:color w:val="000000" w:themeColor="text1"/>
          <w:lang w:val="en-US"/>
        </w:rPr>
      </w:pPr>
      <w:r w:rsidRPr="003138C0">
        <w:rPr>
          <w:rFonts w:ascii="Calibri" w:hAnsi="Calibri"/>
          <w:color w:val="000000" w:themeColor="text1"/>
          <w:lang w:val="en-US"/>
        </w:rPr>
        <w:t xml:space="preserve">Agora’s network of investors plays an important role in the </w:t>
      </w:r>
      <w:r w:rsidR="00DB0483" w:rsidRPr="003138C0">
        <w:rPr>
          <w:rFonts w:ascii="Calibri" w:hAnsi="Calibri"/>
          <w:color w:val="000000" w:themeColor="text1"/>
          <w:lang w:val="en-US"/>
        </w:rPr>
        <w:t>acceleration</w:t>
      </w:r>
      <w:r w:rsidRPr="003138C0">
        <w:rPr>
          <w:rFonts w:ascii="Calibri" w:hAnsi="Calibri"/>
          <w:color w:val="000000" w:themeColor="text1"/>
          <w:lang w:val="en-US"/>
        </w:rPr>
        <w:t xml:space="preserve"> process. During the consulting process, Consultants work with the Manager of Capital Advisory Services/Investor Relations to match each company in the Agora Accelerator </w:t>
      </w:r>
      <w:r w:rsidR="00A743E2">
        <w:rPr>
          <w:rFonts w:ascii="Calibri" w:hAnsi="Calibri"/>
          <w:color w:val="000000" w:themeColor="text1"/>
          <w:lang w:val="en-US"/>
        </w:rPr>
        <w:t>to investors with interests rela</w:t>
      </w:r>
      <w:r w:rsidRPr="003138C0">
        <w:rPr>
          <w:rFonts w:ascii="Calibri" w:hAnsi="Calibri"/>
          <w:color w:val="000000" w:themeColor="text1"/>
          <w:lang w:val="en-US"/>
        </w:rPr>
        <w:t xml:space="preserve">ting to the company. High priority investors in Agora’s network are sent executive summaries of companies that meet their interests and criteria. The goal is for the entrepreneurs and investors to begin building a relationship as soon as possible in the consulting period so that by the time the entrepreneur hosts a Deal Discussion, a number of the investors in the room are already familiar with the company. The Deal Discussion serves as an opportunity for entrepreneurs to develop more relationships with interested investors and to hopefully start the due diligence process shortly after. Agora’s Capital Advisory Services are available at an additional cost to provide support during the capital raise process. </w:t>
      </w:r>
    </w:p>
    <w:p w:rsidR="004E36C3" w:rsidRPr="009625C5" w:rsidRDefault="004E36C3" w:rsidP="00440AE2">
      <w:pPr>
        <w:pStyle w:val="Paragraph"/>
        <w:tabs>
          <w:tab w:val="clear" w:pos="720"/>
        </w:tabs>
        <w:ind w:left="792" w:firstLine="0"/>
        <w:rPr>
          <w:rFonts w:asciiTheme="minorHAnsi" w:hAnsiTheme="minorHAnsi"/>
          <w:color w:val="000000" w:themeColor="text1"/>
          <w:lang w:val="en-US"/>
        </w:rPr>
      </w:pPr>
    </w:p>
    <w:tbl>
      <w:tblPr>
        <w:tblW w:w="8593" w:type="dxa"/>
        <w:tblInd w:w="815"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000" w:firstRow="0" w:lastRow="0" w:firstColumn="0" w:lastColumn="0" w:noHBand="0" w:noVBand="0"/>
      </w:tblPr>
      <w:tblGrid>
        <w:gridCol w:w="8593"/>
      </w:tblGrid>
      <w:tr w:rsidR="004E36C3" w:rsidRPr="00DA2509">
        <w:trPr>
          <w:trHeight w:val="336"/>
        </w:trPr>
        <w:tc>
          <w:tcPr>
            <w:tcW w:w="8593" w:type="dxa"/>
            <w:tcBorders>
              <w:top w:val="single" w:sz="4" w:space="0" w:color="auto"/>
              <w:left w:val="single" w:sz="4" w:space="0" w:color="auto"/>
              <w:bottom w:val="single" w:sz="6" w:space="0" w:color="000000"/>
              <w:right w:val="single" w:sz="4" w:space="0" w:color="auto"/>
            </w:tcBorders>
            <w:shd w:val="clear" w:color="auto" w:fill="8DB3E2" w:themeFill="text2" w:themeFillTint="66"/>
            <w:tcMar>
              <w:top w:w="32" w:type="dxa"/>
              <w:left w:w="48" w:type="dxa"/>
              <w:bottom w:w="32" w:type="dxa"/>
              <w:right w:w="48" w:type="dxa"/>
            </w:tcMar>
            <w:vAlign w:val="bottom"/>
          </w:tcPr>
          <w:p w:rsidR="004E36C3" w:rsidRPr="007F1718" w:rsidRDefault="004E36C3" w:rsidP="00B26B97">
            <w:pPr>
              <w:rPr>
                <w:rFonts w:asciiTheme="minorHAnsi" w:hAnsiTheme="minorHAnsi"/>
                <w:b/>
                <w:bCs/>
                <w:snapToGrid/>
                <w:color w:val="000000" w:themeColor="text1"/>
                <w:lang w:eastAsia="en-US"/>
              </w:rPr>
            </w:pPr>
            <w:r w:rsidRPr="007F1718">
              <w:rPr>
                <w:rFonts w:asciiTheme="minorHAnsi" w:hAnsiTheme="minorHAnsi"/>
                <w:b/>
                <w:bCs/>
                <w:caps/>
                <w:snapToGrid/>
                <w:color w:val="000000" w:themeColor="text1"/>
                <w:lang w:eastAsia="en-US"/>
              </w:rPr>
              <w:t>Activities for Component III</w:t>
            </w:r>
          </w:p>
        </w:tc>
      </w:tr>
      <w:tr w:rsidR="004E36C3" w:rsidRPr="00DA2509">
        <w:trPr>
          <w:trHeight w:val="336"/>
        </w:trPr>
        <w:tc>
          <w:tcPr>
            <w:tcW w:w="8593" w:type="dxa"/>
            <w:tcBorders>
              <w:top w:val="single" w:sz="6" w:space="0" w:color="CCCCCC"/>
              <w:left w:val="single" w:sz="4" w:space="0" w:color="auto"/>
              <w:bottom w:val="single" w:sz="6" w:space="0" w:color="000000"/>
              <w:right w:val="single" w:sz="4" w:space="0" w:color="auto"/>
            </w:tcBorders>
            <w:shd w:val="clear" w:color="auto" w:fill="CCCCCC"/>
            <w:tcMar>
              <w:top w:w="32" w:type="dxa"/>
              <w:left w:w="48" w:type="dxa"/>
              <w:bottom w:w="32" w:type="dxa"/>
              <w:right w:w="48" w:type="dxa"/>
            </w:tcMar>
            <w:vAlign w:val="bottom"/>
          </w:tcPr>
          <w:p w:rsidR="004E36C3" w:rsidRPr="007F1718" w:rsidRDefault="004E36C3" w:rsidP="00B26B97">
            <w:pPr>
              <w:rPr>
                <w:rFonts w:asciiTheme="minorHAnsi" w:hAnsiTheme="minorHAnsi"/>
                <w:b/>
                <w:bCs/>
                <w:snapToGrid/>
                <w:color w:val="000000" w:themeColor="text1"/>
                <w:lang w:eastAsia="en-US"/>
              </w:rPr>
            </w:pPr>
            <w:r w:rsidRPr="007F1718">
              <w:rPr>
                <w:rFonts w:asciiTheme="minorHAnsi" w:hAnsiTheme="minorHAnsi"/>
                <w:b/>
                <w:bCs/>
                <w:snapToGrid/>
                <w:color w:val="000000" w:themeColor="text1"/>
                <w:lang w:eastAsia="en-US"/>
              </w:rPr>
              <w:t>3.1 Investor Matchmaking</w:t>
            </w:r>
          </w:p>
        </w:tc>
      </w:tr>
      <w:tr w:rsidR="004E36C3" w:rsidRPr="00DA2509">
        <w:trPr>
          <w:trHeight w:val="336"/>
        </w:trPr>
        <w:tc>
          <w:tcPr>
            <w:tcW w:w="8593" w:type="dxa"/>
            <w:tcBorders>
              <w:top w:val="single" w:sz="6" w:space="0" w:color="CCCCCC"/>
              <w:left w:val="single" w:sz="4" w:space="0" w:color="auto"/>
              <w:bottom w:val="single" w:sz="6" w:space="0" w:color="CCCCCC"/>
              <w:right w:val="single" w:sz="4" w:space="0" w:color="auto"/>
            </w:tcBorders>
            <w:shd w:val="clear" w:color="auto" w:fill="auto"/>
            <w:tcMar>
              <w:top w:w="32" w:type="dxa"/>
              <w:left w:w="48" w:type="dxa"/>
              <w:bottom w:w="32" w:type="dxa"/>
              <w:right w:w="48" w:type="dxa"/>
            </w:tcMar>
            <w:vAlign w:val="bottom"/>
          </w:tcPr>
          <w:p w:rsidR="00631AF5" w:rsidRPr="007F1718" w:rsidRDefault="00B1703C">
            <w:pPr>
              <w:rPr>
                <w:rFonts w:asciiTheme="minorHAnsi" w:hAnsiTheme="minorHAnsi"/>
                <w:snapToGrid/>
                <w:color w:val="000000" w:themeColor="text1"/>
                <w:lang w:eastAsia="en-US"/>
              </w:rPr>
            </w:pPr>
            <w:r w:rsidRPr="007F1718">
              <w:rPr>
                <w:rFonts w:asciiTheme="minorHAnsi" w:hAnsiTheme="minorHAnsi"/>
                <w:snapToGrid/>
                <w:color w:val="000000" w:themeColor="text1"/>
                <w:lang w:eastAsia="en-US"/>
              </w:rPr>
              <w:t xml:space="preserve">3.1.1 </w:t>
            </w:r>
            <w:r w:rsidR="009E2E72" w:rsidRPr="007F1718">
              <w:rPr>
                <w:rFonts w:asciiTheme="minorHAnsi" w:hAnsiTheme="minorHAnsi"/>
                <w:snapToGrid/>
                <w:color w:val="000000" w:themeColor="text1"/>
                <w:lang w:eastAsia="en-US"/>
              </w:rPr>
              <w:t>Investor outreach - Broad mapping of the entrepreneur’s capital requirements and all investors’ investment criteria; Targeted emails from Agora presenting entrepreneurs to the investors that are a good match</w:t>
            </w:r>
            <w:r w:rsidR="009E2E72" w:rsidRPr="007F1718" w:rsidDel="009E2E72">
              <w:rPr>
                <w:rFonts w:asciiTheme="minorHAnsi" w:hAnsiTheme="minorHAnsi"/>
                <w:snapToGrid/>
                <w:color w:val="000000" w:themeColor="text1"/>
                <w:lang w:eastAsia="en-US"/>
              </w:rPr>
              <w:t xml:space="preserve"> </w:t>
            </w:r>
          </w:p>
        </w:tc>
      </w:tr>
      <w:tr w:rsidR="004E36C3" w:rsidRPr="00DA2509">
        <w:trPr>
          <w:trHeight w:val="336"/>
        </w:trPr>
        <w:tc>
          <w:tcPr>
            <w:tcW w:w="8593" w:type="dxa"/>
            <w:tcBorders>
              <w:top w:val="single" w:sz="6" w:space="0" w:color="CCCCCC"/>
              <w:left w:val="single" w:sz="4" w:space="0" w:color="auto"/>
              <w:bottom w:val="single" w:sz="6" w:space="0" w:color="000000"/>
              <w:right w:val="single" w:sz="4" w:space="0" w:color="auto"/>
            </w:tcBorders>
            <w:shd w:val="clear" w:color="auto" w:fill="CCCCCC"/>
            <w:tcMar>
              <w:top w:w="32" w:type="dxa"/>
              <w:left w:w="48" w:type="dxa"/>
              <w:bottom w:w="32" w:type="dxa"/>
              <w:right w:w="48" w:type="dxa"/>
            </w:tcMar>
            <w:vAlign w:val="bottom"/>
          </w:tcPr>
          <w:p w:rsidR="004E36C3" w:rsidRPr="007F1718" w:rsidRDefault="004E36C3" w:rsidP="00B26B97">
            <w:pPr>
              <w:rPr>
                <w:rFonts w:asciiTheme="minorHAnsi" w:hAnsiTheme="minorHAnsi"/>
                <w:b/>
                <w:bCs/>
                <w:snapToGrid/>
                <w:color w:val="000000" w:themeColor="text1"/>
                <w:lang w:eastAsia="en-US"/>
              </w:rPr>
            </w:pPr>
            <w:r w:rsidRPr="007F1718">
              <w:rPr>
                <w:rFonts w:asciiTheme="minorHAnsi" w:hAnsiTheme="minorHAnsi"/>
                <w:b/>
                <w:bCs/>
                <w:snapToGrid/>
                <w:color w:val="000000" w:themeColor="text1"/>
                <w:lang w:eastAsia="en-US"/>
              </w:rPr>
              <w:lastRenderedPageBreak/>
              <w:t>3.2 IIA Partnerships</w:t>
            </w:r>
          </w:p>
        </w:tc>
      </w:tr>
      <w:tr w:rsidR="004E36C3" w:rsidRPr="00DA2509">
        <w:trPr>
          <w:trHeight w:val="336"/>
        </w:trPr>
        <w:tc>
          <w:tcPr>
            <w:tcW w:w="8593" w:type="dxa"/>
            <w:tcBorders>
              <w:top w:val="single" w:sz="6" w:space="0" w:color="CCCCCC"/>
              <w:left w:val="single" w:sz="4" w:space="0" w:color="auto"/>
              <w:bottom w:val="single" w:sz="6" w:space="0" w:color="CCCCCC"/>
              <w:right w:val="single" w:sz="4" w:space="0" w:color="auto"/>
            </w:tcBorders>
            <w:shd w:val="clear" w:color="auto" w:fill="auto"/>
            <w:tcMar>
              <w:top w:w="32" w:type="dxa"/>
              <w:left w:w="48" w:type="dxa"/>
              <w:bottom w:w="32" w:type="dxa"/>
              <w:right w:w="48" w:type="dxa"/>
            </w:tcMar>
            <w:vAlign w:val="bottom"/>
          </w:tcPr>
          <w:p w:rsidR="00631AF5" w:rsidRPr="007F1718" w:rsidRDefault="004E36C3">
            <w:pPr>
              <w:rPr>
                <w:rFonts w:asciiTheme="minorHAnsi" w:hAnsiTheme="minorHAnsi"/>
                <w:snapToGrid/>
                <w:color w:val="000000" w:themeColor="text1"/>
                <w:lang w:eastAsia="en-US"/>
              </w:rPr>
            </w:pPr>
            <w:r w:rsidRPr="007F1718">
              <w:rPr>
                <w:rFonts w:asciiTheme="minorHAnsi" w:hAnsiTheme="minorHAnsi"/>
                <w:snapToGrid/>
                <w:color w:val="000000" w:themeColor="text1"/>
                <w:lang w:eastAsia="en-US"/>
              </w:rPr>
              <w:t xml:space="preserve">3.2.1 Select and </w:t>
            </w:r>
            <w:r w:rsidR="00751B50" w:rsidRPr="007F1718">
              <w:rPr>
                <w:rFonts w:asciiTheme="minorHAnsi" w:hAnsiTheme="minorHAnsi"/>
                <w:snapToGrid/>
                <w:color w:val="000000" w:themeColor="text1"/>
                <w:lang w:eastAsia="en-US"/>
              </w:rPr>
              <w:t xml:space="preserve">initiate </w:t>
            </w:r>
            <w:r w:rsidRPr="007F1718">
              <w:rPr>
                <w:rFonts w:asciiTheme="minorHAnsi" w:hAnsiTheme="minorHAnsi"/>
                <w:snapToGrid/>
                <w:color w:val="000000" w:themeColor="text1"/>
                <w:lang w:eastAsia="en-US"/>
              </w:rPr>
              <w:t xml:space="preserve">partnership with event </w:t>
            </w:r>
            <w:r w:rsidR="00751B50" w:rsidRPr="007F1718">
              <w:rPr>
                <w:rFonts w:asciiTheme="minorHAnsi" w:hAnsiTheme="minorHAnsi"/>
                <w:snapToGrid/>
                <w:color w:val="000000" w:themeColor="text1"/>
                <w:lang w:eastAsia="en-US"/>
              </w:rPr>
              <w:t xml:space="preserve">organizers </w:t>
            </w:r>
            <w:r w:rsidRPr="007F1718">
              <w:rPr>
                <w:rFonts w:asciiTheme="minorHAnsi" w:hAnsiTheme="minorHAnsi"/>
                <w:snapToGrid/>
                <w:color w:val="000000" w:themeColor="text1"/>
                <w:lang w:eastAsia="en-US"/>
              </w:rPr>
              <w:t>to showcase investment opportunities from the Accelerator, using the Deal Discussion methodology</w:t>
            </w:r>
          </w:p>
        </w:tc>
      </w:tr>
      <w:tr w:rsidR="004E36C3" w:rsidRPr="00DA2509">
        <w:trPr>
          <w:trHeight w:val="336"/>
        </w:trPr>
        <w:tc>
          <w:tcPr>
            <w:tcW w:w="8593" w:type="dxa"/>
            <w:tcBorders>
              <w:top w:val="single" w:sz="6" w:space="0" w:color="CCCCCC"/>
              <w:left w:val="single" w:sz="4" w:space="0" w:color="auto"/>
              <w:bottom w:val="single" w:sz="6" w:space="0" w:color="CCCCCC"/>
              <w:right w:val="single" w:sz="4" w:space="0" w:color="auto"/>
            </w:tcBorders>
            <w:shd w:val="clear" w:color="auto" w:fill="auto"/>
            <w:tcMar>
              <w:top w:w="32" w:type="dxa"/>
              <w:left w:w="48" w:type="dxa"/>
              <w:bottom w:w="32" w:type="dxa"/>
              <w:right w:w="48" w:type="dxa"/>
            </w:tcMar>
            <w:vAlign w:val="bottom"/>
          </w:tcPr>
          <w:p w:rsidR="00631AF5" w:rsidRPr="007F1718" w:rsidRDefault="004E36C3">
            <w:pPr>
              <w:rPr>
                <w:rFonts w:asciiTheme="minorHAnsi" w:hAnsiTheme="minorHAnsi"/>
                <w:snapToGrid/>
                <w:color w:val="000000" w:themeColor="text1"/>
                <w:lang w:eastAsia="en-US"/>
              </w:rPr>
            </w:pPr>
            <w:r w:rsidRPr="007F1718">
              <w:rPr>
                <w:rFonts w:asciiTheme="minorHAnsi" w:hAnsiTheme="minorHAnsi"/>
                <w:snapToGrid/>
                <w:color w:val="000000" w:themeColor="text1"/>
                <w:lang w:eastAsia="en-US"/>
              </w:rPr>
              <w:t xml:space="preserve">3.2.2 </w:t>
            </w:r>
            <w:r w:rsidR="00751B50" w:rsidRPr="007F1718">
              <w:rPr>
                <w:rFonts w:asciiTheme="minorHAnsi" w:hAnsiTheme="minorHAnsi"/>
                <w:snapToGrid/>
                <w:color w:val="000000" w:themeColor="text1"/>
                <w:lang w:eastAsia="en-US"/>
              </w:rPr>
              <w:t xml:space="preserve">Communication - General marketing and communications strategy around the event; </w:t>
            </w:r>
            <w:r w:rsidRPr="007F1718">
              <w:rPr>
                <w:rFonts w:asciiTheme="minorHAnsi" w:hAnsiTheme="minorHAnsi"/>
                <w:snapToGrid/>
                <w:color w:val="000000" w:themeColor="text1"/>
                <w:lang w:eastAsia="en-US"/>
              </w:rPr>
              <w:t>Outreach to investors to get them to the event</w:t>
            </w:r>
            <w:r w:rsidR="00751B50" w:rsidRPr="007F1718">
              <w:rPr>
                <w:rFonts w:asciiTheme="minorHAnsi" w:hAnsiTheme="minorHAnsi"/>
                <w:snapToGrid/>
                <w:color w:val="000000" w:themeColor="text1"/>
                <w:lang w:eastAsia="en-US"/>
              </w:rPr>
              <w:t>; Post-event follow up (investors and entrepreneurs in attendance to survey satisfaction and partners to determine the success of the event)</w:t>
            </w:r>
          </w:p>
        </w:tc>
      </w:tr>
      <w:tr w:rsidR="004E36C3" w:rsidRPr="00DA2509">
        <w:trPr>
          <w:trHeight w:val="336"/>
        </w:trPr>
        <w:tc>
          <w:tcPr>
            <w:tcW w:w="8593" w:type="dxa"/>
            <w:tcBorders>
              <w:top w:val="single" w:sz="6" w:space="0" w:color="CCCCCC"/>
              <w:left w:val="single" w:sz="4" w:space="0" w:color="auto"/>
              <w:bottom w:val="single" w:sz="6" w:space="0" w:color="CCCCCC"/>
              <w:right w:val="single" w:sz="4" w:space="0" w:color="auto"/>
            </w:tcBorders>
            <w:shd w:val="clear" w:color="auto" w:fill="auto"/>
            <w:tcMar>
              <w:top w:w="32" w:type="dxa"/>
              <w:left w:w="48" w:type="dxa"/>
              <w:bottom w:w="32" w:type="dxa"/>
              <w:right w:w="48" w:type="dxa"/>
            </w:tcMar>
            <w:vAlign w:val="bottom"/>
          </w:tcPr>
          <w:p w:rsidR="00631AF5" w:rsidRPr="007F1718" w:rsidRDefault="004E36C3">
            <w:pPr>
              <w:rPr>
                <w:rFonts w:asciiTheme="minorHAnsi" w:hAnsiTheme="minorHAnsi"/>
                <w:snapToGrid/>
                <w:color w:val="000000" w:themeColor="text1"/>
                <w:lang w:eastAsia="en-US"/>
              </w:rPr>
            </w:pPr>
            <w:r w:rsidRPr="007F1718">
              <w:rPr>
                <w:rFonts w:asciiTheme="minorHAnsi" w:hAnsiTheme="minorHAnsi"/>
                <w:snapToGrid/>
                <w:color w:val="000000" w:themeColor="text1"/>
                <w:lang w:eastAsia="en-US"/>
              </w:rPr>
              <w:t xml:space="preserve">3.2.3 </w:t>
            </w:r>
            <w:r w:rsidR="00751B50" w:rsidRPr="007F1718">
              <w:rPr>
                <w:rFonts w:asciiTheme="minorHAnsi" w:hAnsiTheme="minorHAnsi"/>
                <w:snapToGrid/>
                <w:color w:val="000000" w:themeColor="text1"/>
                <w:lang w:eastAsia="en-US"/>
              </w:rPr>
              <w:t>Plan and coordinate logistics</w:t>
            </w:r>
          </w:p>
        </w:tc>
      </w:tr>
      <w:tr w:rsidR="004E36C3" w:rsidRPr="00DA2509">
        <w:trPr>
          <w:trHeight w:val="336"/>
        </w:trPr>
        <w:tc>
          <w:tcPr>
            <w:tcW w:w="8593" w:type="dxa"/>
            <w:tcBorders>
              <w:top w:val="single" w:sz="6" w:space="0" w:color="CCCCCC"/>
              <w:left w:val="single" w:sz="4" w:space="0" w:color="auto"/>
              <w:bottom w:val="single" w:sz="4" w:space="0" w:color="auto"/>
              <w:right w:val="single" w:sz="4" w:space="0" w:color="auto"/>
            </w:tcBorders>
            <w:shd w:val="clear" w:color="auto" w:fill="auto"/>
            <w:tcMar>
              <w:top w:w="32" w:type="dxa"/>
              <w:left w:w="48" w:type="dxa"/>
              <w:bottom w:w="32" w:type="dxa"/>
              <w:right w:w="48" w:type="dxa"/>
            </w:tcMar>
            <w:vAlign w:val="bottom"/>
          </w:tcPr>
          <w:p w:rsidR="00631AF5" w:rsidRPr="007F1718" w:rsidRDefault="004E36C3">
            <w:pPr>
              <w:rPr>
                <w:rFonts w:asciiTheme="minorHAnsi" w:hAnsiTheme="minorHAnsi"/>
                <w:snapToGrid/>
                <w:color w:val="000000" w:themeColor="text1"/>
                <w:lang w:eastAsia="en-US"/>
              </w:rPr>
            </w:pPr>
            <w:r w:rsidRPr="007F1718">
              <w:rPr>
                <w:rFonts w:asciiTheme="minorHAnsi" w:hAnsiTheme="minorHAnsi"/>
                <w:snapToGrid/>
                <w:color w:val="000000" w:themeColor="text1"/>
                <w:lang w:eastAsia="en-US"/>
              </w:rPr>
              <w:t xml:space="preserve">3.2.4 </w:t>
            </w:r>
            <w:r w:rsidR="00751B50" w:rsidRPr="007F1718">
              <w:rPr>
                <w:rFonts w:asciiTheme="minorHAnsi" w:hAnsiTheme="minorHAnsi"/>
                <w:snapToGrid/>
                <w:color w:val="000000" w:themeColor="text1"/>
                <w:lang w:eastAsia="en-US"/>
              </w:rPr>
              <w:t xml:space="preserve">Prepare presentation; execute the event (Deal Discussions); </w:t>
            </w:r>
          </w:p>
        </w:tc>
      </w:tr>
    </w:tbl>
    <w:p w:rsidR="004E36C3" w:rsidRDefault="004E36C3" w:rsidP="004E36C3">
      <w:pPr>
        <w:pStyle w:val="Default"/>
        <w:ind w:left="720"/>
        <w:rPr>
          <w:rFonts w:ascii="Calibri" w:hAnsi="Calibri"/>
          <w:b/>
          <w:bCs/>
          <w:color w:val="000000" w:themeColor="text1"/>
        </w:rPr>
      </w:pPr>
    </w:p>
    <w:p w:rsidR="004E36C3" w:rsidRDefault="004E36C3" w:rsidP="004E36C3">
      <w:pPr>
        <w:pStyle w:val="Default"/>
        <w:ind w:left="720"/>
        <w:rPr>
          <w:rFonts w:ascii="Calibri" w:hAnsi="Calibri"/>
          <w:b/>
          <w:bCs/>
          <w:color w:val="000000" w:themeColor="text1"/>
        </w:rPr>
      </w:pPr>
    </w:p>
    <w:p w:rsidR="004E36C3" w:rsidRPr="00821BB1" w:rsidRDefault="004E36C3" w:rsidP="004E36C3">
      <w:pPr>
        <w:pStyle w:val="Default"/>
        <w:ind w:left="720"/>
        <w:rPr>
          <w:rFonts w:ascii="Calibri" w:hAnsi="Calibri"/>
          <w:color w:val="808080"/>
        </w:rPr>
      </w:pPr>
      <w:r>
        <w:rPr>
          <w:rFonts w:ascii="Calibri" w:hAnsi="Calibri"/>
          <w:b/>
          <w:bCs/>
          <w:color w:val="000000" w:themeColor="text1"/>
        </w:rPr>
        <w:t>Component 4:</w:t>
      </w:r>
      <w:r w:rsidRPr="00B55101">
        <w:rPr>
          <w:rFonts w:ascii="Calibri" w:hAnsi="Calibri"/>
          <w:b/>
          <w:color w:val="000000" w:themeColor="text1"/>
        </w:rPr>
        <w:t xml:space="preserve"> </w:t>
      </w:r>
      <w:r w:rsidR="009F772B">
        <w:rPr>
          <w:rFonts w:ascii="Calibri" w:hAnsi="Calibri"/>
          <w:b/>
          <w:color w:val="000000" w:themeColor="text1"/>
        </w:rPr>
        <w:t xml:space="preserve">Multimedia </w:t>
      </w:r>
      <w:r w:rsidR="0076452E">
        <w:rPr>
          <w:rFonts w:ascii="Calibri" w:hAnsi="Calibri"/>
          <w:b/>
          <w:color w:val="000000" w:themeColor="text1"/>
        </w:rPr>
        <w:t>P</w:t>
      </w:r>
      <w:r w:rsidR="009F772B">
        <w:rPr>
          <w:rFonts w:ascii="Calibri" w:hAnsi="Calibri"/>
          <w:b/>
          <w:color w:val="000000" w:themeColor="text1"/>
        </w:rPr>
        <w:t xml:space="preserve">roject and </w:t>
      </w:r>
      <w:r w:rsidR="0076452E">
        <w:rPr>
          <w:rFonts w:ascii="Calibri" w:hAnsi="Calibri"/>
          <w:b/>
          <w:color w:val="000000" w:themeColor="text1"/>
        </w:rPr>
        <w:t>C</w:t>
      </w:r>
      <w:r w:rsidR="009F772B">
        <w:rPr>
          <w:rFonts w:ascii="Calibri" w:hAnsi="Calibri"/>
          <w:b/>
          <w:color w:val="000000" w:themeColor="text1"/>
        </w:rPr>
        <w:t xml:space="preserve">ase </w:t>
      </w:r>
      <w:r w:rsidR="0076452E">
        <w:rPr>
          <w:rFonts w:ascii="Calibri" w:hAnsi="Calibri"/>
          <w:b/>
          <w:color w:val="000000" w:themeColor="text1"/>
        </w:rPr>
        <w:t>S</w:t>
      </w:r>
      <w:r w:rsidR="009F772B">
        <w:rPr>
          <w:rFonts w:ascii="Calibri" w:hAnsi="Calibri"/>
          <w:b/>
          <w:color w:val="000000" w:themeColor="text1"/>
        </w:rPr>
        <w:t>tudy</w:t>
      </w:r>
    </w:p>
    <w:p w:rsidR="00DB0483" w:rsidRDefault="00A743E2" w:rsidP="00A743E2">
      <w:pPr>
        <w:pStyle w:val="Paragraph"/>
        <w:tabs>
          <w:tab w:val="clear" w:pos="720"/>
        </w:tabs>
        <w:spacing w:before="0" w:after="0"/>
        <w:ind w:firstLine="0"/>
        <w:rPr>
          <w:rFonts w:asciiTheme="minorHAnsi" w:hAnsiTheme="minorHAnsi" w:cstheme="minorHAnsi"/>
          <w:b/>
          <w:lang w:val="en-US"/>
        </w:rPr>
      </w:pPr>
      <w:r>
        <w:rPr>
          <w:rFonts w:asciiTheme="minorHAnsi" w:hAnsiTheme="minorHAnsi" w:cstheme="minorHAnsi"/>
          <w:b/>
          <w:lang w:val="en-US"/>
        </w:rPr>
        <w:t>(MIF: US$5,000/</w:t>
      </w:r>
      <w:r w:rsidR="004E36C3" w:rsidRPr="00A743E2">
        <w:rPr>
          <w:rFonts w:asciiTheme="minorHAnsi" w:hAnsiTheme="minorHAnsi" w:cstheme="minorHAnsi"/>
          <w:b/>
          <w:lang w:val="en-US"/>
        </w:rPr>
        <w:t>Counterpa</w:t>
      </w:r>
      <w:r>
        <w:rPr>
          <w:rFonts w:asciiTheme="minorHAnsi" w:hAnsiTheme="minorHAnsi" w:cstheme="minorHAnsi"/>
          <w:b/>
          <w:lang w:val="en-US"/>
        </w:rPr>
        <w:t>rt: US$15,000</w:t>
      </w:r>
      <w:r w:rsidR="004E36C3" w:rsidRPr="00A743E2">
        <w:rPr>
          <w:rFonts w:asciiTheme="minorHAnsi" w:hAnsiTheme="minorHAnsi" w:cstheme="minorHAnsi"/>
          <w:b/>
          <w:lang w:val="en-US"/>
        </w:rPr>
        <w:t>)</w:t>
      </w:r>
    </w:p>
    <w:p w:rsidR="00DB0483" w:rsidRPr="00DB0483" w:rsidRDefault="00DB0483" w:rsidP="00A743E2">
      <w:pPr>
        <w:pStyle w:val="Paragraph"/>
        <w:numPr>
          <w:ilvl w:val="1"/>
          <w:numId w:val="1"/>
        </w:numPr>
        <w:ind w:hanging="702"/>
        <w:rPr>
          <w:rFonts w:asciiTheme="minorHAnsi" w:hAnsiTheme="minorHAnsi" w:cstheme="minorHAnsi"/>
          <w:lang w:val="en-US"/>
        </w:rPr>
      </w:pPr>
      <w:r>
        <w:rPr>
          <w:rFonts w:asciiTheme="minorHAnsi" w:hAnsiTheme="minorHAnsi" w:cstheme="minorHAnsi"/>
          <w:lang w:val="en-US"/>
        </w:rPr>
        <w:t xml:space="preserve">The acceleration of 15 </w:t>
      </w:r>
      <w:proofErr w:type="gramStart"/>
      <w:r>
        <w:rPr>
          <w:rFonts w:asciiTheme="minorHAnsi" w:hAnsiTheme="minorHAnsi" w:cstheme="minorHAnsi"/>
          <w:lang w:val="en-US"/>
        </w:rPr>
        <w:t>access</w:t>
      </w:r>
      <w:proofErr w:type="gramEnd"/>
      <w:r>
        <w:rPr>
          <w:rFonts w:asciiTheme="minorHAnsi" w:hAnsiTheme="minorHAnsi" w:cstheme="minorHAnsi"/>
          <w:lang w:val="en-US"/>
        </w:rPr>
        <w:t xml:space="preserve"> to basic services companies presents an excellent opportunity to collect and analyze data. Agora plans to use this data, analysis, and other information/knowledge of the cohort to create a multimedia project and 1-3 case studies. These pieces will be disseminated throughout the impact investing and international development industries with the goal of sharing important knowledge both to the general public and with others working to provide access to basic services both in Latin America and globally. Agora aims to build on these projects in future years, with companies in future accelerators adding to the sample size of the data and contributing additional knowledge and other information.</w:t>
      </w:r>
    </w:p>
    <w:p w:rsidR="004E36C3" w:rsidRDefault="004E36C3" w:rsidP="004E36C3">
      <w:pPr>
        <w:pStyle w:val="Paragraph"/>
        <w:tabs>
          <w:tab w:val="clear" w:pos="720"/>
        </w:tabs>
        <w:spacing w:before="0" w:after="0"/>
        <w:ind w:firstLine="0"/>
        <w:rPr>
          <w:rFonts w:asciiTheme="minorHAnsi" w:hAnsiTheme="minorHAnsi" w:cstheme="minorHAnsi"/>
          <w:b/>
          <w:lang w:val="en-US"/>
        </w:rPr>
      </w:pPr>
    </w:p>
    <w:p w:rsidR="004E36C3" w:rsidRPr="002451E7" w:rsidRDefault="004E36C3" w:rsidP="00DB0483">
      <w:pPr>
        <w:pStyle w:val="Paragraph"/>
        <w:tabs>
          <w:tab w:val="clear" w:pos="720"/>
        </w:tabs>
        <w:spacing w:before="0" w:after="0"/>
        <w:ind w:left="0" w:firstLine="0"/>
        <w:rPr>
          <w:rFonts w:asciiTheme="minorHAnsi" w:hAnsiTheme="minorHAnsi" w:cstheme="minorHAnsi"/>
          <w:b/>
          <w:lang w:val="en-US"/>
        </w:rPr>
      </w:pPr>
    </w:p>
    <w:tbl>
      <w:tblPr>
        <w:tblW w:w="8593" w:type="dxa"/>
        <w:tblInd w:w="815"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000" w:firstRow="0" w:lastRow="0" w:firstColumn="0" w:lastColumn="0" w:noHBand="0" w:noVBand="0"/>
      </w:tblPr>
      <w:tblGrid>
        <w:gridCol w:w="8593"/>
      </w:tblGrid>
      <w:tr w:rsidR="004E36C3" w:rsidRPr="00DA2509">
        <w:trPr>
          <w:trHeight w:val="336"/>
        </w:trPr>
        <w:tc>
          <w:tcPr>
            <w:tcW w:w="8593" w:type="dxa"/>
            <w:tcBorders>
              <w:top w:val="single" w:sz="4" w:space="0" w:color="auto"/>
              <w:left w:val="single" w:sz="4" w:space="0" w:color="auto"/>
              <w:bottom w:val="single" w:sz="6" w:space="0" w:color="000000"/>
              <w:right w:val="single" w:sz="4" w:space="0" w:color="auto"/>
            </w:tcBorders>
            <w:shd w:val="clear" w:color="auto" w:fill="8DB3E2" w:themeFill="text2" w:themeFillTint="66"/>
            <w:tcMar>
              <w:top w:w="32" w:type="dxa"/>
              <w:left w:w="48" w:type="dxa"/>
              <w:bottom w:w="32" w:type="dxa"/>
              <w:right w:w="48" w:type="dxa"/>
            </w:tcMar>
            <w:vAlign w:val="bottom"/>
          </w:tcPr>
          <w:p w:rsidR="004E36C3" w:rsidRPr="007F1718" w:rsidRDefault="004E36C3" w:rsidP="00B26B97">
            <w:pPr>
              <w:rPr>
                <w:rFonts w:asciiTheme="minorHAnsi" w:hAnsiTheme="minorHAnsi"/>
                <w:b/>
                <w:bCs/>
                <w:snapToGrid/>
                <w:color w:val="000000" w:themeColor="text1"/>
                <w:lang w:eastAsia="en-US"/>
              </w:rPr>
            </w:pPr>
            <w:r w:rsidRPr="007F1718">
              <w:rPr>
                <w:rFonts w:asciiTheme="minorHAnsi" w:hAnsiTheme="minorHAnsi"/>
                <w:b/>
                <w:bCs/>
                <w:caps/>
                <w:snapToGrid/>
                <w:color w:val="000000" w:themeColor="text1"/>
                <w:lang w:eastAsia="en-US"/>
              </w:rPr>
              <w:t>Activities for Component IV</w:t>
            </w:r>
          </w:p>
        </w:tc>
      </w:tr>
      <w:tr w:rsidR="004E36C3" w:rsidRPr="00DA2509">
        <w:trPr>
          <w:trHeight w:val="336"/>
        </w:trPr>
        <w:tc>
          <w:tcPr>
            <w:tcW w:w="8593" w:type="dxa"/>
            <w:tcBorders>
              <w:top w:val="single" w:sz="6" w:space="0" w:color="CCCCCC"/>
              <w:left w:val="single" w:sz="4" w:space="0" w:color="auto"/>
              <w:bottom w:val="single" w:sz="6" w:space="0" w:color="000000"/>
              <w:right w:val="single" w:sz="4" w:space="0" w:color="auto"/>
            </w:tcBorders>
            <w:shd w:val="clear" w:color="auto" w:fill="CCCCCC"/>
            <w:tcMar>
              <w:top w:w="32" w:type="dxa"/>
              <w:left w:w="48" w:type="dxa"/>
              <w:bottom w:w="32" w:type="dxa"/>
              <w:right w:w="48" w:type="dxa"/>
            </w:tcMar>
            <w:vAlign w:val="bottom"/>
          </w:tcPr>
          <w:p w:rsidR="00262EF6" w:rsidRPr="007F1718" w:rsidRDefault="00D5544D" w:rsidP="00A743E2">
            <w:pPr>
              <w:pStyle w:val="ListParagraph"/>
              <w:numPr>
                <w:ilvl w:val="1"/>
                <w:numId w:val="20"/>
              </w:numPr>
              <w:rPr>
                <w:rFonts w:asciiTheme="minorHAnsi" w:hAnsiTheme="minorHAnsi"/>
                <w:b/>
                <w:bCs/>
                <w:snapToGrid/>
                <w:color w:val="000000" w:themeColor="text1"/>
                <w:lang w:eastAsia="en-US"/>
              </w:rPr>
            </w:pPr>
            <w:r w:rsidRPr="007F1718">
              <w:rPr>
                <w:rFonts w:asciiTheme="minorHAnsi" w:hAnsiTheme="minorHAnsi"/>
                <w:b/>
                <w:bCs/>
                <w:snapToGrid/>
                <w:color w:val="000000" w:themeColor="text1"/>
                <w:lang w:eastAsia="en-US"/>
              </w:rPr>
              <w:t>Multimedia Project</w:t>
            </w:r>
          </w:p>
        </w:tc>
      </w:tr>
      <w:tr w:rsidR="004E36C3" w:rsidRPr="00DA2509">
        <w:trPr>
          <w:trHeight w:val="336"/>
        </w:trPr>
        <w:tc>
          <w:tcPr>
            <w:tcW w:w="8593" w:type="dxa"/>
            <w:tcBorders>
              <w:top w:val="single" w:sz="6" w:space="0" w:color="CCCCCC"/>
              <w:left w:val="single" w:sz="4" w:space="0" w:color="auto"/>
              <w:bottom w:val="single" w:sz="6" w:space="0" w:color="CCCCCC"/>
              <w:right w:val="single" w:sz="4" w:space="0" w:color="auto"/>
            </w:tcBorders>
            <w:shd w:val="clear" w:color="auto" w:fill="auto"/>
            <w:tcMar>
              <w:top w:w="32" w:type="dxa"/>
              <w:left w:w="48" w:type="dxa"/>
              <w:bottom w:w="32" w:type="dxa"/>
              <w:right w:w="48" w:type="dxa"/>
            </w:tcMar>
            <w:vAlign w:val="bottom"/>
          </w:tcPr>
          <w:p w:rsidR="00631AF5" w:rsidRPr="007F1718" w:rsidRDefault="00B1703C">
            <w:pPr>
              <w:rPr>
                <w:rFonts w:asciiTheme="minorHAnsi" w:hAnsiTheme="minorHAnsi"/>
                <w:snapToGrid/>
                <w:color w:val="000000" w:themeColor="text1"/>
                <w:lang w:eastAsia="en-US"/>
              </w:rPr>
            </w:pPr>
            <w:r w:rsidRPr="007F1718">
              <w:rPr>
                <w:rFonts w:asciiTheme="minorHAnsi" w:hAnsiTheme="minorHAnsi"/>
                <w:snapToGrid/>
                <w:color w:val="000000" w:themeColor="text1"/>
                <w:lang w:eastAsia="en-US"/>
              </w:rPr>
              <w:t xml:space="preserve">4.1.1 </w:t>
            </w:r>
            <w:r w:rsidR="00D5544D" w:rsidRPr="007F1718">
              <w:rPr>
                <w:rFonts w:asciiTheme="minorHAnsi" w:hAnsiTheme="minorHAnsi"/>
                <w:snapToGrid/>
                <w:color w:val="000000" w:themeColor="text1"/>
                <w:lang w:eastAsia="en-US"/>
              </w:rPr>
              <w:t>Define the narrative and determine what assets you have / want to use to tell the story</w:t>
            </w:r>
            <w:r w:rsidRPr="007F1718">
              <w:rPr>
                <w:rFonts w:asciiTheme="minorHAnsi" w:hAnsiTheme="minorHAnsi"/>
                <w:snapToGrid/>
                <w:color w:val="000000" w:themeColor="text1"/>
                <w:lang w:eastAsia="en-US"/>
              </w:rPr>
              <w:t xml:space="preserve">; </w:t>
            </w:r>
            <w:r w:rsidR="00D5544D" w:rsidRPr="007F1718">
              <w:rPr>
                <w:rFonts w:asciiTheme="minorHAnsi" w:hAnsiTheme="minorHAnsi"/>
                <w:snapToGrid/>
                <w:color w:val="000000" w:themeColor="text1"/>
                <w:lang w:eastAsia="en-US"/>
              </w:rPr>
              <w:t>Partner with a university</w:t>
            </w:r>
            <w:r w:rsidR="009E2E72" w:rsidRPr="007F1718">
              <w:rPr>
                <w:rFonts w:asciiTheme="minorHAnsi" w:hAnsiTheme="minorHAnsi"/>
                <w:snapToGrid/>
                <w:color w:val="000000" w:themeColor="text1"/>
                <w:lang w:eastAsia="en-US"/>
              </w:rPr>
              <w:t xml:space="preserve"> or</w:t>
            </w:r>
            <w:r w:rsidR="00D5544D" w:rsidRPr="007F1718">
              <w:rPr>
                <w:rFonts w:asciiTheme="minorHAnsi" w:hAnsiTheme="minorHAnsi"/>
                <w:snapToGrid/>
                <w:color w:val="000000" w:themeColor="text1"/>
                <w:lang w:eastAsia="en-US"/>
              </w:rPr>
              <w:t xml:space="preserve"> find student group within university to execute project</w:t>
            </w:r>
            <w:r w:rsidRPr="007F1718">
              <w:rPr>
                <w:rFonts w:asciiTheme="minorHAnsi" w:hAnsiTheme="minorHAnsi"/>
                <w:snapToGrid/>
                <w:color w:val="000000" w:themeColor="text1"/>
                <w:lang w:eastAsia="en-US"/>
              </w:rPr>
              <w:t xml:space="preserve">; </w:t>
            </w:r>
            <w:r w:rsidR="00D5544D" w:rsidRPr="007F1718">
              <w:rPr>
                <w:rFonts w:asciiTheme="minorHAnsi" w:hAnsiTheme="minorHAnsi"/>
                <w:snapToGrid/>
                <w:color w:val="000000" w:themeColor="text1"/>
                <w:lang w:eastAsia="en-US"/>
              </w:rPr>
              <w:t>Manage student group to execute project (storyboarding, shooting of footage, editing footage, producing)</w:t>
            </w:r>
            <w:r w:rsidRPr="007F1718">
              <w:rPr>
                <w:rFonts w:asciiTheme="minorHAnsi" w:hAnsiTheme="minorHAnsi"/>
                <w:snapToGrid/>
                <w:color w:val="000000" w:themeColor="text1"/>
                <w:lang w:eastAsia="en-US"/>
              </w:rPr>
              <w:t xml:space="preserve">; </w:t>
            </w:r>
            <w:r w:rsidR="00D5544D" w:rsidRPr="007F1718">
              <w:rPr>
                <w:rFonts w:asciiTheme="minorHAnsi" w:hAnsiTheme="minorHAnsi"/>
                <w:snapToGrid/>
                <w:color w:val="000000" w:themeColor="text1"/>
                <w:lang w:eastAsia="en-US"/>
              </w:rPr>
              <w:t>Conduct interviews</w:t>
            </w:r>
            <w:r w:rsidR="009E2E72" w:rsidRPr="007F1718">
              <w:rPr>
                <w:rFonts w:asciiTheme="minorHAnsi" w:hAnsiTheme="minorHAnsi"/>
                <w:snapToGrid/>
                <w:color w:val="000000" w:themeColor="text1"/>
                <w:lang w:eastAsia="en-US"/>
              </w:rPr>
              <w:t xml:space="preserve"> &amp; write blog posts throughout to capture the process</w:t>
            </w:r>
            <w:r w:rsidRPr="007F1718">
              <w:rPr>
                <w:rFonts w:asciiTheme="minorHAnsi" w:hAnsiTheme="minorHAnsi"/>
                <w:snapToGrid/>
                <w:color w:val="000000" w:themeColor="text1"/>
                <w:lang w:eastAsia="en-US"/>
              </w:rPr>
              <w:t xml:space="preserve">; </w:t>
            </w:r>
            <w:r w:rsidR="009E2E72" w:rsidRPr="007F1718">
              <w:rPr>
                <w:rFonts w:asciiTheme="minorHAnsi" w:hAnsiTheme="minorHAnsi"/>
                <w:snapToGrid/>
                <w:color w:val="000000" w:themeColor="text1"/>
                <w:lang w:eastAsia="en-US"/>
              </w:rPr>
              <w:t>Plan and execute dissemination (working with media partners)</w:t>
            </w:r>
          </w:p>
        </w:tc>
      </w:tr>
      <w:tr w:rsidR="004E36C3" w:rsidRPr="00DA2509">
        <w:trPr>
          <w:trHeight w:val="336"/>
        </w:trPr>
        <w:tc>
          <w:tcPr>
            <w:tcW w:w="8593" w:type="dxa"/>
            <w:tcBorders>
              <w:top w:val="single" w:sz="6" w:space="0" w:color="CCCCCC"/>
              <w:left w:val="single" w:sz="4" w:space="0" w:color="auto"/>
              <w:bottom w:val="single" w:sz="6" w:space="0" w:color="000000"/>
              <w:right w:val="single" w:sz="4" w:space="0" w:color="auto"/>
            </w:tcBorders>
            <w:shd w:val="clear" w:color="auto" w:fill="CCCCCC"/>
            <w:tcMar>
              <w:top w:w="32" w:type="dxa"/>
              <w:left w:w="48" w:type="dxa"/>
              <w:bottom w:w="32" w:type="dxa"/>
              <w:right w:w="48" w:type="dxa"/>
            </w:tcMar>
            <w:vAlign w:val="bottom"/>
          </w:tcPr>
          <w:p w:rsidR="00262EF6" w:rsidRPr="007F1718" w:rsidRDefault="000A4011" w:rsidP="00A743E2">
            <w:pPr>
              <w:pStyle w:val="ListParagraph"/>
              <w:numPr>
                <w:ilvl w:val="1"/>
                <w:numId w:val="20"/>
              </w:numPr>
              <w:rPr>
                <w:rFonts w:asciiTheme="minorHAnsi" w:hAnsiTheme="minorHAnsi"/>
                <w:b/>
                <w:bCs/>
                <w:snapToGrid/>
                <w:color w:val="000000" w:themeColor="text1"/>
                <w:lang w:eastAsia="en-US"/>
              </w:rPr>
            </w:pPr>
            <w:r w:rsidRPr="007F1718">
              <w:rPr>
                <w:rFonts w:asciiTheme="minorHAnsi" w:hAnsiTheme="minorHAnsi"/>
                <w:b/>
                <w:bCs/>
                <w:snapToGrid/>
                <w:color w:val="000000" w:themeColor="text1"/>
                <w:lang w:eastAsia="en-US"/>
              </w:rPr>
              <w:t>Case Studies</w:t>
            </w:r>
          </w:p>
        </w:tc>
      </w:tr>
      <w:tr w:rsidR="004E36C3" w:rsidRPr="00DA2509">
        <w:trPr>
          <w:trHeight w:val="336"/>
        </w:trPr>
        <w:tc>
          <w:tcPr>
            <w:tcW w:w="8593" w:type="dxa"/>
            <w:tcBorders>
              <w:top w:val="single" w:sz="6" w:space="0" w:color="CCCCCC"/>
              <w:left w:val="single" w:sz="4" w:space="0" w:color="auto"/>
              <w:bottom w:val="single" w:sz="4" w:space="0" w:color="auto"/>
              <w:right w:val="single" w:sz="4" w:space="0" w:color="auto"/>
            </w:tcBorders>
            <w:shd w:val="clear" w:color="auto" w:fill="auto"/>
            <w:tcMar>
              <w:top w:w="32" w:type="dxa"/>
              <w:left w:w="48" w:type="dxa"/>
              <w:bottom w:w="32" w:type="dxa"/>
              <w:right w:w="48" w:type="dxa"/>
            </w:tcMar>
            <w:vAlign w:val="bottom"/>
          </w:tcPr>
          <w:p w:rsidR="00631AF5" w:rsidRPr="007F1718" w:rsidRDefault="00B1703C">
            <w:pPr>
              <w:rPr>
                <w:rFonts w:asciiTheme="minorHAnsi" w:hAnsiTheme="minorHAnsi"/>
                <w:snapToGrid/>
                <w:color w:val="000000" w:themeColor="text1"/>
                <w:lang w:eastAsia="en-US"/>
              </w:rPr>
            </w:pPr>
            <w:r w:rsidRPr="007F1718">
              <w:rPr>
                <w:rFonts w:asciiTheme="minorHAnsi" w:hAnsiTheme="minorHAnsi"/>
                <w:snapToGrid/>
                <w:color w:val="000000" w:themeColor="text1"/>
                <w:lang w:eastAsia="en-US"/>
              </w:rPr>
              <w:t xml:space="preserve">4.2.1 </w:t>
            </w:r>
            <w:r w:rsidR="00D5544D" w:rsidRPr="007F1718">
              <w:rPr>
                <w:rFonts w:asciiTheme="minorHAnsi" w:hAnsiTheme="minorHAnsi"/>
                <w:snapToGrid/>
                <w:color w:val="000000" w:themeColor="text1"/>
                <w:lang w:eastAsia="en-US"/>
              </w:rPr>
              <w:t>Determine the topic and define the focus and scope of the case study</w:t>
            </w:r>
            <w:r w:rsidRPr="007F1718">
              <w:rPr>
                <w:rFonts w:asciiTheme="minorHAnsi" w:hAnsiTheme="minorHAnsi"/>
                <w:snapToGrid/>
                <w:color w:val="000000" w:themeColor="text1"/>
                <w:lang w:eastAsia="en-US"/>
              </w:rPr>
              <w:t xml:space="preserve">; </w:t>
            </w:r>
            <w:r w:rsidR="009E2E72" w:rsidRPr="007F1718">
              <w:rPr>
                <w:rFonts w:asciiTheme="minorHAnsi" w:hAnsiTheme="minorHAnsi"/>
                <w:snapToGrid/>
                <w:color w:val="000000" w:themeColor="text1"/>
                <w:lang w:eastAsia="en-US"/>
              </w:rPr>
              <w:t>Research, interview subjects, collect other data</w:t>
            </w:r>
            <w:r w:rsidRPr="007F1718">
              <w:rPr>
                <w:rFonts w:asciiTheme="minorHAnsi" w:hAnsiTheme="minorHAnsi"/>
                <w:snapToGrid/>
                <w:color w:val="000000" w:themeColor="text1"/>
                <w:lang w:eastAsia="en-US"/>
              </w:rPr>
              <w:t xml:space="preserve">; </w:t>
            </w:r>
            <w:r w:rsidR="009E2E72" w:rsidRPr="007F1718">
              <w:rPr>
                <w:rFonts w:asciiTheme="minorHAnsi" w:hAnsiTheme="minorHAnsi"/>
                <w:snapToGrid/>
                <w:color w:val="000000" w:themeColor="text1"/>
                <w:lang w:eastAsia="en-US"/>
              </w:rPr>
              <w:t>Write and edit case study</w:t>
            </w:r>
            <w:r w:rsidRPr="007F1718">
              <w:rPr>
                <w:rFonts w:asciiTheme="minorHAnsi" w:hAnsiTheme="minorHAnsi"/>
                <w:snapToGrid/>
                <w:color w:val="000000" w:themeColor="text1"/>
                <w:lang w:eastAsia="en-US"/>
              </w:rPr>
              <w:t xml:space="preserve">; </w:t>
            </w:r>
            <w:r w:rsidR="009E2E72" w:rsidRPr="007F1718">
              <w:rPr>
                <w:rFonts w:asciiTheme="minorHAnsi" w:hAnsiTheme="minorHAnsi"/>
                <w:snapToGrid/>
                <w:color w:val="000000" w:themeColor="text1"/>
                <w:lang w:eastAsia="en-US"/>
              </w:rPr>
              <w:t>Plan and execute dissemination (working with media partners)</w:t>
            </w:r>
          </w:p>
        </w:tc>
      </w:tr>
    </w:tbl>
    <w:p w:rsidR="004E36C3" w:rsidRPr="00DA2509" w:rsidRDefault="004E36C3" w:rsidP="00440AE2">
      <w:pPr>
        <w:pStyle w:val="Paragraph"/>
        <w:tabs>
          <w:tab w:val="clear" w:pos="720"/>
        </w:tabs>
        <w:ind w:left="792" w:firstLine="0"/>
        <w:rPr>
          <w:rFonts w:asciiTheme="minorHAnsi" w:hAnsiTheme="minorHAnsi"/>
          <w:color w:val="000000" w:themeColor="text1"/>
          <w:lang w:val="en-US"/>
        </w:rPr>
      </w:pPr>
    </w:p>
    <w:p w:rsidR="00597698" w:rsidRPr="00DA2509" w:rsidRDefault="007B2C13" w:rsidP="00597698">
      <w:pPr>
        <w:pStyle w:val="SecHeading"/>
        <w:tabs>
          <w:tab w:val="clear" w:pos="1296"/>
        </w:tabs>
        <w:ind w:left="0" w:firstLine="0"/>
        <w:rPr>
          <w:rFonts w:asciiTheme="minorHAnsi" w:hAnsiTheme="minorHAnsi"/>
          <w:color w:val="000000" w:themeColor="text1"/>
          <w:lang w:val="en-US"/>
        </w:rPr>
      </w:pPr>
      <w:r w:rsidRPr="00DA2509">
        <w:rPr>
          <w:rFonts w:asciiTheme="minorHAnsi" w:hAnsiTheme="minorHAnsi"/>
          <w:color w:val="000000" w:themeColor="text1"/>
          <w:lang w:val="en-US"/>
        </w:rPr>
        <w:t>D</w:t>
      </w:r>
      <w:r w:rsidR="00597698" w:rsidRPr="00DA2509">
        <w:rPr>
          <w:rFonts w:asciiTheme="minorHAnsi" w:hAnsiTheme="minorHAnsi"/>
          <w:color w:val="000000" w:themeColor="text1"/>
          <w:lang w:val="en-US"/>
        </w:rPr>
        <w:t>.</w:t>
      </w:r>
      <w:r w:rsidR="00597698" w:rsidRPr="00DA2509">
        <w:rPr>
          <w:rFonts w:asciiTheme="minorHAnsi" w:hAnsiTheme="minorHAnsi"/>
          <w:color w:val="000000" w:themeColor="text1"/>
          <w:lang w:val="en-US"/>
        </w:rPr>
        <w:tab/>
        <w:t>Sustainability</w:t>
      </w:r>
      <w:r w:rsidR="001C6E67" w:rsidRPr="00DA2509">
        <w:rPr>
          <w:rFonts w:asciiTheme="minorHAnsi" w:hAnsiTheme="minorHAnsi"/>
          <w:color w:val="000000" w:themeColor="text1"/>
          <w:lang w:val="en-US"/>
        </w:rPr>
        <w:t xml:space="preserve">: </w:t>
      </w:r>
    </w:p>
    <w:p w:rsidR="00606B58" w:rsidRPr="00DA2509" w:rsidRDefault="00606B58" w:rsidP="00DC27A9">
      <w:pPr>
        <w:pStyle w:val="Paragraph"/>
        <w:numPr>
          <w:ilvl w:val="1"/>
          <w:numId w:val="1"/>
        </w:numPr>
        <w:ind w:hanging="702"/>
        <w:rPr>
          <w:rFonts w:asciiTheme="minorHAnsi" w:hAnsiTheme="minorHAnsi"/>
          <w:color w:val="000000" w:themeColor="text1"/>
        </w:rPr>
      </w:pPr>
      <w:r w:rsidRPr="00CB2768">
        <w:rPr>
          <w:rFonts w:asciiTheme="minorHAnsi" w:hAnsiTheme="minorHAnsi"/>
          <w:color w:val="000000" w:themeColor="text1"/>
          <w:lang w:val="en-US"/>
        </w:rPr>
        <w:t xml:space="preserve">By focusing the cohort on “access to basic services”, </w:t>
      </w:r>
      <w:r w:rsidR="00FA5CA2" w:rsidRPr="00CB2768">
        <w:rPr>
          <w:rFonts w:asciiTheme="minorHAnsi" w:hAnsiTheme="minorHAnsi"/>
          <w:color w:val="000000" w:themeColor="text1"/>
          <w:lang w:val="en-US"/>
        </w:rPr>
        <w:t xml:space="preserve">Agora is </w:t>
      </w:r>
      <w:r w:rsidRPr="00CB2768">
        <w:rPr>
          <w:rFonts w:asciiTheme="minorHAnsi" w:hAnsiTheme="minorHAnsi"/>
          <w:color w:val="000000" w:themeColor="text1"/>
          <w:lang w:val="en-US"/>
        </w:rPr>
        <w:t xml:space="preserve">able to target very specific external actors with aligned interests. All actors involved in the cohort must have a strong commitment to the success of the entrepreneurs and the impact they are </w:t>
      </w:r>
      <w:r w:rsidRPr="00CB2768">
        <w:rPr>
          <w:rFonts w:asciiTheme="minorHAnsi" w:hAnsiTheme="minorHAnsi"/>
          <w:color w:val="000000" w:themeColor="text1"/>
          <w:lang w:val="en-US"/>
        </w:rPr>
        <w:lastRenderedPageBreak/>
        <w:t xml:space="preserve">creating. Once each actor becomes engaged in the Agora Accelerator, they remain a part of the Agora community indefinitely. </w:t>
      </w:r>
      <w:proofErr w:type="spellStart"/>
      <w:r w:rsidRPr="00DA2509">
        <w:rPr>
          <w:rFonts w:asciiTheme="minorHAnsi" w:hAnsiTheme="minorHAnsi"/>
          <w:color w:val="000000" w:themeColor="text1"/>
        </w:rPr>
        <w:t>The</w:t>
      </w:r>
      <w:proofErr w:type="spellEnd"/>
      <w:r w:rsidRPr="00DA2509">
        <w:rPr>
          <w:rFonts w:asciiTheme="minorHAnsi" w:hAnsiTheme="minorHAnsi"/>
          <w:color w:val="000000" w:themeColor="text1"/>
        </w:rPr>
        <w:t xml:space="preserve"> </w:t>
      </w:r>
      <w:proofErr w:type="spellStart"/>
      <w:r w:rsidRPr="00DA2509">
        <w:rPr>
          <w:rFonts w:asciiTheme="minorHAnsi" w:hAnsiTheme="minorHAnsi"/>
          <w:color w:val="000000" w:themeColor="text1"/>
        </w:rPr>
        <w:t>external</w:t>
      </w:r>
      <w:proofErr w:type="spellEnd"/>
      <w:r w:rsidRPr="00DA2509">
        <w:rPr>
          <w:rFonts w:asciiTheme="minorHAnsi" w:hAnsiTheme="minorHAnsi"/>
          <w:color w:val="000000" w:themeColor="text1"/>
        </w:rPr>
        <w:t xml:space="preserve"> </w:t>
      </w:r>
      <w:proofErr w:type="spellStart"/>
      <w:r w:rsidRPr="00DA2509">
        <w:rPr>
          <w:rFonts w:asciiTheme="minorHAnsi" w:hAnsiTheme="minorHAnsi"/>
          <w:color w:val="000000" w:themeColor="text1"/>
        </w:rPr>
        <w:t>cohort</w:t>
      </w:r>
      <w:proofErr w:type="spellEnd"/>
      <w:r w:rsidRPr="00DA2509">
        <w:rPr>
          <w:rFonts w:asciiTheme="minorHAnsi" w:hAnsiTheme="minorHAnsi"/>
          <w:color w:val="000000" w:themeColor="text1"/>
        </w:rPr>
        <w:t xml:space="preserve"> </w:t>
      </w:r>
      <w:proofErr w:type="spellStart"/>
      <w:r w:rsidRPr="00DA2509">
        <w:rPr>
          <w:rFonts w:asciiTheme="minorHAnsi" w:hAnsiTheme="minorHAnsi"/>
          <w:color w:val="000000" w:themeColor="text1"/>
        </w:rPr>
        <w:t>actors</w:t>
      </w:r>
      <w:proofErr w:type="spellEnd"/>
      <w:r w:rsidRPr="00DA2509">
        <w:rPr>
          <w:rFonts w:asciiTheme="minorHAnsi" w:hAnsiTheme="minorHAnsi"/>
          <w:color w:val="000000" w:themeColor="text1"/>
        </w:rPr>
        <w:t xml:space="preserve"> </w:t>
      </w:r>
      <w:proofErr w:type="spellStart"/>
      <w:r w:rsidRPr="00DA2509">
        <w:rPr>
          <w:rFonts w:asciiTheme="minorHAnsi" w:hAnsiTheme="minorHAnsi"/>
          <w:color w:val="000000" w:themeColor="text1"/>
        </w:rPr>
        <w:t>include</w:t>
      </w:r>
      <w:proofErr w:type="spellEnd"/>
      <w:r w:rsidRPr="00DA2509">
        <w:rPr>
          <w:rFonts w:asciiTheme="minorHAnsi" w:hAnsiTheme="minorHAnsi"/>
          <w:color w:val="000000" w:themeColor="text1"/>
        </w:rPr>
        <w:t>:</w:t>
      </w:r>
    </w:p>
    <w:p w:rsidR="00606B58" w:rsidRPr="00DA2509" w:rsidRDefault="00606B58" w:rsidP="00382623">
      <w:pPr>
        <w:pStyle w:val="Normal1"/>
        <w:spacing w:line="240" w:lineRule="auto"/>
        <w:jc w:val="both"/>
        <w:rPr>
          <w:rFonts w:asciiTheme="minorHAnsi" w:hAnsiTheme="minorHAnsi"/>
          <w:color w:val="000000" w:themeColor="text1"/>
          <w:sz w:val="24"/>
        </w:rPr>
      </w:pPr>
    </w:p>
    <w:p w:rsidR="00DF735E" w:rsidRDefault="00606B58" w:rsidP="00DC27A9">
      <w:pPr>
        <w:pStyle w:val="Normal1"/>
        <w:numPr>
          <w:ilvl w:val="0"/>
          <w:numId w:val="16"/>
        </w:numPr>
        <w:spacing w:line="240" w:lineRule="auto"/>
        <w:ind w:left="1080" w:hanging="360"/>
        <w:contextualSpacing/>
        <w:jc w:val="both"/>
        <w:rPr>
          <w:rFonts w:asciiTheme="minorHAnsi" w:hAnsiTheme="minorHAnsi"/>
          <w:color w:val="000000" w:themeColor="text1"/>
          <w:sz w:val="24"/>
        </w:rPr>
      </w:pPr>
      <w:r w:rsidRPr="00DA2509">
        <w:rPr>
          <w:rFonts w:asciiTheme="minorHAnsi" w:hAnsiTheme="minorHAnsi"/>
          <w:b/>
          <w:color w:val="000000" w:themeColor="text1"/>
          <w:sz w:val="24"/>
        </w:rPr>
        <w:t>Sponsor -</w:t>
      </w:r>
      <w:r w:rsidRPr="00DA2509">
        <w:rPr>
          <w:rFonts w:asciiTheme="minorHAnsi" w:hAnsiTheme="minorHAnsi"/>
          <w:color w:val="000000" w:themeColor="text1"/>
          <w:sz w:val="24"/>
        </w:rPr>
        <w:t xml:space="preserve"> </w:t>
      </w:r>
      <w:r w:rsidR="0076452E">
        <w:rPr>
          <w:rFonts w:asciiTheme="minorHAnsi" w:hAnsiTheme="minorHAnsi"/>
          <w:color w:val="000000" w:themeColor="text1"/>
          <w:sz w:val="24"/>
        </w:rPr>
        <w:t>T</w:t>
      </w:r>
      <w:r w:rsidRPr="00DA2509">
        <w:rPr>
          <w:rFonts w:asciiTheme="minorHAnsi" w:hAnsiTheme="minorHAnsi"/>
          <w:color w:val="000000" w:themeColor="text1"/>
          <w:sz w:val="24"/>
        </w:rPr>
        <w:t>he cohort sponsor(s)</w:t>
      </w:r>
      <w:r w:rsidR="00AF2165">
        <w:rPr>
          <w:rFonts w:asciiTheme="minorHAnsi" w:hAnsiTheme="minorHAnsi"/>
          <w:color w:val="000000" w:themeColor="text1"/>
          <w:sz w:val="24"/>
        </w:rPr>
        <w:t>, such as the MIF in this TC,</w:t>
      </w:r>
      <w:r w:rsidRPr="00DA2509">
        <w:rPr>
          <w:rFonts w:asciiTheme="minorHAnsi" w:hAnsiTheme="minorHAnsi"/>
          <w:color w:val="000000" w:themeColor="text1"/>
          <w:sz w:val="24"/>
        </w:rPr>
        <w:t xml:space="preserve"> provides financial resources to enable entrepreneurs to participate in the Agora Accelerator. </w:t>
      </w:r>
      <w:r w:rsidR="00FA5CA2">
        <w:rPr>
          <w:rFonts w:asciiTheme="minorHAnsi" w:hAnsiTheme="minorHAnsi"/>
          <w:color w:val="000000" w:themeColor="text1"/>
          <w:sz w:val="24"/>
        </w:rPr>
        <w:t xml:space="preserve">Agora will </w:t>
      </w:r>
      <w:r w:rsidRPr="00DA2509">
        <w:rPr>
          <w:rFonts w:asciiTheme="minorHAnsi" w:hAnsiTheme="minorHAnsi"/>
          <w:color w:val="000000" w:themeColor="text1"/>
          <w:sz w:val="24"/>
        </w:rPr>
        <w:t xml:space="preserve">partner with sponsors willing to make long-term commitments pending the success of the initial cohort. </w:t>
      </w:r>
    </w:p>
    <w:p w:rsidR="00AF2165" w:rsidRDefault="00AF2165" w:rsidP="00AF2165">
      <w:pPr>
        <w:pStyle w:val="Normal1"/>
        <w:spacing w:line="240" w:lineRule="auto"/>
        <w:ind w:left="1080"/>
        <w:contextualSpacing/>
        <w:jc w:val="both"/>
        <w:rPr>
          <w:rFonts w:asciiTheme="minorHAnsi" w:hAnsiTheme="minorHAnsi"/>
          <w:color w:val="000000" w:themeColor="text1"/>
          <w:sz w:val="24"/>
        </w:rPr>
      </w:pPr>
    </w:p>
    <w:p w:rsidR="00DF735E" w:rsidRDefault="00B864B4" w:rsidP="00DC27A9">
      <w:pPr>
        <w:pStyle w:val="Normal1"/>
        <w:spacing w:line="240" w:lineRule="auto"/>
        <w:ind w:left="1080" w:firstLine="1"/>
        <w:contextualSpacing/>
        <w:jc w:val="both"/>
        <w:rPr>
          <w:rFonts w:asciiTheme="minorHAnsi" w:hAnsiTheme="minorHAnsi"/>
          <w:color w:val="000000" w:themeColor="text1"/>
          <w:sz w:val="24"/>
        </w:rPr>
      </w:pPr>
      <w:r>
        <w:rPr>
          <w:rFonts w:asciiTheme="minorHAnsi" w:hAnsiTheme="minorHAnsi"/>
          <w:color w:val="000000" w:themeColor="text1"/>
          <w:sz w:val="24"/>
        </w:rPr>
        <w:t>The McNulty Foundation and 3</w:t>
      </w:r>
      <w:r w:rsidRPr="00B864B4">
        <w:rPr>
          <w:rFonts w:asciiTheme="minorHAnsi" w:hAnsiTheme="minorHAnsi"/>
          <w:color w:val="000000" w:themeColor="text1"/>
          <w:sz w:val="24"/>
          <w:vertAlign w:val="superscript"/>
        </w:rPr>
        <w:t>rd</w:t>
      </w:r>
      <w:r>
        <w:rPr>
          <w:rFonts w:asciiTheme="minorHAnsi" w:hAnsiTheme="minorHAnsi"/>
          <w:color w:val="000000" w:themeColor="text1"/>
          <w:sz w:val="24"/>
        </w:rPr>
        <w:t xml:space="preserve"> Creek Foundation acted as sponsors to the 2014 Agora Accelerator. The McNulty Foundation sponsored a cohort of three businesses founded by women entrepreneurs and 3</w:t>
      </w:r>
      <w:r w:rsidRPr="00B864B4">
        <w:rPr>
          <w:rFonts w:asciiTheme="minorHAnsi" w:hAnsiTheme="minorHAnsi"/>
          <w:color w:val="000000" w:themeColor="text1"/>
          <w:sz w:val="24"/>
          <w:vertAlign w:val="superscript"/>
        </w:rPr>
        <w:t>rd</w:t>
      </w:r>
      <w:r>
        <w:rPr>
          <w:rFonts w:asciiTheme="minorHAnsi" w:hAnsiTheme="minorHAnsi"/>
          <w:color w:val="000000" w:themeColor="text1"/>
          <w:sz w:val="24"/>
        </w:rPr>
        <w:t xml:space="preserve"> Creek Foundation sponsored an earlier-stage Nicaraguan </w:t>
      </w:r>
      <w:r w:rsidR="00DF735E">
        <w:rPr>
          <w:rFonts w:asciiTheme="minorHAnsi" w:hAnsiTheme="minorHAnsi"/>
          <w:color w:val="000000" w:themeColor="text1"/>
          <w:sz w:val="24"/>
        </w:rPr>
        <w:t>company</w:t>
      </w:r>
      <w:r>
        <w:rPr>
          <w:rFonts w:asciiTheme="minorHAnsi" w:hAnsiTheme="minorHAnsi"/>
          <w:color w:val="000000" w:themeColor="text1"/>
          <w:sz w:val="24"/>
        </w:rPr>
        <w:t xml:space="preserve"> to participate only in the Entrepreneur Retreat. Right after selecting the entrepreneurs to participate in</w:t>
      </w:r>
      <w:r w:rsidR="00DF735E">
        <w:rPr>
          <w:rFonts w:asciiTheme="minorHAnsi" w:hAnsiTheme="minorHAnsi"/>
          <w:color w:val="000000" w:themeColor="text1"/>
          <w:sz w:val="24"/>
        </w:rPr>
        <w:t xml:space="preserve"> t</w:t>
      </w:r>
      <w:r>
        <w:rPr>
          <w:rFonts w:asciiTheme="minorHAnsi" w:hAnsiTheme="minorHAnsi"/>
          <w:color w:val="000000" w:themeColor="text1"/>
          <w:sz w:val="24"/>
        </w:rPr>
        <w:t>h</w:t>
      </w:r>
      <w:r w:rsidR="00DF735E">
        <w:rPr>
          <w:rFonts w:asciiTheme="minorHAnsi" w:hAnsiTheme="minorHAnsi"/>
          <w:color w:val="000000" w:themeColor="text1"/>
          <w:sz w:val="24"/>
        </w:rPr>
        <w:t>e</w:t>
      </w:r>
      <w:r>
        <w:rPr>
          <w:rFonts w:asciiTheme="minorHAnsi" w:hAnsiTheme="minorHAnsi"/>
          <w:color w:val="000000" w:themeColor="text1"/>
          <w:sz w:val="24"/>
        </w:rPr>
        <w:t xml:space="preserve"> 2014 Accelerator, Agora presented each funder with all of the candidates that met their interests and criteria. Each Foundation then selected the companies they wished to fund to p</w:t>
      </w:r>
      <w:r w:rsidR="00DF735E">
        <w:rPr>
          <w:rFonts w:asciiTheme="minorHAnsi" w:hAnsiTheme="minorHAnsi"/>
          <w:color w:val="000000" w:themeColor="text1"/>
          <w:sz w:val="24"/>
        </w:rPr>
        <w:t xml:space="preserve">articipate in the </w:t>
      </w:r>
      <w:r w:rsidR="00DF735E" w:rsidRPr="00B92A41">
        <w:rPr>
          <w:rFonts w:asciiTheme="minorHAnsi" w:hAnsiTheme="minorHAnsi"/>
          <w:color w:val="000000" w:themeColor="text1"/>
          <w:sz w:val="24"/>
        </w:rPr>
        <w:t xml:space="preserve">Accelerator. The McNulty Foundation wished to provide additional support to the entrepreneurs in the women’s cohort and provided additional funding to Agora to develop women-focused curriculum and to provide extra visibility of the entrepreneurs (in the form of a media campaign titled “Accelerate Women Now”). </w:t>
      </w:r>
    </w:p>
    <w:p w:rsidR="00AF2165" w:rsidRPr="00B92A41" w:rsidRDefault="00AF2165" w:rsidP="00AF2165">
      <w:pPr>
        <w:pStyle w:val="Normal1"/>
        <w:spacing w:line="240" w:lineRule="auto"/>
        <w:contextualSpacing/>
        <w:jc w:val="both"/>
        <w:rPr>
          <w:rFonts w:asciiTheme="minorHAnsi" w:hAnsiTheme="minorHAnsi"/>
          <w:color w:val="000000" w:themeColor="text1"/>
          <w:sz w:val="24"/>
        </w:rPr>
      </w:pPr>
    </w:p>
    <w:p w:rsidR="00DF735E" w:rsidRDefault="00DF735E" w:rsidP="00DC27A9">
      <w:pPr>
        <w:pStyle w:val="Normal1"/>
        <w:spacing w:line="240" w:lineRule="auto"/>
        <w:ind w:left="1080" w:firstLine="1"/>
        <w:contextualSpacing/>
        <w:jc w:val="both"/>
        <w:rPr>
          <w:rFonts w:asciiTheme="minorHAnsi" w:hAnsiTheme="minorHAnsi"/>
          <w:color w:val="000000" w:themeColor="text1"/>
          <w:sz w:val="24"/>
        </w:rPr>
      </w:pPr>
      <w:r w:rsidRPr="00B92A41">
        <w:rPr>
          <w:rFonts w:asciiTheme="minorHAnsi" w:hAnsiTheme="minorHAnsi"/>
          <w:color w:val="000000" w:themeColor="text1"/>
          <w:sz w:val="24"/>
        </w:rPr>
        <w:t xml:space="preserve">One of the current sponsors for the class of 2015 is the UN Foundation who will be sponsoring a cohort focused on clean </w:t>
      </w:r>
      <w:proofErr w:type="spellStart"/>
      <w:r w:rsidRPr="00B92A41">
        <w:rPr>
          <w:rFonts w:asciiTheme="minorHAnsi" w:hAnsiTheme="minorHAnsi"/>
          <w:color w:val="000000" w:themeColor="text1"/>
          <w:sz w:val="24"/>
        </w:rPr>
        <w:t>cookstoves</w:t>
      </w:r>
      <w:proofErr w:type="spellEnd"/>
      <w:r w:rsidR="00B92A41" w:rsidRPr="00B92A41">
        <w:rPr>
          <w:rFonts w:asciiTheme="minorHAnsi" w:hAnsiTheme="minorHAnsi"/>
          <w:color w:val="000000" w:themeColor="text1"/>
          <w:sz w:val="24"/>
        </w:rPr>
        <w:t xml:space="preserve"> (both physical stoves and biofuels)</w:t>
      </w:r>
      <w:r w:rsidRPr="00B92A41">
        <w:rPr>
          <w:rFonts w:asciiTheme="minorHAnsi" w:hAnsiTheme="minorHAnsi"/>
          <w:color w:val="000000" w:themeColor="text1"/>
          <w:sz w:val="24"/>
        </w:rPr>
        <w:t xml:space="preserve"> in the Andean region. The UN Foundation will be recruiting the companies and presenting Ago</w:t>
      </w:r>
      <w:r w:rsidR="0053164B" w:rsidRPr="00B92A41">
        <w:rPr>
          <w:rFonts w:asciiTheme="minorHAnsi" w:hAnsiTheme="minorHAnsi"/>
          <w:color w:val="000000" w:themeColor="text1"/>
          <w:sz w:val="24"/>
        </w:rPr>
        <w:t>ra with 10 options from which Agora will</w:t>
      </w:r>
      <w:r w:rsidR="00B92A41" w:rsidRPr="00B92A41">
        <w:rPr>
          <w:rFonts w:asciiTheme="minorHAnsi" w:hAnsiTheme="minorHAnsi"/>
          <w:color w:val="000000" w:themeColor="text1"/>
          <w:sz w:val="24"/>
        </w:rPr>
        <w:t xml:space="preserve"> select 4</w:t>
      </w:r>
      <w:r w:rsidRPr="00B92A41">
        <w:rPr>
          <w:rFonts w:asciiTheme="minorHAnsi" w:hAnsiTheme="minorHAnsi"/>
          <w:color w:val="000000" w:themeColor="text1"/>
          <w:sz w:val="24"/>
        </w:rPr>
        <w:t xml:space="preserve">. Agora will also be working with the UN Foundation to develop special curriculum for the members of this cohort. </w:t>
      </w:r>
    </w:p>
    <w:p w:rsidR="00AF2165" w:rsidRPr="00B92A41" w:rsidRDefault="00AF2165" w:rsidP="00DC27A9">
      <w:pPr>
        <w:pStyle w:val="Normal1"/>
        <w:spacing w:line="240" w:lineRule="auto"/>
        <w:ind w:left="1080" w:firstLine="1"/>
        <w:contextualSpacing/>
        <w:jc w:val="both"/>
        <w:rPr>
          <w:rFonts w:asciiTheme="minorHAnsi" w:hAnsiTheme="minorHAnsi"/>
          <w:color w:val="000000" w:themeColor="text1"/>
          <w:sz w:val="24"/>
        </w:rPr>
      </w:pPr>
    </w:p>
    <w:p w:rsidR="00606B58" w:rsidRDefault="00DF735E" w:rsidP="00DC27A9">
      <w:pPr>
        <w:pStyle w:val="Normal1"/>
        <w:spacing w:line="240" w:lineRule="auto"/>
        <w:ind w:left="1080" w:firstLine="1"/>
        <w:contextualSpacing/>
        <w:jc w:val="both"/>
        <w:rPr>
          <w:rFonts w:asciiTheme="minorHAnsi" w:hAnsiTheme="minorHAnsi"/>
          <w:color w:val="000000" w:themeColor="text1"/>
          <w:sz w:val="24"/>
        </w:rPr>
      </w:pPr>
      <w:r w:rsidRPr="00B92A41">
        <w:rPr>
          <w:rFonts w:asciiTheme="minorHAnsi" w:hAnsiTheme="minorHAnsi"/>
          <w:color w:val="000000" w:themeColor="text1"/>
          <w:sz w:val="24"/>
        </w:rPr>
        <w:t xml:space="preserve">Agora provides financial accountability and documented results to all funders. The financial support from </w:t>
      </w:r>
      <w:r w:rsidR="0056573D">
        <w:rPr>
          <w:rFonts w:asciiTheme="minorHAnsi" w:hAnsiTheme="minorHAnsi"/>
          <w:color w:val="000000" w:themeColor="text1"/>
          <w:sz w:val="24"/>
        </w:rPr>
        <w:t>funders enables Agora to carry out its work, but it</w:t>
      </w:r>
      <w:r w:rsidRPr="00B92A41">
        <w:rPr>
          <w:rFonts w:asciiTheme="minorHAnsi" w:hAnsiTheme="minorHAnsi"/>
          <w:color w:val="000000" w:themeColor="text1"/>
          <w:sz w:val="24"/>
        </w:rPr>
        <w:t xml:space="preserve"> really see</w:t>
      </w:r>
      <w:r w:rsidR="0056573D">
        <w:rPr>
          <w:rFonts w:asciiTheme="minorHAnsi" w:hAnsiTheme="minorHAnsi"/>
          <w:color w:val="000000" w:themeColor="text1"/>
          <w:sz w:val="24"/>
        </w:rPr>
        <w:t>s</w:t>
      </w:r>
      <w:r w:rsidRPr="00B92A41">
        <w:rPr>
          <w:rFonts w:asciiTheme="minorHAnsi" w:hAnsiTheme="minorHAnsi"/>
          <w:color w:val="000000" w:themeColor="text1"/>
          <w:sz w:val="24"/>
        </w:rPr>
        <w:t xml:space="preserve"> th</w:t>
      </w:r>
      <w:r w:rsidR="0056573D">
        <w:rPr>
          <w:rFonts w:asciiTheme="minorHAnsi" w:hAnsiTheme="minorHAnsi"/>
          <w:color w:val="000000" w:themeColor="text1"/>
          <w:sz w:val="24"/>
        </w:rPr>
        <w:t>ese funders more as partners. Agora</w:t>
      </w:r>
      <w:r w:rsidRPr="00B92A41">
        <w:rPr>
          <w:rFonts w:asciiTheme="minorHAnsi" w:hAnsiTheme="minorHAnsi"/>
          <w:color w:val="000000" w:themeColor="text1"/>
          <w:sz w:val="24"/>
        </w:rPr>
        <w:t xml:space="preserve"> recognize</w:t>
      </w:r>
      <w:r w:rsidR="0056573D">
        <w:rPr>
          <w:rFonts w:asciiTheme="minorHAnsi" w:hAnsiTheme="minorHAnsi"/>
          <w:color w:val="000000" w:themeColor="text1"/>
          <w:sz w:val="24"/>
        </w:rPr>
        <w:t>s</w:t>
      </w:r>
      <w:r w:rsidRPr="00B92A41">
        <w:rPr>
          <w:rFonts w:asciiTheme="minorHAnsi" w:hAnsiTheme="minorHAnsi"/>
          <w:color w:val="000000" w:themeColor="text1"/>
          <w:sz w:val="24"/>
        </w:rPr>
        <w:t xml:space="preserve"> that each funder bring</w:t>
      </w:r>
      <w:r w:rsidR="00B92A41">
        <w:rPr>
          <w:rFonts w:asciiTheme="minorHAnsi" w:hAnsiTheme="minorHAnsi"/>
          <w:color w:val="000000" w:themeColor="text1"/>
          <w:sz w:val="24"/>
        </w:rPr>
        <w:t>s</w:t>
      </w:r>
      <w:r w:rsidRPr="00B92A41">
        <w:rPr>
          <w:rFonts w:asciiTheme="minorHAnsi" w:hAnsiTheme="minorHAnsi"/>
          <w:color w:val="000000" w:themeColor="text1"/>
          <w:sz w:val="24"/>
        </w:rPr>
        <w:t xml:space="preserve"> a certa</w:t>
      </w:r>
      <w:r w:rsidR="0056573D">
        <w:rPr>
          <w:rFonts w:asciiTheme="minorHAnsi" w:hAnsiTheme="minorHAnsi"/>
          <w:color w:val="000000" w:themeColor="text1"/>
          <w:sz w:val="24"/>
        </w:rPr>
        <w:t>in expertise to the table and it</w:t>
      </w:r>
      <w:r w:rsidRPr="00B92A41">
        <w:rPr>
          <w:rFonts w:asciiTheme="minorHAnsi" w:hAnsiTheme="minorHAnsi"/>
          <w:color w:val="000000" w:themeColor="text1"/>
          <w:sz w:val="24"/>
        </w:rPr>
        <w:t xml:space="preserve"> aim</w:t>
      </w:r>
      <w:r w:rsidR="0056573D">
        <w:rPr>
          <w:rFonts w:asciiTheme="minorHAnsi" w:hAnsiTheme="minorHAnsi"/>
          <w:color w:val="000000" w:themeColor="text1"/>
          <w:sz w:val="24"/>
        </w:rPr>
        <w:t>s</w:t>
      </w:r>
      <w:r w:rsidRPr="00B92A41">
        <w:rPr>
          <w:rFonts w:asciiTheme="minorHAnsi" w:hAnsiTheme="minorHAnsi"/>
          <w:color w:val="000000" w:themeColor="text1"/>
          <w:sz w:val="24"/>
        </w:rPr>
        <w:t xml:space="preserve"> to utilize that as much as possible</w:t>
      </w:r>
      <w:r w:rsidR="0056573D">
        <w:rPr>
          <w:rFonts w:asciiTheme="minorHAnsi" w:hAnsiTheme="minorHAnsi"/>
          <w:color w:val="000000" w:themeColor="text1"/>
          <w:sz w:val="24"/>
        </w:rPr>
        <w:t xml:space="preserve"> in order to</w:t>
      </w:r>
      <w:r w:rsidRPr="00B92A41">
        <w:rPr>
          <w:rFonts w:asciiTheme="minorHAnsi" w:hAnsiTheme="minorHAnsi"/>
          <w:color w:val="000000" w:themeColor="text1"/>
          <w:sz w:val="24"/>
        </w:rPr>
        <w:t xml:space="preserve"> enhance</w:t>
      </w:r>
      <w:r w:rsidR="0056573D">
        <w:rPr>
          <w:rFonts w:asciiTheme="minorHAnsi" w:hAnsiTheme="minorHAnsi"/>
          <w:color w:val="000000" w:themeColor="text1"/>
          <w:sz w:val="24"/>
        </w:rPr>
        <w:t xml:space="preserve"> its</w:t>
      </w:r>
      <w:r w:rsidRPr="00B92A41">
        <w:rPr>
          <w:rFonts w:asciiTheme="minorHAnsi" w:hAnsiTheme="minorHAnsi"/>
          <w:color w:val="000000" w:themeColor="text1"/>
          <w:sz w:val="24"/>
        </w:rPr>
        <w:t xml:space="preserve"> own expertise.</w:t>
      </w:r>
      <w:r>
        <w:rPr>
          <w:rFonts w:asciiTheme="minorHAnsi" w:hAnsiTheme="minorHAnsi"/>
          <w:color w:val="000000" w:themeColor="text1"/>
          <w:sz w:val="24"/>
        </w:rPr>
        <w:t xml:space="preserve"> </w:t>
      </w:r>
    </w:p>
    <w:p w:rsidR="00DC27A9" w:rsidRPr="00DA2509" w:rsidRDefault="00DC27A9" w:rsidP="00DC27A9">
      <w:pPr>
        <w:pStyle w:val="Normal1"/>
        <w:spacing w:line="240" w:lineRule="auto"/>
        <w:ind w:left="1080" w:firstLine="1"/>
        <w:contextualSpacing/>
        <w:jc w:val="both"/>
        <w:rPr>
          <w:rFonts w:asciiTheme="minorHAnsi" w:hAnsiTheme="minorHAnsi"/>
          <w:color w:val="000000" w:themeColor="text1"/>
          <w:sz w:val="24"/>
        </w:rPr>
      </w:pPr>
    </w:p>
    <w:p w:rsidR="00606B58" w:rsidRDefault="00606B58" w:rsidP="00DC27A9">
      <w:pPr>
        <w:pStyle w:val="Normal1"/>
        <w:numPr>
          <w:ilvl w:val="0"/>
          <w:numId w:val="16"/>
        </w:numPr>
        <w:spacing w:line="240" w:lineRule="auto"/>
        <w:ind w:left="1080" w:hanging="360"/>
        <w:contextualSpacing/>
        <w:jc w:val="both"/>
        <w:rPr>
          <w:rFonts w:asciiTheme="minorHAnsi" w:hAnsiTheme="minorHAnsi"/>
          <w:color w:val="000000" w:themeColor="text1"/>
          <w:sz w:val="24"/>
        </w:rPr>
      </w:pPr>
      <w:r w:rsidRPr="00DA2509">
        <w:rPr>
          <w:rFonts w:asciiTheme="minorHAnsi" w:hAnsiTheme="minorHAnsi"/>
          <w:b/>
          <w:color w:val="000000" w:themeColor="text1"/>
          <w:sz w:val="24"/>
        </w:rPr>
        <w:t xml:space="preserve">Expert Partners - </w:t>
      </w:r>
      <w:r w:rsidR="0076452E">
        <w:rPr>
          <w:rFonts w:asciiTheme="minorHAnsi" w:hAnsiTheme="minorHAnsi"/>
          <w:color w:val="000000" w:themeColor="text1"/>
          <w:sz w:val="24"/>
        </w:rPr>
        <w:t>W</w:t>
      </w:r>
      <w:r w:rsidRPr="00DA2509">
        <w:rPr>
          <w:rFonts w:asciiTheme="minorHAnsi" w:hAnsiTheme="minorHAnsi"/>
          <w:color w:val="000000" w:themeColor="text1"/>
          <w:sz w:val="24"/>
        </w:rPr>
        <w:t xml:space="preserve">hether it be an association, a university, or a group of individuals, each cohort has expert partners that provide advice, connections, and technical knowledge when needed. </w:t>
      </w:r>
      <w:r w:rsidR="00FA5CA2">
        <w:rPr>
          <w:rFonts w:asciiTheme="minorHAnsi" w:hAnsiTheme="minorHAnsi"/>
          <w:color w:val="000000" w:themeColor="text1"/>
          <w:sz w:val="24"/>
        </w:rPr>
        <w:t>Agora works to</w:t>
      </w:r>
      <w:r w:rsidRPr="00DA2509">
        <w:rPr>
          <w:rFonts w:asciiTheme="minorHAnsi" w:hAnsiTheme="minorHAnsi"/>
          <w:color w:val="000000" w:themeColor="text1"/>
          <w:sz w:val="24"/>
        </w:rPr>
        <w:t xml:space="preserve"> understand the context of a given challenge within its larger system. </w:t>
      </w:r>
      <w:r w:rsidR="00FA5CA2">
        <w:rPr>
          <w:rFonts w:asciiTheme="minorHAnsi" w:hAnsiTheme="minorHAnsi"/>
          <w:color w:val="000000" w:themeColor="text1"/>
          <w:sz w:val="24"/>
        </w:rPr>
        <w:t>It</w:t>
      </w:r>
      <w:r w:rsidR="006A78EE">
        <w:rPr>
          <w:rFonts w:asciiTheme="minorHAnsi" w:hAnsiTheme="minorHAnsi"/>
          <w:color w:val="000000" w:themeColor="text1"/>
          <w:sz w:val="24"/>
        </w:rPr>
        <w:t xml:space="preserve"> </w:t>
      </w:r>
      <w:r w:rsidRPr="00DA2509">
        <w:rPr>
          <w:rFonts w:asciiTheme="minorHAnsi" w:hAnsiTheme="minorHAnsi"/>
          <w:color w:val="000000" w:themeColor="text1"/>
          <w:sz w:val="24"/>
        </w:rPr>
        <w:t>partner</w:t>
      </w:r>
      <w:r w:rsidR="006A78EE">
        <w:rPr>
          <w:rFonts w:asciiTheme="minorHAnsi" w:hAnsiTheme="minorHAnsi"/>
          <w:color w:val="000000" w:themeColor="text1"/>
          <w:sz w:val="24"/>
        </w:rPr>
        <w:t>s</w:t>
      </w:r>
      <w:r w:rsidRPr="00DA2509">
        <w:rPr>
          <w:rFonts w:asciiTheme="minorHAnsi" w:hAnsiTheme="minorHAnsi"/>
          <w:color w:val="000000" w:themeColor="text1"/>
          <w:sz w:val="24"/>
        </w:rPr>
        <w:t xml:space="preserve"> with expert institutions that have identified the levers and channels within these systems that present the best opportunities for change. By working with people who truly understand the problem, </w:t>
      </w:r>
      <w:r w:rsidR="006A78EE">
        <w:rPr>
          <w:rFonts w:asciiTheme="minorHAnsi" w:hAnsiTheme="minorHAnsi"/>
          <w:color w:val="000000" w:themeColor="text1"/>
          <w:sz w:val="24"/>
        </w:rPr>
        <w:t>Agora</w:t>
      </w:r>
      <w:r w:rsidRPr="00DA2509">
        <w:rPr>
          <w:rFonts w:asciiTheme="minorHAnsi" w:hAnsiTheme="minorHAnsi"/>
          <w:color w:val="000000" w:themeColor="text1"/>
          <w:sz w:val="24"/>
        </w:rPr>
        <w:t xml:space="preserve"> ensure</w:t>
      </w:r>
      <w:r w:rsidR="00370A3F">
        <w:rPr>
          <w:rFonts w:asciiTheme="minorHAnsi" w:hAnsiTheme="minorHAnsi"/>
          <w:color w:val="000000" w:themeColor="text1"/>
          <w:sz w:val="24"/>
        </w:rPr>
        <w:t>s</w:t>
      </w:r>
      <w:r w:rsidRPr="00DA2509">
        <w:rPr>
          <w:rFonts w:asciiTheme="minorHAnsi" w:hAnsiTheme="minorHAnsi"/>
          <w:color w:val="000000" w:themeColor="text1"/>
          <w:sz w:val="24"/>
        </w:rPr>
        <w:t xml:space="preserve"> that the best solutions are selected and supported. </w:t>
      </w:r>
    </w:p>
    <w:p w:rsidR="00DC27A9" w:rsidRPr="00DA2509" w:rsidRDefault="00DC27A9" w:rsidP="00DC27A9">
      <w:pPr>
        <w:pStyle w:val="Normal1"/>
        <w:spacing w:line="240" w:lineRule="auto"/>
        <w:ind w:left="1080"/>
        <w:contextualSpacing/>
        <w:jc w:val="both"/>
        <w:rPr>
          <w:rFonts w:asciiTheme="minorHAnsi" w:hAnsiTheme="minorHAnsi"/>
          <w:color w:val="000000" w:themeColor="text1"/>
          <w:sz w:val="24"/>
        </w:rPr>
      </w:pPr>
    </w:p>
    <w:p w:rsidR="00126132" w:rsidRPr="00126132" w:rsidRDefault="00606B58" w:rsidP="00126132">
      <w:pPr>
        <w:pStyle w:val="Normal1"/>
        <w:numPr>
          <w:ilvl w:val="0"/>
          <w:numId w:val="16"/>
        </w:numPr>
        <w:spacing w:line="240" w:lineRule="auto"/>
        <w:ind w:left="1080" w:hanging="360"/>
        <w:contextualSpacing/>
        <w:jc w:val="both"/>
        <w:rPr>
          <w:rFonts w:asciiTheme="minorHAnsi" w:hAnsiTheme="minorHAnsi"/>
          <w:color w:val="000000" w:themeColor="text1"/>
          <w:sz w:val="24"/>
        </w:rPr>
      </w:pPr>
      <w:r w:rsidRPr="00DA2509">
        <w:rPr>
          <w:rFonts w:asciiTheme="minorHAnsi" w:hAnsiTheme="minorHAnsi"/>
          <w:b/>
          <w:color w:val="000000" w:themeColor="text1"/>
          <w:sz w:val="24"/>
        </w:rPr>
        <w:t>Agora Investor Network</w:t>
      </w:r>
      <w:r w:rsidRPr="00DA2509">
        <w:rPr>
          <w:rFonts w:asciiTheme="minorHAnsi" w:hAnsiTheme="minorHAnsi"/>
          <w:color w:val="000000" w:themeColor="text1"/>
          <w:sz w:val="24"/>
        </w:rPr>
        <w:t xml:space="preserve"> - Agora’s investor network is comprised of 140 organizations and individuals interested in investing in companies creating measurable impact. Once Agora determines a cohort theme, </w:t>
      </w:r>
      <w:r w:rsidR="006A78EE">
        <w:rPr>
          <w:rFonts w:asciiTheme="minorHAnsi" w:hAnsiTheme="minorHAnsi"/>
          <w:color w:val="000000" w:themeColor="text1"/>
          <w:sz w:val="24"/>
        </w:rPr>
        <w:t>it</w:t>
      </w:r>
      <w:r w:rsidRPr="00DA2509">
        <w:rPr>
          <w:rFonts w:asciiTheme="minorHAnsi" w:hAnsiTheme="minorHAnsi"/>
          <w:color w:val="000000" w:themeColor="text1"/>
          <w:sz w:val="24"/>
        </w:rPr>
        <w:t xml:space="preserve"> reference</w:t>
      </w:r>
      <w:r w:rsidR="006A78EE">
        <w:rPr>
          <w:rFonts w:asciiTheme="minorHAnsi" w:hAnsiTheme="minorHAnsi"/>
          <w:color w:val="000000" w:themeColor="text1"/>
          <w:sz w:val="24"/>
        </w:rPr>
        <w:t>s its</w:t>
      </w:r>
      <w:r w:rsidRPr="00DA2509">
        <w:rPr>
          <w:rFonts w:asciiTheme="minorHAnsi" w:hAnsiTheme="minorHAnsi"/>
          <w:color w:val="000000" w:themeColor="text1"/>
          <w:sz w:val="24"/>
        </w:rPr>
        <w:t xml:space="preserve"> </w:t>
      </w:r>
      <w:r w:rsidRPr="00DA2509">
        <w:rPr>
          <w:rFonts w:asciiTheme="minorHAnsi" w:hAnsiTheme="minorHAnsi"/>
          <w:color w:val="000000" w:themeColor="text1"/>
          <w:sz w:val="24"/>
        </w:rPr>
        <w:lastRenderedPageBreak/>
        <w:t>investor network to make sure it is compatible and holds sufficient investment potential. If not,</w:t>
      </w:r>
      <w:r w:rsidR="00FA5CA2">
        <w:rPr>
          <w:rFonts w:asciiTheme="minorHAnsi" w:hAnsiTheme="minorHAnsi"/>
          <w:color w:val="000000" w:themeColor="text1"/>
          <w:sz w:val="24"/>
        </w:rPr>
        <w:t xml:space="preserve"> Agora</w:t>
      </w:r>
      <w:r w:rsidRPr="00DA2509">
        <w:rPr>
          <w:rFonts w:asciiTheme="minorHAnsi" w:hAnsiTheme="minorHAnsi"/>
          <w:color w:val="000000" w:themeColor="text1"/>
          <w:sz w:val="24"/>
        </w:rPr>
        <w:t xml:space="preserve"> build</w:t>
      </w:r>
      <w:r w:rsidR="006A78EE">
        <w:rPr>
          <w:rFonts w:asciiTheme="minorHAnsi" w:hAnsiTheme="minorHAnsi"/>
          <w:color w:val="000000" w:themeColor="text1"/>
          <w:sz w:val="24"/>
        </w:rPr>
        <w:t>s</w:t>
      </w:r>
      <w:r w:rsidRPr="00DA2509">
        <w:rPr>
          <w:rFonts w:asciiTheme="minorHAnsi" w:hAnsiTheme="minorHAnsi"/>
          <w:color w:val="000000" w:themeColor="text1"/>
          <w:sz w:val="24"/>
        </w:rPr>
        <w:t xml:space="preserve"> relationships with new investors in parallel to recruiting entrepreneurs in order to make sure all parties are receiving optimal value. </w:t>
      </w:r>
      <w:r w:rsidR="00D80C29" w:rsidRPr="00DA2509">
        <w:rPr>
          <w:rFonts w:asciiTheme="minorHAnsi" w:hAnsiTheme="minorHAnsi"/>
          <w:color w:val="000000" w:themeColor="text1"/>
          <w:sz w:val="24"/>
        </w:rPr>
        <w:t xml:space="preserve">The </w:t>
      </w:r>
      <w:r w:rsidR="00FA5CA2">
        <w:rPr>
          <w:rFonts w:asciiTheme="minorHAnsi" w:hAnsiTheme="minorHAnsi"/>
          <w:color w:val="000000" w:themeColor="text1"/>
          <w:sz w:val="24"/>
        </w:rPr>
        <w:t>MIF support</w:t>
      </w:r>
      <w:r w:rsidR="006A78EE">
        <w:rPr>
          <w:rFonts w:asciiTheme="minorHAnsi" w:hAnsiTheme="minorHAnsi"/>
          <w:color w:val="000000" w:themeColor="text1"/>
          <w:sz w:val="24"/>
        </w:rPr>
        <w:t xml:space="preserve"> </w:t>
      </w:r>
      <w:r w:rsidR="00D80C29" w:rsidRPr="00DA2509">
        <w:rPr>
          <w:rFonts w:asciiTheme="minorHAnsi" w:hAnsiTheme="minorHAnsi"/>
          <w:color w:val="000000" w:themeColor="text1"/>
          <w:sz w:val="24"/>
        </w:rPr>
        <w:t xml:space="preserve">will allow </w:t>
      </w:r>
      <w:r w:rsidR="00FA5CA2">
        <w:rPr>
          <w:rFonts w:asciiTheme="minorHAnsi" w:hAnsiTheme="minorHAnsi"/>
          <w:color w:val="000000" w:themeColor="text1"/>
          <w:sz w:val="24"/>
        </w:rPr>
        <w:t>Agora</w:t>
      </w:r>
      <w:r w:rsidR="00D80C29" w:rsidRPr="00DA2509">
        <w:rPr>
          <w:rFonts w:asciiTheme="minorHAnsi" w:hAnsiTheme="minorHAnsi"/>
          <w:color w:val="000000" w:themeColor="text1"/>
          <w:sz w:val="24"/>
        </w:rPr>
        <w:t xml:space="preserve"> t</w:t>
      </w:r>
      <w:r w:rsidR="0056573D">
        <w:rPr>
          <w:rFonts w:asciiTheme="minorHAnsi" w:hAnsiTheme="minorHAnsi"/>
          <w:color w:val="000000" w:themeColor="text1"/>
          <w:sz w:val="24"/>
        </w:rPr>
        <w:t>o recruit new investors into its</w:t>
      </w:r>
      <w:r w:rsidR="00D80C29" w:rsidRPr="00DA2509">
        <w:rPr>
          <w:rFonts w:asciiTheme="minorHAnsi" w:hAnsiTheme="minorHAnsi"/>
          <w:color w:val="000000" w:themeColor="text1"/>
          <w:sz w:val="24"/>
        </w:rPr>
        <w:t xml:space="preserve"> network with a specific focus on access to basic services.</w:t>
      </w:r>
    </w:p>
    <w:p w:rsidR="00126132" w:rsidRPr="00AB105D" w:rsidRDefault="00126132" w:rsidP="00863F6D">
      <w:pPr>
        <w:pStyle w:val="Normal1"/>
        <w:tabs>
          <w:tab w:val="left" w:pos="5940"/>
        </w:tabs>
        <w:spacing w:line="240" w:lineRule="auto"/>
        <w:ind w:left="1080"/>
        <w:contextualSpacing/>
        <w:jc w:val="both"/>
        <w:rPr>
          <w:rFonts w:asciiTheme="minorHAnsi" w:hAnsiTheme="minorHAnsi"/>
          <w:color w:val="000000" w:themeColor="text1"/>
          <w:sz w:val="24"/>
        </w:rPr>
      </w:pPr>
    </w:p>
    <w:p w:rsidR="00606B58" w:rsidRPr="00DA2509" w:rsidRDefault="00606B58" w:rsidP="00DC27A9">
      <w:pPr>
        <w:pStyle w:val="Normal1"/>
        <w:numPr>
          <w:ilvl w:val="0"/>
          <w:numId w:val="16"/>
        </w:numPr>
        <w:tabs>
          <w:tab w:val="left" w:pos="5940"/>
        </w:tabs>
        <w:spacing w:line="240" w:lineRule="auto"/>
        <w:ind w:left="1080" w:hanging="360"/>
        <w:contextualSpacing/>
        <w:jc w:val="both"/>
        <w:rPr>
          <w:rFonts w:asciiTheme="minorHAnsi" w:hAnsiTheme="minorHAnsi"/>
          <w:color w:val="000000" w:themeColor="text1"/>
          <w:sz w:val="24"/>
        </w:rPr>
      </w:pPr>
      <w:r w:rsidRPr="00DA2509">
        <w:rPr>
          <w:rFonts w:asciiTheme="minorHAnsi" w:hAnsiTheme="minorHAnsi"/>
          <w:b/>
          <w:color w:val="000000" w:themeColor="text1"/>
          <w:sz w:val="24"/>
        </w:rPr>
        <w:t>Cohort Mentor Network</w:t>
      </w:r>
      <w:r w:rsidRPr="00DA2509">
        <w:rPr>
          <w:rFonts w:asciiTheme="minorHAnsi" w:hAnsiTheme="minorHAnsi"/>
          <w:color w:val="000000" w:themeColor="text1"/>
          <w:sz w:val="24"/>
        </w:rPr>
        <w:t xml:space="preserve"> - A select group of mentors, local and global, will work to help the cohort succeed as a whole. These mentors are specifically chosen after the selection of the companies in order to provide the best service possible to the entrepreneurs. This network is comprised of business leaders, industry professionals, and government officials who hold the practical connections and knowledge necessary to advance the cause of both the individual entrepreneurs and the cohort at large.</w:t>
      </w:r>
      <w:r w:rsidR="00DB0483">
        <w:rPr>
          <w:rFonts w:asciiTheme="minorHAnsi" w:hAnsiTheme="minorHAnsi"/>
          <w:color w:val="000000" w:themeColor="text1"/>
          <w:sz w:val="24"/>
        </w:rPr>
        <w:t xml:space="preserve"> Agora is currently a </w:t>
      </w:r>
      <w:proofErr w:type="spellStart"/>
      <w:r w:rsidR="00DB0483">
        <w:rPr>
          <w:rFonts w:asciiTheme="minorHAnsi" w:hAnsiTheme="minorHAnsi"/>
          <w:color w:val="000000" w:themeColor="text1"/>
          <w:sz w:val="24"/>
        </w:rPr>
        <w:t>Gerson</w:t>
      </w:r>
      <w:proofErr w:type="spellEnd"/>
      <w:r w:rsidR="00DB0483">
        <w:rPr>
          <w:rFonts w:asciiTheme="minorHAnsi" w:hAnsiTheme="minorHAnsi"/>
          <w:color w:val="000000" w:themeColor="text1"/>
          <w:sz w:val="24"/>
        </w:rPr>
        <w:t xml:space="preserve"> </w:t>
      </w:r>
      <w:proofErr w:type="spellStart"/>
      <w:r w:rsidR="00DB0483">
        <w:rPr>
          <w:rFonts w:asciiTheme="minorHAnsi" w:hAnsiTheme="minorHAnsi"/>
          <w:color w:val="000000" w:themeColor="text1"/>
          <w:sz w:val="24"/>
        </w:rPr>
        <w:t>Lehrman</w:t>
      </w:r>
      <w:proofErr w:type="spellEnd"/>
      <w:r w:rsidR="00DB0483">
        <w:rPr>
          <w:rFonts w:asciiTheme="minorHAnsi" w:hAnsiTheme="minorHAnsi"/>
          <w:color w:val="000000" w:themeColor="text1"/>
          <w:sz w:val="24"/>
        </w:rPr>
        <w:t xml:space="preserve"> Group (GLG) fellow, allowing the organization unlimited access to hundreds of thousands of the top experts around the world</w:t>
      </w:r>
      <w:r w:rsidR="00DB0483">
        <w:rPr>
          <w:rStyle w:val="FootnoteReference"/>
          <w:rFonts w:asciiTheme="minorHAnsi" w:hAnsiTheme="minorHAnsi"/>
          <w:color w:val="000000" w:themeColor="text1"/>
          <w:sz w:val="24"/>
        </w:rPr>
        <w:footnoteReference w:id="28"/>
      </w:r>
      <w:r w:rsidR="00DB0483">
        <w:rPr>
          <w:rFonts w:asciiTheme="minorHAnsi" w:hAnsiTheme="minorHAnsi"/>
          <w:color w:val="000000" w:themeColor="text1"/>
          <w:sz w:val="24"/>
        </w:rPr>
        <w:t>. In addition, Agora partnered with the Mentor Capital Network to provide companies in the 2014 Agora Accelerator</w:t>
      </w:r>
      <w:r w:rsidR="00334D99">
        <w:rPr>
          <w:rFonts w:asciiTheme="minorHAnsi" w:hAnsiTheme="minorHAnsi"/>
          <w:color w:val="000000" w:themeColor="text1"/>
          <w:sz w:val="24"/>
        </w:rPr>
        <w:t xml:space="preserve"> with access to chosen mentors within the Mentor Capital Network</w:t>
      </w:r>
      <w:r w:rsidR="00DB0483">
        <w:rPr>
          <w:rFonts w:asciiTheme="minorHAnsi" w:hAnsiTheme="minorHAnsi"/>
          <w:color w:val="000000" w:themeColor="text1"/>
          <w:sz w:val="24"/>
        </w:rPr>
        <w:t>.</w:t>
      </w:r>
      <w:r w:rsidR="00DB0483">
        <w:rPr>
          <w:rStyle w:val="FootnoteReference"/>
          <w:rFonts w:asciiTheme="minorHAnsi" w:hAnsiTheme="minorHAnsi"/>
          <w:color w:val="000000" w:themeColor="text1"/>
          <w:sz w:val="24"/>
        </w:rPr>
        <w:footnoteReference w:id="29"/>
      </w:r>
    </w:p>
    <w:p w:rsidR="00606B58" w:rsidRPr="00DA2509" w:rsidRDefault="00606B58" w:rsidP="00382623">
      <w:pPr>
        <w:pStyle w:val="Normal1"/>
        <w:spacing w:line="240" w:lineRule="auto"/>
        <w:jc w:val="both"/>
        <w:rPr>
          <w:rFonts w:asciiTheme="minorHAnsi" w:hAnsiTheme="minorHAnsi"/>
          <w:color w:val="000000" w:themeColor="text1"/>
          <w:sz w:val="24"/>
        </w:rPr>
      </w:pPr>
    </w:p>
    <w:p w:rsidR="00F66733" w:rsidRPr="00CB2768" w:rsidRDefault="00606B58" w:rsidP="00DC27A9">
      <w:pPr>
        <w:pStyle w:val="Paragraph"/>
        <w:numPr>
          <w:ilvl w:val="1"/>
          <w:numId w:val="1"/>
        </w:numPr>
        <w:ind w:hanging="702"/>
        <w:rPr>
          <w:rFonts w:asciiTheme="minorHAnsi" w:hAnsiTheme="minorHAnsi"/>
          <w:color w:val="000000" w:themeColor="text1"/>
          <w:lang w:val="en-US"/>
        </w:rPr>
      </w:pPr>
      <w:r w:rsidRPr="00CB2768">
        <w:rPr>
          <w:rFonts w:asciiTheme="minorHAnsi" w:hAnsiTheme="minorHAnsi"/>
          <w:color w:val="000000" w:themeColor="text1"/>
          <w:lang w:val="en-US"/>
        </w:rPr>
        <w:t>To ensure that the entrepreneurs have access to the necessary support after the Accelerator cycle ends, Agora offers a number of Alumni Services focused on community building, on giving continuity to the lessons learned in the Accelerator, and on addressing internal organizational needs.</w:t>
      </w:r>
    </w:p>
    <w:p w:rsidR="00F66733" w:rsidRPr="00DA2509" w:rsidRDefault="00F66733" w:rsidP="00F66733">
      <w:pPr>
        <w:pStyle w:val="Normal1"/>
        <w:spacing w:line="240" w:lineRule="auto"/>
        <w:jc w:val="both"/>
        <w:rPr>
          <w:rFonts w:asciiTheme="minorHAnsi" w:hAnsiTheme="minorHAnsi"/>
          <w:color w:val="000000" w:themeColor="text1"/>
          <w:sz w:val="24"/>
        </w:rPr>
      </w:pPr>
    </w:p>
    <w:p w:rsidR="009929EA" w:rsidRPr="00CB2768" w:rsidRDefault="0053190A" w:rsidP="00DC27A9">
      <w:pPr>
        <w:pStyle w:val="Paragraph"/>
        <w:numPr>
          <w:ilvl w:val="1"/>
          <w:numId w:val="1"/>
        </w:numPr>
        <w:ind w:hanging="702"/>
        <w:rPr>
          <w:rFonts w:asciiTheme="minorHAnsi" w:hAnsiTheme="minorHAnsi"/>
          <w:color w:val="000000" w:themeColor="text1"/>
          <w:lang w:val="en-US"/>
        </w:rPr>
      </w:pPr>
      <w:r w:rsidRPr="00CB2768">
        <w:rPr>
          <w:rFonts w:asciiTheme="minorHAnsi" w:hAnsiTheme="minorHAnsi"/>
          <w:color w:val="000000" w:themeColor="text1"/>
          <w:lang w:val="en-US"/>
        </w:rPr>
        <w:t xml:space="preserve">Furthermore, </w:t>
      </w:r>
      <w:r w:rsidR="00F66733" w:rsidRPr="00CB2768">
        <w:rPr>
          <w:rFonts w:asciiTheme="minorHAnsi" w:hAnsiTheme="minorHAnsi"/>
          <w:color w:val="000000" w:themeColor="text1"/>
          <w:lang w:val="en-US"/>
        </w:rPr>
        <w:t xml:space="preserve">the </w:t>
      </w:r>
      <w:r w:rsidR="00FA5CA2" w:rsidRPr="00CB2768">
        <w:rPr>
          <w:rFonts w:asciiTheme="minorHAnsi" w:hAnsiTheme="minorHAnsi"/>
          <w:color w:val="000000" w:themeColor="text1"/>
          <w:lang w:val="en-US"/>
        </w:rPr>
        <w:t xml:space="preserve">MIF </w:t>
      </w:r>
      <w:r w:rsidRPr="00CB2768">
        <w:rPr>
          <w:rFonts w:asciiTheme="minorHAnsi" w:hAnsiTheme="minorHAnsi"/>
          <w:color w:val="000000" w:themeColor="text1"/>
          <w:lang w:val="en-US"/>
        </w:rPr>
        <w:t xml:space="preserve">will contribute to the financial sustainability of Agora. The pre-committed funding for the cohort will allow </w:t>
      </w:r>
      <w:r w:rsidR="00FA5CA2" w:rsidRPr="00CB2768">
        <w:rPr>
          <w:rFonts w:asciiTheme="minorHAnsi" w:hAnsiTheme="minorHAnsi"/>
          <w:color w:val="000000" w:themeColor="text1"/>
          <w:lang w:val="en-US"/>
        </w:rPr>
        <w:t>Agora</w:t>
      </w:r>
      <w:r w:rsidRPr="00CB2768">
        <w:rPr>
          <w:rFonts w:asciiTheme="minorHAnsi" w:hAnsiTheme="minorHAnsi"/>
          <w:color w:val="000000" w:themeColor="text1"/>
          <w:lang w:val="en-US"/>
        </w:rPr>
        <w:t xml:space="preserve"> to spend the resources needed to recruit the best entrepreneurs, </w:t>
      </w:r>
      <w:r w:rsidR="006B1E4C" w:rsidRPr="00CB2768">
        <w:rPr>
          <w:rFonts w:asciiTheme="minorHAnsi" w:hAnsiTheme="minorHAnsi"/>
          <w:color w:val="000000" w:themeColor="text1"/>
          <w:lang w:val="en-US"/>
        </w:rPr>
        <w:t>without creating a large financial burden</w:t>
      </w:r>
      <w:r w:rsidR="006B1E4C">
        <w:rPr>
          <w:rStyle w:val="FootnoteReference"/>
          <w:rFonts w:asciiTheme="minorHAnsi" w:hAnsiTheme="minorHAnsi"/>
          <w:color w:val="000000" w:themeColor="text1"/>
        </w:rPr>
        <w:footnoteReference w:id="30"/>
      </w:r>
      <w:r w:rsidR="006B1E4C" w:rsidRPr="00CB2768">
        <w:rPr>
          <w:rFonts w:asciiTheme="minorHAnsi" w:hAnsiTheme="minorHAnsi"/>
          <w:color w:val="000000" w:themeColor="text1"/>
          <w:lang w:val="en-US"/>
        </w:rPr>
        <w:t xml:space="preserve"> for the entrepreneur</w:t>
      </w:r>
      <w:r w:rsidRPr="00CB2768">
        <w:rPr>
          <w:rFonts w:asciiTheme="minorHAnsi" w:hAnsiTheme="minorHAnsi"/>
          <w:color w:val="000000" w:themeColor="text1"/>
          <w:lang w:val="en-US"/>
        </w:rPr>
        <w:t xml:space="preserve">. Furthermore, once the remaining two thirds of the Accelerator </w:t>
      </w:r>
      <w:proofErr w:type="gramStart"/>
      <w:r w:rsidRPr="00CB2768">
        <w:rPr>
          <w:rFonts w:asciiTheme="minorHAnsi" w:hAnsiTheme="minorHAnsi"/>
          <w:color w:val="000000" w:themeColor="text1"/>
          <w:lang w:val="en-US"/>
        </w:rPr>
        <w:t>is</w:t>
      </w:r>
      <w:proofErr w:type="gramEnd"/>
      <w:r w:rsidRPr="00CB2768">
        <w:rPr>
          <w:rFonts w:asciiTheme="minorHAnsi" w:hAnsiTheme="minorHAnsi"/>
          <w:color w:val="000000" w:themeColor="text1"/>
          <w:lang w:val="en-US"/>
        </w:rPr>
        <w:t xml:space="preserve"> funded, Agora plans to leverage this financially stable position to approach </w:t>
      </w:r>
      <w:r w:rsidR="00F66733" w:rsidRPr="00CB2768">
        <w:rPr>
          <w:rFonts w:asciiTheme="minorHAnsi" w:hAnsiTheme="minorHAnsi"/>
          <w:color w:val="000000" w:themeColor="text1"/>
          <w:lang w:val="en-US"/>
        </w:rPr>
        <w:t xml:space="preserve">foundations for growth funding so that Agora can scale its operations. Financial stability combined with growth funding will put Agora in an excellent position to replicate the Accelerator and significantly grow successful cohorts. </w:t>
      </w:r>
    </w:p>
    <w:p w:rsidR="007E7C60" w:rsidRPr="00DA2509" w:rsidRDefault="007E7C60" w:rsidP="007E7C60">
      <w:pPr>
        <w:pStyle w:val="ListParagraph"/>
        <w:ind w:left="1440"/>
        <w:rPr>
          <w:rFonts w:asciiTheme="minorHAnsi" w:hAnsiTheme="minorHAnsi"/>
          <w:b/>
          <w:color w:val="000000" w:themeColor="text1"/>
          <w:u w:val="single"/>
        </w:rPr>
      </w:pPr>
    </w:p>
    <w:p w:rsidR="00415AB4" w:rsidRPr="00DC27A9" w:rsidRDefault="005E3EC4" w:rsidP="00415AB4">
      <w:pPr>
        <w:pStyle w:val="SecHeading"/>
        <w:tabs>
          <w:tab w:val="clear" w:pos="1296"/>
        </w:tabs>
        <w:ind w:left="0" w:firstLine="0"/>
        <w:rPr>
          <w:rFonts w:asciiTheme="minorHAnsi" w:hAnsiTheme="minorHAnsi"/>
          <w:color w:val="000000" w:themeColor="text1"/>
          <w:lang w:val="en-US"/>
        </w:rPr>
      </w:pPr>
      <w:r w:rsidRPr="00DC27A9">
        <w:rPr>
          <w:rFonts w:asciiTheme="minorHAnsi" w:hAnsiTheme="minorHAnsi"/>
          <w:color w:val="000000" w:themeColor="text1"/>
          <w:lang w:val="en-US"/>
        </w:rPr>
        <w:t>E</w:t>
      </w:r>
      <w:r w:rsidR="00415AB4" w:rsidRPr="00DC27A9">
        <w:rPr>
          <w:rFonts w:asciiTheme="minorHAnsi" w:hAnsiTheme="minorHAnsi"/>
          <w:color w:val="000000" w:themeColor="text1"/>
          <w:lang w:val="en-US"/>
        </w:rPr>
        <w:t>.</w:t>
      </w:r>
      <w:r w:rsidR="00415AB4" w:rsidRPr="00DC27A9">
        <w:rPr>
          <w:rFonts w:asciiTheme="minorHAnsi" w:hAnsiTheme="minorHAnsi"/>
          <w:color w:val="000000" w:themeColor="text1"/>
          <w:lang w:val="en-US"/>
        </w:rPr>
        <w:tab/>
        <w:t xml:space="preserve">Experience and Lessons Learned from MIF or other Institutions </w:t>
      </w:r>
    </w:p>
    <w:p w:rsidR="00D82CD6" w:rsidRDefault="00172F69" w:rsidP="00D82CD6">
      <w:pPr>
        <w:pStyle w:val="Paragraph"/>
        <w:numPr>
          <w:ilvl w:val="1"/>
          <w:numId w:val="1"/>
        </w:numPr>
        <w:ind w:hanging="702"/>
        <w:rPr>
          <w:rFonts w:asciiTheme="minorHAnsi" w:hAnsiTheme="minorHAnsi"/>
          <w:color w:val="000000" w:themeColor="text1"/>
          <w:lang w:val="en-US"/>
        </w:rPr>
      </w:pPr>
      <w:r w:rsidRPr="00D82CD6">
        <w:rPr>
          <w:rFonts w:asciiTheme="minorHAnsi" w:hAnsiTheme="minorHAnsi"/>
          <w:color w:val="000000" w:themeColor="text1"/>
          <w:lang w:val="en-US"/>
        </w:rPr>
        <w:t>In collaboration with Opportunities for the Majority</w:t>
      </w:r>
      <w:r w:rsidR="00D82CD6">
        <w:rPr>
          <w:rFonts w:asciiTheme="minorHAnsi" w:hAnsiTheme="minorHAnsi"/>
          <w:color w:val="000000" w:themeColor="text1"/>
          <w:lang w:val="en-US"/>
        </w:rPr>
        <w:t xml:space="preserve"> the MIF has already designed and disbursed 4 projects under</w:t>
      </w:r>
      <w:r w:rsidRPr="00D82CD6">
        <w:rPr>
          <w:rFonts w:asciiTheme="minorHAnsi" w:hAnsiTheme="minorHAnsi"/>
          <w:color w:val="000000" w:themeColor="text1"/>
          <w:lang w:val="en-US"/>
        </w:rPr>
        <w:t xml:space="preserve"> the </w:t>
      </w:r>
      <w:r w:rsidR="00D82CD6">
        <w:rPr>
          <w:rFonts w:asciiTheme="minorHAnsi" w:hAnsiTheme="minorHAnsi"/>
          <w:color w:val="000000" w:themeColor="text1"/>
          <w:lang w:val="en-US"/>
        </w:rPr>
        <w:t>Accelerator Facility (RG-M1217). These projects include:</w:t>
      </w:r>
      <w:r w:rsidRPr="00D82CD6">
        <w:rPr>
          <w:rFonts w:asciiTheme="minorHAnsi" w:hAnsiTheme="minorHAnsi"/>
          <w:color w:val="000000" w:themeColor="text1"/>
          <w:lang w:val="en-US"/>
        </w:rPr>
        <w:t xml:space="preserve"> “</w:t>
      </w:r>
      <w:proofErr w:type="spellStart"/>
      <w:r w:rsidRPr="00D82CD6">
        <w:rPr>
          <w:rFonts w:asciiTheme="minorHAnsi" w:hAnsiTheme="minorHAnsi"/>
          <w:i/>
          <w:color w:val="000000" w:themeColor="text1"/>
          <w:lang w:val="en-US"/>
        </w:rPr>
        <w:t>Ver</w:t>
      </w:r>
      <w:proofErr w:type="spellEnd"/>
      <w:r w:rsidRPr="00D82CD6">
        <w:rPr>
          <w:rFonts w:asciiTheme="minorHAnsi" w:hAnsiTheme="minorHAnsi"/>
          <w:i/>
          <w:color w:val="000000" w:themeColor="text1"/>
          <w:lang w:val="en-US"/>
        </w:rPr>
        <w:t xml:space="preserve"> de </w:t>
      </w:r>
      <w:proofErr w:type="spellStart"/>
      <w:r w:rsidRPr="00D82CD6">
        <w:rPr>
          <w:rFonts w:asciiTheme="minorHAnsi" w:hAnsiTheme="minorHAnsi"/>
          <w:i/>
          <w:color w:val="000000" w:themeColor="text1"/>
          <w:lang w:val="en-US"/>
        </w:rPr>
        <w:t>Verdad</w:t>
      </w:r>
      <w:proofErr w:type="spellEnd"/>
      <w:r w:rsidRPr="00D82CD6">
        <w:rPr>
          <w:rFonts w:asciiTheme="minorHAnsi" w:hAnsiTheme="minorHAnsi"/>
          <w:i/>
          <w:color w:val="000000" w:themeColor="text1"/>
          <w:lang w:val="en-US"/>
        </w:rPr>
        <w:t xml:space="preserve"> Mobile Diagnostic Centers: Bringing Affordable Quality Eye-Care</w:t>
      </w:r>
      <w:r w:rsidRPr="00D82CD6">
        <w:rPr>
          <w:rFonts w:asciiTheme="minorHAnsi" w:hAnsiTheme="minorHAnsi"/>
          <w:color w:val="000000" w:themeColor="text1"/>
          <w:lang w:val="en-US"/>
        </w:rPr>
        <w:t>” (ME-M1087); “</w:t>
      </w:r>
      <w:proofErr w:type="spellStart"/>
      <w:r w:rsidRPr="00D82CD6">
        <w:rPr>
          <w:rFonts w:asciiTheme="minorHAnsi" w:hAnsiTheme="minorHAnsi"/>
          <w:i/>
          <w:color w:val="000000" w:themeColor="text1"/>
          <w:lang w:val="en-US"/>
        </w:rPr>
        <w:t>Quetsol</w:t>
      </w:r>
      <w:proofErr w:type="spellEnd"/>
      <w:r w:rsidRPr="00D82CD6">
        <w:rPr>
          <w:rFonts w:asciiTheme="minorHAnsi" w:hAnsiTheme="minorHAnsi"/>
          <w:i/>
          <w:color w:val="000000" w:themeColor="text1"/>
          <w:lang w:val="en-US"/>
        </w:rPr>
        <w:t xml:space="preserve"> Pay-as-you-go solar power for the BOP in Guatemala</w:t>
      </w:r>
      <w:r w:rsidRPr="00D82CD6">
        <w:rPr>
          <w:rFonts w:asciiTheme="minorHAnsi" w:hAnsiTheme="minorHAnsi"/>
          <w:color w:val="000000" w:themeColor="text1"/>
          <w:lang w:val="en-US"/>
        </w:rPr>
        <w:t>” (GU-M1053); “</w:t>
      </w:r>
      <w:r w:rsidRPr="001A3860">
        <w:rPr>
          <w:rFonts w:asciiTheme="minorHAnsi" w:hAnsiTheme="minorHAnsi"/>
          <w:i/>
          <w:color w:val="000000" w:themeColor="text1"/>
          <w:lang w:val="en-US"/>
        </w:rPr>
        <w:t>Learning and Innovation Centers: Reducing the Digital Divide for the Mexican BOP</w:t>
      </w:r>
      <w:r w:rsidRPr="00D82CD6">
        <w:rPr>
          <w:rFonts w:asciiTheme="minorHAnsi" w:hAnsiTheme="minorHAnsi"/>
          <w:color w:val="000000" w:themeColor="text1"/>
          <w:lang w:val="en-US"/>
        </w:rPr>
        <w:t xml:space="preserve">” </w:t>
      </w:r>
      <w:r w:rsidRPr="00D82CD6">
        <w:rPr>
          <w:rFonts w:asciiTheme="minorHAnsi" w:hAnsiTheme="minorHAnsi"/>
          <w:color w:val="000000" w:themeColor="text1"/>
          <w:lang w:val="en-US"/>
        </w:rPr>
        <w:lastRenderedPageBreak/>
        <w:t>(ME-M1093); “</w:t>
      </w:r>
      <w:proofErr w:type="spellStart"/>
      <w:r w:rsidRPr="00AB105D">
        <w:rPr>
          <w:rFonts w:asciiTheme="minorHAnsi" w:hAnsiTheme="minorHAnsi"/>
          <w:color w:val="000000" w:themeColor="text1"/>
          <w:lang w:val="en-US"/>
        </w:rPr>
        <w:t>Biobolsa</w:t>
      </w:r>
      <w:proofErr w:type="spellEnd"/>
      <w:r w:rsidRPr="00AB105D">
        <w:rPr>
          <w:rFonts w:asciiTheme="minorHAnsi" w:hAnsiTheme="minorHAnsi"/>
          <w:color w:val="000000" w:themeColor="text1"/>
          <w:lang w:val="en-US"/>
        </w:rPr>
        <w:t>: A Biogas Solution for Small Farms in Mexico, Honduras and Nicaragua</w:t>
      </w:r>
      <w:r w:rsidRPr="00D82CD6">
        <w:rPr>
          <w:rFonts w:asciiTheme="minorHAnsi" w:hAnsiTheme="minorHAnsi"/>
          <w:color w:val="000000" w:themeColor="text1"/>
          <w:lang w:val="en-US"/>
        </w:rPr>
        <w:t>” (RG-M1260)</w:t>
      </w:r>
    </w:p>
    <w:p w:rsidR="00D82CD6" w:rsidRDefault="00D82CD6" w:rsidP="00D82CD6">
      <w:pPr>
        <w:pStyle w:val="Paragraph"/>
        <w:tabs>
          <w:tab w:val="clear" w:pos="720"/>
        </w:tabs>
        <w:ind w:left="702" w:firstLine="0"/>
        <w:rPr>
          <w:rFonts w:asciiTheme="minorHAnsi" w:hAnsiTheme="minorHAnsi"/>
          <w:color w:val="000000" w:themeColor="text1"/>
          <w:lang w:val="en-US"/>
        </w:rPr>
      </w:pPr>
    </w:p>
    <w:p w:rsidR="00D82CD6" w:rsidRDefault="00D82CD6" w:rsidP="00D82CD6">
      <w:pPr>
        <w:pStyle w:val="Paragraph"/>
        <w:numPr>
          <w:ilvl w:val="1"/>
          <w:numId w:val="1"/>
        </w:numPr>
        <w:ind w:hanging="702"/>
        <w:rPr>
          <w:rFonts w:asciiTheme="minorHAnsi" w:hAnsiTheme="minorHAnsi"/>
          <w:color w:val="000000" w:themeColor="text1"/>
          <w:lang w:val="en-US"/>
        </w:rPr>
      </w:pPr>
      <w:r>
        <w:rPr>
          <w:rFonts w:asciiTheme="minorHAnsi" w:hAnsiTheme="minorHAnsi"/>
          <w:color w:val="000000" w:themeColor="text1"/>
          <w:lang w:val="en-US"/>
        </w:rPr>
        <w:t xml:space="preserve">Taking the lessons learned from the design </w:t>
      </w:r>
      <w:r w:rsidR="001A3860">
        <w:rPr>
          <w:rFonts w:asciiTheme="minorHAnsi" w:hAnsiTheme="minorHAnsi"/>
          <w:color w:val="000000" w:themeColor="text1"/>
          <w:lang w:val="en-US"/>
        </w:rPr>
        <w:t xml:space="preserve">processes </w:t>
      </w:r>
      <w:r>
        <w:rPr>
          <w:rFonts w:asciiTheme="minorHAnsi" w:hAnsiTheme="minorHAnsi"/>
          <w:color w:val="000000" w:themeColor="text1"/>
          <w:lang w:val="en-US"/>
        </w:rPr>
        <w:t>of these projects</w:t>
      </w:r>
      <w:r w:rsidR="001A3860">
        <w:rPr>
          <w:rFonts w:asciiTheme="minorHAnsi" w:hAnsiTheme="minorHAnsi"/>
          <w:color w:val="000000" w:themeColor="text1"/>
          <w:lang w:val="en-US"/>
        </w:rPr>
        <w:t>,</w:t>
      </w:r>
      <w:r>
        <w:rPr>
          <w:rFonts w:asciiTheme="minorHAnsi" w:hAnsiTheme="minorHAnsi"/>
          <w:color w:val="000000" w:themeColor="text1"/>
          <w:lang w:val="en-US"/>
        </w:rPr>
        <w:t xml:space="preserve"> the MIF-OMJ design team has opted to design a project that will test a new model of business Acceleration in order to find out if it proves to be a more cost-effective way to help businesses achieve investment readiness. </w:t>
      </w:r>
      <w:r w:rsidR="001A3860">
        <w:rPr>
          <w:rFonts w:asciiTheme="minorHAnsi" w:hAnsiTheme="minorHAnsi"/>
          <w:color w:val="000000" w:themeColor="text1"/>
          <w:lang w:val="en-US"/>
        </w:rPr>
        <w:t>The way this is done is through the Agora Accelerator which will serve to compare the effectiveness of supporting social businesses through an intermediary organization with a standardized methodology for business acceleration versus supporting social businesses directly on a case by case basis.</w:t>
      </w:r>
    </w:p>
    <w:p w:rsidR="00B04264" w:rsidRPr="00D82CD6" w:rsidRDefault="00B04264" w:rsidP="00B04264">
      <w:pPr>
        <w:pStyle w:val="Paragraph"/>
        <w:tabs>
          <w:tab w:val="clear" w:pos="720"/>
        </w:tabs>
        <w:ind w:left="0" w:firstLine="0"/>
        <w:rPr>
          <w:rFonts w:asciiTheme="minorHAnsi" w:hAnsiTheme="minorHAnsi"/>
          <w:color w:val="000000" w:themeColor="text1"/>
          <w:lang w:val="en-US"/>
        </w:rPr>
      </w:pPr>
    </w:p>
    <w:p w:rsidR="001E03B2" w:rsidRPr="00172F69" w:rsidRDefault="005E3EC4" w:rsidP="00415AB4">
      <w:pPr>
        <w:pStyle w:val="SecHeading"/>
        <w:tabs>
          <w:tab w:val="clear" w:pos="1296"/>
        </w:tabs>
        <w:ind w:left="0" w:firstLine="0"/>
        <w:rPr>
          <w:rFonts w:asciiTheme="minorHAnsi" w:hAnsiTheme="minorHAnsi"/>
          <w:color w:val="000000" w:themeColor="text1"/>
          <w:lang w:val="en-US"/>
        </w:rPr>
      </w:pPr>
      <w:r w:rsidRPr="00172F69">
        <w:rPr>
          <w:rFonts w:asciiTheme="minorHAnsi" w:hAnsiTheme="minorHAnsi"/>
          <w:color w:val="000000" w:themeColor="text1"/>
          <w:lang w:val="en-US"/>
        </w:rPr>
        <w:t>F</w:t>
      </w:r>
      <w:r w:rsidR="00415AB4" w:rsidRPr="00172F69">
        <w:rPr>
          <w:rFonts w:asciiTheme="minorHAnsi" w:hAnsiTheme="minorHAnsi"/>
          <w:color w:val="000000" w:themeColor="text1"/>
          <w:lang w:val="en-US"/>
        </w:rPr>
        <w:t xml:space="preserve">. </w:t>
      </w:r>
      <w:r w:rsidR="00415AB4" w:rsidRPr="00172F69">
        <w:rPr>
          <w:rFonts w:asciiTheme="minorHAnsi" w:hAnsiTheme="minorHAnsi"/>
          <w:color w:val="000000" w:themeColor="text1"/>
          <w:lang w:val="en-US"/>
        </w:rPr>
        <w:tab/>
        <w:t xml:space="preserve">MIF </w:t>
      </w:r>
      <w:proofErr w:type="spellStart"/>
      <w:r w:rsidR="00415AB4" w:rsidRPr="00172F69">
        <w:rPr>
          <w:rFonts w:asciiTheme="minorHAnsi" w:hAnsiTheme="minorHAnsi"/>
          <w:color w:val="000000" w:themeColor="text1"/>
          <w:lang w:val="en-US"/>
        </w:rPr>
        <w:t>Additionality</w:t>
      </w:r>
      <w:proofErr w:type="spellEnd"/>
      <w:r w:rsidR="00415AB4" w:rsidRPr="00172F69">
        <w:rPr>
          <w:rFonts w:asciiTheme="minorHAnsi" w:hAnsiTheme="minorHAnsi"/>
          <w:color w:val="000000" w:themeColor="text1"/>
          <w:lang w:val="en-US"/>
        </w:rPr>
        <w:t xml:space="preserve"> </w:t>
      </w:r>
    </w:p>
    <w:p w:rsidR="0037770E" w:rsidRPr="00172F69" w:rsidRDefault="0037770E" w:rsidP="0037770E">
      <w:pPr>
        <w:pStyle w:val="ListParagraph"/>
        <w:numPr>
          <w:ilvl w:val="1"/>
          <w:numId w:val="1"/>
        </w:numPr>
        <w:ind w:hanging="702"/>
        <w:jc w:val="both"/>
        <w:rPr>
          <w:rFonts w:asciiTheme="minorHAnsi" w:hAnsiTheme="minorHAnsi"/>
          <w:color w:val="000000" w:themeColor="text1"/>
        </w:rPr>
      </w:pPr>
      <w:r w:rsidRPr="00172F69">
        <w:rPr>
          <w:rFonts w:asciiTheme="minorHAnsi" w:hAnsiTheme="minorHAnsi"/>
          <w:color w:val="000000" w:themeColor="text1"/>
          <w:u w:val="single"/>
        </w:rPr>
        <w:t xml:space="preserve">Non-Financial </w:t>
      </w:r>
      <w:proofErr w:type="spellStart"/>
      <w:r w:rsidRPr="00172F69">
        <w:rPr>
          <w:rFonts w:asciiTheme="minorHAnsi" w:hAnsiTheme="minorHAnsi"/>
          <w:color w:val="000000" w:themeColor="text1"/>
          <w:u w:val="single"/>
        </w:rPr>
        <w:t>Additionality</w:t>
      </w:r>
      <w:proofErr w:type="spellEnd"/>
      <w:r w:rsidRPr="00172F69">
        <w:rPr>
          <w:rFonts w:asciiTheme="minorHAnsi" w:hAnsiTheme="minorHAnsi"/>
          <w:color w:val="000000" w:themeColor="text1"/>
          <w:u w:val="single"/>
        </w:rPr>
        <w:t>:</w:t>
      </w:r>
      <w:r w:rsidRPr="00172F69">
        <w:rPr>
          <w:rFonts w:asciiTheme="minorHAnsi" w:hAnsiTheme="minorHAnsi"/>
          <w:color w:val="000000" w:themeColor="text1"/>
        </w:rPr>
        <w:t xml:space="preserve"> The MIF Basic Services Agenda brings a focus on developing sustainable models for </w:t>
      </w:r>
      <w:r w:rsidR="001A3860">
        <w:rPr>
          <w:rFonts w:asciiTheme="minorHAnsi" w:hAnsiTheme="minorHAnsi"/>
          <w:color w:val="000000" w:themeColor="text1"/>
        </w:rPr>
        <w:t>basic service provision</w:t>
      </w:r>
      <w:r w:rsidRPr="00172F69">
        <w:rPr>
          <w:rFonts w:asciiTheme="minorHAnsi" w:hAnsiTheme="minorHAnsi"/>
          <w:color w:val="000000" w:themeColor="text1"/>
        </w:rPr>
        <w:t xml:space="preserve">, on results and impact measurement, and on knowledge sharing for systemic impact. OMJ brings credibility and technical expertise in lending to bankable projects for </w:t>
      </w:r>
      <w:r w:rsidR="001A3860">
        <w:rPr>
          <w:rFonts w:asciiTheme="minorHAnsi" w:hAnsiTheme="minorHAnsi"/>
          <w:color w:val="000000" w:themeColor="text1"/>
        </w:rPr>
        <w:t xml:space="preserve">organizations working for the </w:t>
      </w:r>
      <w:r w:rsidRPr="00172F69">
        <w:rPr>
          <w:rFonts w:asciiTheme="minorHAnsi" w:hAnsiTheme="minorHAnsi"/>
          <w:color w:val="000000" w:themeColor="text1"/>
        </w:rPr>
        <w:t>BOP. Together, there is synergy for achieving results and bringing innovative basic service projects to scale.</w:t>
      </w:r>
    </w:p>
    <w:p w:rsidR="0037770E" w:rsidRPr="00172F69" w:rsidRDefault="0037770E" w:rsidP="0037770E">
      <w:pPr>
        <w:pStyle w:val="ListParagraph"/>
        <w:ind w:left="792"/>
        <w:rPr>
          <w:rFonts w:asciiTheme="minorHAnsi" w:hAnsiTheme="minorHAnsi"/>
          <w:color w:val="000000" w:themeColor="text1"/>
        </w:rPr>
      </w:pPr>
    </w:p>
    <w:p w:rsidR="0037770E" w:rsidRPr="00172F69" w:rsidRDefault="0037770E" w:rsidP="0037770E">
      <w:pPr>
        <w:pStyle w:val="ListParagraph"/>
        <w:numPr>
          <w:ilvl w:val="1"/>
          <w:numId w:val="1"/>
        </w:numPr>
        <w:ind w:hanging="702"/>
        <w:rPr>
          <w:rFonts w:asciiTheme="minorHAnsi" w:hAnsiTheme="minorHAnsi"/>
          <w:color w:val="000000" w:themeColor="text1"/>
        </w:rPr>
      </w:pPr>
      <w:r w:rsidRPr="00172F69">
        <w:rPr>
          <w:rFonts w:asciiTheme="minorHAnsi" w:hAnsiTheme="minorHAnsi"/>
          <w:b/>
          <w:color w:val="000000" w:themeColor="text1"/>
          <w:u w:val="single"/>
        </w:rPr>
        <w:t xml:space="preserve">Financial </w:t>
      </w:r>
      <w:proofErr w:type="spellStart"/>
      <w:r w:rsidRPr="00172F69">
        <w:rPr>
          <w:rFonts w:asciiTheme="minorHAnsi" w:hAnsiTheme="minorHAnsi"/>
          <w:b/>
          <w:color w:val="000000" w:themeColor="text1"/>
          <w:u w:val="single"/>
        </w:rPr>
        <w:t>Additionality</w:t>
      </w:r>
      <w:proofErr w:type="spellEnd"/>
      <w:r w:rsidRPr="00172F69">
        <w:rPr>
          <w:rFonts w:asciiTheme="minorHAnsi" w:hAnsiTheme="minorHAnsi"/>
          <w:color w:val="000000" w:themeColor="text1"/>
          <w:u w:val="single"/>
        </w:rPr>
        <w:t>.</w:t>
      </w:r>
    </w:p>
    <w:p w:rsidR="00126132" w:rsidRDefault="00126132" w:rsidP="0037770E">
      <w:pPr>
        <w:pStyle w:val="ListParagraph"/>
        <w:ind w:left="702"/>
        <w:jc w:val="both"/>
        <w:rPr>
          <w:rFonts w:asciiTheme="minorHAnsi" w:hAnsiTheme="minorHAnsi"/>
          <w:color w:val="000000" w:themeColor="text1"/>
        </w:rPr>
      </w:pPr>
    </w:p>
    <w:p w:rsidR="0037770E" w:rsidRPr="00172F69" w:rsidRDefault="0037770E" w:rsidP="0037770E">
      <w:pPr>
        <w:pStyle w:val="ListParagraph"/>
        <w:ind w:left="702"/>
        <w:jc w:val="both"/>
        <w:rPr>
          <w:rFonts w:asciiTheme="minorHAnsi" w:hAnsiTheme="minorHAnsi"/>
          <w:color w:val="000000" w:themeColor="text1"/>
        </w:rPr>
      </w:pPr>
      <w:r w:rsidRPr="00172F69">
        <w:rPr>
          <w:rFonts w:asciiTheme="minorHAnsi" w:hAnsiTheme="minorHAnsi"/>
          <w:color w:val="000000" w:themeColor="text1"/>
        </w:rPr>
        <w:t xml:space="preserve">Total project cost is </w:t>
      </w:r>
      <w:r w:rsidR="00FB4508">
        <w:rPr>
          <w:rFonts w:asciiTheme="minorHAnsi" w:hAnsiTheme="minorHAnsi"/>
          <w:color w:val="000000" w:themeColor="text1"/>
        </w:rPr>
        <w:t>US$ 45</w:t>
      </w:r>
      <w:r w:rsidR="001A3860" w:rsidRPr="001A3860">
        <w:rPr>
          <w:rFonts w:asciiTheme="minorHAnsi" w:hAnsiTheme="minorHAnsi"/>
          <w:color w:val="000000" w:themeColor="text1"/>
        </w:rPr>
        <w:t>9,625</w:t>
      </w:r>
      <w:r w:rsidR="001A3860">
        <w:rPr>
          <w:rFonts w:asciiTheme="minorHAnsi" w:hAnsiTheme="minorHAnsi"/>
          <w:color w:val="000000" w:themeColor="text1"/>
        </w:rPr>
        <w:t xml:space="preserve">. The MIF contribution of </w:t>
      </w:r>
      <w:r w:rsidR="001A3860" w:rsidRPr="001A3860">
        <w:rPr>
          <w:rFonts w:asciiTheme="minorHAnsi" w:hAnsiTheme="minorHAnsi"/>
          <w:color w:val="000000" w:themeColor="text1"/>
        </w:rPr>
        <w:t xml:space="preserve">US$ </w:t>
      </w:r>
      <w:r w:rsidR="00FB4508">
        <w:rPr>
          <w:rFonts w:asciiTheme="minorHAnsi" w:hAnsiTheme="minorHAnsi"/>
          <w:color w:val="000000" w:themeColor="text1"/>
        </w:rPr>
        <w:t>251,249</w:t>
      </w:r>
      <w:r w:rsidRPr="00172F69">
        <w:rPr>
          <w:rFonts w:asciiTheme="minorHAnsi" w:hAnsiTheme="minorHAnsi"/>
          <w:color w:val="000000" w:themeColor="text1"/>
        </w:rPr>
        <w:t xml:space="preserve"> </w:t>
      </w:r>
      <w:r w:rsidR="001A3860">
        <w:rPr>
          <w:rFonts w:asciiTheme="minorHAnsi" w:hAnsiTheme="minorHAnsi"/>
          <w:color w:val="000000" w:themeColor="text1"/>
        </w:rPr>
        <w:t xml:space="preserve">is additional because without successfully executing a basic services track within the Agora Accelerator the organization is unable to leverage </w:t>
      </w:r>
      <w:r w:rsidR="00C041AC">
        <w:rPr>
          <w:rFonts w:asciiTheme="minorHAnsi" w:hAnsiTheme="minorHAnsi"/>
          <w:color w:val="000000" w:themeColor="text1"/>
        </w:rPr>
        <w:t xml:space="preserve">new </w:t>
      </w:r>
      <w:r w:rsidR="001A3860">
        <w:rPr>
          <w:rFonts w:asciiTheme="minorHAnsi" w:hAnsiTheme="minorHAnsi"/>
          <w:color w:val="000000" w:themeColor="text1"/>
        </w:rPr>
        <w:t xml:space="preserve">funding from financing institutions with a strong focus on basic services. After the </w:t>
      </w:r>
      <w:r w:rsidR="00C041AC">
        <w:rPr>
          <w:rFonts w:asciiTheme="minorHAnsi" w:hAnsiTheme="minorHAnsi"/>
          <w:color w:val="000000" w:themeColor="text1"/>
        </w:rPr>
        <w:t>execution of the TC, and with the ability to showcase results, Agora expects to be raise interest from new contributors specifically interested in its basic services track.</w:t>
      </w:r>
    </w:p>
    <w:p w:rsidR="003904A7" w:rsidRPr="00172F69" w:rsidRDefault="003904A7" w:rsidP="003904A7">
      <w:pPr>
        <w:pStyle w:val="ListParagraph"/>
        <w:rPr>
          <w:rFonts w:asciiTheme="minorHAnsi" w:hAnsiTheme="minorHAnsi"/>
          <w:color w:val="000000" w:themeColor="text1"/>
        </w:rPr>
      </w:pPr>
    </w:p>
    <w:p w:rsidR="0091256B" w:rsidRDefault="005E3EC4" w:rsidP="0054076B">
      <w:pPr>
        <w:pStyle w:val="Paragraph"/>
        <w:rPr>
          <w:rFonts w:asciiTheme="minorHAnsi" w:hAnsiTheme="minorHAnsi"/>
          <w:b/>
          <w:color w:val="000000" w:themeColor="text1"/>
          <w:lang w:val="en-US"/>
        </w:rPr>
      </w:pPr>
      <w:r w:rsidRPr="00172F69">
        <w:rPr>
          <w:rFonts w:asciiTheme="minorHAnsi" w:hAnsiTheme="minorHAnsi"/>
          <w:b/>
          <w:color w:val="000000" w:themeColor="text1"/>
          <w:lang w:val="en-US"/>
        </w:rPr>
        <w:t>G</w:t>
      </w:r>
      <w:r w:rsidR="0091256B" w:rsidRPr="00172F69">
        <w:rPr>
          <w:rFonts w:asciiTheme="minorHAnsi" w:hAnsiTheme="minorHAnsi"/>
          <w:b/>
          <w:color w:val="000000" w:themeColor="text1"/>
          <w:lang w:val="en-US"/>
        </w:rPr>
        <w:t>.</w:t>
      </w:r>
      <w:r w:rsidR="0091256B" w:rsidRPr="00172F69">
        <w:rPr>
          <w:rFonts w:asciiTheme="minorHAnsi" w:hAnsiTheme="minorHAnsi"/>
          <w:b/>
          <w:color w:val="000000" w:themeColor="text1"/>
          <w:lang w:val="en-US"/>
        </w:rPr>
        <w:tab/>
        <w:t>Project Results</w:t>
      </w:r>
      <w:r w:rsidR="00332A1C" w:rsidRPr="00172F69">
        <w:rPr>
          <w:rFonts w:asciiTheme="minorHAnsi" w:hAnsiTheme="minorHAnsi"/>
          <w:b/>
          <w:color w:val="000000" w:themeColor="text1"/>
          <w:lang w:val="en-US"/>
        </w:rPr>
        <w:t>:</w:t>
      </w:r>
    </w:p>
    <w:p w:rsidR="00B04264" w:rsidRPr="00B04264" w:rsidRDefault="00B04264" w:rsidP="00B04264">
      <w:pPr>
        <w:pStyle w:val="ListParagraph"/>
        <w:numPr>
          <w:ilvl w:val="1"/>
          <w:numId w:val="1"/>
        </w:numPr>
        <w:ind w:hanging="702"/>
        <w:rPr>
          <w:rFonts w:asciiTheme="minorHAnsi" w:hAnsiTheme="minorHAnsi"/>
          <w:color w:val="000000" w:themeColor="text1"/>
        </w:rPr>
      </w:pPr>
      <w:r w:rsidRPr="00B04264">
        <w:rPr>
          <w:rFonts w:asciiTheme="minorHAnsi" w:hAnsiTheme="minorHAnsi"/>
          <w:color w:val="000000" w:themeColor="text1"/>
        </w:rPr>
        <w:tab/>
        <w:t>As a result of this technical cooperation the MIF will have strengthened Agora’s business acceleration model by developing a specific Basic Services track tailored for high potential early and growth-stage companies providing basic services to the BOP. 15 companies will undergo the Agora Accelerator in 2015 and the organization is committed to increasing that number to 30 companies for the following two years. Through the consolidation of the Basic Services track Agora also aims to establish new partnerships with institutions interested in the field of basic services.</w:t>
      </w:r>
    </w:p>
    <w:p w:rsidR="00C041AC" w:rsidRPr="00DA2509" w:rsidRDefault="00C041AC" w:rsidP="0054076B">
      <w:pPr>
        <w:pStyle w:val="Paragraph"/>
        <w:rPr>
          <w:rFonts w:asciiTheme="minorHAnsi" w:hAnsiTheme="minorHAnsi"/>
          <w:color w:val="000000" w:themeColor="text1"/>
          <w:lang w:val="en-US"/>
        </w:rPr>
      </w:pPr>
    </w:p>
    <w:p w:rsidR="007F7878" w:rsidRPr="00DA2509" w:rsidRDefault="005E3EC4" w:rsidP="007F7878">
      <w:pPr>
        <w:pStyle w:val="Paragraph"/>
        <w:tabs>
          <w:tab w:val="clear" w:pos="720"/>
        </w:tabs>
        <w:ind w:left="0" w:firstLine="0"/>
        <w:rPr>
          <w:rFonts w:asciiTheme="minorHAnsi" w:hAnsiTheme="minorHAnsi"/>
          <w:b/>
          <w:color w:val="000000" w:themeColor="text1"/>
          <w:lang w:val="en-US"/>
        </w:rPr>
      </w:pPr>
      <w:r w:rsidRPr="00DA2509">
        <w:rPr>
          <w:rFonts w:asciiTheme="minorHAnsi" w:hAnsiTheme="minorHAnsi"/>
          <w:b/>
          <w:color w:val="000000" w:themeColor="text1"/>
          <w:lang w:val="en-US"/>
        </w:rPr>
        <w:t>H</w:t>
      </w:r>
      <w:r w:rsidR="007F7878" w:rsidRPr="00DA2509">
        <w:rPr>
          <w:rFonts w:asciiTheme="minorHAnsi" w:hAnsiTheme="minorHAnsi"/>
          <w:b/>
          <w:color w:val="000000" w:themeColor="text1"/>
          <w:lang w:val="en-US"/>
        </w:rPr>
        <w:t xml:space="preserve">. </w:t>
      </w:r>
      <w:r w:rsidR="007F7878" w:rsidRPr="00DA2509">
        <w:rPr>
          <w:rFonts w:asciiTheme="minorHAnsi" w:hAnsiTheme="minorHAnsi"/>
          <w:b/>
          <w:color w:val="000000" w:themeColor="text1"/>
          <w:lang w:val="en-US"/>
        </w:rPr>
        <w:tab/>
        <w:t>Project Impact</w:t>
      </w:r>
    </w:p>
    <w:p w:rsidR="003154D3" w:rsidRDefault="003154D3" w:rsidP="00A744BA">
      <w:pPr>
        <w:pStyle w:val="ListParagraph"/>
        <w:numPr>
          <w:ilvl w:val="1"/>
          <w:numId w:val="1"/>
        </w:numPr>
        <w:ind w:hanging="702"/>
        <w:jc w:val="both"/>
        <w:rPr>
          <w:rFonts w:asciiTheme="minorHAnsi" w:hAnsiTheme="minorHAnsi"/>
          <w:color w:val="000000" w:themeColor="text1"/>
        </w:rPr>
      </w:pPr>
      <w:r w:rsidRPr="00DA2509">
        <w:rPr>
          <w:rFonts w:asciiTheme="minorHAnsi" w:hAnsiTheme="minorHAnsi"/>
          <w:color w:val="000000" w:themeColor="text1"/>
        </w:rPr>
        <w:tab/>
        <w:t xml:space="preserve">All companies will be carefully selected based on their high-growth potential and business models that create value for all stakeholders including customers, employees, investors, and the environment. </w:t>
      </w:r>
    </w:p>
    <w:p w:rsidR="00B04264" w:rsidRPr="00C041AC" w:rsidRDefault="00B04264" w:rsidP="00B04264">
      <w:pPr>
        <w:pStyle w:val="ListParagraph"/>
        <w:ind w:left="702"/>
        <w:jc w:val="both"/>
        <w:rPr>
          <w:rFonts w:asciiTheme="minorHAnsi" w:hAnsiTheme="minorHAnsi"/>
          <w:color w:val="000000" w:themeColor="text1"/>
        </w:rPr>
      </w:pPr>
    </w:p>
    <w:p w:rsidR="005E3EC4" w:rsidRDefault="005E3EC4" w:rsidP="00C041AC">
      <w:pPr>
        <w:pStyle w:val="Paragraph"/>
        <w:tabs>
          <w:tab w:val="clear" w:pos="720"/>
        </w:tabs>
        <w:ind w:hanging="18"/>
        <w:rPr>
          <w:rFonts w:asciiTheme="minorHAnsi" w:hAnsiTheme="minorHAnsi"/>
          <w:color w:val="000000" w:themeColor="text1"/>
          <w:lang w:val="en-US"/>
        </w:rPr>
      </w:pPr>
      <w:r w:rsidRPr="00DA2509">
        <w:rPr>
          <w:rFonts w:asciiTheme="minorHAnsi" w:hAnsiTheme="minorHAnsi"/>
          <w:b/>
          <w:color w:val="000000" w:themeColor="text1"/>
          <w:lang w:val="en-US"/>
        </w:rPr>
        <w:lastRenderedPageBreak/>
        <w:t>Economic Impact:</w:t>
      </w:r>
      <w:r w:rsidRPr="00DA2509">
        <w:rPr>
          <w:rFonts w:asciiTheme="minorHAnsi" w:hAnsiTheme="minorHAnsi"/>
          <w:color w:val="000000" w:themeColor="text1"/>
          <w:lang w:val="en-US"/>
        </w:rPr>
        <w:t xml:space="preserve"> </w:t>
      </w:r>
    </w:p>
    <w:p w:rsidR="00C041AC" w:rsidRPr="00DA2509" w:rsidRDefault="00C041AC" w:rsidP="00A744BA">
      <w:pPr>
        <w:pStyle w:val="ListParagraph"/>
        <w:numPr>
          <w:ilvl w:val="1"/>
          <w:numId w:val="1"/>
        </w:numPr>
        <w:ind w:hanging="702"/>
        <w:jc w:val="both"/>
        <w:rPr>
          <w:rFonts w:asciiTheme="minorHAnsi" w:hAnsiTheme="minorHAnsi"/>
          <w:color w:val="000000" w:themeColor="text1"/>
        </w:rPr>
      </w:pPr>
      <w:r w:rsidRPr="00DA2509">
        <w:rPr>
          <w:rFonts w:asciiTheme="minorHAnsi" w:hAnsiTheme="minorHAnsi"/>
          <w:color w:val="000000" w:themeColor="text1"/>
        </w:rPr>
        <w:t xml:space="preserve">Through this project, </w:t>
      </w:r>
      <w:r>
        <w:rPr>
          <w:rFonts w:asciiTheme="minorHAnsi" w:hAnsiTheme="minorHAnsi"/>
          <w:color w:val="000000" w:themeColor="text1"/>
        </w:rPr>
        <w:t xml:space="preserve">Agora </w:t>
      </w:r>
      <w:r w:rsidRPr="00DA2509">
        <w:rPr>
          <w:rFonts w:asciiTheme="minorHAnsi" w:hAnsiTheme="minorHAnsi"/>
          <w:color w:val="000000" w:themeColor="text1"/>
        </w:rPr>
        <w:t>intend</w:t>
      </w:r>
      <w:r>
        <w:rPr>
          <w:rFonts w:asciiTheme="minorHAnsi" w:hAnsiTheme="minorHAnsi"/>
          <w:color w:val="000000" w:themeColor="text1"/>
        </w:rPr>
        <w:t>s</w:t>
      </w:r>
      <w:r w:rsidRPr="00DA2509">
        <w:rPr>
          <w:rFonts w:asciiTheme="minorHAnsi" w:hAnsiTheme="minorHAnsi"/>
          <w:color w:val="000000" w:themeColor="text1"/>
        </w:rPr>
        <w:t xml:space="preserve"> to drive an estimated $5MM in investment into t</w:t>
      </w:r>
      <w:r w:rsidRPr="00C041AC">
        <w:rPr>
          <w:rFonts w:asciiTheme="minorHAnsi" w:hAnsiTheme="minorHAnsi"/>
          <w:color w:val="000000" w:themeColor="text1"/>
        </w:rPr>
        <w:t>he cohort. Beyond investment, Agora</w:t>
      </w:r>
      <w:r w:rsidRPr="00DA2509">
        <w:rPr>
          <w:rFonts w:asciiTheme="minorHAnsi" w:hAnsiTheme="minorHAnsi"/>
          <w:color w:val="000000" w:themeColor="text1"/>
        </w:rPr>
        <w:t xml:space="preserve"> assess</w:t>
      </w:r>
      <w:r w:rsidRPr="00C041AC">
        <w:rPr>
          <w:rFonts w:asciiTheme="minorHAnsi" w:hAnsiTheme="minorHAnsi"/>
          <w:color w:val="000000" w:themeColor="text1"/>
        </w:rPr>
        <w:t>es its</w:t>
      </w:r>
      <w:r w:rsidRPr="00DA2509">
        <w:rPr>
          <w:rFonts w:asciiTheme="minorHAnsi" w:hAnsiTheme="minorHAnsi"/>
          <w:color w:val="000000" w:themeColor="text1"/>
        </w:rPr>
        <w:t xml:space="preserve"> direct impact based on short-term output indicators, including number of entrepreneurs served and amount of capital raised, and on long-term indicators including revenue growth and job creation. The long-term indicators are calculated based on </w:t>
      </w:r>
      <w:r>
        <w:rPr>
          <w:rFonts w:asciiTheme="minorHAnsi" w:hAnsiTheme="minorHAnsi"/>
          <w:color w:val="000000" w:themeColor="text1"/>
        </w:rPr>
        <w:t xml:space="preserve">the MIF corporate framework indicators and five </w:t>
      </w:r>
      <w:r w:rsidRPr="00DA2509">
        <w:rPr>
          <w:rFonts w:asciiTheme="minorHAnsi" w:hAnsiTheme="minorHAnsi"/>
          <w:color w:val="000000" w:themeColor="text1"/>
        </w:rPr>
        <w:t>IRIS metrics (revenue; net income; full-time employees; full-time employees: female; part-time employees) that are collected from each Accelerator company.</w:t>
      </w:r>
    </w:p>
    <w:p w:rsidR="00C041AC" w:rsidRPr="00DA2509" w:rsidRDefault="00C041AC" w:rsidP="00C041AC">
      <w:pPr>
        <w:pStyle w:val="Paragraph"/>
        <w:tabs>
          <w:tab w:val="clear" w:pos="720"/>
        </w:tabs>
        <w:ind w:left="1062" w:firstLine="0"/>
        <w:rPr>
          <w:rFonts w:asciiTheme="minorHAnsi" w:hAnsiTheme="minorHAnsi"/>
          <w:color w:val="000000" w:themeColor="text1"/>
          <w:lang w:val="en-US"/>
        </w:rPr>
      </w:pPr>
    </w:p>
    <w:p w:rsidR="00C041AC" w:rsidRDefault="005E3EC4" w:rsidP="00C041AC">
      <w:pPr>
        <w:pStyle w:val="ListParagraph"/>
        <w:ind w:left="702"/>
        <w:rPr>
          <w:rFonts w:asciiTheme="minorHAnsi" w:hAnsiTheme="minorHAnsi"/>
          <w:color w:val="000000" w:themeColor="text1"/>
        </w:rPr>
      </w:pPr>
      <w:r w:rsidRPr="00DA2509">
        <w:rPr>
          <w:rFonts w:asciiTheme="minorHAnsi" w:hAnsiTheme="minorHAnsi"/>
          <w:b/>
          <w:color w:val="000000" w:themeColor="text1"/>
        </w:rPr>
        <w:t>Health and Quality of Life Impact:</w:t>
      </w:r>
      <w:r w:rsidRPr="00DA2509">
        <w:rPr>
          <w:rFonts w:asciiTheme="minorHAnsi" w:hAnsiTheme="minorHAnsi"/>
          <w:color w:val="000000" w:themeColor="text1"/>
        </w:rPr>
        <w:t xml:space="preserve"> </w:t>
      </w:r>
    </w:p>
    <w:p w:rsidR="00C041AC" w:rsidRPr="00DA2509" w:rsidRDefault="00C041AC" w:rsidP="00C041AC">
      <w:pPr>
        <w:pStyle w:val="ListParagraph"/>
        <w:numPr>
          <w:ilvl w:val="1"/>
          <w:numId w:val="1"/>
        </w:numPr>
        <w:ind w:hanging="702"/>
        <w:rPr>
          <w:rFonts w:asciiTheme="minorHAnsi" w:hAnsiTheme="minorHAnsi"/>
          <w:color w:val="000000" w:themeColor="text1"/>
        </w:rPr>
      </w:pPr>
      <w:r>
        <w:rPr>
          <w:rFonts w:asciiTheme="minorHAnsi" w:hAnsiTheme="minorHAnsi"/>
          <w:color w:val="000000" w:themeColor="text1"/>
        </w:rPr>
        <w:t>Each</w:t>
      </w:r>
      <w:r w:rsidRPr="00DA2509">
        <w:rPr>
          <w:rFonts w:asciiTheme="minorHAnsi" w:hAnsiTheme="minorHAnsi"/>
          <w:color w:val="000000" w:themeColor="text1"/>
        </w:rPr>
        <w:t xml:space="preserve"> company </w:t>
      </w:r>
      <w:r>
        <w:rPr>
          <w:rFonts w:asciiTheme="minorHAnsi" w:hAnsiTheme="minorHAnsi"/>
          <w:color w:val="000000" w:themeColor="text1"/>
        </w:rPr>
        <w:t xml:space="preserve">is </w:t>
      </w:r>
      <w:r w:rsidRPr="00DA2509">
        <w:rPr>
          <w:rFonts w:asciiTheme="minorHAnsi" w:hAnsiTheme="minorHAnsi"/>
          <w:color w:val="000000" w:themeColor="text1"/>
        </w:rPr>
        <w:t xml:space="preserve">to track IRIS metrics </w:t>
      </w:r>
      <w:r>
        <w:rPr>
          <w:rFonts w:asciiTheme="minorHAnsi" w:hAnsiTheme="minorHAnsi"/>
          <w:color w:val="000000" w:themeColor="text1"/>
        </w:rPr>
        <w:t xml:space="preserve">and MIF indicators </w:t>
      </w:r>
      <w:r w:rsidRPr="00DA2509">
        <w:rPr>
          <w:rFonts w:asciiTheme="minorHAnsi" w:hAnsiTheme="minorHAnsi"/>
          <w:color w:val="000000" w:themeColor="text1"/>
        </w:rPr>
        <w:t xml:space="preserve">specific to their business model such as (but not limited to): Water Savings from Products Sold, School Enrollment: Total, Recycled Materials, Healthcare Facilities, </w:t>
      </w:r>
      <w:proofErr w:type="gramStart"/>
      <w:r w:rsidRPr="00DA2509">
        <w:rPr>
          <w:rFonts w:asciiTheme="minorHAnsi" w:hAnsiTheme="minorHAnsi"/>
          <w:color w:val="000000" w:themeColor="text1"/>
        </w:rPr>
        <w:t>Disease</w:t>
      </w:r>
      <w:proofErr w:type="gramEnd"/>
      <w:r w:rsidRPr="00DA2509">
        <w:rPr>
          <w:rFonts w:asciiTheme="minorHAnsi" w:hAnsiTheme="minorHAnsi"/>
          <w:color w:val="000000" w:themeColor="text1"/>
        </w:rPr>
        <w:t>/Conditio</w:t>
      </w:r>
      <w:r w:rsidR="00106DC3">
        <w:rPr>
          <w:rFonts w:asciiTheme="minorHAnsi" w:hAnsiTheme="minorHAnsi"/>
          <w:color w:val="000000" w:themeColor="text1"/>
        </w:rPr>
        <w:t xml:space="preserve">n Addressed. This will allow Agora </w:t>
      </w:r>
      <w:r w:rsidRPr="00DA2509">
        <w:rPr>
          <w:rFonts w:asciiTheme="minorHAnsi" w:hAnsiTheme="minorHAnsi"/>
          <w:color w:val="000000" w:themeColor="text1"/>
        </w:rPr>
        <w:t xml:space="preserve">to track and report on the impact created by each company. </w:t>
      </w:r>
    </w:p>
    <w:p w:rsidR="005E3EC4" w:rsidRDefault="005E3EC4" w:rsidP="00C041AC">
      <w:pPr>
        <w:pStyle w:val="Paragraph"/>
        <w:tabs>
          <w:tab w:val="clear" w:pos="720"/>
        </w:tabs>
        <w:ind w:left="1062" w:firstLine="0"/>
        <w:rPr>
          <w:rFonts w:asciiTheme="minorHAnsi" w:hAnsiTheme="minorHAnsi"/>
          <w:color w:val="000000" w:themeColor="text1"/>
          <w:lang w:val="en-US"/>
        </w:rPr>
      </w:pPr>
    </w:p>
    <w:p w:rsidR="005F3A6F" w:rsidRDefault="005E3EC4" w:rsidP="00A744BA">
      <w:pPr>
        <w:pStyle w:val="Paragraph"/>
        <w:tabs>
          <w:tab w:val="clear" w:pos="720"/>
        </w:tabs>
        <w:ind w:hanging="18"/>
        <w:rPr>
          <w:rFonts w:asciiTheme="minorHAnsi" w:hAnsiTheme="minorHAnsi"/>
          <w:color w:val="000000" w:themeColor="text1"/>
          <w:lang w:val="en-US"/>
        </w:rPr>
      </w:pPr>
      <w:r w:rsidRPr="00DA2509">
        <w:rPr>
          <w:rFonts w:asciiTheme="minorHAnsi" w:hAnsiTheme="minorHAnsi"/>
          <w:b/>
          <w:color w:val="000000" w:themeColor="text1"/>
          <w:lang w:val="en-US"/>
        </w:rPr>
        <w:t>Environmental Impact:</w:t>
      </w:r>
      <w:r w:rsidRPr="00DA2509">
        <w:rPr>
          <w:rFonts w:asciiTheme="minorHAnsi" w:hAnsiTheme="minorHAnsi"/>
          <w:color w:val="000000" w:themeColor="text1"/>
          <w:lang w:val="en-US"/>
        </w:rPr>
        <w:t xml:space="preserve"> </w:t>
      </w:r>
    </w:p>
    <w:p w:rsidR="00A744BA" w:rsidRDefault="00A744BA" w:rsidP="000E5EB3">
      <w:pPr>
        <w:pStyle w:val="ListParagraph"/>
        <w:numPr>
          <w:ilvl w:val="1"/>
          <w:numId w:val="1"/>
        </w:numPr>
        <w:ind w:hanging="702"/>
        <w:rPr>
          <w:rFonts w:asciiTheme="minorHAnsi" w:hAnsiTheme="minorHAnsi"/>
          <w:color w:val="000000" w:themeColor="text1"/>
        </w:rPr>
      </w:pPr>
      <w:r>
        <w:rPr>
          <w:rFonts w:asciiTheme="minorHAnsi" w:hAnsiTheme="minorHAnsi"/>
          <w:color w:val="000000" w:themeColor="text1"/>
        </w:rPr>
        <w:t xml:space="preserve">This project will not have a negative impact on the environment given that the companies selected to participate in the Basic Services cohort will have to comply with the MIF and OMJ’s selection criteria which include having a model that is not only financially sustainable, but also environmentally. Furthermore, the Agora Accelerator Program will maximize the use of virtual tools and resources in their training and coordination activities in order to minimize the environmental impact of coordinating a regional business accelerator platform. </w:t>
      </w:r>
    </w:p>
    <w:p w:rsidR="00C041AC" w:rsidRPr="00DA2509" w:rsidRDefault="00C041AC" w:rsidP="000E5EB3">
      <w:pPr>
        <w:pStyle w:val="Paragraph"/>
        <w:tabs>
          <w:tab w:val="clear" w:pos="720"/>
        </w:tabs>
        <w:ind w:left="702" w:hanging="702"/>
        <w:rPr>
          <w:rFonts w:asciiTheme="minorHAnsi" w:hAnsiTheme="minorHAnsi"/>
          <w:color w:val="000000" w:themeColor="text1"/>
          <w:lang w:val="en-US"/>
        </w:rPr>
      </w:pPr>
    </w:p>
    <w:p w:rsidR="002B3E4E" w:rsidRDefault="00FA5778" w:rsidP="000E5EB3">
      <w:pPr>
        <w:pStyle w:val="Paragraph"/>
        <w:tabs>
          <w:tab w:val="clear" w:pos="720"/>
        </w:tabs>
        <w:ind w:left="702" w:hanging="702"/>
        <w:rPr>
          <w:rFonts w:asciiTheme="minorHAnsi" w:hAnsiTheme="minorHAnsi"/>
          <w:b/>
          <w:color w:val="000000" w:themeColor="text1"/>
          <w:lang w:val="en-US"/>
        </w:rPr>
      </w:pPr>
      <w:r w:rsidRPr="00DA2509">
        <w:rPr>
          <w:rFonts w:asciiTheme="minorHAnsi" w:hAnsiTheme="minorHAnsi"/>
          <w:b/>
          <w:color w:val="000000" w:themeColor="text1"/>
          <w:lang w:val="en-US"/>
        </w:rPr>
        <w:t>I</w:t>
      </w:r>
      <w:r w:rsidR="007D282E" w:rsidRPr="00A52CCF">
        <w:rPr>
          <w:rFonts w:asciiTheme="minorHAnsi" w:hAnsiTheme="minorHAnsi"/>
          <w:b/>
          <w:color w:val="000000" w:themeColor="text1"/>
          <w:lang w:val="en-US"/>
        </w:rPr>
        <w:t xml:space="preserve">. </w:t>
      </w:r>
      <w:r w:rsidR="009C7055" w:rsidRPr="00A52CCF">
        <w:rPr>
          <w:rFonts w:asciiTheme="minorHAnsi" w:hAnsiTheme="minorHAnsi"/>
          <w:b/>
          <w:color w:val="000000" w:themeColor="text1"/>
          <w:lang w:val="en-US"/>
        </w:rPr>
        <w:tab/>
      </w:r>
      <w:r w:rsidR="0049196D" w:rsidRPr="00A52CCF">
        <w:rPr>
          <w:rFonts w:asciiTheme="minorHAnsi" w:hAnsiTheme="minorHAnsi"/>
          <w:b/>
          <w:color w:val="000000" w:themeColor="text1"/>
          <w:lang w:val="en-US"/>
        </w:rPr>
        <w:t>Systemic Impact</w:t>
      </w:r>
      <w:r w:rsidR="00332A1C" w:rsidRPr="00A52CCF">
        <w:rPr>
          <w:rFonts w:asciiTheme="minorHAnsi" w:hAnsiTheme="minorHAnsi"/>
          <w:b/>
          <w:color w:val="000000" w:themeColor="text1"/>
          <w:lang w:val="en-US"/>
        </w:rPr>
        <w:t xml:space="preserve">: </w:t>
      </w:r>
    </w:p>
    <w:p w:rsidR="00B04264" w:rsidRPr="00B04264" w:rsidRDefault="00B04264" w:rsidP="00B04264">
      <w:pPr>
        <w:pStyle w:val="ListParagraph"/>
        <w:numPr>
          <w:ilvl w:val="1"/>
          <w:numId w:val="1"/>
        </w:numPr>
        <w:ind w:hanging="702"/>
        <w:rPr>
          <w:rFonts w:asciiTheme="minorHAnsi" w:hAnsiTheme="minorHAnsi"/>
          <w:color w:val="000000" w:themeColor="text1"/>
        </w:rPr>
      </w:pPr>
      <w:r>
        <w:rPr>
          <w:rFonts w:asciiTheme="minorHAnsi" w:hAnsiTheme="minorHAnsi"/>
          <w:b/>
          <w:color w:val="000000" w:themeColor="text1"/>
        </w:rPr>
        <w:tab/>
      </w:r>
      <w:r w:rsidRPr="00B04264">
        <w:rPr>
          <w:rFonts w:asciiTheme="minorHAnsi" w:hAnsiTheme="minorHAnsi"/>
          <w:color w:val="000000" w:themeColor="text1"/>
        </w:rPr>
        <w:t xml:space="preserve">The systemic impact that is expected from the execution of this project is the establishment of a viable solution </w:t>
      </w:r>
      <w:r>
        <w:rPr>
          <w:rFonts w:asciiTheme="minorHAnsi" w:hAnsiTheme="minorHAnsi"/>
          <w:color w:val="000000" w:themeColor="text1"/>
        </w:rPr>
        <w:t>to</w:t>
      </w:r>
      <w:r w:rsidRPr="00B04264">
        <w:rPr>
          <w:rFonts w:asciiTheme="minorHAnsi" w:hAnsiTheme="minorHAnsi"/>
          <w:color w:val="000000" w:themeColor="text1"/>
        </w:rPr>
        <w:t xml:space="preserve"> shorten the gap between social businesses working in basic services and social investors who are currently struggling to find solid </w:t>
      </w:r>
      <w:r>
        <w:rPr>
          <w:rFonts w:asciiTheme="minorHAnsi" w:hAnsiTheme="minorHAnsi"/>
          <w:color w:val="000000" w:themeColor="text1"/>
        </w:rPr>
        <w:t xml:space="preserve">and profitable </w:t>
      </w:r>
      <w:r w:rsidRPr="00B04264">
        <w:rPr>
          <w:rFonts w:asciiTheme="minorHAnsi" w:hAnsiTheme="minorHAnsi"/>
          <w:color w:val="000000" w:themeColor="text1"/>
        </w:rPr>
        <w:t>investment opportunities</w:t>
      </w:r>
      <w:r>
        <w:rPr>
          <w:rFonts w:asciiTheme="minorHAnsi" w:hAnsiTheme="minorHAnsi"/>
          <w:color w:val="000000" w:themeColor="text1"/>
        </w:rPr>
        <w:t>. With expansion of social businesses working in bringing basic services to the base of the pyramid the private sector will increase its role and impact in poverty reduction across the region.</w:t>
      </w:r>
    </w:p>
    <w:p w:rsidR="002B3E4E" w:rsidRPr="00A52CCF" w:rsidRDefault="002B3E4E" w:rsidP="000E5EB3">
      <w:pPr>
        <w:pStyle w:val="Paragraph"/>
        <w:ind w:left="702" w:hanging="702"/>
        <w:rPr>
          <w:rFonts w:asciiTheme="minorHAnsi" w:hAnsiTheme="minorHAnsi"/>
          <w:b/>
          <w:color w:val="000000" w:themeColor="text1"/>
          <w:lang w:val="en-US"/>
        </w:rPr>
      </w:pPr>
    </w:p>
    <w:p w:rsidR="002B3E4E" w:rsidRPr="00A52CCF" w:rsidRDefault="009C7055" w:rsidP="000E5EB3">
      <w:pPr>
        <w:pStyle w:val="Chapter"/>
        <w:numPr>
          <w:ilvl w:val="0"/>
          <w:numId w:val="1"/>
        </w:numPr>
        <w:spacing w:before="120" w:after="0"/>
        <w:ind w:left="702" w:hanging="702"/>
        <w:rPr>
          <w:rFonts w:asciiTheme="minorHAnsi" w:hAnsiTheme="minorHAnsi"/>
          <w:color w:val="000000" w:themeColor="text1"/>
          <w:lang w:val="en-US"/>
        </w:rPr>
      </w:pPr>
      <w:bookmarkStart w:id="5" w:name="_Toc309632504"/>
      <w:r w:rsidRPr="00A52CCF">
        <w:rPr>
          <w:rFonts w:asciiTheme="minorHAnsi" w:hAnsiTheme="minorHAnsi"/>
          <w:color w:val="000000" w:themeColor="text1"/>
          <w:lang w:val="en-US"/>
        </w:rPr>
        <w:t>Monitoring and</w:t>
      </w:r>
      <w:r w:rsidR="002B3E4E" w:rsidRPr="00A52CCF">
        <w:rPr>
          <w:rFonts w:asciiTheme="minorHAnsi" w:hAnsiTheme="minorHAnsi"/>
          <w:color w:val="000000" w:themeColor="text1"/>
          <w:lang w:val="en-US"/>
        </w:rPr>
        <w:t xml:space="preserve"> Evaluation </w:t>
      </w:r>
      <w:bookmarkEnd w:id="5"/>
      <w:r w:rsidRPr="00A52CCF">
        <w:rPr>
          <w:rFonts w:asciiTheme="minorHAnsi" w:hAnsiTheme="minorHAnsi"/>
          <w:color w:val="000000" w:themeColor="text1"/>
          <w:lang w:val="en-US"/>
        </w:rPr>
        <w:t>Strategy</w:t>
      </w:r>
    </w:p>
    <w:p w:rsidR="00E24DE0" w:rsidRDefault="007D282E" w:rsidP="00A52CCF">
      <w:pPr>
        <w:pStyle w:val="Paragraph"/>
        <w:numPr>
          <w:ilvl w:val="1"/>
          <w:numId w:val="1"/>
        </w:numPr>
        <w:ind w:hanging="702"/>
        <w:rPr>
          <w:rFonts w:asciiTheme="minorHAnsi" w:hAnsiTheme="minorHAnsi"/>
          <w:color w:val="000000" w:themeColor="text1"/>
          <w:lang w:val="en-US"/>
        </w:rPr>
      </w:pPr>
      <w:r w:rsidRPr="00A52CCF">
        <w:rPr>
          <w:rFonts w:asciiTheme="minorHAnsi" w:hAnsiTheme="minorHAnsi"/>
          <w:color w:val="000000" w:themeColor="text1"/>
          <w:u w:val="single"/>
          <w:lang w:val="en-US"/>
        </w:rPr>
        <w:t>Baseline:</w:t>
      </w:r>
      <w:r w:rsidR="00E402B8" w:rsidRPr="00A52CCF">
        <w:rPr>
          <w:rFonts w:asciiTheme="minorHAnsi" w:hAnsiTheme="minorHAnsi"/>
          <w:color w:val="000000" w:themeColor="text1"/>
          <w:lang w:val="en-US"/>
        </w:rPr>
        <w:t xml:space="preserve"> </w:t>
      </w:r>
      <w:r w:rsidR="008914D7" w:rsidRPr="00A52CCF">
        <w:rPr>
          <w:rFonts w:asciiTheme="minorHAnsi" w:hAnsiTheme="minorHAnsi"/>
          <w:color w:val="000000" w:themeColor="text1"/>
          <w:lang w:val="en-US"/>
        </w:rPr>
        <w:t>Baseline indicators for each participating start-up company will be collected prior to their participation in the Accelerator.  All data will be sex-disaggregated and will be collected during the implementation of MIF project, and three years thereafter.  Impact indicators are calculated based on IRIS metrics, such as revenue, net income, full-time employees (male and female), and part-time employees.</w:t>
      </w:r>
    </w:p>
    <w:p w:rsidR="00AF2165" w:rsidRPr="00A52CCF" w:rsidRDefault="00AF2165" w:rsidP="00AF2165">
      <w:pPr>
        <w:pStyle w:val="Paragraph"/>
        <w:tabs>
          <w:tab w:val="clear" w:pos="720"/>
        </w:tabs>
        <w:ind w:left="702" w:firstLine="0"/>
        <w:rPr>
          <w:rFonts w:asciiTheme="minorHAnsi" w:hAnsiTheme="minorHAnsi"/>
          <w:color w:val="000000" w:themeColor="text1"/>
          <w:lang w:val="en-US"/>
        </w:rPr>
      </w:pPr>
    </w:p>
    <w:p w:rsidR="00DA2C3A" w:rsidRPr="0086229A" w:rsidRDefault="00027BC1" w:rsidP="0086229A">
      <w:pPr>
        <w:pStyle w:val="Paragraph"/>
        <w:numPr>
          <w:ilvl w:val="1"/>
          <w:numId w:val="1"/>
        </w:numPr>
        <w:ind w:hanging="702"/>
        <w:rPr>
          <w:rFonts w:asciiTheme="minorHAnsi" w:hAnsiTheme="minorHAnsi"/>
          <w:color w:val="000000" w:themeColor="text1"/>
          <w:lang w:val="en-US"/>
        </w:rPr>
      </w:pPr>
      <w:r w:rsidRPr="00A52CCF">
        <w:rPr>
          <w:rFonts w:asciiTheme="minorHAnsi" w:hAnsiTheme="minorHAnsi"/>
          <w:color w:val="000000" w:themeColor="text1"/>
          <w:u w:val="single"/>
          <w:lang w:val="en-US"/>
        </w:rPr>
        <w:lastRenderedPageBreak/>
        <w:t>Monitoring:</w:t>
      </w:r>
      <w:r w:rsidRPr="00A52CCF">
        <w:rPr>
          <w:rFonts w:asciiTheme="minorHAnsi" w:hAnsiTheme="minorHAnsi"/>
          <w:color w:val="000000" w:themeColor="text1"/>
          <w:lang w:val="en-US"/>
        </w:rPr>
        <w:t xml:space="preserve"> </w:t>
      </w:r>
      <w:r w:rsidR="00DA2C3A">
        <w:rPr>
          <w:rFonts w:asciiTheme="minorHAnsi" w:hAnsiTheme="minorHAnsi"/>
          <w:color w:val="000000" w:themeColor="text1"/>
          <w:lang w:val="en-US"/>
        </w:rPr>
        <w:t xml:space="preserve">Baseline data for each company (including </w:t>
      </w:r>
      <w:r w:rsidR="0086229A">
        <w:rPr>
          <w:rFonts w:asciiTheme="minorHAnsi" w:hAnsiTheme="minorHAnsi"/>
          <w:color w:val="000000" w:themeColor="text1"/>
          <w:lang w:val="en-US"/>
        </w:rPr>
        <w:t xml:space="preserve">revenue, net income, full-time employees, </w:t>
      </w:r>
      <w:proofErr w:type="gramStart"/>
      <w:r w:rsidR="0086229A">
        <w:rPr>
          <w:rFonts w:asciiTheme="minorHAnsi" w:hAnsiTheme="minorHAnsi"/>
          <w:color w:val="000000" w:themeColor="text1"/>
          <w:lang w:val="en-US"/>
        </w:rPr>
        <w:t>part</w:t>
      </w:r>
      <w:proofErr w:type="gramEnd"/>
      <w:r w:rsidR="0086229A">
        <w:rPr>
          <w:rFonts w:asciiTheme="minorHAnsi" w:hAnsiTheme="minorHAnsi"/>
          <w:color w:val="000000" w:themeColor="text1"/>
          <w:lang w:val="en-US"/>
        </w:rPr>
        <w:t>-time employees</w:t>
      </w:r>
      <w:r w:rsidR="00DA2C3A">
        <w:rPr>
          <w:rFonts w:asciiTheme="minorHAnsi" w:hAnsiTheme="minorHAnsi"/>
          <w:color w:val="000000" w:themeColor="text1"/>
          <w:lang w:val="en-US"/>
        </w:rPr>
        <w:t xml:space="preserve">) is collected </w:t>
      </w:r>
      <w:r w:rsidR="0086229A">
        <w:rPr>
          <w:rFonts w:asciiTheme="minorHAnsi" w:hAnsiTheme="minorHAnsi"/>
          <w:color w:val="000000" w:themeColor="text1"/>
          <w:lang w:val="en-US"/>
        </w:rPr>
        <w:t>from</w:t>
      </w:r>
      <w:r w:rsidR="00DA2C3A">
        <w:rPr>
          <w:rFonts w:asciiTheme="minorHAnsi" w:hAnsiTheme="minorHAnsi"/>
          <w:color w:val="000000" w:themeColor="text1"/>
          <w:lang w:val="en-US"/>
        </w:rPr>
        <w:t xml:space="preserve"> their application to the Accelerator. </w:t>
      </w:r>
      <w:r w:rsidR="00DA2C3A" w:rsidRPr="0086229A">
        <w:rPr>
          <w:rFonts w:asciiTheme="minorHAnsi" w:hAnsiTheme="minorHAnsi"/>
          <w:color w:val="000000" w:themeColor="text1"/>
          <w:lang w:val="en-US"/>
        </w:rPr>
        <w:t xml:space="preserve">Upon accepting the invitation to participate in the Agora Accelerator, each company </w:t>
      </w:r>
      <w:r w:rsidR="0086229A" w:rsidRPr="0086229A">
        <w:rPr>
          <w:rFonts w:asciiTheme="minorHAnsi" w:hAnsiTheme="minorHAnsi"/>
          <w:color w:val="000000" w:themeColor="text1"/>
          <w:lang w:val="en-US"/>
        </w:rPr>
        <w:t xml:space="preserve">will sign an agreement to provide metrics to agora for three years post-participation in the Accelerator. </w:t>
      </w:r>
      <w:r w:rsidR="0086229A">
        <w:rPr>
          <w:rFonts w:asciiTheme="minorHAnsi" w:hAnsiTheme="minorHAnsi"/>
          <w:color w:val="000000" w:themeColor="text1"/>
          <w:lang w:val="en-US"/>
        </w:rPr>
        <w:t xml:space="preserve">During the Entrepreneur Retreat, all companies undergo the formal GIIRS rating process where they will determine 3-5 individual IRIS metrics that they will measure moving forward. All data is stored in </w:t>
      </w:r>
      <w:proofErr w:type="spellStart"/>
      <w:r w:rsidR="0086229A">
        <w:rPr>
          <w:rFonts w:asciiTheme="minorHAnsi" w:hAnsiTheme="minorHAnsi"/>
          <w:color w:val="000000" w:themeColor="text1"/>
          <w:lang w:val="en-US"/>
        </w:rPr>
        <w:t>SalesForce</w:t>
      </w:r>
      <w:proofErr w:type="spellEnd"/>
      <w:r w:rsidR="0086229A">
        <w:rPr>
          <w:rFonts w:asciiTheme="minorHAnsi" w:hAnsiTheme="minorHAnsi"/>
          <w:color w:val="000000" w:themeColor="text1"/>
          <w:lang w:val="en-US"/>
        </w:rPr>
        <w:t xml:space="preserve"> Pulse projects</w:t>
      </w:r>
      <w:r w:rsidR="00C355AD">
        <w:rPr>
          <w:rStyle w:val="FootnoteReference"/>
          <w:rFonts w:asciiTheme="minorHAnsi" w:hAnsiTheme="minorHAnsi"/>
          <w:color w:val="000000" w:themeColor="text1"/>
          <w:lang w:val="en-US"/>
        </w:rPr>
        <w:footnoteReference w:id="31"/>
      </w:r>
      <w:r w:rsidR="0086229A">
        <w:rPr>
          <w:rFonts w:asciiTheme="minorHAnsi" w:hAnsiTheme="minorHAnsi"/>
          <w:color w:val="000000" w:themeColor="text1"/>
          <w:lang w:val="en-US"/>
        </w:rPr>
        <w:t xml:space="preserve"> that are created for each company, is aggregated using salesforce reports, and is displayed on the Agora website</w:t>
      </w:r>
      <w:r w:rsidR="0086229A">
        <w:rPr>
          <w:rStyle w:val="FootnoteReference"/>
          <w:rFonts w:asciiTheme="minorHAnsi" w:hAnsiTheme="minorHAnsi"/>
          <w:color w:val="000000" w:themeColor="text1"/>
          <w:lang w:val="en-US"/>
        </w:rPr>
        <w:footnoteReference w:id="32"/>
      </w:r>
      <w:r w:rsidR="0086229A">
        <w:rPr>
          <w:rFonts w:asciiTheme="minorHAnsi" w:hAnsiTheme="minorHAnsi"/>
          <w:color w:val="000000" w:themeColor="text1"/>
          <w:lang w:val="en-US"/>
        </w:rPr>
        <w:t>.</w:t>
      </w:r>
    </w:p>
    <w:p w:rsidR="0086229A" w:rsidRDefault="0086229A" w:rsidP="00DA2C3A">
      <w:pPr>
        <w:pStyle w:val="Paragraph"/>
        <w:tabs>
          <w:tab w:val="clear" w:pos="720"/>
        </w:tabs>
        <w:ind w:left="702" w:firstLine="0"/>
        <w:rPr>
          <w:rFonts w:asciiTheme="minorHAnsi" w:hAnsiTheme="minorHAnsi"/>
          <w:color w:val="000000" w:themeColor="text1"/>
          <w:lang w:val="en-US"/>
        </w:rPr>
      </w:pPr>
      <w:r>
        <w:rPr>
          <w:rFonts w:asciiTheme="minorHAnsi" w:hAnsiTheme="minorHAnsi"/>
          <w:color w:val="000000" w:themeColor="text1"/>
          <w:lang w:val="en-US"/>
        </w:rPr>
        <w:t xml:space="preserve">Satisfaction is measured using surveys created on </w:t>
      </w:r>
      <w:proofErr w:type="spellStart"/>
      <w:r>
        <w:rPr>
          <w:rFonts w:asciiTheme="minorHAnsi" w:hAnsiTheme="minorHAnsi"/>
          <w:color w:val="000000" w:themeColor="text1"/>
          <w:lang w:val="en-US"/>
        </w:rPr>
        <w:t>SurveyGizmo</w:t>
      </w:r>
      <w:proofErr w:type="spellEnd"/>
      <w:r w:rsidR="00C355AD">
        <w:rPr>
          <w:rStyle w:val="FootnoteReference"/>
          <w:rFonts w:asciiTheme="minorHAnsi" w:hAnsiTheme="minorHAnsi"/>
          <w:color w:val="000000" w:themeColor="text1"/>
          <w:lang w:val="en-US"/>
        </w:rPr>
        <w:footnoteReference w:id="33"/>
      </w:r>
      <w:r>
        <w:rPr>
          <w:rFonts w:asciiTheme="minorHAnsi" w:hAnsiTheme="minorHAnsi"/>
          <w:color w:val="000000" w:themeColor="text1"/>
          <w:lang w:val="en-US"/>
        </w:rPr>
        <w:t xml:space="preserve">. This data is aggregated and stored in internal reports that outline the success of different elements of the Accelerator. Other types of data (such as the number of attendees for events, the number of views of knowledge materials) are measured through sign-in sheets, registration logs, and </w:t>
      </w:r>
      <w:proofErr w:type="spellStart"/>
      <w:r>
        <w:rPr>
          <w:rFonts w:asciiTheme="minorHAnsi" w:hAnsiTheme="minorHAnsi"/>
          <w:color w:val="000000" w:themeColor="text1"/>
          <w:lang w:val="en-US"/>
        </w:rPr>
        <w:t>icontact</w:t>
      </w:r>
      <w:proofErr w:type="spellEnd"/>
      <w:r>
        <w:rPr>
          <w:rFonts w:asciiTheme="minorHAnsi" w:hAnsiTheme="minorHAnsi"/>
          <w:color w:val="000000" w:themeColor="text1"/>
          <w:lang w:val="en-US"/>
        </w:rPr>
        <w:t xml:space="preserve"> for </w:t>
      </w:r>
      <w:proofErr w:type="spellStart"/>
      <w:r>
        <w:rPr>
          <w:rFonts w:asciiTheme="minorHAnsi" w:hAnsiTheme="minorHAnsi"/>
          <w:color w:val="000000" w:themeColor="text1"/>
          <w:lang w:val="en-US"/>
        </w:rPr>
        <w:t>SalesForce</w:t>
      </w:r>
      <w:proofErr w:type="spellEnd"/>
      <w:r w:rsidR="00C355AD">
        <w:rPr>
          <w:rStyle w:val="FootnoteReference"/>
          <w:rFonts w:asciiTheme="minorHAnsi" w:hAnsiTheme="minorHAnsi"/>
          <w:color w:val="000000" w:themeColor="text1"/>
          <w:lang w:val="en-US"/>
        </w:rPr>
        <w:footnoteReference w:id="34"/>
      </w:r>
      <w:r>
        <w:rPr>
          <w:rFonts w:asciiTheme="minorHAnsi" w:hAnsiTheme="minorHAnsi"/>
          <w:color w:val="000000" w:themeColor="text1"/>
          <w:lang w:val="en-US"/>
        </w:rPr>
        <w:t xml:space="preserve"> view tracking. </w:t>
      </w:r>
    </w:p>
    <w:p w:rsidR="00AF2165" w:rsidRDefault="00AF2165" w:rsidP="00DA2C3A">
      <w:pPr>
        <w:pStyle w:val="Paragraph"/>
        <w:tabs>
          <w:tab w:val="clear" w:pos="720"/>
        </w:tabs>
        <w:ind w:left="702" w:firstLine="0"/>
        <w:rPr>
          <w:rFonts w:asciiTheme="minorHAnsi" w:hAnsiTheme="minorHAnsi"/>
          <w:color w:val="000000" w:themeColor="text1"/>
          <w:lang w:val="en-US"/>
        </w:rPr>
      </w:pPr>
    </w:p>
    <w:p w:rsidR="002B3E4E" w:rsidRDefault="00027BC1" w:rsidP="000E5EB3">
      <w:pPr>
        <w:pStyle w:val="Paragraph"/>
        <w:numPr>
          <w:ilvl w:val="1"/>
          <w:numId w:val="1"/>
        </w:numPr>
        <w:ind w:hanging="702"/>
        <w:rPr>
          <w:rFonts w:asciiTheme="minorHAnsi" w:hAnsiTheme="minorHAnsi"/>
          <w:color w:val="000000" w:themeColor="text1"/>
          <w:lang w:val="en-US"/>
        </w:rPr>
      </w:pPr>
      <w:r w:rsidRPr="00A52CCF">
        <w:rPr>
          <w:rFonts w:asciiTheme="minorHAnsi" w:hAnsiTheme="minorHAnsi"/>
          <w:color w:val="000000" w:themeColor="text1"/>
          <w:u w:val="single"/>
          <w:lang w:val="en-US"/>
        </w:rPr>
        <w:t>Evaluation:</w:t>
      </w:r>
      <w:r w:rsidRPr="00A52CCF">
        <w:rPr>
          <w:rFonts w:asciiTheme="minorHAnsi" w:hAnsiTheme="minorHAnsi"/>
          <w:color w:val="000000" w:themeColor="text1"/>
          <w:lang w:val="en-US"/>
        </w:rPr>
        <w:t xml:space="preserve"> </w:t>
      </w:r>
      <w:r w:rsidR="00994B26" w:rsidRPr="00A52CCF">
        <w:rPr>
          <w:rFonts w:asciiTheme="minorHAnsi" w:hAnsiTheme="minorHAnsi"/>
          <w:color w:val="000000" w:themeColor="text1"/>
          <w:lang w:val="en-US"/>
        </w:rPr>
        <w:t xml:space="preserve">Given the short implementation period, the project will have a final </w:t>
      </w:r>
      <w:r w:rsidR="000F2666" w:rsidRPr="00A52CCF">
        <w:rPr>
          <w:rFonts w:asciiTheme="minorHAnsi" w:hAnsiTheme="minorHAnsi"/>
          <w:color w:val="000000" w:themeColor="text1"/>
          <w:lang w:val="en-US"/>
        </w:rPr>
        <w:t>evaluation, which</w:t>
      </w:r>
      <w:r w:rsidR="00994B26" w:rsidRPr="00A52CCF">
        <w:rPr>
          <w:rFonts w:asciiTheme="minorHAnsi" w:hAnsiTheme="minorHAnsi"/>
          <w:color w:val="000000" w:themeColor="text1"/>
          <w:lang w:val="en-US"/>
        </w:rPr>
        <w:t xml:space="preserve"> will be carried out at the end of the execution period and will be focused on the results achieved, the financial sustainability of the model, and the level of satisfaction of the participating start-up companies. Some of the evaluation </w:t>
      </w:r>
      <w:r w:rsidR="00A52CCF">
        <w:rPr>
          <w:rFonts w:asciiTheme="minorHAnsi" w:hAnsiTheme="minorHAnsi"/>
          <w:color w:val="000000" w:themeColor="text1"/>
          <w:lang w:val="en-US"/>
        </w:rPr>
        <w:t>questions to be answered are: T</w:t>
      </w:r>
      <w:r w:rsidR="00994B26" w:rsidRPr="00A52CCF">
        <w:rPr>
          <w:rFonts w:asciiTheme="minorHAnsi" w:hAnsiTheme="minorHAnsi"/>
          <w:color w:val="000000" w:themeColor="text1"/>
          <w:lang w:val="en-US"/>
        </w:rPr>
        <w:t>o what extent did Agora’s model strengthened the day-to-day operations of the targeted companies?</w:t>
      </w:r>
      <w:r w:rsidR="00A52CCF">
        <w:rPr>
          <w:rFonts w:asciiTheme="minorHAnsi" w:hAnsiTheme="minorHAnsi"/>
          <w:color w:val="000000" w:themeColor="text1"/>
          <w:lang w:val="en-US"/>
        </w:rPr>
        <w:t xml:space="preserve"> </w:t>
      </w:r>
      <w:r w:rsidR="00994B26" w:rsidRPr="00A52CCF">
        <w:rPr>
          <w:rFonts w:asciiTheme="minorHAnsi" w:hAnsiTheme="minorHAnsi"/>
          <w:color w:val="000000" w:themeColor="text1"/>
          <w:lang w:val="en-US"/>
        </w:rPr>
        <w:t xml:space="preserve">What are the prospects for the targeted companies to transition from investment readiness to scale?  </w:t>
      </w:r>
      <w:r w:rsidR="00CE255D" w:rsidRPr="00A52CCF">
        <w:rPr>
          <w:rFonts w:asciiTheme="minorHAnsi" w:hAnsiTheme="minorHAnsi"/>
          <w:color w:val="000000" w:themeColor="text1"/>
          <w:lang w:val="en-US"/>
        </w:rPr>
        <w:t>What were the obstacles encountered and how were they resolved?</w:t>
      </w:r>
    </w:p>
    <w:p w:rsidR="00AF2165" w:rsidRPr="00A52CCF" w:rsidRDefault="00AF2165" w:rsidP="00AF2165">
      <w:pPr>
        <w:pStyle w:val="Paragraph"/>
        <w:tabs>
          <w:tab w:val="clear" w:pos="720"/>
        </w:tabs>
        <w:ind w:left="360" w:firstLine="0"/>
        <w:rPr>
          <w:rFonts w:asciiTheme="minorHAnsi" w:hAnsiTheme="minorHAnsi"/>
          <w:color w:val="000000" w:themeColor="text1"/>
          <w:lang w:val="en-US"/>
        </w:rPr>
      </w:pPr>
    </w:p>
    <w:p w:rsidR="002B3E4E" w:rsidRDefault="00994B26" w:rsidP="000E5EB3">
      <w:pPr>
        <w:pStyle w:val="Paragraph"/>
        <w:numPr>
          <w:ilvl w:val="1"/>
          <w:numId w:val="1"/>
        </w:numPr>
        <w:ind w:hanging="702"/>
        <w:rPr>
          <w:rFonts w:asciiTheme="minorHAnsi" w:hAnsiTheme="minorHAnsi"/>
          <w:color w:val="000000" w:themeColor="text1"/>
          <w:lang w:val="en-US"/>
        </w:rPr>
      </w:pPr>
      <w:r w:rsidRPr="00A52CCF">
        <w:rPr>
          <w:rFonts w:asciiTheme="minorHAnsi" w:hAnsiTheme="minorHAnsi"/>
          <w:color w:val="000000" w:themeColor="text1"/>
          <w:lang w:val="en-US"/>
        </w:rPr>
        <w:t>This project has not been selected for an impact evaluation given th</w:t>
      </w:r>
      <w:r w:rsidR="00CE255D" w:rsidRPr="00A52CCF">
        <w:rPr>
          <w:rFonts w:asciiTheme="minorHAnsi" w:hAnsiTheme="minorHAnsi"/>
          <w:color w:val="000000" w:themeColor="text1"/>
          <w:lang w:val="en-US"/>
        </w:rPr>
        <w:t xml:space="preserve">e small number of </w:t>
      </w:r>
      <w:r w:rsidR="009D276E" w:rsidRPr="00A52CCF">
        <w:rPr>
          <w:rFonts w:asciiTheme="minorHAnsi" w:hAnsiTheme="minorHAnsi"/>
          <w:color w:val="000000" w:themeColor="text1"/>
          <w:lang w:val="en-US"/>
        </w:rPr>
        <w:t>observations (targeted companies) and because of the difficulty of finding a comparison group with heterogeneous characteristics</w:t>
      </w:r>
      <w:r w:rsidR="00CE255D" w:rsidRPr="00A52CCF">
        <w:rPr>
          <w:rFonts w:asciiTheme="minorHAnsi" w:hAnsiTheme="minorHAnsi"/>
          <w:color w:val="000000" w:themeColor="text1"/>
          <w:lang w:val="en-US"/>
        </w:rPr>
        <w:t>.</w:t>
      </w:r>
      <w:r w:rsidRPr="00A52CCF">
        <w:rPr>
          <w:rFonts w:asciiTheme="minorHAnsi" w:hAnsiTheme="minorHAnsi"/>
          <w:color w:val="000000" w:themeColor="text1"/>
          <w:lang w:val="en-US"/>
        </w:rPr>
        <w:t xml:space="preserve"> </w:t>
      </w:r>
    </w:p>
    <w:p w:rsidR="00AF2165" w:rsidRPr="00A52CCF" w:rsidRDefault="00AF2165" w:rsidP="00AF2165">
      <w:pPr>
        <w:pStyle w:val="Paragraph"/>
        <w:tabs>
          <w:tab w:val="clear" w:pos="720"/>
        </w:tabs>
        <w:ind w:left="0" w:firstLine="0"/>
        <w:rPr>
          <w:rFonts w:asciiTheme="minorHAnsi" w:hAnsiTheme="minorHAnsi"/>
          <w:color w:val="000000" w:themeColor="text1"/>
          <w:lang w:val="en-US"/>
        </w:rPr>
      </w:pPr>
    </w:p>
    <w:p w:rsidR="00104E2A" w:rsidRDefault="00104E2A" w:rsidP="000E5EB3">
      <w:pPr>
        <w:pStyle w:val="Paragraph"/>
        <w:numPr>
          <w:ilvl w:val="1"/>
          <w:numId w:val="1"/>
        </w:numPr>
        <w:ind w:hanging="702"/>
        <w:rPr>
          <w:rFonts w:asciiTheme="minorHAnsi" w:hAnsiTheme="minorHAnsi"/>
          <w:color w:val="000000" w:themeColor="text1"/>
          <w:lang w:val="en-US"/>
        </w:rPr>
      </w:pPr>
      <w:r>
        <w:rPr>
          <w:rFonts w:asciiTheme="minorHAnsi" w:hAnsiTheme="minorHAnsi"/>
          <w:color w:val="000000" w:themeColor="text1"/>
          <w:lang w:val="en-US"/>
        </w:rPr>
        <w:t xml:space="preserve">All companies are monitored for 3 years after participating in the Agora Accelerator. This is done through an annual survey that is administered </w:t>
      </w:r>
      <w:r w:rsidR="00026035">
        <w:rPr>
          <w:rFonts w:asciiTheme="minorHAnsi" w:hAnsiTheme="minorHAnsi"/>
          <w:color w:val="000000" w:themeColor="text1"/>
          <w:lang w:val="en-US"/>
        </w:rPr>
        <w:t xml:space="preserve">to all Accelerator alumni. </w:t>
      </w:r>
      <w:r w:rsidR="00026035" w:rsidRPr="0086229A">
        <w:rPr>
          <w:rFonts w:asciiTheme="minorHAnsi" w:hAnsiTheme="minorHAnsi"/>
          <w:color w:val="000000" w:themeColor="text1"/>
          <w:lang w:val="en-US"/>
        </w:rPr>
        <w:t xml:space="preserve">Upon accepting the invitation to participate in the Agora Accelerator, each company will sign an agreement to provide metrics to agora for three years post-participation in the Accelerator. </w:t>
      </w:r>
      <w:r w:rsidR="00026035">
        <w:rPr>
          <w:rFonts w:asciiTheme="minorHAnsi" w:hAnsiTheme="minorHAnsi"/>
          <w:color w:val="000000" w:themeColor="text1"/>
          <w:lang w:val="en-US"/>
        </w:rPr>
        <w:t>Data collected includes: total revenue, net income, permanent employees, permanent employees (female), temporary/seasonal employees, permanent employee wages (annual), local procurement (%),</w:t>
      </w:r>
      <w:r>
        <w:rPr>
          <w:rFonts w:asciiTheme="minorHAnsi" w:hAnsiTheme="minorHAnsi"/>
          <w:color w:val="000000" w:themeColor="text1"/>
          <w:lang w:val="en-US"/>
        </w:rPr>
        <w:t xml:space="preserve"> </w:t>
      </w:r>
      <w:r w:rsidR="00026035">
        <w:rPr>
          <w:rFonts w:asciiTheme="minorHAnsi" w:hAnsiTheme="minorHAnsi"/>
          <w:color w:val="000000" w:themeColor="text1"/>
          <w:lang w:val="en-US"/>
        </w:rPr>
        <w:t xml:space="preserve">individual IRIS metrics, number of deals closed since participation the Accelerator, size of each deal closed since participation in the </w:t>
      </w:r>
      <w:r w:rsidR="00026035">
        <w:rPr>
          <w:rFonts w:asciiTheme="minorHAnsi" w:hAnsiTheme="minorHAnsi"/>
          <w:color w:val="000000" w:themeColor="text1"/>
          <w:lang w:val="en-US"/>
        </w:rPr>
        <w:lastRenderedPageBreak/>
        <w:t>Accelerator. Companies are also monitored informally through contact at events, interviews for the Agora blog, and through their participation in Agora Alumni Services.</w:t>
      </w:r>
    </w:p>
    <w:p w:rsidR="00B04264" w:rsidRPr="00104E2A" w:rsidRDefault="00B04264" w:rsidP="00B04264">
      <w:pPr>
        <w:pStyle w:val="Paragraph"/>
        <w:tabs>
          <w:tab w:val="clear" w:pos="720"/>
        </w:tabs>
        <w:ind w:left="702" w:firstLine="0"/>
        <w:rPr>
          <w:rFonts w:asciiTheme="minorHAnsi" w:hAnsiTheme="minorHAnsi"/>
          <w:color w:val="000000" w:themeColor="text1"/>
          <w:lang w:val="en-US"/>
        </w:rPr>
      </w:pPr>
    </w:p>
    <w:p w:rsidR="002B3E4E" w:rsidRPr="00DA2509" w:rsidRDefault="002B3E4E" w:rsidP="000E5EB3">
      <w:pPr>
        <w:pStyle w:val="Chapter"/>
        <w:numPr>
          <w:ilvl w:val="0"/>
          <w:numId w:val="1"/>
        </w:numPr>
        <w:spacing w:before="120" w:after="0"/>
        <w:rPr>
          <w:rFonts w:asciiTheme="minorHAnsi" w:hAnsiTheme="minorHAnsi"/>
          <w:color w:val="000000" w:themeColor="text1"/>
          <w:lang w:val="en-US"/>
        </w:rPr>
      </w:pPr>
      <w:bookmarkStart w:id="6" w:name="_Toc309632505"/>
      <w:r w:rsidRPr="00DA2509">
        <w:rPr>
          <w:rFonts w:asciiTheme="minorHAnsi" w:hAnsiTheme="minorHAnsi"/>
          <w:color w:val="000000" w:themeColor="text1"/>
          <w:lang w:val="en-US"/>
        </w:rPr>
        <w:t>Cost and Financing</w:t>
      </w:r>
      <w:bookmarkEnd w:id="6"/>
    </w:p>
    <w:p w:rsidR="00AC2880" w:rsidRDefault="002B3E4E" w:rsidP="000E5EB3">
      <w:pPr>
        <w:pStyle w:val="Paragraph"/>
        <w:numPr>
          <w:ilvl w:val="1"/>
          <w:numId w:val="1"/>
        </w:numPr>
        <w:shd w:val="clear" w:color="auto" w:fill="FFFFFF"/>
        <w:ind w:left="720" w:hanging="720"/>
        <w:rPr>
          <w:rFonts w:asciiTheme="minorHAnsi" w:hAnsiTheme="minorHAnsi"/>
          <w:color w:val="000000" w:themeColor="text1"/>
          <w:lang w:val="en-US"/>
        </w:rPr>
      </w:pPr>
      <w:r w:rsidRPr="00A744BA">
        <w:rPr>
          <w:rFonts w:asciiTheme="minorHAnsi" w:hAnsiTheme="minorHAnsi"/>
          <w:color w:val="000000" w:themeColor="text1"/>
          <w:lang w:val="en-US"/>
        </w:rPr>
        <w:t xml:space="preserve">The project has a total cost of </w:t>
      </w:r>
      <w:r w:rsidR="00A023C3">
        <w:rPr>
          <w:rFonts w:asciiTheme="minorHAnsi" w:hAnsiTheme="minorHAnsi"/>
          <w:color w:val="000000" w:themeColor="text1"/>
          <w:lang w:val="en-US"/>
        </w:rPr>
        <w:t>$45</w:t>
      </w:r>
      <w:r w:rsidR="000E5EB3" w:rsidRPr="000E5EB3">
        <w:rPr>
          <w:rFonts w:asciiTheme="minorHAnsi" w:hAnsiTheme="minorHAnsi"/>
          <w:color w:val="000000" w:themeColor="text1"/>
          <w:lang w:val="en-US"/>
        </w:rPr>
        <w:t>9,625</w:t>
      </w:r>
      <w:r w:rsidRPr="00A744BA">
        <w:rPr>
          <w:rFonts w:asciiTheme="minorHAnsi" w:hAnsiTheme="minorHAnsi"/>
          <w:color w:val="000000" w:themeColor="text1"/>
          <w:lang w:val="en-US"/>
        </w:rPr>
        <w:t xml:space="preserve">, of which </w:t>
      </w:r>
      <w:r w:rsidR="000E5EB3" w:rsidRPr="000E5EB3">
        <w:rPr>
          <w:rFonts w:asciiTheme="minorHAnsi" w:hAnsiTheme="minorHAnsi"/>
          <w:color w:val="000000" w:themeColor="text1"/>
          <w:lang w:val="en-US"/>
        </w:rPr>
        <w:t>$251,249</w:t>
      </w:r>
      <w:r w:rsidRPr="00A744BA">
        <w:rPr>
          <w:rFonts w:asciiTheme="minorHAnsi" w:hAnsiTheme="minorHAnsi"/>
          <w:color w:val="000000" w:themeColor="text1"/>
          <w:lang w:val="en-US"/>
        </w:rPr>
        <w:t xml:space="preserve"> </w:t>
      </w:r>
      <w:r w:rsidR="00040B44" w:rsidRPr="00A744BA">
        <w:rPr>
          <w:rFonts w:asciiTheme="minorHAnsi" w:hAnsiTheme="minorHAnsi"/>
          <w:color w:val="000000" w:themeColor="text1"/>
          <w:lang w:val="en-US"/>
        </w:rPr>
        <w:t>(</w:t>
      </w:r>
      <w:r w:rsidR="00FB4508">
        <w:rPr>
          <w:rFonts w:asciiTheme="minorHAnsi" w:hAnsiTheme="minorHAnsi"/>
          <w:color w:val="000000" w:themeColor="text1"/>
          <w:lang w:val="en-US"/>
        </w:rPr>
        <w:t>5</w:t>
      </w:r>
      <w:r w:rsidR="000E5EB3" w:rsidRPr="000E5EB3">
        <w:rPr>
          <w:rFonts w:asciiTheme="minorHAnsi" w:hAnsiTheme="minorHAnsi"/>
          <w:color w:val="000000" w:themeColor="text1"/>
          <w:lang w:val="en-US"/>
        </w:rPr>
        <w:t>5%</w:t>
      </w:r>
      <w:r w:rsidRPr="00A744BA">
        <w:rPr>
          <w:rFonts w:asciiTheme="minorHAnsi" w:hAnsiTheme="minorHAnsi"/>
          <w:color w:val="000000" w:themeColor="text1"/>
          <w:lang w:val="en-US"/>
        </w:rPr>
        <w:t xml:space="preserve">) will be provided by the MIF, and </w:t>
      </w:r>
      <w:r w:rsidR="00FB4508">
        <w:rPr>
          <w:rFonts w:asciiTheme="minorHAnsi" w:hAnsiTheme="minorHAnsi"/>
          <w:color w:val="000000" w:themeColor="text1"/>
          <w:lang w:val="en-US"/>
        </w:rPr>
        <w:t>$208,376</w:t>
      </w:r>
      <w:r w:rsidR="000E5EB3" w:rsidRPr="00A744BA">
        <w:rPr>
          <w:rFonts w:asciiTheme="minorHAnsi" w:hAnsiTheme="minorHAnsi"/>
          <w:color w:val="000000" w:themeColor="text1"/>
          <w:lang w:val="en-US"/>
        </w:rPr>
        <w:t xml:space="preserve"> </w:t>
      </w:r>
      <w:r w:rsidR="00332A1C" w:rsidRPr="00A744BA">
        <w:rPr>
          <w:rFonts w:asciiTheme="minorHAnsi" w:hAnsiTheme="minorHAnsi"/>
          <w:color w:val="000000" w:themeColor="text1"/>
          <w:lang w:val="en-US"/>
        </w:rPr>
        <w:t>(</w:t>
      </w:r>
      <w:r w:rsidR="00FB4508">
        <w:rPr>
          <w:rFonts w:asciiTheme="minorHAnsi" w:hAnsiTheme="minorHAnsi"/>
          <w:color w:val="000000" w:themeColor="text1"/>
          <w:lang w:val="en-US"/>
        </w:rPr>
        <w:t>45</w:t>
      </w:r>
      <w:r w:rsidR="000E5EB3" w:rsidRPr="000E5EB3">
        <w:rPr>
          <w:rFonts w:asciiTheme="minorHAnsi" w:hAnsiTheme="minorHAnsi"/>
          <w:color w:val="000000" w:themeColor="text1"/>
          <w:lang w:val="en-US"/>
        </w:rPr>
        <w:t>%</w:t>
      </w:r>
      <w:r w:rsidR="000E5EB3">
        <w:rPr>
          <w:rFonts w:asciiTheme="minorHAnsi" w:hAnsiTheme="minorHAnsi"/>
          <w:color w:val="000000" w:themeColor="text1"/>
          <w:lang w:val="en-US"/>
        </w:rPr>
        <w:t>)</w:t>
      </w:r>
      <w:r w:rsidRPr="00A744BA">
        <w:rPr>
          <w:rFonts w:asciiTheme="minorHAnsi" w:hAnsiTheme="minorHAnsi"/>
          <w:color w:val="000000" w:themeColor="text1"/>
          <w:lang w:val="en-US"/>
        </w:rPr>
        <w:t xml:space="preserve"> by the counterpart. The execution period will be of </w:t>
      </w:r>
      <w:r w:rsidR="000E5EB3">
        <w:rPr>
          <w:rFonts w:asciiTheme="minorHAnsi" w:hAnsiTheme="minorHAnsi"/>
          <w:color w:val="000000" w:themeColor="text1"/>
          <w:lang w:val="en-US"/>
        </w:rPr>
        <w:t>18</w:t>
      </w:r>
      <w:r w:rsidRPr="00A744BA">
        <w:rPr>
          <w:rFonts w:asciiTheme="minorHAnsi" w:hAnsiTheme="minorHAnsi"/>
          <w:color w:val="000000" w:themeColor="text1"/>
          <w:lang w:val="en-US"/>
        </w:rPr>
        <w:t xml:space="preserve"> months and the disbursement period will be of </w:t>
      </w:r>
      <w:r w:rsidR="000E5EB3">
        <w:rPr>
          <w:rFonts w:asciiTheme="minorHAnsi" w:hAnsiTheme="minorHAnsi"/>
          <w:color w:val="000000" w:themeColor="text1"/>
          <w:lang w:val="en-US"/>
        </w:rPr>
        <w:t>24 months.</w:t>
      </w:r>
      <w:r w:rsidR="003D452C" w:rsidRPr="00A744BA">
        <w:rPr>
          <w:rFonts w:asciiTheme="minorHAnsi" w:hAnsiTheme="minorHAnsi"/>
          <w:color w:val="000000" w:themeColor="text1"/>
          <w:lang w:val="en-US"/>
        </w:rPr>
        <w:t xml:space="preserve"> </w:t>
      </w:r>
      <w:r w:rsidRPr="00A744BA">
        <w:rPr>
          <w:rFonts w:asciiTheme="minorHAnsi" w:hAnsiTheme="minorHAnsi"/>
          <w:color w:val="000000" w:themeColor="text1"/>
          <w:lang w:val="en-US"/>
        </w:rPr>
        <w:t xml:space="preserve"> </w:t>
      </w:r>
    </w:p>
    <w:p w:rsidR="00C23671" w:rsidRPr="00DA2509" w:rsidRDefault="00C23671" w:rsidP="000E5EB3">
      <w:pPr>
        <w:pStyle w:val="Paragraph"/>
        <w:shd w:val="clear" w:color="auto" w:fill="FFFFFF"/>
        <w:spacing w:after="0"/>
        <w:ind w:left="360" w:hanging="360"/>
        <w:rPr>
          <w:rFonts w:asciiTheme="minorHAnsi" w:hAnsiTheme="minorHAnsi"/>
          <w:color w:val="000000" w:themeColor="text1"/>
          <w:lang w:val="en-US"/>
        </w:rPr>
      </w:pPr>
    </w:p>
    <w:tbl>
      <w:tblPr>
        <w:tblW w:w="9076" w:type="dxa"/>
        <w:jc w:val="center"/>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8"/>
        <w:gridCol w:w="1735"/>
        <w:gridCol w:w="1890"/>
        <w:gridCol w:w="1723"/>
      </w:tblGrid>
      <w:tr w:rsidR="00DA2509" w:rsidRPr="00DA2509">
        <w:trPr>
          <w:trHeight w:val="572"/>
          <w:jc w:val="center"/>
        </w:trPr>
        <w:tc>
          <w:tcPr>
            <w:tcW w:w="3728" w:type="dxa"/>
            <w:shd w:val="clear" w:color="auto" w:fill="B8CCE4" w:themeFill="accent1" w:themeFillTint="66"/>
            <w:vAlign w:val="center"/>
          </w:tcPr>
          <w:p w:rsidR="00366F17" w:rsidRPr="00DA2509" w:rsidRDefault="00366F17" w:rsidP="000E5EB3">
            <w:pPr>
              <w:ind w:left="360" w:hanging="360"/>
              <w:jc w:val="center"/>
              <w:rPr>
                <w:rFonts w:asciiTheme="minorHAnsi" w:hAnsiTheme="minorHAnsi"/>
                <w:b/>
                <w:color w:val="000000" w:themeColor="text1"/>
              </w:rPr>
            </w:pPr>
            <w:r w:rsidRPr="00DA2509">
              <w:rPr>
                <w:rFonts w:asciiTheme="minorHAnsi" w:hAnsiTheme="minorHAnsi"/>
                <w:b/>
                <w:color w:val="000000" w:themeColor="text1"/>
              </w:rPr>
              <w:t>Components</w:t>
            </w:r>
          </w:p>
        </w:tc>
        <w:tc>
          <w:tcPr>
            <w:tcW w:w="1735" w:type="dxa"/>
            <w:shd w:val="clear" w:color="auto" w:fill="B8CCE4" w:themeFill="accent1" w:themeFillTint="66"/>
            <w:vAlign w:val="center"/>
          </w:tcPr>
          <w:p w:rsidR="00366F17" w:rsidRPr="00DA2509" w:rsidRDefault="00366F17" w:rsidP="000E5EB3">
            <w:pPr>
              <w:ind w:left="360" w:hanging="360"/>
              <w:jc w:val="center"/>
              <w:rPr>
                <w:rFonts w:asciiTheme="minorHAnsi" w:hAnsiTheme="minorHAnsi"/>
                <w:b/>
                <w:color w:val="000000" w:themeColor="text1"/>
              </w:rPr>
            </w:pPr>
            <w:r w:rsidRPr="00DA2509">
              <w:rPr>
                <w:rFonts w:asciiTheme="minorHAnsi" w:hAnsiTheme="minorHAnsi"/>
                <w:b/>
                <w:color w:val="000000" w:themeColor="text1"/>
              </w:rPr>
              <w:t>MIF</w:t>
            </w:r>
          </w:p>
        </w:tc>
        <w:tc>
          <w:tcPr>
            <w:tcW w:w="1890" w:type="dxa"/>
            <w:shd w:val="clear" w:color="auto" w:fill="B8CCE4" w:themeFill="accent1" w:themeFillTint="66"/>
            <w:vAlign w:val="center"/>
          </w:tcPr>
          <w:p w:rsidR="00366F17" w:rsidRPr="00DA2509" w:rsidRDefault="00366F17" w:rsidP="000E5EB3">
            <w:pPr>
              <w:ind w:left="360" w:hanging="360"/>
              <w:jc w:val="center"/>
              <w:rPr>
                <w:rFonts w:asciiTheme="minorHAnsi" w:hAnsiTheme="minorHAnsi"/>
                <w:b/>
                <w:color w:val="000000" w:themeColor="text1"/>
              </w:rPr>
            </w:pPr>
            <w:r w:rsidRPr="00DA2509">
              <w:rPr>
                <w:rFonts w:asciiTheme="minorHAnsi" w:hAnsiTheme="minorHAnsi"/>
                <w:b/>
                <w:color w:val="000000" w:themeColor="text1"/>
              </w:rPr>
              <w:t>Counterpart</w:t>
            </w:r>
          </w:p>
        </w:tc>
        <w:tc>
          <w:tcPr>
            <w:tcW w:w="1723" w:type="dxa"/>
            <w:shd w:val="clear" w:color="auto" w:fill="B8CCE4" w:themeFill="accent1" w:themeFillTint="66"/>
            <w:vAlign w:val="center"/>
          </w:tcPr>
          <w:p w:rsidR="00366F17" w:rsidRPr="00DA2509" w:rsidRDefault="00366F17" w:rsidP="000E5EB3">
            <w:pPr>
              <w:ind w:left="360" w:hanging="360"/>
              <w:jc w:val="center"/>
              <w:rPr>
                <w:rFonts w:asciiTheme="minorHAnsi" w:hAnsiTheme="minorHAnsi"/>
                <w:b/>
                <w:color w:val="000000" w:themeColor="text1"/>
              </w:rPr>
            </w:pPr>
            <w:r w:rsidRPr="00DA2509">
              <w:rPr>
                <w:rFonts w:asciiTheme="minorHAnsi" w:hAnsiTheme="minorHAnsi"/>
                <w:b/>
                <w:color w:val="000000" w:themeColor="text1"/>
              </w:rPr>
              <w:t>Total</w:t>
            </w:r>
          </w:p>
        </w:tc>
      </w:tr>
      <w:tr w:rsidR="00DA2509" w:rsidRPr="00DA2509">
        <w:trPr>
          <w:trHeight w:val="240"/>
          <w:jc w:val="center"/>
        </w:trPr>
        <w:tc>
          <w:tcPr>
            <w:tcW w:w="3728" w:type="dxa"/>
            <w:vAlign w:val="center"/>
          </w:tcPr>
          <w:p w:rsidR="00366F17" w:rsidRPr="00DA2509" w:rsidRDefault="00366F17" w:rsidP="00CB2768">
            <w:pPr>
              <w:ind w:left="20"/>
              <w:rPr>
                <w:rFonts w:asciiTheme="minorHAnsi" w:hAnsiTheme="minorHAnsi"/>
                <w:color w:val="000000" w:themeColor="text1"/>
              </w:rPr>
            </w:pPr>
            <w:r w:rsidRPr="00DA2509">
              <w:rPr>
                <w:rFonts w:asciiTheme="minorHAnsi" w:hAnsiTheme="minorHAnsi"/>
                <w:color w:val="000000" w:themeColor="text1"/>
              </w:rPr>
              <w:t xml:space="preserve">Component </w:t>
            </w:r>
            <w:r w:rsidR="00332A1C" w:rsidRPr="00DA2509">
              <w:rPr>
                <w:rFonts w:asciiTheme="minorHAnsi" w:hAnsiTheme="minorHAnsi"/>
                <w:color w:val="000000" w:themeColor="text1"/>
              </w:rPr>
              <w:t>1</w:t>
            </w:r>
            <w:r w:rsidR="00A744BA">
              <w:rPr>
                <w:rFonts w:asciiTheme="minorHAnsi" w:hAnsiTheme="minorHAnsi"/>
                <w:color w:val="000000" w:themeColor="text1"/>
              </w:rPr>
              <w:t xml:space="preserve">: </w:t>
            </w:r>
            <w:r w:rsidR="00A744BA" w:rsidRPr="00A744BA">
              <w:rPr>
                <w:rFonts w:asciiTheme="minorHAnsi" w:hAnsiTheme="minorHAnsi"/>
                <w:color w:val="000000" w:themeColor="text1"/>
              </w:rPr>
              <w:t>Recruitment, selection and on-boarding of access to basic services companies in the 2015 Agora Accelerator</w:t>
            </w:r>
          </w:p>
        </w:tc>
        <w:tc>
          <w:tcPr>
            <w:tcW w:w="1735" w:type="dxa"/>
            <w:vAlign w:val="center"/>
          </w:tcPr>
          <w:p w:rsidR="00366F17" w:rsidRPr="00DA2509" w:rsidRDefault="00D20E8B" w:rsidP="000E5EB3">
            <w:pPr>
              <w:ind w:left="360" w:hanging="360"/>
              <w:jc w:val="center"/>
              <w:rPr>
                <w:rFonts w:asciiTheme="minorHAnsi" w:hAnsiTheme="minorHAnsi"/>
                <w:color w:val="000000" w:themeColor="text1"/>
              </w:rPr>
            </w:pPr>
            <w:r>
              <w:rPr>
                <w:rFonts w:asciiTheme="minorHAnsi" w:hAnsiTheme="minorHAnsi"/>
                <w:color w:val="000000" w:themeColor="text1"/>
              </w:rPr>
              <w:t>$26,010</w:t>
            </w:r>
          </w:p>
        </w:tc>
        <w:tc>
          <w:tcPr>
            <w:tcW w:w="1890" w:type="dxa"/>
            <w:vAlign w:val="center"/>
          </w:tcPr>
          <w:p w:rsidR="00366F17" w:rsidRPr="00DA2509" w:rsidRDefault="00D20E8B" w:rsidP="000E5EB3">
            <w:pPr>
              <w:ind w:left="360" w:hanging="360"/>
              <w:jc w:val="center"/>
              <w:rPr>
                <w:rFonts w:asciiTheme="minorHAnsi" w:hAnsiTheme="minorHAnsi"/>
                <w:color w:val="000000" w:themeColor="text1"/>
              </w:rPr>
            </w:pPr>
            <w:r>
              <w:rPr>
                <w:rFonts w:asciiTheme="minorHAnsi" w:hAnsiTheme="minorHAnsi"/>
                <w:color w:val="000000" w:themeColor="text1"/>
              </w:rPr>
              <w:t>$14,190</w:t>
            </w:r>
          </w:p>
        </w:tc>
        <w:tc>
          <w:tcPr>
            <w:tcW w:w="1723" w:type="dxa"/>
            <w:vAlign w:val="center"/>
          </w:tcPr>
          <w:p w:rsidR="00366F17" w:rsidRPr="00DA2509" w:rsidRDefault="000E5EB3" w:rsidP="000E5EB3">
            <w:pPr>
              <w:ind w:left="360" w:hanging="360"/>
              <w:jc w:val="center"/>
              <w:rPr>
                <w:rFonts w:asciiTheme="minorHAnsi" w:hAnsiTheme="minorHAnsi"/>
                <w:color w:val="000000" w:themeColor="text1"/>
              </w:rPr>
            </w:pPr>
            <w:r>
              <w:rPr>
                <w:rFonts w:asciiTheme="minorHAnsi" w:hAnsiTheme="minorHAnsi"/>
                <w:color w:val="000000" w:themeColor="text1"/>
              </w:rPr>
              <w:t>$</w:t>
            </w:r>
            <w:r w:rsidR="00D20E8B">
              <w:rPr>
                <w:rFonts w:asciiTheme="minorHAnsi" w:hAnsiTheme="minorHAnsi"/>
                <w:color w:val="000000" w:themeColor="text1"/>
              </w:rPr>
              <w:t>40,200</w:t>
            </w:r>
          </w:p>
        </w:tc>
      </w:tr>
      <w:tr w:rsidR="00DA2509" w:rsidRPr="00DA2509">
        <w:trPr>
          <w:trHeight w:val="240"/>
          <w:jc w:val="center"/>
        </w:trPr>
        <w:tc>
          <w:tcPr>
            <w:tcW w:w="3728" w:type="dxa"/>
            <w:vAlign w:val="center"/>
          </w:tcPr>
          <w:p w:rsidR="00366F17" w:rsidRPr="00D20E8B" w:rsidRDefault="00A744BA" w:rsidP="00CB2768">
            <w:pPr>
              <w:ind w:left="20"/>
              <w:rPr>
                <w:rFonts w:asciiTheme="minorHAnsi" w:hAnsiTheme="minorHAnsi"/>
                <w:color w:val="000000" w:themeColor="text1"/>
              </w:rPr>
            </w:pPr>
            <w:r w:rsidRPr="00D20E8B">
              <w:rPr>
                <w:rFonts w:asciiTheme="minorHAnsi" w:hAnsiTheme="minorHAnsi"/>
                <w:color w:val="000000" w:themeColor="text1"/>
              </w:rPr>
              <w:t>Component 2: Preparation and execution of the 2015 Agora Accelerator (Entrepreneur Retreat and business consulting)</w:t>
            </w:r>
          </w:p>
        </w:tc>
        <w:tc>
          <w:tcPr>
            <w:tcW w:w="1735" w:type="dxa"/>
            <w:vAlign w:val="center"/>
          </w:tcPr>
          <w:p w:rsidR="00366F17" w:rsidRPr="00DA2509" w:rsidRDefault="00D20E8B" w:rsidP="000E5EB3">
            <w:pPr>
              <w:ind w:left="360" w:hanging="360"/>
              <w:jc w:val="center"/>
              <w:rPr>
                <w:rFonts w:asciiTheme="minorHAnsi" w:hAnsiTheme="minorHAnsi"/>
                <w:color w:val="000000" w:themeColor="text1"/>
              </w:rPr>
            </w:pPr>
            <w:r>
              <w:rPr>
                <w:rFonts w:asciiTheme="minorHAnsi" w:hAnsiTheme="minorHAnsi"/>
                <w:color w:val="000000" w:themeColor="text1"/>
              </w:rPr>
              <w:t>$145,104</w:t>
            </w:r>
          </w:p>
        </w:tc>
        <w:tc>
          <w:tcPr>
            <w:tcW w:w="1890" w:type="dxa"/>
            <w:vAlign w:val="center"/>
          </w:tcPr>
          <w:p w:rsidR="00366F17" w:rsidRPr="00DA2509" w:rsidRDefault="00FB4508" w:rsidP="000E5EB3">
            <w:pPr>
              <w:ind w:left="360" w:hanging="360"/>
              <w:jc w:val="center"/>
              <w:rPr>
                <w:rFonts w:asciiTheme="minorHAnsi" w:hAnsiTheme="minorHAnsi"/>
                <w:color w:val="000000" w:themeColor="text1"/>
              </w:rPr>
            </w:pPr>
            <w:r>
              <w:rPr>
                <w:rFonts w:asciiTheme="minorHAnsi" w:hAnsiTheme="minorHAnsi"/>
                <w:color w:val="000000" w:themeColor="text1"/>
              </w:rPr>
              <w:t>$82</w:t>
            </w:r>
            <w:r w:rsidR="00D20E8B">
              <w:rPr>
                <w:rFonts w:asciiTheme="minorHAnsi" w:hAnsiTheme="minorHAnsi"/>
                <w:color w:val="000000" w:themeColor="text1"/>
              </w:rPr>
              <w:t>,331</w:t>
            </w:r>
          </w:p>
        </w:tc>
        <w:tc>
          <w:tcPr>
            <w:tcW w:w="1723" w:type="dxa"/>
            <w:vAlign w:val="center"/>
          </w:tcPr>
          <w:p w:rsidR="00366F17" w:rsidRPr="00DA2509" w:rsidRDefault="000E5EB3" w:rsidP="000E5EB3">
            <w:pPr>
              <w:ind w:left="360" w:hanging="360"/>
              <w:jc w:val="center"/>
              <w:rPr>
                <w:rFonts w:asciiTheme="minorHAnsi" w:hAnsiTheme="minorHAnsi"/>
                <w:color w:val="000000" w:themeColor="text1"/>
              </w:rPr>
            </w:pPr>
            <w:r>
              <w:rPr>
                <w:rFonts w:asciiTheme="minorHAnsi" w:hAnsiTheme="minorHAnsi"/>
                <w:color w:val="000000" w:themeColor="text1"/>
              </w:rPr>
              <w:t>$</w:t>
            </w:r>
            <w:r w:rsidR="00FB4508">
              <w:rPr>
                <w:rFonts w:asciiTheme="minorHAnsi" w:hAnsiTheme="minorHAnsi"/>
                <w:color w:val="000000" w:themeColor="text1"/>
              </w:rPr>
              <w:t>227</w:t>
            </w:r>
            <w:r w:rsidR="00D20E8B">
              <w:rPr>
                <w:rFonts w:asciiTheme="minorHAnsi" w:hAnsiTheme="minorHAnsi"/>
                <w:color w:val="000000" w:themeColor="text1"/>
              </w:rPr>
              <w:t>,435</w:t>
            </w:r>
          </w:p>
        </w:tc>
      </w:tr>
      <w:tr w:rsidR="00DA2509" w:rsidRPr="00DA2509">
        <w:trPr>
          <w:trHeight w:val="240"/>
          <w:jc w:val="center"/>
        </w:trPr>
        <w:tc>
          <w:tcPr>
            <w:tcW w:w="3728" w:type="dxa"/>
            <w:vAlign w:val="center"/>
          </w:tcPr>
          <w:p w:rsidR="00366F17" w:rsidRPr="00D20E8B" w:rsidRDefault="00A744BA" w:rsidP="00CB2768">
            <w:pPr>
              <w:ind w:left="20"/>
              <w:rPr>
                <w:rFonts w:asciiTheme="minorHAnsi" w:hAnsiTheme="minorHAnsi"/>
                <w:color w:val="000000" w:themeColor="text1"/>
              </w:rPr>
            </w:pPr>
            <w:r w:rsidRPr="00D20E8B">
              <w:rPr>
                <w:rFonts w:asciiTheme="minorHAnsi" w:hAnsiTheme="minorHAnsi"/>
                <w:color w:val="000000" w:themeColor="text1"/>
              </w:rPr>
              <w:t>Component 3: Investor matchmaking and impact investing in action (IIA) partnerships</w:t>
            </w:r>
          </w:p>
        </w:tc>
        <w:tc>
          <w:tcPr>
            <w:tcW w:w="1735" w:type="dxa"/>
            <w:vAlign w:val="center"/>
          </w:tcPr>
          <w:p w:rsidR="00366F17" w:rsidRPr="00DA2509" w:rsidRDefault="00D20E8B" w:rsidP="000E5EB3">
            <w:pPr>
              <w:ind w:left="360" w:hanging="360"/>
              <w:jc w:val="center"/>
              <w:rPr>
                <w:rFonts w:asciiTheme="minorHAnsi" w:hAnsiTheme="minorHAnsi"/>
                <w:color w:val="000000" w:themeColor="text1"/>
              </w:rPr>
            </w:pPr>
            <w:r>
              <w:rPr>
                <w:rFonts w:asciiTheme="minorHAnsi" w:hAnsiTheme="minorHAnsi"/>
                <w:color w:val="000000" w:themeColor="text1"/>
              </w:rPr>
              <w:t>$45,135</w:t>
            </w:r>
          </w:p>
        </w:tc>
        <w:tc>
          <w:tcPr>
            <w:tcW w:w="1890" w:type="dxa"/>
            <w:vAlign w:val="center"/>
          </w:tcPr>
          <w:p w:rsidR="00366F17" w:rsidRPr="00DA2509" w:rsidRDefault="00FB4508" w:rsidP="000E5EB3">
            <w:pPr>
              <w:ind w:left="360" w:hanging="360"/>
              <w:jc w:val="center"/>
              <w:rPr>
                <w:rFonts w:asciiTheme="minorHAnsi" w:hAnsiTheme="minorHAnsi"/>
                <w:color w:val="000000" w:themeColor="text1"/>
              </w:rPr>
            </w:pPr>
            <w:r>
              <w:rPr>
                <w:rFonts w:asciiTheme="minorHAnsi" w:hAnsiTheme="minorHAnsi"/>
                <w:color w:val="000000" w:themeColor="text1"/>
              </w:rPr>
              <w:t>$22</w:t>
            </w:r>
            <w:r w:rsidR="00D20E8B">
              <w:rPr>
                <w:rFonts w:asciiTheme="minorHAnsi" w:hAnsiTheme="minorHAnsi"/>
                <w:color w:val="000000" w:themeColor="text1"/>
              </w:rPr>
              <w:t>,965</w:t>
            </w:r>
          </w:p>
        </w:tc>
        <w:tc>
          <w:tcPr>
            <w:tcW w:w="1723" w:type="dxa"/>
            <w:vAlign w:val="center"/>
          </w:tcPr>
          <w:p w:rsidR="00366F17" w:rsidRPr="00DA2509" w:rsidRDefault="000E5EB3" w:rsidP="000E5EB3">
            <w:pPr>
              <w:ind w:left="360" w:hanging="360"/>
              <w:jc w:val="center"/>
              <w:rPr>
                <w:rFonts w:asciiTheme="minorHAnsi" w:hAnsiTheme="minorHAnsi"/>
                <w:color w:val="000000" w:themeColor="text1"/>
              </w:rPr>
            </w:pPr>
            <w:r>
              <w:rPr>
                <w:rFonts w:asciiTheme="minorHAnsi" w:hAnsiTheme="minorHAnsi"/>
                <w:color w:val="000000" w:themeColor="text1"/>
              </w:rPr>
              <w:t>$</w:t>
            </w:r>
            <w:r w:rsidR="00FB4508">
              <w:rPr>
                <w:rFonts w:asciiTheme="minorHAnsi" w:hAnsiTheme="minorHAnsi"/>
                <w:color w:val="000000" w:themeColor="text1"/>
              </w:rPr>
              <w:t>68</w:t>
            </w:r>
            <w:r w:rsidR="00D20E8B">
              <w:rPr>
                <w:rFonts w:asciiTheme="minorHAnsi" w:hAnsiTheme="minorHAnsi"/>
                <w:color w:val="000000" w:themeColor="text1"/>
              </w:rPr>
              <w:t>,100</w:t>
            </w:r>
          </w:p>
        </w:tc>
      </w:tr>
      <w:tr w:rsidR="00DA2509" w:rsidRPr="00DA2509">
        <w:trPr>
          <w:trHeight w:val="240"/>
          <w:jc w:val="center"/>
        </w:trPr>
        <w:tc>
          <w:tcPr>
            <w:tcW w:w="3728" w:type="dxa"/>
            <w:vAlign w:val="center"/>
          </w:tcPr>
          <w:p w:rsidR="00366F17" w:rsidRPr="00D20E8B" w:rsidRDefault="00A744BA" w:rsidP="00CB2768">
            <w:pPr>
              <w:ind w:left="20"/>
              <w:rPr>
                <w:rFonts w:asciiTheme="minorHAnsi" w:hAnsiTheme="minorHAnsi"/>
                <w:color w:val="000000" w:themeColor="text1"/>
              </w:rPr>
            </w:pPr>
            <w:r w:rsidRPr="00D20E8B">
              <w:rPr>
                <w:rFonts w:asciiTheme="minorHAnsi" w:hAnsiTheme="minorHAnsi"/>
                <w:color w:val="000000" w:themeColor="text1"/>
              </w:rPr>
              <w:t>Component 4: Development of multimedia project and case study</w:t>
            </w:r>
          </w:p>
        </w:tc>
        <w:tc>
          <w:tcPr>
            <w:tcW w:w="1735" w:type="dxa"/>
            <w:vAlign w:val="center"/>
          </w:tcPr>
          <w:p w:rsidR="00366F17" w:rsidRPr="00DA2509" w:rsidRDefault="00D20E8B" w:rsidP="000E5EB3">
            <w:pPr>
              <w:ind w:left="360" w:hanging="360"/>
              <w:jc w:val="center"/>
              <w:rPr>
                <w:rFonts w:asciiTheme="minorHAnsi" w:hAnsiTheme="minorHAnsi"/>
                <w:color w:val="000000" w:themeColor="text1"/>
              </w:rPr>
            </w:pPr>
            <w:r>
              <w:rPr>
                <w:rFonts w:asciiTheme="minorHAnsi" w:hAnsiTheme="minorHAnsi"/>
                <w:color w:val="000000" w:themeColor="text1"/>
              </w:rPr>
              <w:t>$5,000</w:t>
            </w:r>
          </w:p>
        </w:tc>
        <w:tc>
          <w:tcPr>
            <w:tcW w:w="1890" w:type="dxa"/>
            <w:vAlign w:val="center"/>
          </w:tcPr>
          <w:p w:rsidR="00366F17" w:rsidRPr="00DA2509" w:rsidRDefault="00D20E8B" w:rsidP="000E5EB3">
            <w:pPr>
              <w:ind w:left="360" w:hanging="360"/>
              <w:jc w:val="center"/>
              <w:rPr>
                <w:rFonts w:asciiTheme="minorHAnsi" w:hAnsiTheme="minorHAnsi"/>
                <w:color w:val="000000" w:themeColor="text1"/>
              </w:rPr>
            </w:pPr>
            <w:r>
              <w:rPr>
                <w:rFonts w:asciiTheme="minorHAnsi" w:hAnsiTheme="minorHAnsi"/>
                <w:color w:val="000000" w:themeColor="text1"/>
              </w:rPr>
              <w:t>$15,000</w:t>
            </w:r>
          </w:p>
        </w:tc>
        <w:tc>
          <w:tcPr>
            <w:tcW w:w="1723" w:type="dxa"/>
            <w:vAlign w:val="center"/>
          </w:tcPr>
          <w:p w:rsidR="00366F17" w:rsidRPr="00DA2509" w:rsidRDefault="000E5EB3" w:rsidP="000E5EB3">
            <w:pPr>
              <w:ind w:left="360" w:hanging="360"/>
              <w:jc w:val="center"/>
              <w:rPr>
                <w:rFonts w:asciiTheme="minorHAnsi" w:hAnsiTheme="minorHAnsi"/>
                <w:color w:val="000000" w:themeColor="text1"/>
              </w:rPr>
            </w:pPr>
            <w:r>
              <w:rPr>
                <w:rFonts w:asciiTheme="minorHAnsi" w:hAnsiTheme="minorHAnsi"/>
                <w:color w:val="000000" w:themeColor="text1"/>
              </w:rPr>
              <w:t>$</w:t>
            </w:r>
            <w:r w:rsidR="00D20E8B">
              <w:rPr>
                <w:rFonts w:asciiTheme="minorHAnsi" w:hAnsiTheme="minorHAnsi"/>
                <w:color w:val="000000" w:themeColor="text1"/>
              </w:rPr>
              <w:t>20,000</w:t>
            </w:r>
          </w:p>
        </w:tc>
      </w:tr>
      <w:tr w:rsidR="00D20E8B" w:rsidRPr="00D20E8B">
        <w:trPr>
          <w:trHeight w:val="240"/>
          <w:jc w:val="center"/>
        </w:trPr>
        <w:tc>
          <w:tcPr>
            <w:tcW w:w="3728" w:type="dxa"/>
            <w:shd w:val="clear" w:color="auto" w:fill="B8CCE4" w:themeFill="accent1" w:themeFillTint="66"/>
            <w:vAlign w:val="center"/>
          </w:tcPr>
          <w:p w:rsidR="00D20E8B" w:rsidRPr="00D20E8B" w:rsidRDefault="00043062" w:rsidP="00043062">
            <w:pPr>
              <w:rPr>
                <w:rFonts w:asciiTheme="minorHAnsi" w:hAnsiTheme="minorHAnsi"/>
                <w:color w:val="000000"/>
                <w:szCs w:val="22"/>
                <w:lang w:val="es-ES_tradnl"/>
              </w:rPr>
            </w:pPr>
            <w:r>
              <w:rPr>
                <w:rFonts w:asciiTheme="minorHAnsi" w:hAnsiTheme="minorHAnsi"/>
                <w:color w:val="000000"/>
                <w:szCs w:val="22"/>
                <w:lang w:val="es-ES_tradnl"/>
              </w:rPr>
              <w:t xml:space="preserve">Sub-total </w:t>
            </w:r>
            <w:proofErr w:type="spellStart"/>
            <w:r>
              <w:rPr>
                <w:rFonts w:asciiTheme="minorHAnsi" w:hAnsiTheme="minorHAnsi"/>
                <w:color w:val="000000"/>
                <w:szCs w:val="22"/>
                <w:lang w:val="es-ES_tradnl"/>
              </w:rPr>
              <w:t>Components</w:t>
            </w:r>
            <w:proofErr w:type="spellEnd"/>
          </w:p>
        </w:tc>
        <w:tc>
          <w:tcPr>
            <w:tcW w:w="1735" w:type="dxa"/>
            <w:shd w:val="clear" w:color="auto" w:fill="B8CCE4" w:themeFill="accent1" w:themeFillTint="66"/>
            <w:vAlign w:val="center"/>
          </w:tcPr>
          <w:p w:rsidR="00D20E8B" w:rsidRPr="00D20E8B" w:rsidRDefault="00D20E8B" w:rsidP="000E5EB3">
            <w:pPr>
              <w:ind w:left="360" w:hanging="360"/>
              <w:jc w:val="center"/>
              <w:rPr>
                <w:rFonts w:asciiTheme="minorHAnsi" w:hAnsiTheme="minorHAnsi"/>
                <w:color w:val="000000" w:themeColor="text1"/>
                <w:lang w:val="es-ES_tradnl"/>
              </w:rPr>
            </w:pPr>
            <w:r>
              <w:rPr>
                <w:rFonts w:asciiTheme="minorHAnsi" w:hAnsiTheme="minorHAnsi"/>
                <w:color w:val="000000" w:themeColor="text1"/>
                <w:lang w:val="es-ES_tradnl"/>
              </w:rPr>
              <w:t>$221,249</w:t>
            </w:r>
          </w:p>
        </w:tc>
        <w:tc>
          <w:tcPr>
            <w:tcW w:w="1890" w:type="dxa"/>
            <w:shd w:val="clear" w:color="auto" w:fill="B8CCE4" w:themeFill="accent1" w:themeFillTint="66"/>
            <w:vAlign w:val="center"/>
          </w:tcPr>
          <w:p w:rsidR="00D20E8B" w:rsidRPr="00D20E8B" w:rsidRDefault="00FB4508" w:rsidP="000E5EB3">
            <w:pPr>
              <w:ind w:left="360" w:hanging="360"/>
              <w:jc w:val="center"/>
              <w:rPr>
                <w:rFonts w:asciiTheme="minorHAnsi" w:hAnsiTheme="minorHAnsi"/>
                <w:color w:val="000000" w:themeColor="text1"/>
                <w:lang w:val="es-ES_tradnl"/>
              </w:rPr>
            </w:pPr>
            <w:r>
              <w:rPr>
                <w:rFonts w:asciiTheme="minorHAnsi" w:hAnsiTheme="minorHAnsi"/>
                <w:color w:val="000000" w:themeColor="text1"/>
                <w:lang w:val="es-ES_tradnl"/>
              </w:rPr>
              <w:t>$13</w:t>
            </w:r>
            <w:r w:rsidR="00D20E8B">
              <w:rPr>
                <w:rFonts w:asciiTheme="minorHAnsi" w:hAnsiTheme="minorHAnsi"/>
                <w:color w:val="000000" w:themeColor="text1"/>
                <w:lang w:val="es-ES_tradnl"/>
              </w:rPr>
              <w:t>4,486</w:t>
            </w:r>
          </w:p>
        </w:tc>
        <w:tc>
          <w:tcPr>
            <w:tcW w:w="1723" w:type="dxa"/>
            <w:shd w:val="clear" w:color="auto" w:fill="B8CCE4" w:themeFill="accent1" w:themeFillTint="66"/>
            <w:vAlign w:val="center"/>
          </w:tcPr>
          <w:p w:rsidR="00D20E8B" w:rsidRPr="00D20E8B" w:rsidRDefault="000E5EB3" w:rsidP="000E5EB3">
            <w:pPr>
              <w:ind w:left="360" w:hanging="360"/>
              <w:jc w:val="center"/>
              <w:rPr>
                <w:rFonts w:asciiTheme="minorHAnsi" w:hAnsiTheme="minorHAnsi"/>
                <w:color w:val="000000" w:themeColor="text1"/>
                <w:lang w:val="es-ES_tradnl"/>
              </w:rPr>
            </w:pPr>
            <w:r>
              <w:rPr>
                <w:rFonts w:asciiTheme="minorHAnsi" w:hAnsiTheme="minorHAnsi"/>
                <w:color w:val="000000" w:themeColor="text1"/>
              </w:rPr>
              <w:t>$</w:t>
            </w:r>
            <w:r w:rsidR="00FB4508">
              <w:rPr>
                <w:rFonts w:asciiTheme="minorHAnsi" w:hAnsiTheme="minorHAnsi"/>
                <w:color w:val="000000" w:themeColor="text1"/>
                <w:lang w:val="es-ES_tradnl"/>
              </w:rPr>
              <w:t>35</w:t>
            </w:r>
            <w:r>
              <w:rPr>
                <w:rFonts w:asciiTheme="minorHAnsi" w:hAnsiTheme="minorHAnsi"/>
                <w:color w:val="000000" w:themeColor="text1"/>
                <w:lang w:val="es-ES_tradnl"/>
              </w:rPr>
              <w:t>5,735</w:t>
            </w:r>
          </w:p>
        </w:tc>
      </w:tr>
      <w:tr w:rsidR="00D20E8B" w:rsidRPr="00DA2509">
        <w:trPr>
          <w:trHeight w:val="240"/>
          <w:jc w:val="center"/>
        </w:trPr>
        <w:tc>
          <w:tcPr>
            <w:tcW w:w="3728" w:type="dxa"/>
            <w:vAlign w:val="center"/>
          </w:tcPr>
          <w:p w:rsidR="00D20E8B" w:rsidRPr="00D20E8B" w:rsidRDefault="00D20E8B" w:rsidP="000E5EB3">
            <w:pPr>
              <w:ind w:left="360" w:hanging="360"/>
              <w:rPr>
                <w:rFonts w:asciiTheme="minorHAnsi" w:hAnsiTheme="minorHAnsi"/>
                <w:szCs w:val="22"/>
              </w:rPr>
            </w:pPr>
            <w:r w:rsidRPr="00D20E8B">
              <w:rPr>
                <w:rFonts w:asciiTheme="minorHAnsi" w:hAnsiTheme="minorHAnsi"/>
                <w:color w:val="000000"/>
                <w:szCs w:val="22"/>
              </w:rPr>
              <w:t>Administra</w:t>
            </w:r>
            <w:r>
              <w:rPr>
                <w:rFonts w:asciiTheme="minorHAnsi" w:hAnsiTheme="minorHAnsi"/>
                <w:color w:val="000000"/>
                <w:szCs w:val="22"/>
              </w:rPr>
              <w:t>tion</w:t>
            </w:r>
          </w:p>
        </w:tc>
        <w:tc>
          <w:tcPr>
            <w:tcW w:w="1735" w:type="dxa"/>
            <w:vAlign w:val="center"/>
          </w:tcPr>
          <w:p w:rsidR="00D20E8B" w:rsidRPr="00DA2509" w:rsidRDefault="00D20E8B" w:rsidP="000E5EB3">
            <w:pPr>
              <w:ind w:left="360" w:hanging="360"/>
              <w:jc w:val="center"/>
              <w:rPr>
                <w:rFonts w:asciiTheme="minorHAnsi" w:hAnsiTheme="minorHAnsi"/>
                <w:color w:val="000000" w:themeColor="text1"/>
              </w:rPr>
            </w:pPr>
            <w:r>
              <w:rPr>
                <w:rFonts w:asciiTheme="minorHAnsi" w:hAnsiTheme="minorHAnsi"/>
                <w:color w:val="000000" w:themeColor="text1"/>
              </w:rPr>
              <w:t>$0</w:t>
            </w:r>
          </w:p>
        </w:tc>
        <w:tc>
          <w:tcPr>
            <w:tcW w:w="1890" w:type="dxa"/>
            <w:vAlign w:val="center"/>
          </w:tcPr>
          <w:p w:rsidR="00D20E8B" w:rsidRPr="00DA2509" w:rsidRDefault="00D20E8B" w:rsidP="000E5EB3">
            <w:pPr>
              <w:ind w:left="360" w:hanging="360"/>
              <w:jc w:val="center"/>
              <w:rPr>
                <w:rFonts w:asciiTheme="minorHAnsi" w:hAnsiTheme="minorHAnsi"/>
                <w:color w:val="000000" w:themeColor="text1"/>
              </w:rPr>
            </w:pPr>
            <w:r>
              <w:rPr>
                <w:rFonts w:asciiTheme="minorHAnsi" w:hAnsiTheme="minorHAnsi"/>
                <w:color w:val="000000" w:themeColor="text1"/>
              </w:rPr>
              <w:t>$73,890</w:t>
            </w:r>
          </w:p>
        </w:tc>
        <w:tc>
          <w:tcPr>
            <w:tcW w:w="1723" w:type="dxa"/>
            <w:vAlign w:val="center"/>
          </w:tcPr>
          <w:p w:rsidR="00D20E8B" w:rsidRPr="00DA2509" w:rsidRDefault="00D20E8B" w:rsidP="000E5EB3">
            <w:pPr>
              <w:ind w:left="360" w:hanging="360"/>
              <w:jc w:val="center"/>
              <w:rPr>
                <w:rFonts w:asciiTheme="minorHAnsi" w:hAnsiTheme="minorHAnsi"/>
                <w:color w:val="000000" w:themeColor="text1"/>
              </w:rPr>
            </w:pPr>
            <w:r>
              <w:rPr>
                <w:rFonts w:asciiTheme="minorHAnsi" w:hAnsiTheme="minorHAnsi"/>
                <w:color w:val="000000" w:themeColor="text1"/>
              </w:rPr>
              <w:t>$73,890</w:t>
            </w:r>
          </w:p>
        </w:tc>
      </w:tr>
      <w:tr w:rsidR="00D20E8B" w:rsidRPr="00DA2509">
        <w:trPr>
          <w:trHeight w:val="240"/>
          <w:jc w:val="center"/>
        </w:trPr>
        <w:tc>
          <w:tcPr>
            <w:tcW w:w="3728" w:type="dxa"/>
          </w:tcPr>
          <w:p w:rsidR="00D20E8B" w:rsidRPr="00D20E8B" w:rsidRDefault="00D20E8B" w:rsidP="000E5EB3">
            <w:pPr>
              <w:ind w:left="360" w:hanging="360"/>
              <w:rPr>
                <w:rFonts w:asciiTheme="minorHAnsi" w:hAnsiTheme="minorHAnsi"/>
                <w:szCs w:val="22"/>
              </w:rPr>
            </w:pPr>
            <w:r w:rsidRPr="00D20E8B">
              <w:rPr>
                <w:rFonts w:asciiTheme="minorHAnsi" w:hAnsiTheme="minorHAnsi"/>
                <w:szCs w:val="22"/>
              </w:rPr>
              <w:t>Evaluation</w:t>
            </w:r>
          </w:p>
        </w:tc>
        <w:tc>
          <w:tcPr>
            <w:tcW w:w="1735" w:type="dxa"/>
            <w:vAlign w:val="center"/>
          </w:tcPr>
          <w:p w:rsidR="00D20E8B" w:rsidRPr="00DA2509" w:rsidRDefault="00D20E8B" w:rsidP="000E5EB3">
            <w:pPr>
              <w:ind w:left="360" w:hanging="360"/>
              <w:jc w:val="center"/>
              <w:rPr>
                <w:rFonts w:asciiTheme="minorHAnsi" w:hAnsiTheme="minorHAnsi"/>
                <w:color w:val="000000" w:themeColor="text1"/>
              </w:rPr>
            </w:pPr>
            <w:r>
              <w:rPr>
                <w:rFonts w:asciiTheme="minorHAnsi" w:hAnsiTheme="minorHAnsi"/>
                <w:color w:val="000000" w:themeColor="text1"/>
              </w:rPr>
              <w:t>$20,000</w:t>
            </w:r>
          </w:p>
        </w:tc>
        <w:tc>
          <w:tcPr>
            <w:tcW w:w="1890" w:type="dxa"/>
            <w:vAlign w:val="center"/>
          </w:tcPr>
          <w:p w:rsidR="00D20E8B" w:rsidRPr="00DA2509" w:rsidRDefault="00D20E8B" w:rsidP="000E5EB3">
            <w:pPr>
              <w:ind w:left="360" w:hanging="360"/>
              <w:jc w:val="center"/>
              <w:rPr>
                <w:rFonts w:asciiTheme="minorHAnsi" w:hAnsiTheme="minorHAnsi"/>
                <w:color w:val="000000" w:themeColor="text1"/>
              </w:rPr>
            </w:pPr>
            <w:r>
              <w:rPr>
                <w:rFonts w:asciiTheme="minorHAnsi" w:hAnsiTheme="minorHAnsi"/>
                <w:color w:val="000000" w:themeColor="text1"/>
              </w:rPr>
              <w:t>$0</w:t>
            </w:r>
          </w:p>
        </w:tc>
        <w:tc>
          <w:tcPr>
            <w:tcW w:w="1723" w:type="dxa"/>
            <w:vAlign w:val="center"/>
          </w:tcPr>
          <w:p w:rsidR="00D20E8B" w:rsidRPr="00DA2509" w:rsidRDefault="00D20E8B" w:rsidP="000E5EB3">
            <w:pPr>
              <w:ind w:left="360" w:hanging="360"/>
              <w:jc w:val="center"/>
              <w:rPr>
                <w:rFonts w:asciiTheme="minorHAnsi" w:hAnsiTheme="minorHAnsi"/>
                <w:color w:val="000000" w:themeColor="text1"/>
              </w:rPr>
            </w:pPr>
            <w:r>
              <w:rPr>
                <w:rFonts w:asciiTheme="minorHAnsi" w:hAnsiTheme="minorHAnsi"/>
                <w:color w:val="000000" w:themeColor="text1"/>
              </w:rPr>
              <w:t>$20,000</w:t>
            </w:r>
          </w:p>
        </w:tc>
      </w:tr>
      <w:tr w:rsidR="00D20E8B" w:rsidRPr="00DA2509">
        <w:trPr>
          <w:trHeight w:val="240"/>
          <w:jc w:val="center"/>
        </w:trPr>
        <w:tc>
          <w:tcPr>
            <w:tcW w:w="3728" w:type="dxa"/>
          </w:tcPr>
          <w:p w:rsidR="00D20E8B" w:rsidRPr="00D20E8B" w:rsidRDefault="00D20E8B" w:rsidP="000E5EB3">
            <w:pPr>
              <w:ind w:left="360" w:hanging="360"/>
              <w:rPr>
                <w:rFonts w:asciiTheme="minorHAnsi" w:hAnsiTheme="minorHAnsi"/>
                <w:szCs w:val="22"/>
              </w:rPr>
            </w:pPr>
            <w:r w:rsidRPr="00D20E8B">
              <w:rPr>
                <w:rFonts w:asciiTheme="minorHAnsi" w:hAnsiTheme="minorHAnsi"/>
                <w:szCs w:val="22"/>
              </w:rPr>
              <w:t>Ex post reviews/Audits</w:t>
            </w:r>
          </w:p>
        </w:tc>
        <w:tc>
          <w:tcPr>
            <w:tcW w:w="1735" w:type="dxa"/>
            <w:vAlign w:val="center"/>
          </w:tcPr>
          <w:p w:rsidR="00D20E8B" w:rsidRPr="00DA2509" w:rsidRDefault="00D20E8B" w:rsidP="000E5EB3">
            <w:pPr>
              <w:ind w:left="360" w:hanging="360"/>
              <w:jc w:val="center"/>
              <w:rPr>
                <w:rFonts w:asciiTheme="minorHAnsi" w:hAnsiTheme="minorHAnsi"/>
                <w:color w:val="000000" w:themeColor="text1"/>
              </w:rPr>
            </w:pPr>
            <w:r>
              <w:rPr>
                <w:rFonts w:asciiTheme="minorHAnsi" w:hAnsiTheme="minorHAnsi"/>
                <w:color w:val="000000" w:themeColor="text1"/>
              </w:rPr>
              <w:t>$5,000</w:t>
            </w:r>
          </w:p>
        </w:tc>
        <w:tc>
          <w:tcPr>
            <w:tcW w:w="1890" w:type="dxa"/>
            <w:vAlign w:val="center"/>
          </w:tcPr>
          <w:p w:rsidR="00D20E8B" w:rsidRPr="00DA2509" w:rsidRDefault="00D20E8B" w:rsidP="000E5EB3">
            <w:pPr>
              <w:ind w:left="360" w:hanging="360"/>
              <w:jc w:val="center"/>
              <w:rPr>
                <w:rFonts w:asciiTheme="minorHAnsi" w:hAnsiTheme="minorHAnsi"/>
                <w:color w:val="000000" w:themeColor="text1"/>
              </w:rPr>
            </w:pPr>
            <w:r>
              <w:rPr>
                <w:rFonts w:asciiTheme="minorHAnsi" w:hAnsiTheme="minorHAnsi"/>
                <w:color w:val="000000" w:themeColor="text1"/>
              </w:rPr>
              <w:t>$0</w:t>
            </w:r>
          </w:p>
        </w:tc>
        <w:tc>
          <w:tcPr>
            <w:tcW w:w="1723" w:type="dxa"/>
            <w:vAlign w:val="center"/>
          </w:tcPr>
          <w:p w:rsidR="00D20E8B" w:rsidRPr="00DA2509" w:rsidRDefault="00D20E8B" w:rsidP="000E5EB3">
            <w:pPr>
              <w:ind w:left="360" w:hanging="360"/>
              <w:jc w:val="center"/>
              <w:rPr>
                <w:rFonts w:asciiTheme="minorHAnsi" w:hAnsiTheme="minorHAnsi"/>
                <w:color w:val="000000" w:themeColor="text1"/>
              </w:rPr>
            </w:pPr>
            <w:r>
              <w:rPr>
                <w:rFonts w:asciiTheme="minorHAnsi" w:hAnsiTheme="minorHAnsi"/>
                <w:color w:val="000000" w:themeColor="text1"/>
              </w:rPr>
              <w:t>$5,000</w:t>
            </w:r>
          </w:p>
        </w:tc>
      </w:tr>
      <w:tr w:rsidR="00D20E8B" w:rsidRPr="00DA2509">
        <w:trPr>
          <w:trHeight w:val="240"/>
          <w:jc w:val="center"/>
        </w:trPr>
        <w:tc>
          <w:tcPr>
            <w:tcW w:w="3728" w:type="dxa"/>
          </w:tcPr>
          <w:p w:rsidR="00D20E8B" w:rsidRPr="00D20E8B" w:rsidRDefault="00CB2768" w:rsidP="000E5EB3">
            <w:pPr>
              <w:ind w:left="360" w:hanging="360"/>
              <w:rPr>
                <w:rFonts w:asciiTheme="minorHAnsi" w:hAnsiTheme="minorHAnsi"/>
                <w:szCs w:val="22"/>
              </w:rPr>
            </w:pPr>
            <w:r>
              <w:rPr>
                <w:rFonts w:asciiTheme="minorHAnsi" w:hAnsiTheme="minorHAnsi"/>
                <w:szCs w:val="22"/>
              </w:rPr>
              <w:t>Contingencie</w:t>
            </w:r>
            <w:r w:rsidR="00D20E8B" w:rsidRPr="00D20E8B">
              <w:rPr>
                <w:rFonts w:asciiTheme="minorHAnsi" w:hAnsiTheme="minorHAnsi"/>
                <w:szCs w:val="22"/>
              </w:rPr>
              <w:t>s</w:t>
            </w:r>
          </w:p>
        </w:tc>
        <w:tc>
          <w:tcPr>
            <w:tcW w:w="1735" w:type="dxa"/>
            <w:vAlign w:val="center"/>
          </w:tcPr>
          <w:p w:rsidR="00D20E8B" w:rsidRPr="00DA2509" w:rsidRDefault="00D20E8B" w:rsidP="000E5EB3">
            <w:pPr>
              <w:ind w:left="360" w:hanging="360"/>
              <w:jc w:val="center"/>
              <w:rPr>
                <w:rFonts w:asciiTheme="minorHAnsi" w:hAnsiTheme="minorHAnsi"/>
                <w:color w:val="000000" w:themeColor="text1"/>
              </w:rPr>
            </w:pPr>
            <w:r>
              <w:rPr>
                <w:rFonts w:asciiTheme="minorHAnsi" w:hAnsiTheme="minorHAnsi"/>
                <w:color w:val="000000" w:themeColor="text1"/>
              </w:rPr>
              <w:t>$5,000</w:t>
            </w:r>
          </w:p>
        </w:tc>
        <w:tc>
          <w:tcPr>
            <w:tcW w:w="1890" w:type="dxa"/>
            <w:vAlign w:val="center"/>
          </w:tcPr>
          <w:p w:rsidR="00D20E8B" w:rsidRPr="00DA2509" w:rsidRDefault="00D20E8B" w:rsidP="000E5EB3">
            <w:pPr>
              <w:ind w:left="360" w:hanging="360"/>
              <w:jc w:val="center"/>
              <w:rPr>
                <w:rFonts w:asciiTheme="minorHAnsi" w:hAnsiTheme="minorHAnsi"/>
                <w:color w:val="000000" w:themeColor="text1"/>
              </w:rPr>
            </w:pPr>
            <w:r>
              <w:rPr>
                <w:rFonts w:asciiTheme="minorHAnsi" w:hAnsiTheme="minorHAnsi"/>
                <w:color w:val="000000" w:themeColor="text1"/>
              </w:rPr>
              <w:t>$0</w:t>
            </w:r>
          </w:p>
        </w:tc>
        <w:tc>
          <w:tcPr>
            <w:tcW w:w="1723" w:type="dxa"/>
            <w:vAlign w:val="center"/>
          </w:tcPr>
          <w:p w:rsidR="00D20E8B" w:rsidRPr="00DA2509" w:rsidRDefault="00D20E8B" w:rsidP="000E5EB3">
            <w:pPr>
              <w:ind w:left="360" w:hanging="360"/>
              <w:jc w:val="center"/>
              <w:rPr>
                <w:rFonts w:asciiTheme="minorHAnsi" w:hAnsiTheme="minorHAnsi"/>
                <w:color w:val="000000" w:themeColor="text1"/>
              </w:rPr>
            </w:pPr>
            <w:r>
              <w:rPr>
                <w:rFonts w:asciiTheme="minorHAnsi" w:hAnsiTheme="minorHAnsi"/>
                <w:color w:val="000000" w:themeColor="text1"/>
              </w:rPr>
              <w:t>$5,000</w:t>
            </w:r>
          </w:p>
        </w:tc>
      </w:tr>
      <w:tr w:rsidR="00D20E8B" w:rsidRPr="00D20E8B">
        <w:trPr>
          <w:trHeight w:val="240"/>
          <w:jc w:val="center"/>
        </w:trPr>
        <w:tc>
          <w:tcPr>
            <w:tcW w:w="3728" w:type="dxa"/>
            <w:shd w:val="clear" w:color="auto" w:fill="B8CCE4" w:themeFill="accent1" w:themeFillTint="66"/>
            <w:vAlign w:val="center"/>
          </w:tcPr>
          <w:p w:rsidR="00D20E8B" w:rsidRPr="00D20E8B" w:rsidRDefault="00D20E8B" w:rsidP="00CB2768">
            <w:pPr>
              <w:ind w:left="360" w:hanging="360"/>
              <w:rPr>
                <w:rFonts w:asciiTheme="minorHAnsi" w:hAnsiTheme="minorHAnsi"/>
                <w:szCs w:val="22"/>
                <w:lang w:val="es-ES_tradnl"/>
              </w:rPr>
            </w:pPr>
            <w:r w:rsidRPr="00D20E8B">
              <w:rPr>
                <w:rFonts w:asciiTheme="minorHAnsi" w:hAnsiTheme="minorHAnsi"/>
                <w:b/>
                <w:bCs/>
                <w:color w:val="000000"/>
                <w:szCs w:val="22"/>
                <w:lang w:val="es-ES_tradnl"/>
              </w:rPr>
              <w:t xml:space="preserve">Sub Total – </w:t>
            </w:r>
            <w:r w:rsidR="00CB2768">
              <w:rPr>
                <w:rFonts w:asciiTheme="minorHAnsi" w:hAnsiTheme="minorHAnsi"/>
                <w:b/>
                <w:bCs/>
                <w:color w:val="000000"/>
                <w:szCs w:val="22"/>
                <w:lang w:val="es-ES_tradnl"/>
              </w:rPr>
              <w:t xml:space="preserve">Project </w:t>
            </w:r>
            <w:proofErr w:type="spellStart"/>
            <w:r w:rsidR="00CB2768">
              <w:rPr>
                <w:rFonts w:asciiTheme="minorHAnsi" w:hAnsiTheme="minorHAnsi"/>
                <w:b/>
                <w:bCs/>
                <w:color w:val="000000"/>
                <w:szCs w:val="22"/>
                <w:lang w:val="es-ES_tradnl"/>
              </w:rPr>
              <w:t>Funds</w:t>
            </w:r>
            <w:proofErr w:type="spellEnd"/>
          </w:p>
        </w:tc>
        <w:tc>
          <w:tcPr>
            <w:tcW w:w="1735" w:type="dxa"/>
            <w:shd w:val="clear" w:color="auto" w:fill="B8CCE4" w:themeFill="accent1" w:themeFillTint="66"/>
            <w:vAlign w:val="center"/>
          </w:tcPr>
          <w:p w:rsidR="00D20E8B" w:rsidRPr="00D20E8B" w:rsidRDefault="00D20E8B" w:rsidP="000E5EB3">
            <w:pPr>
              <w:ind w:left="360" w:hanging="360"/>
              <w:jc w:val="center"/>
              <w:rPr>
                <w:rFonts w:asciiTheme="minorHAnsi" w:hAnsiTheme="minorHAnsi"/>
                <w:color w:val="000000" w:themeColor="text1"/>
                <w:lang w:val="es-ES_tradnl"/>
              </w:rPr>
            </w:pPr>
            <w:r>
              <w:rPr>
                <w:rFonts w:asciiTheme="minorHAnsi" w:hAnsiTheme="minorHAnsi"/>
                <w:color w:val="000000" w:themeColor="text1"/>
                <w:lang w:val="es-ES_tradnl"/>
              </w:rPr>
              <w:t>$251,249</w:t>
            </w:r>
          </w:p>
        </w:tc>
        <w:tc>
          <w:tcPr>
            <w:tcW w:w="1890" w:type="dxa"/>
            <w:shd w:val="clear" w:color="auto" w:fill="B8CCE4" w:themeFill="accent1" w:themeFillTint="66"/>
            <w:vAlign w:val="center"/>
          </w:tcPr>
          <w:p w:rsidR="00D20E8B" w:rsidRPr="00D20E8B" w:rsidRDefault="00A023C3" w:rsidP="000E5EB3">
            <w:pPr>
              <w:ind w:left="360" w:hanging="360"/>
              <w:jc w:val="center"/>
              <w:rPr>
                <w:rFonts w:asciiTheme="minorHAnsi" w:hAnsiTheme="minorHAnsi"/>
                <w:color w:val="000000" w:themeColor="text1"/>
                <w:lang w:val="es-ES_tradnl"/>
              </w:rPr>
            </w:pPr>
            <w:r>
              <w:rPr>
                <w:rFonts w:asciiTheme="minorHAnsi" w:hAnsiTheme="minorHAnsi"/>
                <w:color w:val="000000" w:themeColor="text1"/>
                <w:lang w:val="es-ES_tradnl"/>
              </w:rPr>
              <w:t>$205</w:t>
            </w:r>
            <w:r w:rsidR="00D20E8B">
              <w:rPr>
                <w:rFonts w:asciiTheme="minorHAnsi" w:hAnsiTheme="minorHAnsi"/>
                <w:color w:val="000000" w:themeColor="text1"/>
                <w:lang w:val="es-ES_tradnl"/>
              </w:rPr>
              <w:t>,376</w:t>
            </w:r>
          </w:p>
        </w:tc>
        <w:tc>
          <w:tcPr>
            <w:tcW w:w="1723" w:type="dxa"/>
            <w:shd w:val="clear" w:color="auto" w:fill="B8CCE4" w:themeFill="accent1" w:themeFillTint="66"/>
            <w:vAlign w:val="center"/>
          </w:tcPr>
          <w:p w:rsidR="00D20E8B" w:rsidRPr="00D20E8B" w:rsidRDefault="000E5EB3" w:rsidP="000E5EB3">
            <w:pPr>
              <w:ind w:left="360" w:hanging="360"/>
              <w:jc w:val="center"/>
              <w:rPr>
                <w:rFonts w:asciiTheme="minorHAnsi" w:hAnsiTheme="minorHAnsi"/>
                <w:color w:val="000000" w:themeColor="text1"/>
                <w:lang w:val="es-ES_tradnl"/>
              </w:rPr>
            </w:pPr>
            <w:r>
              <w:rPr>
                <w:rFonts w:asciiTheme="minorHAnsi" w:hAnsiTheme="minorHAnsi"/>
                <w:color w:val="000000" w:themeColor="text1"/>
              </w:rPr>
              <w:t>$</w:t>
            </w:r>
            <w:r w:rsidR="00A023C3">
              <w:rPr>
                <w:rFonts w:asciiTheme="minorHAnsi" w:hAnsiTheme="minorHAnsi"/>
                <w:color w:val="000000" w:themeColor="text1"/>
                <w:lang w:val="es-ES_tradnl"/>
              </w:rPr>
              <w:t>45</w:t>
            </w:r>
            <w:r>
              <w:rPr>
                <w:rFonts w:asciiTheme="minorHAnsi" w:hAnsiTheme="minorHAnsi"/>
                <w:color w:val="000000" w:themeColor="text1"/>
                <w:lang w:val="es-ES_tradnl"/>
              </w:rPr>
              <w:t>9,625</w:t>
            </w:r>
          </w:p>
        </w:tc>
      </w:tr>
      <w:tr w:rsidR="00D20E8B" w:rsidRPr="00DA2509">
        <w:trPr>
          <w:trHeight w:val="70"/>
          <w:jc w:val="center"/>
        </w:trPr>
        <w:tc>
          <w:tcPr>
            <w:tcW w:w="3728" w:type="dxa"/>
            <w:shd w:val="clear" w:color="auto" w:fill="B8CCE4" w:themeFill="accent1" w:themeFillTint="66"/>
          </w:tcPr>
          <w:p w:rsidR="00D20E8B" w:rsidRPr="00D20E8B" w:rsidRDefault="00D20E8B" w:rsidP="000E5EB3">
            <w:pPr>
              <w:tabs>
                <w:tab w:val="left" w:pos="2670"/>
              </w:tabs>
              <w:ind w:left="360" w:hanging="360"/>
              <w:rPr>
                <w:rFonts w:asciiTheme="minorHAnsi" w:hAnsiTheme="minorHAnsi"/>
                <w:szCs w:val="22"/>
                <w:lang w:val="es-ES_tradnl"/>
              </w:rPr>
            </w:pPr>
            <w:r w:rsidRPr="00D20E8B">
              <w:rPr>
                <w:rFonts w:asciiTheme="minorHAnsi" w:hAnsiTheme="minorHAnsi"/>
                <w:szCs w:val="22"/>
                <w:lang w:val="es-ES_tradnl"/>
              </w:rPr>
              <w:t>% de Financiamiento</w:t>
            </w:r>
          </w:p>
        </w:tc>
        <w:tc>
          <w:tcPr>
            <w:tcW w:w="1735" w:type="dxa"/>
            <w:shd w:val="clear" w:color="auto" w:fill="B8CCE4" w:themeFill="accent1" w:themeFillTint="66"/>
            <w:vAlign w:val="center"/>
          </w:tcPr>
          <w:p w:rsidR="00D20E8B" w:rsidRPr="00DA2509" w:rsidRDefault="00A023C3" w:rsidP="000E5EB3">
            <w:pPr>
              <w:ind w:left="360" w:hanging="360"/>
              <w:jc w:val="center"/>
              <w:rPr>
                <w:rFonts w:asciiTheme="minorHAnsi" w:hAnsiTheme="minorHAnsi"/>
                <w:color w:val="000000" w:themeColor="text1"/>
              </w:rPr>
            </w:pPr>
            <w:r>
              <w:rPr>
                <w:rFonts w:asciiTheme="minorHAnsi" w:hAnsiTheme="minorHAnsi"/>
                <w:color w:val="000000" w:themeColor="text1"/>
              </w:rPr>
              <w:t>5</w:t>
            </w:r>
            <w:r w:rsidR="000E5EB3">
              <w:rPr>
                <w:rFonts w:asciiTheme="minorHAnsi" w:hAnsiTheme="minorHAnsi"/>
                <w:color w:val="000000" w:themeColor="text1"/>
              </w:rPr>
              <w:t>5%</w:t>
            </w:r>
          </w:p>
        </w:tc>
        <w:tc>
          <w:tcPr>
            <w:tcW w:w="1890" w:type="dxa"/>
            <w:shd w:val="clear" w:color="auto" w:fill="B8CCE4" w:themeFill="accent1" w:themeFillTint="66"/>
            <w:vAlign w:val="center"/>
          </w:tcPr>
          <w:p w:rsidR="00D20E8B" w:rsidRPr="00DA2509" w:rsidRDefault="00A023C3" w:rsidP="000E5EB3">
            <w:pPr>
              <w:ind w:left="360" w:hanging="360"/>
              <w:jc w:val="center"/>
              <w:rPr>
                <w:rFonts w:asciiTheme="minorHAnsi" w:hAnsiTheme="minorHAnsi"/>
                <w:color w:val="000000" w:themeColor="text1"/>
              </w:rPr>
            </w:pPr>
            <w:r>
              <w:rPr>
                <w:rFonts w:asciiTheme="minorHAnsi" w:hAnsiTheme="minorHAnsi"/>
                <w:color w:val="000000" w:themeColor="text1"/>
              </w:rPr>
              <w:t>4</w:t>
            </w:r>
            <w:r w:rsidR="000E5EB3">
              <w:rPr>
                <w:rFonts w:asciiTheme="minorHAnsi" w:hAnsiTheme="minorHAnsi"/>
                <w:color w:val="000000" w:themeColor="text1"/>
              </w:rPr>
              <w:t>5%</w:t>
            </w:r>
          </w:p>
        </w:tc>
        <w:tc>
          <w:tcPr>
            <w:tcW w:w="1723" w:type="dxa"/>
            <w:shd w:val="clear" w:color="auto" w:fill="B8CCE4" w:themeFill="accent1" w:themeFillTint="66"/>
            <w:vAlign w:val="center"/>
          </w:tcPr>
          <w:p w:rsidR="00D20E8B" w:rsidRPr="00DA2509" w:rsidRDefault="000E5EB3" w:rsidP="000E5EB3">
            <w:pPr>
              <w:ind w:left="360" w:hanging="360"/>
              <w:jc w:val="center"/>
              <w:rPr>
                <w:rFonts w:asciiTheme="minorHAnsi" w:hAnsiTheme="minorHAnsi"/>
                <w:color w:val="000000" w:themeColor="text1"/>
              </w:rPr>
            </w:pPr>
            <w:r>
              <w:rPr>
                <w:rFonts w:asciiTheme="minorHAnsi" w:hAnsiTheme="minorHAnsi"/>
                <w:color w:val="000000" w:themeColor="text1"/>
              </w:rPr>
              <w:t>100%</w:t>
            </w:r>
          </w:p>
        </w:tc>
      </w:tr>
      <w:tr w:rsidR="000E5EB3" w:rsidRPr="00DA2509">
        <w:trPr>
          <w:trHeight w:val="240"/>
          <w:jc w:val="center"/>
        </w:trPr>
        <w:tc>
          <w:tcPr>
            <w:tcW w:w="3728" w:type="dxa"/>
          </w:tcPr>
          <w:p w:rsidR="000E5EB3" w:rsidRPr="00D20E8B" w:rsidRDefault="000E5EB3" w:rsidP="000E5EB3">
            <w:pPr>
              <w:ind w:left="360" w:hanging="360"/>
              <w:rPr>
                <w:rFonts w:asciiTheme="minorHAnsi" w:hAnsiTheme="minorHAnsi"/>
                <w:szCs w:val="22"/>
                <w:lang w:val="es-ES_tradnl"/>
              </w:rPr>
            </w:pPr>
            <w:proofErr w:type="spellStart"/>
            <w:r>
              <w:rPr>
                <w:rFonts w:asciiTheme="minorHAnsi" w:hAnsiTheme="minorHAnsi"/>
                <w:szCs w:val="22"/>
                <w:lang w:val="es-ES_tradnl"/>
              </w:rPr>
              <w:t>Institutional</w:t>
            </w:r>
            <w:proofErr w:type="spellEnd"/>
            <w:r>
              <w:rPr>
                <w:rFonts w:asciiTheme="minorHAnsi" w:hAnsiTheme="minorHAnsi"/>
                <w:szCs w:val="22"/>
                <w:lang w:val="es-ES_tradnl"/>
              </w:rPr>
              <w:t xml:space="preserve"> </w:t>
            </w:r>
            <w:proofErr w:type="spellStart"/>
            <w:r>
              <w:rPr>
                <w:rFonts w:asciiTheme="minorHAnsi" w:hAnsiTheme="minorHAnsi"/>
                <w:szCs w:val="22"/>
                <w:lang w:val="es-ES_tradnl"/>
              </w:rPr>
              <w:t>Strengthening</w:t>
            </w:r>
            <w:proofErr w:type="spellEnd"/>
            <w:r w:rsidRPr="00D20E8B">
              <w:rPr>
                <w:rFonts w:asciiTheme="minorHAnsi" w:hAnsiTheme="minorHAnsi"/>
                <w:szCs w:val="22"/>
                <w:lang w:val="es-ES_tradnl"/>
              </w:rPr>
              <w:t xml:space="preserve"> </w:t>
            </w:r>
          </w:p>
        </w:tc>
        <w:tc>
          <w:tcPr>
            <w:tcW w:w="1735" w:type="dxa"/>
            <w:vAlign w:val="center"/>
          </w:tcPr>
          <w:p w:rsidR="000E5EB3" w:rsidRPr="00DA2509" w:rsidRDefault="000E5EB3" w:rsidP="000E5EB3">
            <w:pPr>
              <w:ind w:left="360" w:hanging="360"/>
              <w:jc w:val="center"/>
              <w:rPr>
                <w:rFonts w:asciiTheme="minorHAnsi" w:hAnsiTheme="minorHAnsi"/>
                <w:color w:val="000000" w:themeColor="text1"/>
              </w:rPr>
            </w:pPr>
            <w:r>
              <w:rPr>
                <w:rFonts w:asciiTheme="minorHAnsi" w:hAnsiTheme="minorHAnsi"/>
                <w:color w:val="000000" w:themeColor="text1"/>
              </w:rPr>
              <w:t>$0</w:t>
            </w:r>
          </w:p>
        </w:tc>
        <w:tc>
          <w:tcPr>
            <w:tcW w:w="1890" w:type="dxa"/>
            <w:vAlign w:val="center"/>
          </w:tcPr>
          <w:p w:rsidR="000E5EB3" w:rsidRPr="00DA2509" w:rsidRDefault="000E5EB3" w:rsidP="000E5EB3">
            <w:pPr>
              <w:ind w:left="360" w:hanging="360"/>
              <w:jc w:val="center"/>
              <w:rPr>
                <w:rFonts w:asciiTheme="minorHAnsi" w:hAnsiTheme="minorHAnsi"/>
                <w:color w:val="000000" w:themeColor="text1"/>
              </w:rPr>
            </w:pPr>
            <w:r>
              <w:rPr>
                <w:rFonts w:asciiTheme="minorHAnsi" w:hAnsiTheme="minorHAnsi"/>
                <w:color w:val="000000" w:themeColor="text1"/>
              </w:rPr>
              <w:t>$0</w:t>
            </w:r>
          </w:p>
        </w:tc>
        <w:tc>
          <w:tcPr>
            <w:tcW w:w="1723" w:type="dxa"/>
            <w:vAlign w:val="center"/>
          </w:tcPr>
          <w:p w:rsidR="000E5EB3" w:rsidRPr="00DA2509" w:rsidRDefault="000E5EB3" w:rsidP="000E5EB3">
            <w:pPr>
              <w:ind w:left="360" w:hanging="360"/>
              <w:jc w:val="center"/>
              <w:rPr>
                <w:rFonts w:asciiTheme="minorHAnsi" w:hAnsiTheme="minorHAnsi"/>
                <w:color w:val="000000" w:themeColor="text1"/>
              </w:rPr>
            </w:pPr>
            <w:r>
              <w:rPr>
                <w:rFonts w:asciiTheme="minorHAnsi" w:hAnsiTheme="minorHAnsi"/>
                <w:color w:val="000000" w:themeColor="text1"/>
              </w:rPr>
              <w:t>$0</w:t>
            </w:r>
          </w:p>
        </w:tc>
      </w:tr>
      <w:tr w:rsidR="000E5EB3" w:rsidRPr="00D20E8B">
        <w:trPr>
          <w:trHeight w:val="240"/>
          <w:jc w:val="center"/>
        </w:trPr>
        <w:tc>
          <w:tcPr>
            <w:tcW w:w="3728" w:type="dxa"/>
          </w:tcPr>
          <w:p w:rsidR="000E5EB3" w:rsidRPr="00D20E8B" w:rsidRDefault="000E5EB3" w:rsidP="000E5EB3">
            <w:pPr>
              <w:ind w:left="360" w:hanging="360"/>
              <w:rPr>
                <w:rFonts w:asciiTheme="minorHAnsi" w:hAnsiTheme="minorHAnsi"/>
                <w:szCs w:val="22"/>
                <w:lang w:val="es-ES_tradnl"/>
              </w:rPr>
            </w:pPr>
            <w:proofErr w:type="spellStart"/>
            <w:r>
              <w:rPr>
                <w:rFonts w:asciiTheme="minorHAnsi" w:hAnsiTheme="minorHAnsi"/>
                <w:szCs w:val="22"/>
                <w:lang w:val="es-ES_tradnl"/>
              </w:rPr>
              <w:t>Impact</w:t>
            </w:r>
            <w:proofErr w:type="spellEnd"/>
            <w:r>
              <w:rPr>
                <w:rFonts w:asciiTheme="minorHAnsi" w:hAnsiTheme="minorHAnsi"/>
                <w:szCs w:val="22"/>
                <w:lang w:val="es-ES_tradnl"/>
              </w:rPr>
              <w:t xml:space="preserve"> </w:t>
            </w:r>
            <w:proofErr w:type="spellStart"/>
            <w:r>
              <w:rPr>
                <w:rFonts w:asciiTheme="minorHAnsi" w:hAnsiTheme="minorHAnsi"/>
                <w:szCs w:val="22"/>
                <w:lang w:val="es-ES_tradnl"/>
              </w:rPr>
              <w:t>Evaluation</w:t>
            </w:r>
            <w:proofErr w:type="spellEnd"/>
            <w:r>
              <w:rPr>
                <w:rFonts w:asciiTheme="minorHAnsi" w:hAnsiTheme="minorHAnsi"/>
                <w:szCs w:val="22"/>
                <w:lang w:val="es-ES_tradnl"/>
              </w:rPr>
              <w:t xml:space="preserve"> </w:t>
            </w:r>
            <w:proofErr w:type="spellStart"/>
            <w:r>
              <w:rPr>
                <w:rFonts w:asciiTheme="minorHAnsi" w:hAnsiTheme="minorHAnsi"/>
                <w:szCs w:val="22"/>
                <w:lang w:val="es-ES_tradnl"/>
              </w:rPr>
              <w:t>Account</w:t>
            </w:r>
            <w:proofErr w:type="spellEnd"/>
          </w:p>
        </w:tc>
        <w:tc>
          <w:tcPr>
            <w:tcW w:w="1735" w:type="dxa"/>
            <w:vAlign w:val="center"/>
          </w:tcPr>
          <w:p w:rsidR="000E5EB3" w:rsidRPr="00D20E8B" w:rsidRDefault="000E5EB3" w:rsidP="000E5EB3">
            <w:pPr>
              <w:ind w:left="360" w:hanging="360"/>
              <w:jc w:val="center"/>
              <w:rPr>
                <w:rFonts w:asciiTheme="minorHAnsi" w:hAnsiTheme="minorHAnsi"/>
                <w:color w:val="000000" w:themeColor="text1"/>
                <w:lang w:val="es-ES_tradnl"/>
              </w:rPr>
            </w:pPr>
            <w:r>
              <w:rPr>
                <w:rFonts w:asciiTheme="minorHAnsi" w:hAnsiTheme="minorHAnsi"/>
                <w:color w:val="000000" w:themeColor="text1"/>
                <w:lang w:val="es-ES_tradnl"/>
              </w:rPr>
              <w:t>$0</w:t>
            </w:r>
          </w:p>
        </w:tc>
        <w:tc>
          <w:tcPr>
            <w:tcW w:w="1890" w:type="dxa"/>
            <w:vAlign w:val="center"/>
          </w:tcPr>
          <w:p w:rsidR="000E5EB3" w:rsidRPr="00D20E8B" w:rsidRDefault="000E5EB3" w:rsidP="000E5EB3">
            <w:pPr>
              <w:ind w:left="360" w:hanging="360"/>
              <w:jc w:val="center"/>
              <w:rPr>
                <w:rFonts w:asciiTheme="minorHAnsi" w:hAnsiTheme="minorHAnsi"/>
                <w:color w:val="000000" w:themeColor="text1"/>
                <w:lang w:val="es-ES_tradnl"/>
              </w:rPr>
            </w:pPr>
            <w:r>
              <w:rPr>
                <w:rFonts w:asciiTheme="minorHAnsi" w:hAnsiTheme="minorHAnsi"/>
                <w:color w:val="000000" w:themeColor="text1"/>
                <w:lang w:val="es-ES_tradnl"/>
              </w:rPr>
              <w:t>$0</w:t>
            </w:r>
          </w:p>
        </w:tc>
        <w:tc>
          <w:tcPr>
            <w:tcW w:w="1723" w:type="dxa"/>
            <w:vAlign w:val="center"/>
          </w:tcPr>
          <w:p w:rsidR="000E5EB3" w:rsidRPr="00D20E8B" w:rsidRDefault="000E5EB3" w:rsidP="000E5EB3">
            <w:pPr>
              <w:ind w:left="360" w:hanging="360"/>
              <w:jc w:val="center"/>
              <w:rPr>
                <w:rFonts w:asciiTheme="minorHAnsi" w:hAnsiTheme="minorHAnsi"/>
                <w:color w:val="000000" w:themeColor="text1"/>
                <w:lang w:val="es-ES_tradnl"/>
              </w:rPr>
            </w:pPr>
            <w:r>
              <w:rPr>
                <w:rFonts w:asciiTheme="minorHAnsi" w:hAnsiTheme="minorHAnsi"/>
                <w:color w:val="000000" w:themeColor="text1"/>
                <w:lang w:val="es-ES_tradnl"/>
              </w:rPr>
              <w:t>$0</w:t>
            </w:r>
          </w:p>
        </w:tc>
      </w:tr>
      <w:tr w:rsidR="000E5EB3" w:rsidRPr="00DA2509">
        <w:trPr>
          <w:trHeight w:val="240"/>
          <w:jc w:val="center"/>
        </w:trPr>
        <w:tc>
          <w:tcPr>
            <w:tcW w:w="3728" w:type="dxa"/>
          </w:tcPr>
          <w:p w:rsidR="000E5EB3" w:rsidRPr="00D20E8B" w:rsidRDefault="000E5EB3" w:rsidP="000E5EB3">
            <w:pPr>
              <w:ind w:left="360" w:hanging="360"/>
              <w:rPr>
                <w:rFonts w:asciiTheme="minorHAnsi" w:hAnsiTheme="minorHAnsi"/>
                <w:szCs w:val="22"/>
                <w:lang w:val="es-ES_tradnl"/>
              </w:rPr>
            </w:pPr>
            <w:r>
              <w:rPr>
                <w:rFonts w:asciiTheme="minorHAnsi" w:hAnsiTheme="minorHAnsi"/>
                <w:szCs w:val="22"/>
                <w:lang w:val="es-ES_tradnl"/>
              </w:rPr>
              <w:t xml:space="preserve">Agenda </w:t>
            </w:r>
            <w:proofErr w:type="spellStart"/>
            <w:r>
              <w:rPr>
                <w:rFonts w:asciiTheme="minorHAnsi" w:hAnsiTheme="minorHAnsi"/>
                <w:szCs w:val="22"/>
                <w:lang w:val="es-ES_tradnl"/>
              </w:rPr>
              <w:t>Account</w:t>
            </w:r>
            <w:proofErr w:type="spellEnd"/>
          </w:p>
        </w:tc>
        <w:tc>
          <w:tcPr>
            <w:tcW w:w="1735" w:type="dxa"/>
            <w:vAlign w:val="center"/>
          </w:tcPr>
          <w:p w:rsidR="000E5EB3" w:rsidRPr="00DA2509" w:rsidRDefault="000E5EB3" w:rsidP="000E5EB3">
            <w:pPr>
              <w:ind w:left="360" w:hanging="360"/>
              <w:jc w:val="center"/>
              <w:rPr>
                <w:rFonts w:asciiTheme="minorHAnsi" w:hAnsiTheme="minorHAnsi"/>
                <w:color w:val="000000" w:themeColor="text1"/>
              </w:rPr>
            </w:pPr>
            <w:r>
              <w:rPr>
                <w:rFonts w:asciiTheme="minorHAnsi" w:hAnsiTheme="minorHAnsi"/>
                <w:color w:val="000000" w:themeColor="text1"/>
              </w:rPr>
              <w:t>$0</w:t>
            </w:r>
          </w:p>
        </w:tc>
        <w:tc>
          <w:tcPr>
            <w:tcW w:w="1890" w:type="dxa"/>
            <w:vAlign w:val="center"/>
          </w:tcPr>
          <w:p w:rsidR="000E5EB3" w:rsidRPr="00DA2509" w:rsidRDefault="000E5EB3" w:rsidP="000E5EB3">
            <w:pPr>
              <w:ind w:left="360" w:hanging="360"/>
              <w:jc w:val="center"/>
              <w:rPr>
                <w:rFonts w:asciiTheme="minorHAnsi" w:hAnsiTheme="minorHAnsi"/>
                <w:color w:val="000000" w:themeColor="text1"/>
              </w:rPr>
            </w:pPr>
            <w:r>
              <w:rPr>
                <w:rFonts w:asciiTheme="minorHAnsi" w:hAnsiTheme="minorHAnsi"/>
                <w:color w:val="000000" w:themeColor="text1"/>
              </w:rPr>
              <w:t>$0</w:t>
            </w:r>
          </w:p>
        </w:tc>
        <w:tc>
          <w:tcPr>
            <w:tcW w:w="1723" w:type="dxa"/>
            <w:vAlign w:val="center"/>
          </w:tcPr>
          <w:p w:rsidR="000E5EB3" w:rsidRPr="00DA2509" w:rsidRDefault="000E5EB3" w:rsidP="000E5EB3">
            <w:pPr>
              <w:ind w:left="360" w:hanging="360"/>
              <w:jc w:val="center"/>
              <w:rPr>
                <w:rFonts w:asciiTheme="minorHAnsi" w:hAnsiTheme="minorHAnsi"/>
                <w:color w:val="000000" w:themeColor="text1"/>
              </w:rPr>
            </w:pPr>
            <w:r>
              <w:rPr>
                <w:rFonts w:asciiTheme="minorHAnsi" w:hAnsiTheme="minorHAnsi"/>
                <w:color w:val="000000" w:themeColor="text1"/>
              </w:rPr>
              <w:t>$0</w:t>
            </w:r>
          </w:p>
        </w:tc>
      </w:tr>
      <w:tr w:rsidR="00D20E8B" w:rsidRPr="00DA2509">
        <w:trPr>
          <w:trHeight w:val="240"/>
          <w:jc w:val="center"/>
        </w:trPr>
        <w:tc>
          <w:tcPr>
            <w:tcW w:w="3728" w:type="dxa"/>
            <w:shd w:val="clear" w:color="auto" w:fill="B8CCE4" w:themeFill="accent1" w:themeFillTint="66"/>
            <w:vAlign w:val="center"/>
          </w:tcPr>
          <w:p w:rsidR="00D20E8B" w:rsidRPr="00D20E8B" w:rsidRDefault="00D20E8B" w:rsidP="000E5EB3">
            <w:pPr>
              <w:ind w:left="360" w:hanging="360"/>
              <w:rPr>
                <w:rFonts w:asciiTheme="minorHAnsi" w:hAnsiTheme="minorHAnsi"/>
                <w:color w:val="222222"/>
                <w:szCs w:val="22"/>
              </w:rPr>
            </w:pPr>
            <w:r w:rsidRPr="00D20E8B">
              <w:rPr>
                <w:rFonts w:asciiTheme="minorHAnsi" w:hAnsiTheme="minorHAnsi"/>
                <w:b/>
                <w:bCs/>
                <w:color w:val="000000"/>
                <w:szCs w:val="22"/>
              </w:rPr>
              <w:t>Gran</w:t>
            </w:r>
            <w:r>
              <w:rPr>
                <w:rFonts w:asciiTheme="minorHAnsi" w:hAnsiTheme="minorHAnsi"/>
                <w:b/>
                <w:bCs/>
                <w:color w:val="000000"/>
                <w:szCs w:val="22"/>
              </w:rPr>
              <w:t>d</w:t>
            </w:r>
            <w:r w:rsidRPr="00D20E8B">
              <w:rPr>
                <w:rFonts w:asciiTheme="minorHAnsi" w:hAnsiTheme="minorHAnsi"/>
                <w:b/>
                <w:bCs/>
                <w:color w:val="000000"/>
                <w:szCs w:val="22"/>
              </w:rPr>
              <w:t xml:space="preserve"> Total</w:t>
            </w:r>
          </w:p>
        </w:tc>
        <w:tc>
          <w:tcPr>
            <w:tcW w:w="1735" w:type="dxa"/>
            <w:shd w:val="clear" w:color="auto" w:fill="B8CCE4" w:themeFill="accent1" w:themeFillTint="66"/>
            <w:vAlign w:val="center"/>
          </w:tcPr>
          <w:p w:rsidR="00D20E8B" w:rsidRPr="00DA2509" w:rsidRDefault="00D20E8B" w:rsidP="000E5EB3">
            <w:pPr>
              <w:ind w:left="360" w:hanging="360"/>
              <w:jc w:val="center"/>
              <w:rPr>
                <w:rFonts w:asciiTheme="minorHAnsi" w:hAnsiTheme="minorHAnsi"/>
                <w:color w:val="000000" w:themeColor="text1"/>
              </w:rPr>
            </w:pPr>
            <w:r>
              <w:rPr>
                <w:rFonts w:asciiTheme="minorHAnsi" w:hAnsiTheme="minorHAnsi"/>
                <w:color w:val="000000" w:themeColor="text1"/>
                <w:lang w:val="es-ES_tradnl"/>
              </w:rPr>
              <w:t>$251,249</w:t>
            </w:r>
          </w:p>
        </w:tc>
        <w:tc>
          <w:tcPr>
            <w:tcW w:w="1890" w:type="dxa"/>
            <w:shd w:val="clear" w:color="auto" w:fill="B8CCE4" w:themeFill="accent1" w:themeFillTint="66"/>
            <w:vAlign w:val="center"/>
          </w:tcPr>
          <w:p w:rsidR="00D20E8B" w:rsidRPr="00DA2509" w:rsidRDefault="00A023C3" w:rsidP="000E5EB3">
            <w:pPr>
              <w:ind w:left="360" w:hanging="360"/>
              <w:jc w:val="center"/>
              <w:rPr>
                <w:rFonts w:asciiTheme="minorHAnsi" w:hAnsiTheme="minorHAnsi"/>
                <w:color w:val="000000" w:themeColor="text1"/>
              </w:rPr>
            </w:pPr>
            <w:r>
              <w:rPr>
                <w:rFonts w:asciiTheme="minorHAnsi" w:hAnsiTheme="minorHAnsi"/>
                <w:color w:val="000000" w:themeColor="text1"/>
                <w:lang w:val="es-ES_tradnl"/>
              </w:rPr>
              <w:t>$20</w:t>
            </w:r>
            <w:r w:rsidR="00D20E8B">
              <w:rPr>
                <w:rFonts w:asciiTheme="minorHAnsi" w:hAnsiTheme="minorHAnsi"/>
                <w:color w:val="000000" w:themeColor="text1"/>
                <w:lang w:val="es-ES_tradnl"/>
              </w:rPr>
              <w:t>8,376</w:t>
            </w:r>
          </w:p>
        </w:tc>
        <w:tc>
          <w:tcPr>
            <w:tcW w:w="1723" w:type="dxa"/>
            <w:shd w:val="clear" w:color="auto" w:fill="B8CCE4" w:themeFill="accent1" w:themeFillTint="66"/>
            <w:vAlign w:val="center"/>
          </w:tcPr>
          <w:p w:rsidR="00D20E8B" w:rsidRPr="00DA2509" w:rsidRDefault="000E5EB3" w:rsidP="000E5EB3">
            <w:pPr>
              <w:ind w:left="360" w:hanging="360"/>
              <w:jc w:val="center"/>
              <w:rPr>
                <w:rFonts w:asciiTheme="minorHAnsi" w:hAnsiTheme="minorHAnsi"/>
                <w:color w:val="000000" w:themeColor="text1"/>
              </w:rPr>
            </w:pPr>
            <w:r>
              <w:rPr>
                <w:rFonts w:asciiTheme="minorHAnsi" w:hAnsiTheme="minorHAnsi"/>
                <w:color w:val="000000" w:themeColor="text1"/>
              </w:rPr>
              <w:t>$</w:t>
            </w:r>
            <w:r w:rsidR="00A023C3">
              <w:rPr>
                <w:rFonts w:asciiTheme="minorHAnsi" w:hAnsiTheme="minorHAnsi"/>
                <w:color w:val="000000" w:themeColor="text1"/>
                <w:lang w:val="es-ES_tradnl"/>
              </w:rPr>
              <w:t>45</w:t>
            </w:r>
            <w:r>
              <w:rPr>
                <w:rFonts w:asciiTheme="minorHAnsi" w:hAnsiTheme="minorHAnsi"/>
                <w:color w:val="000000" w:themeColor="text1"/>
                <w:lang w:val="es-ES_tradnl"/>
              </w:rPr>
              <w:t>9,625</w:t>
            </w:r>
          </w:p>
        </w:tc>
      </w:tr>
    </w:tbl>
    <w:p w:rsidR="002B3E4E" w:rsidRPr="00DA2509" w:rsidRDefault="002B3E4E" w:rsidP="000E5EB3">
      <w:pPr>
        <w:pStyle w:val="Chapter"/>
        <w:spacing w:before="120" w:after="0"/>
        <w:ind w:left="360" w:hanging="360"/>
        <w:jc w:val="left"/>
        <w:rPr>
          <w:rFonts w:asciiTheme="minorHAnsi" w:hAnsiTheme="minorHAnsi"/>
          <w:color w:val="000000" w:themeColor="text1"/>
          <w:lang w:val="en-US"/>
        </w:rPr>
      </w:pPr>
    </w:p>
    <w:p w:rsidR="00CE1957" w:rsidRPr="00DA2509" w:rsidRDefault="002B3E4E" w:rsidP="000E5EB3">
      <w:pPr>
        <w:pStyle w:val="Chapter"/>
        <w:numPr>
          <w:ilvl w:val="0"/>
          <w:numId w:val="1"/>
        </w:numPr>
        <w:spacing w:before="120" w:after="0"/>
        <w:rPr>
          <w:rFonts w:asciiTheme="minorHAnsi" w:hAnsiTheme="minorHAnsi"/>
          <w:color w:val="000000" w:themeColor="text1"/>
          <w:lang w:val="en-US"/>
        </w:rPr>
      </w:pPr>
      <w:bookmarkStart w:id="7" w:name="_Toc309632506"/>
      <w:r w:rsidRPr="00DA2509">
        <w:rPr>
          <w:rFonts w:asciiTheme="minorHAnsi" w:hAnsiTheme="minorHAnsi"/>
          <w:color w:val="000000" w:themeColor="text1"/>
          <w:lang w:val="en-US"/>
        </w:rPr>
        <w:t>Execut</w:t>
      </w:r>
      <w:r w:rsidR="00517528" w:rsidRPr="00DA2509">
        <w:rPr>
          <w:rFonts w:asciiTheme="minorHAnsi" w:hAnsiTheme="minorHAnsi"/>
          <w:color w:val="000000" w:themeColor="text1"/>
          <w:lang w:val="en-US"/>
        </w:rPr>
        <w:t xml:space="preserve">ing Agency </w:t>
      </w:r>
      <w:bookmarkEnd w:id="7"/>
    </w:p>
    <w:p w:rsidR="002B3E4E" w:rsidRPr="00DA2509" w:rsidRDefault="002B3E4E" w:rsidP="000E5EB3">
      <w:pPr>
        <w:ind w:left="360" w:hanging="360"/>
        <w:rPr>
          <w:rFonts w:asciiTheme="minorHAnsi" w:hAnsiTheme="minorHAnsi"/>
          <w:color w:val="000000" w:themeColor="text1"/>
        </w:rPr>
      </w:pPr>
    </w:p>
    <w:p w:rsidR="00CE1957" w:rsidRPr="00DA2509" w:rsidRDefault="002B3E4E" w:rsidP="000E5EB3">
      <w:pPr>
        <w:numPr>
          <w:ilvl w:val="0"/>
          <w:numId w:val="12"/>
        </w:numPr>
        <w:ind w:left="360"/>
        <w:rPr>
          <w:rFonts w:asciiTheme="minorHAnsi" w:hAnsiTheme="minorHAnsi"/>
          <w:b/>
          <w:color w:val="000000" w:themeColor="text1"/>
        </w:rPr>
      </w:pPr>
      <w:bookmarkStart w:id="8" w:name="OLE_LINK1"/>
      <w:bookmarkStart w:id="9" w:name="OLE_LINK3"/>
      <w:r w:rsidRPr="00DA2509">
        <w:rPr>
          <w:rFonts w:asciiTheme="minorHAnsi" w:hAnsiTheme="minorHAnsi"/>
          <w:b/>
          <w:color w:val="000000" w:themeColor="text1"/>
        </w:rPr>
        <w:t>Executing Agency</w:t>
      </w:r>
      <w:r w:rsidR="00332A1C" w:rsidRPr="00DA2509">
        <w:rPr>
          <w:rFonts w:asciiTheme="minorHAnsi" w:hAnsiTheme="minorHAnsi"/>
          <w:b/>
          <w:color w:val="000000" w:themeColor="text1"/>
        </w:rPr>
        <w:t xml:space="preserve">: </w:t>
      </w:r>
    </w:p>
    <w:p w:rsidR="00CE1957" w:rsidRPr="00DA2509" w:rsidRDefault="00CE1957" w:rsidP="000E5EB3">
      <w:pPr>
        <w:ind w:left="360" w:hanging="360"/>
        <w:rPr>
          <w:rFonts w:asciiTheme="minorHAnsi" w:hAnsiTheme="minorHAnsi"/>
          <w:b/>
          <w:color w:val="000000" w:themeColor="text1"/>
          <w:highlight w:val="magenta"/>
        </w:rPr>
      </w:pPr>
    </w:p>
    <w:p w:rsidR="00CE1957" w:rsidRPr="00CB2768" w:rsidRDefault="00CE1957" w:rsidP="000E5EB3">
      <w:pPr>
        <w:pStyle w:val="Paragraph"/>
        <w:numPr>
          <w:ilvl w:val="1"/>
          <w:numId w:val="1"/>
        </w:numPr>
        <w:shd w:val="clear" w:color="auto" w:fill="FFFFFF"/>
        <w:ind w:left="720" w:hanging="720"/>
        <w:rPr>
          <w:rFonts w:asciiTheme="minorHAnsi" w:hAnsiTheme="minorHAnsi"/>
          <w:color w:val="000000" w:themeColor="text1"/>
          <w:lang w:val="en-US"/>
        </w:rPr>
      </w:pPr>
      <w:r w:rsidRPr="00CB2768">
        <w:rPr>
          <w:rFonts w:asciiTheme="minorHAnsi" w:hAnsiTheme="minorHAnsi"/>
          <w:color w:val="000000" w:themeColor="text1"/>
          <w:lang w:val="en-US"/>
        </w:rPr>
        <w:t>All components of the project will be overseen by</w:t>
      </w:r>
      <w:r w:rsidR="00816727" w:rsidRPr="00CB2768">
        <w:rPr>
          <w:rFonts w:asciiTheme="minorHAnsi" w:hAnsiTheme="minorHAnsi"/>
          <w:color w:val="000000" w:themeColor="text1"/>
          <w:lang w:val="en-US"/>
        </w:rPr>
        <w:t xml:space="preserve"> Jesse Grainger,</w:t>
      </w:r>
      <w:r w:rsidRPr="00CB2768">
        <w:rPr>
          <w:rFonts w:asciiTheme="minorHAnsi" w:hAnsiTheme="minorHAnsi"/>
          <w:color w:val="000000" w:themeColor="text1"/>
          <w:lang w:val="en-US"/>
        </w:rPr>
        <w:t xml:space="preserve"> Director of Strategy and Partnerships. The executing parties for the activities involved in the project include:</w:t>
      </w:r>
    </w:p>
    <w:p w:rsidR="00A21103" w:rsidRPr="00DA2509" w:rsidRDefault="00A21103" w:rsidP="000E5EB3">
      <w:pPr>
        <w:pStyle w:val="ListParagraph"/>
        <w:numPr>
          <w:ilvl w:val="0"/>
          <w:numId w:val="18"/>
        </w:numPr>
        <w:ind w:left="990" w:hanging="270"/>
        <w:jc w:val="both"/>
        <w:rPr>
          <w:rFonts w:asciiTheme="minorHAnsi" w:hAnsiTheme="minorHAnsi"/>
          <w:color w:val="000000" w:themeColor="text1"/>
        </w:rPr>
      </w:pPr>
      <w:r w:rsidRPr="00DA2509">
        <w:rPr>
          <w:rFonts w:asciiTheme="minorHAnsi" w:hAnsiTheme="minorHAnsi"/>
          <w:color w:val="000000" w:themeColor="text1"/>
          <w:u w:val="single"/>
        </w:rPr>
        <w:lastRenderedPageBreak/>
        <w:t>CEO</w:t>
      </w:r>
      <w:r w:rsidRPr="00DA2509">
        <w:rPr>
          <w:rFonts w:asciiTheme="minorHAnsi" w:hAnsiTheme="minorHAnsi"/>
          <w:color w:val="000000" w:themeColor="text1"/>
        </w:rPr>
        <w:t xml:space="preserve">: responsible for overseeing the evaluation and selection of entrepreneurs participating in the Accelerator. </w:t>
      </w:r>
    </w:p>
    <w:p w:rsidR="00CE1957" w:rsidRPr="00DA2509" w:rsidRDefault="00CE1957" w:rsidP="000E5EB3">
      <w:pPr>
        <w:pStyle w:val="ListParagraph"/>
        <w:numPr>
          <w:ilvl w:val="0"/>
          <w:numId w:val="18"/>
        </w:numPr>
        <w:ind w:left="990" w:hanging="270"/>
        <w:jc w:val="both"/>
        <w:rPr>
          <w:rFonts w:asciiTheme="minorHAnsi" w:hAnsiTheme="minorHAnsi"/>
          <w:color w:val="000000" w:themeColor="text1"/>
        </w:rPr>
      </w:pPr>
      <w:r w:rsidRPr="00DA2509">
        <w:rPr>
          <w:rFonts w:asciiTheme="minorHAnsi" w:hAnsiTheme="minorHAnsi"/>
          <w:color w:val="000000" w:themeColor="text1"/>
          <w:u w:val="single"/>
        </w:rPr>
        <w:t>Accelerator Manager:</w:t>
      </w:r>
      <w:r w:rsidRPr="00DA2509">
        <w:rPr>
          <w:rFonts w:asciiTheme="minorHAnsi" w:hAnsiTheme="minorHAnsi"/>
          <w:color w:val="000000" w:themeColor="text1"/>
        </w:rPr>
        <w:t xml:space="preserve"> responsible for </w:t>
      </w:r>
      <w:r w:rsidR="00DA3416" w:rsidRPr="00DA2509">
        <w:rPr>
          <w:rFonts w:asciiTheme="minorHAnsi" w:hAnsiTheme="minorHAnsi"/>
          <w:color w:val="000000" w:themeColor="text1"/>
        </w:rPr>
        <w:t>Selection and Training of Consulting Fellows, On-Boarding, Investor Matchmaking; supp</w:t>
      </w:r>
      <w:r w:rsidR="004E36C3">
        <w:rPr>
          <w:rFonts w:asciiTheme="minorHAnsi" w:hAnsiTheme="minorHAnsi"/>
          <w:color w:val="000000" w:themeColor="text1"/>
        </w:rPr>
        <w:t>ort on Consulting, Capital Advisory Services</w:t>
      </w:r>
    </w:p>
    <w:p w:rsidR="00CE1957" w:rsidRPr="00DA2509" w:rsidRDefault="00CE1957" w:rsidP="000E5EB3">
      <w:pPr>
        <w:pStyle w:val="ListParagraph"/>
        <w:numPr>
          <w:ilvl w:val="0"/>
          <w:numId w:val="18"/>
        </w:numPr>
        <w:ind w:left="990" w:hanging="270"/>
        <w:jc w:val="both"/>
        <w:rPr>
          <w:rFonts w:asciiTheme="minorHAnsi" w:hAnsiTheme="minorHAnsi"/>
          <w:color w:val="000000" w:themeColor="text1"/>
        </w:rPr>
      </w:pPr>
      <w:r w:rsidRPr="00DA2509">
        <w:rPr>
          <w:rFonts w:asciiTheme="minorHAnsi" w:hAnsiTheme="minorHAnsi"/>
          <w:color w:val="000000" w:themeColor="text1"/>
          <w:u w:val="single"/>
        </w:rPr>
        <w:t>Program Manager:</w:t>
      </w:r>
      <w:r w:rsidR="00DA3416" w:rsidRPr="00DA2509">
        <w:rPr>
          <w:rFonts w:asciiTheme="minorHAnsi" w:hAnsiTheme="minorHAnsi"/>
          <w:color w:val="000000" w:themeColor="text1"/>
        </w:rPr>
        <w:t xml:space="preserve"> responsible for Retreat; support on Recruitment, Selection, On-boarding, IIA Partnerships</w:t>
      </w:r>
    </w:p>
    <w:p w:rsidR="00CE1957" w:rsidRPr="00DA2509" w:rsidRDefault="00CE1957" w:rsidP="000E5EB3">
      <w:pPr>
        <w:pStyle w:val="ListParagraph"/>
        <w:numPr>
          <w:ilvl w:val="0"/>
          <w:numId w:val="18"/>
        </w:numPr>
        <w:ind w:left="990" w:hanging="270"/>
        <w:jc w:val="both"/>
        <w:rPr>
          <w:rFonts w:asciiTheme="minorHAnsi" w:hAnsiTheme="minorHAnsi"/>
          <w:color w:val="000000" w:themeColor="text1"/>
        </w:rPr>
      </w:pPr>
      <w:r w:rsidRPr="00DA2509">
        <w:rPr>
          <w:rFonts w:asciiTheme="minorHAnsi" w:hAnsiTheme="minorHAnsi"/>
          <w:color w:val="000000" w:themeColor="text1"/>
          <w:u w:val="single"/>
        </w:rPr>
        <w:t>Recruitment Manager:</w:t>
      </w:r>
      <w:r w:rsidR="00DA3416" w:rsidRPr="00DA2509">
        <w:rPr>
          <w:rFonts w:asciiTheme="minorHAnsi" w:hAnsiTheme="minorHAnsi"/>
          <w:color w:val="000000" w:themeColor="text1"/>
        </w:rPr>
        <w:t xml:space="preserve"> responsible for Recruitment</w:t>
      </w:r>
      <w:r w:rsidR="008A4EE3" w:rsidRPr="00DA2509">
        <w:rPr>
          <w:rFonts w:asciiTheme="minorHAnsi" w:hAnsiTheme="minorHAnsi"/>
          <w:color w:val="000000" w:themeColor="text1"/>
        </w:rPr>
        <w:t xml:space="preserve"> of Accelerator entrepreneurs </w:t>
      </w:r>
    </w:p>
    <w:p w:rsidR="00CE1957" w:rsidRPr="00DA2509" w:rsidRDefault="00CE1957" w:rsidP="000E5EB3">
      <w:pPr>
        <w:pStyle w:val="ListParagraph"/>
        <w:numPr>
          <w:ilvl w:val="0"/>
          <w:numId w:val="18"/>
        </w:numPr>
        <w:ind w:left="990" w:hanging="270"/>
        <w:jc w:val="both"/>
        <w:rPr>
          <w:rFonts w:asciiTheme="minorHAnsi" w:hAnsiTheme="minorHAnsi"/>
          <w:color w:val="000000" w:themeColor="text1"/>
        </w:rPr>
      </w:pPr>
      <w:r w:rsidRPr="00DA2509">
        <w:rPr>
          <w:rFonts w:asciiTheme="minorHAnsi" w:hAnsiTheme="minorHAnsi"/>
          <w:color w:val="000000" w:themeColor="text1"/>
          <w:u w:val="single"/>
        </w:rPr>
        <w:t>Manager of Capital Advisory Services/Investor Relations</w:t>
      </w:r>
      <w:r w:rsidR="00DA3416" w:rsidRPr="00DA2509">
        <w:rPr>
          <w:rFonts w:asciiTheme="minorHAnsi" w:hAnsiTheme="minorHAnsi"/>
          <w:color w:val="000000" w:themeColor="text1"/>
          <w:u w:val="single"/>
        </w:rPr>
        <w:t>:</w:t>
      </w:r>
      <w:r w:rsidR="006E68AA">
        <w:rPr>
          <w:rFonts w:asciiTheme="minorHAnsi" w:hAnsiTheme="minorHAnsi"/>
          <w:color w:val="000000" w:themeColor="text1"/>
        </w:rPr>
        <w:t xml:space="preserve"> responsible for Capital Advisory Services</w:t>
      </w:r>
      <w:r w:rsidR="00DA3416" w:rsidRPr="00DA2509">
        <w:rPr>
          <w:rFonts w:asciiTheme="minorHAnsi" w:hAnsiTheme="minorHAnsi"/>
          <w:color w:val="000000" w:themeColor="text1"/>
        </w:rPr>
        <w:t>; support on Investor Matchmaking</w:t>
      </w:r>
    </w:p>
    <w:p w:rsidR="00CE1957" w:rsidRPr="00DA2509" w:rsidRDefault="00CE1957" w:rsidP="000E5EB3">
      <w:pPr>
        <w:pStyle w:val="ListParagraph"/>
        <w:numPr>
          <w:ilvl w:val="0"/>
          <w:numId w:val="18"/>
        </w:numPr>
        <w:ind w:left="990" w:hanging="270"/>
        <w:jc w:val="both"/>
        <w:rPr>
          <w:rFonts w:asciiTheme="minorHAnsi" w:hAnsiTheme="minorHAnsi"/>
          <w:color w:val="000000" w:themeColor="text1"/>
        </w:rPr>
      </w:pPr>
      <w:r w:rsidRPr="00DA2509">
        <w:rPr>
          <w:rFonts w:asciiTheme="minorHAnsi" w:hAnsiTheme="minorHAnsi"/>
          <w:color w:val="000000" w:themeColor="text1"/>
          <w:u w:val="single"/>
        </w:rPr>
        <w:t>Consulting Fellows</w:t>
      </w:r>
      <w:r w:rsidR="00DA3416" w:rsidRPr="00DA2509">
        <w:rPr>
          <w:rFonts w:asciiTheme="minorHAnsi" w:hAnsiTheme="minorHAnsi"/>
          <w:color w:val="000000" w:themeColor="text1"/>
          <w:u w:val="single"/>
        </w:rPr>
        <w:t>:</w:t>
      </w:r>
      <w:r w:rsidR="00DA3416" w:rsidRPr="00DA2509">
        <w:rPr>
          <w:rFonts w:asciiTheme="minorHAnsi" w:hAnsiTheme="minorHAnsi"/>
          <w:color w:val="000000" w:themeColor="text1"/>
        </w:rPr>
        <w:t xml:space="preserve"> responsible for Consulting; support on Selection and On-boarding</w:t>
      </w:r>
    </w:p>
    <w:p w:rsidR="00DA3416" w:rsidRPr="00DA2509" w:rsidRDefault="00DA3416" w:rsidP="000E5EB3">
      <w:pPr>
        <w:pStyle w:val="ListParagraph"/>
        <w:numPr>
          <w:ilvl w:val="0"/>
          <w:numId w:val="18"/>
        </w:numPr>
        <w:ind w:left="990" w:hanging="270"/>
        <w:jc w:val="both"/>
        <w:rPr>
          <w:rFonts w:asciiTheme="minorHAnsi" w:hAnsiTheme="minorHAnsi"/>
          <w:color w:val="000000" w:themeColor="text1"/>
        </w:rPr>
      </w:pPr>
      <w:r w:rsidRPr="00DA2509">
        <w:rPr>
          <w:rFonts w:asciiTheme="minorHAnsi" w:hAnsiTheme="minorHAnsi"/>
          <w:color w:val="000000" w:themeColor="text1"/>
          <w:u w:val="single"/>
        </w:rPr>
        <w:t>Manager of Operations:</w:t>
      </w:r>
      <w:r w:rsidRPr="00DA2509">
        <w:rPr>
          <w:rFonts w:asciiTheme="minorHAnsi" w:hAnsiTheme="minorHAnsi"/>
          <w:color w:val="000000" w:themeColor="text1"/>
        </w:rPr>
        <w:t xml:space="preserve"> responsible for recruitment and selection of Consulting Fellows</w:t>
      </w:r>
    </w:p>
    <w:p w:rsidR="00DA3416" w:rsidRPr="00DA2509" w:rsidRDefault="00DA3416" w:rsidP="000E5EB3">
      <w:pPr>
        <w:pStyle w:val="ListParagraph"/>
        <w:numPr>
          <w:ilvl w:val="0"/>
          <w:numId w:val="18"/>
        </w:numPr>
        <w:ind w:left="990" w:hanging="270"/>
        <w:jc w:val="both"/>
        <w:rPr>
          <w:rFonts w:asciiTheme="minorHAnsi" w:hAnsiTheme="minorHAnsi"/>
          <w:color w:val="000000" w:themeColor="text1"/>
        </w:rPr>
      </w:pPr>
      <w:r w:rsidRPr="00DA2509">
        <w:rPr>
          <w:rFonts w:asciiTheme="minorHAnsi" w:hAnsiTheme="minorHAnsi"/>
          <w:color w:val="000000" w:themeColor="text1"/>
          <w:u w:val="single"/>
        </w:rPr>
        <w:t>Manager of Communications and Strategy:</w:t>
      </w:r>
      <w:r w:rsidRPr="00DA2509">
        <w:rPr>
          <w:rFonts w:asciiTheme="minorHAnsi" w:hAnsiTheme="minorHAnsi"/>
          <w:color w:val="000000" w:themeColor="text1"/>
        </w:rPr>
        <w:t xml:space="preserve"> responsible for multimedia project and case studies; marketing and communications support on all components</w:t>
      </w:r>
    </w:p>
    <w:p w:rsidR="00CE1957" w:rsidRPr="00DA2509" w:rsidRDefault="00CE1957" w:rsidP="000E5EB3">
      <w:pPr>
        <w:pStyle w:val="ListParagraph"/>
        <w:ind w:left="360" w:hanging="360"/>
        <w:jc w:val="both"/>
        <w:rPr>
          <w:rFonts w:asciiTheme="minorHAnsi" w:hAnsiTheme="minorHAnsi"/>
          <w:b/>
          <w:color w:val="000000" w:themeColor="text1"/>
        </w:rPr>
      </w:pPr>
    </w:p>
    <w:p w:rsidR="000E5EB3" w:rsidRPr="00DA2509" w:rsidRDefault="000E5EB3" w:rsidP="000E5EB3">
      <w:pPr>
        <w:pStyle w:val="Paragraph"/>
        <w:shd w:val="clear" w:color="auto" w:fill="FFFFFF"/>
        <w:tabs>
          <w:tab w:val="clear" w:pos="720"/>
        </w:tabs>
        <w:ind w:firstLine="0"/>
        <w:rPr>
          <w:rFonts w:ascii="Calibri" w:hAnsi="Calibri"/>
          <w:color w:val="000000" w:themeColor="text1"/>
        </w:rPr>
      </w:pPr>
      <w:proofErr w:type="spellStart"/>
      <w:r w:rsidRPr="00DA2509">
        <w:rPr>
          <w:rFonts w:ascii="Calibri" w:hAnsi="Calibri"/>
          <w:b/>
          <w:bCs/>
          <w:color w:val="000000" w:themeColor="text1"/>
          <w:szCs w:val="26"/>
        </w:rPr>
        <w:t>History</w:t>
      </w:r>
      <w:proofErr w:type="spellEnd"/>
      <w:r w:rsidRPr="00DA2509">
        <w:rPr>
          <w:rFonts w:ascii="Calibri" w:hAnsi="Calibri"/>
          <w:b/>
          <w:bCs/>
          <w:color w:val="000000" w:themeColor="text1"/>
          <w:szCs w:val="26"/>
        </w:rPr>
        <w:t xml:space="preserve"> of </w:t>
      </w:r>
      <w:proofErr w:type="spellStart"/>
      <w:r w:rsidRPr="00DA2509">
        <w:rPr>
          <w:rFonts w:ascii="Calibri" w:hAnsi="Calibri"/>
          <w:b/>
          <w:bCs/>
          <w:color w:val="000000" w:themeColor="text1"/>
          <w:szCs w:val="26"/>
        </w:rPr>
        <w:t>Agora</w:t>
      </w:r>
      <w:proofErr w:type="spellEnd"/>
    </w:p>
    <w:p w:rsidR="00075BC0" w:rsidRPr="000E5EB3" w:rsidRDefault="00075BC0" w:rsidP="000E5EB3">
      <w:pPr>
        <w:pStyle w:val="Paragraph"/>
        <w:numPr>
          <w:ilvl w:val="1"/>
          <w:numId w:val="1"/>
        </w:numPr>
        <w:shd w:val="clear" w:color="auto" w:fill="FFFFFF"/>
        <w:ind w:left="720" w:hanging="720"/>
        <w:rPr>
          <w:rFonts w:ascii="Calibri" w:hAnsi="Calibri"/>
          <w:color w:val="000000" w:themeColor="text1"/>
          <w:lang w:val="en-US"/>
        </w:rPr>
      </w:pPr>
      <w:r w:rsidRPr="000E5EB3">
        <w:rPr>
          <w:rFonts w:ascii="Calibri" w:hAnsi="Calibri"/>
          <w:color w:val="000000" w:themeColor="text1"/>
          <w:lang w:val="en-US"/>
        </w:rPr>
        <w:t xml:space="preserve">Agora Partnerships was founded in 2005 by students at Columbia Business School, and entrepreneurs in Nicaragua. </w:t>
      </w:r>
      <w:r w:rsidRPr="00CB2768">
        <w:rPr>
          <w:rFonts w:ascii="Calibri" w:hAnsi="Calibri"/>
          <w:color w:val="000000" w:themeColor="text1"/>
          <w:lang w:val="en-US"/>
        </w:rPr>
        <w:t xml:space="preserve">The organization has played a founding role in the impact investing and entrepreneurship industry. Highlights include helping to co-found ANDE, launching the first Latin American ANDE conference, prototyping the first GIIRS methodology, and launching the first early stage impact investing fund in Latin America. </w:t>
      </w:r>
      <w:r w:rsidRPr="000E5EB3">
        <w:rPr>
          <w:rFonts w:ascii="Calibri" w:hAnsi="Calibri"/>
          <w:color w:val="000000" w:themeColor="text1"/>
          <w:lang w:val="en-US"/>
        </w:rPr>
        <w:t xml:space="preserve">Since </w:t>
      </w:r>
      <w:r w:rsidR="00184436" w:rsidRPr="000E5EB3">
        <w:rPr>
          <w:rFonts w:ascii="Calibri" w:hAnsi="Calibri"/>
          <w:color w:val="000000" w:themeColor="text1"/>
          <w:lang w:val="en-US"/>
        </w:rPr>
        <w:t>its</w:t>
      </w:r>
      <w:r w:rsidRPr="000E5EB3">
        <w:rPr>
          <w:rFonts w:ascii="Calibri" w:hAnsi="Calibri"/>
          <w:color w:val="000000" w:themeColor="text1"/>
          <w:lang w:val="en-US"/>
        </w:rPr>
        <w:t xml:space="preserve"> founding, </w:t>
      </w:r>
      <w:r w:rsidR="00184436" w:rsidRPr="000E5EB3">
        <w:rPr>
          <w:rFonts w:ascii="Calibri" w:hAnsi="Calibri"/>
          <w:color w:val="000000" w:themeColor="text1"/>
          <w:lang w:val="en-US"/>
        </w:rPr>
        <w:t>Agora has</w:t>
      </w:r>
      <w:r w:rsidRPr="000E5EB3">
        <w:rPr>
          <w:rFonts w:ascii="Calibri" w:hAnsi="Calibri"/>
          <w:color w:val="000000" w:themeColor="text1"/>
          <w:lang w:val="en-US"/>
        </w:rPr>
        <w:t xml:space="preserve"> always focused on answering the question, “what do entrepreneurs need in order to unleash their potential to contribute to society</w:t>
      </w:r>
      <w:r w:rsidR="00816727" w:rsidRPr="000E5EB3">
        <w:rPr>
          <w:rFonts w:ascii="Calibri" w:hAnsi="Calibri"/>
          <w:color w:val="000000" w:themeColor="text1"/>
          <w:lang w:val="en-US"/>
        </w:rPr>
        <w:t>?</w:t>
      </w:r>
      <w:r w:rsidRPr="000E5EB3">
        <w:rPr>
          <w:rFonts w:ascii="Calibri" w:hAnsi="Calibri"/>
          <w:color w:val="000000" w:themeColor="text1"/>
          <w:lang w:val="en-US"/>
        </w:rPr>
        <w:t>” and the corollary question, “what is the most efficient program design to deliver this assistance in a way that can scale</w:t>
      </w:r>
      <w:r w:rsidR="00816727" w:rsidRPr="000E5EB3">
        <w:rPr>
          <w:rFonts w:ascii="Calibri" w:hAnsi="Calibri"/>
          <w:color w:val="000000" w:themeColor="text1"/>
          <w:lang w:val="en-US"/>
        </w:rPr>
        <w:t>?</w:t>
      </w:r>
      <w:r w:rsidRPr="000E5EB3">
        <w:rPr>
          <w:rFonts w:ascii="Calibri" w:hAnsi="Calibri"/>
          <w:color w:val="000000" w:themeColor="text1"/>
          <w:lang w:val="en-US"/>
        </w:rPr>
        <w:t xml:space="preserve">” </w:t>
      </w:r>
    </w:p>
    <w:p w:rsidR="00075BC0" w:rsidRPr="000E5EB3" w:rsidRDefault="00075BC0" w:rsidP="000E5EB3">
      <w:pPr>
        <w:pStyle w:val="Paragraph"/>
        <w:numPr>
          <w:ilvl w:val="1"/>
          <w:numId w:val="1"/>
        </w:numPr>
        <w:shd w:val="clear" w:color="auto" w:fill="FFFFFF"/>
        <w:ind w:left="720" w:hanging="720"/>
        <w:rPr>
          <w:rFonts w:ascii="Calibri" w:hAnsi="Calibri"/>
          <w:b/>
          <w:color w:val="000000" w:themeColor="text1"/>
          <w:szCs w:val="26"/>
          <w:lang w:val="en-US"/>
        </w:rPr>
      </w:pPr>
      <w:r w:rsidRPr="000E5EB3">
        <w:rPr>
          <w:rFonts w:ascii="Calibri" w:hAnsi="Calibri"/>
          <w:b/>
          <w:color w:val="000000" w:themeColor="text1"/>
          <w:szCs w:val="26"/>
          <w:lang w:val="en-US"/>
        </w:rPr>
        <w:t>Agora 1.0</w:t>
      </w:r>
      <w:r w:rsidR="000E5EB3" w:rsidRPr="000E5EB3">
        <w:rPr>
          <w:rFonts w:ascii="Calibri" w:hAnsi="Calibri"/>
          <w:b/>
          <w:color w:val="000000" w:themeColor="text1"/>
          <w:szCs w:val="26"/>
          <w:lang w:val="en-US"/>
        </w:rPr>
        <w:t xml:space="preserve">: </w:t>
      </w:r>
      <w:r w:rsidRPr="000E5EB3">
        <w:rPr>
          <w:rFonts w:ascii="Calibri" w:hAnsi="Calibri"/>
          <w:color w:val="000000" w:themeColor="text1"/>
          <w:lang w:val="en-US"/>
        </w:rPr>
        <w:t xml:space="preserve">From 2005 to 2010, </w:t>
      </w:r>
      <w:proofErr w:type="gramStart"/>
      <w:r w:rsidR="00184436" w:rsidRPr="000E5EB3">
        <w:rPr>
          <w:rFonts w:ascii="Calibri" w:hAnsi="Calibri"/>
          <w:color w:val="000000" w:themeColor="text1"/>
          <w:lang w:val="en-US"/>
        </w:rPr>
        <w:t xml:space="preserve">Agora </w:t>
      </w:r>
      <w:r w:rsidRPr="000E5EB3">
        <w:rPr>
          <w:rFonts w:ascii="Calibri" w:hAnsi="Calibri"/>
          <w:color w:val="000000" w:themeColor="text1"/>
          <w:lang w:val="en-US"/>
        </w:rPr>
        <w:t xml:space="preserve"> attempted</w:t>
      </w:r>
      <w:proofErr w:type="gramEnd"/>
      <w:r w:rsidRPr="000E5EB3">
        <w:rPr>
          <w:rFonts w:ascii="Calibri" w:hAnsi="Calibri"/>
          <w:color w:val="000000" w:themeColor="text1"/>
          <w:lang w:val="en-US"/>
        </w:rPr>
        <w:t xml:space="preserve"> to answer these questions by matching MBA consultants with early-stage companies in Central America and launching an experimental early stage venture capital fund - The Agora Venture Fund (AVF), a for-profit impact investing fund designed and managed by Agora Partnerships in order to apply investment principle to companies “too big for microfinance, and too small for traditional banks” in Nicaragua. </w:t>
      </w:r>
      <w:r w:rsidRPr="00CB2768">
        <w:rPr>
          <w:rFonts w:ascii="Calibri" w:hAnsi="Calibri"/>
          <w:color w:val="000000" w:themeColor="text1"/>
          <w:lang w:val="en-US"/>
        </w:rPr>
        <w:t xml:space="preserve">The AFV closed its first and only round of $525,000 from 12 investors in 2007. By 2011, the fund had made over $600,000 in investments, including re-investments into 12 companies. The seven-year fund will wind up in 2015. </w:t>
      </w:r>
      <w:r w:rsidRPr="000E5EB3">
        <w:rPr>
          <w:rFonts w:ascii="Calibri" w:hAnsi="Calibri"/>
          <w:color w:val="000000" w:themeColor="text1"/>
          <w:lang w:val="en-US"/>
        </w:rPr>
        <w:t xml:space="preserve">In that period of time Agora and its two founders, Ben Powell and Ricardo </w:t>
      </w:r>
      <w:proofErr w:type="spellStart"/>
      <w:r w:rsidRPr="000E5EB3">
        <w:rPr>
          <w:rFonts w:ascii="Calibri" w:hAnsi="Calibri"/>
          <w:color w:val="000000" w:themeColor="text1"/>
          <w:lang w:val="en-US"/>
        </w:rPr>
        <w:t>Teran</w:t>
      </w:r>
      <w:proofErr w:type="spellEnd"/>
      <w:r w:rsidRPr="000E5EB3">
        <w:rPr>
          <w:rFonts w:ascii="Calibri" w:hAnsi="Calibri"/>
          <w:color w:val="000000" w:themeColor="text1"/>
          <w:lang w:val="en-US"/>
        </w:rPr>
        <w:t xml:space="preserve"> </w:t>
      </w:r>
      <w:proofErr w:type="spellStart"/>
      <w:r w:rsidRPr="000E5EB3">
        <w:rPr>
          <w:rFonts w:ascii="Calibri" w:hAnsi="Calibri"/>
          <w:color w:val="000000" w:themeColor="text1"/>
          <w:lang w:val="en-US"/>
        </w:rPr>
        <w:t>Teran</w:t>
      </w:r>
      <w:proofErr w:type="spellEnd"/>
      <w:r w:rsidRPr="000E5EB3">
        <w:rPr>
          <w:rFonts w:ascii="Calibri" w:hAnsi="Calibri"/>
          <w:color w:val="000000" w:themeColor="text1"/>
          <w:lang w:val="en-US"/>
        </w:rPr>
        <w:t xml:space="preserve"> won many awards, including: I-</w:t>
      </w:r>
      <w:proofErr w:type="spellStart"/>
      <w:r w:rsidRPr="000E5EB3">
        <w:rPr>
          <w:rFonts w:ascii="Calibri" w:hAnsi="Calibri"/>
          <w:color w:val="000000" w:themeColor="text1"/>
          <w:lang w:val="en-US"/>
        </w:rPr>
        <w:t>Qube</w:t>
      </w:r>
      <w:proofErr w:type="spellEnd"/>
      <w:r w:rsidRPr="000E5EB3">
        <w:rPr>
          <w:rFonts w:ascii="Calibri" w:hAnsi="Calibri"/>
          <w:color w:val="000000" w:themeColor="text1"/>
          <w:lang w:val="en-US"/>
        </w:rPr>
        <w:t xml:space="preserve"> Award by </w:t>
      </w:r>
      <w:proofErr w:type="spellStart"/>
      <w:r w:rsidRPr="000E5EB3">
        <w:rPr>
          <w:rFonts w:ascii="Calibri" w:hAnsi="Calibri"/>
          <w:color w:val="000000" w:themeColor="text1"/>
          <w:lang w:val="en-US"/>
        </w:rPr>
        <w:t>Dalberg</w:t>
      </w:r>
      <w:proofErr w:type="spellEnd"/>
      <w:r w:rsidRPr="000E5EB3">
        <w:rPr>
          <w:rFonts w:ascii="Calibri" w:hAnsi="Calibri"/>
          <w:color w:val="000000" w:themeColor="text1"/>
          <w:lang w:val="en-US"/>
        </w:rPr>
        <w:t xml:space="preserve">, Top Innovator by German Marshall Fund &amp; </w:t>
      </w:r>
      <w:proofErr w:type="spellStart"/>
      <w:r w:rsidRPr="000E5EB3">
        <w:rPr>
          <w:rFonts w:ascii="Calibri" w:hAnsi="Calibri"/>
          <w:color w:val="000000" w:themeColor="text1"/>
          <w:lang w:val="en-US"/>
        </w:rPr>
        <w:t>Milkin</w:t>
      </w:r>
      <w:proofErr w:type="spellEnd"/>
      <w:r w:rsidRPr="000E5EB3">
        <w:rPr>
          <w:rFonts w:ascii="Calibri" w:hAnsi="Calibri"/>
          <w:color w:val="000000" w:themeColor="text1"/>
          <w:lang w:val="en-US"/>
        </w:rPr>
        <w:t xml:space="preserve"> Institution, Draper Richards Foundation Fellowship, BMW Foundation Young Leader, </w:t>
      </w:r>
      <w:proofErr w:type="spellStart"/>
      <w:r w:rsidRPr="000E5EB3">
        <w:rPr>
          <w:rFonts w:ascii="Calibri" w:hAnsi="Calibri"/>
          <w:color w:val="000000" w:themeColor="text1"/>
          <w:lang w:val="en-US"/>
        </w:rPr>
        <w:t>Ashoka</w:t>
      </w:r>
      <w:proofErr w:type="spellEnd"/>
      <w:r w:rsidRPr="000E5EB3">
        <w:rPr>
          <w:rFonts w:ascii="Calibri" w:hAnsi="Calibri"/>
          <w:color w:val="000000" w:themeColor="text1"/>
          <w:lang w:val="en-US"/>
        </w:rPr>
        <w:t xml:space="preserve"> Fellowship, McNulty Prize Finalist, Social Venture Network Innovation Award, and Top 40 under 40 Development Leaders.</w:t>
      </w:r>
    </w:p>
    <w:p w:rsidR="00075BC0" w:rsidRPr="00CB2768" w:rsidRDefault="000E5EB3" w:rsidP="000E5EB3">
      <w:pPr>
        <w:pStyle w:val="Paragraph"/>
        <w:numPr>
          <w:ilvl w:val="1"/>
          <w:numId w:val="1"/>
        </w:numPr>
        <w:shd w:val="clear" w:color="auto" w:fill="FFFFFF"/>
        <w:ind w:left="720" w:hanging="720"/>
        <w:rPr>
          <w:rFonts w:ascii="Calibri" w:hAnsi="Calibri"/>
          <w:b/>
          <w:color w:val="000000" w:themeColor="text1"/>
          <w:szCs w:val="26"/>
          <w:lang w:val="en-US"/>
        </w:rPr>
      </w:pPr>
      <w:r w:rsidRPr="000E5EB3">
        <w:rPr>
          <w:rFonts w:ascii="Calibri" w:hAnsi="Calibri"/>
          <w:b/>
          <w:color w:val="000000" w:themeColor="text1"/>
          <w:szCs w:val="26"/>
          <w:lang w:val="en-US"/>
        </w:rPr>
        <w:t xml:space="preserve">Agora 2.0: </w:t>
      </w:r>
      <w:r w:rsidR="00075BC0" w:rsidRPr="000E5EB3">
        <w:rPr>
          <w:rFonts w:ascii="Calibri" w:hAnsi="Calibri"/>
          <w:color w:val="000000" w:themeColor="text1"/>
          <w:szCs w:val="26"/>
          <w:lang w:val="en-US"/>
        </w:rPr>
        <w:t xml:space="preserve">Based on lessons learned from </w:t>
      </w:r>
      <w:r w:rsidR="00184436" w:rsidRPr="000E5EB3">
        <w:rPr>
          <w:rFonts w:ascii="Calibri" w:hAnsi="Calibri"/>
          <w:color w:val="000000" w:themeColor="text1"/>
          <w:szCs w:val="26"/>
          <w:lang w:val="en-US"/>
        </w:rPr>
        <w:t>its</w:t>
      </w:r>
      <w:r w:rsidR="00075BC0" w:rsidRPr="000E5EB3">
        <w:rPr>
          <w:rFonts w:ascii="Calibri" w:hAnsi="Calibri"/>
          <w:color w:val="000000" w:themeColor="text1"/>
          <w:szCs w:val="26"/>
          <w:lang w:val="en-US"/>
        </w:rPr>
        <w:t xml:space="preserve"> fund experience and new developments in the industry, </w:t>
      </w:r>
      <w:r w:rsidR="00184436" w:rsidRPr="000E5EB3">
        <w:rPr>
          <w:rFonts w:ascii="Calibri" w:hAnsi="Calibri"/>
          <w:color w:val="000000" w:themeColor="text1"/>
          <w:szCs w:val="26"/>
          <w:lang w:val="en-US"/>
        </w:rPr>
        <w:t>Agora</w:t>
      </w:r>
      <w:r w:rsidR="00075BC0" w:rsidRPr="000E5EB3">
        <w:rPr>
          <w:rFonts w:ascii="Calibri" w:hAnsi="Calibri"/>
          <w:color w:val="000000" w:themeColor="text1"/>
          <w:szCs w:val="26"/>
          <w:lang w:val="en-US"/>
        </w:rPr>
        <w:t xml:space="preserve"> concluded that lack of capital was no longer the major barrier to entrepreneurial growth. </w:t>
      </w:r>
      <w:r w:rsidR="00075BC0" w:rsidRPr="00CB2768">
        <w:rPr>
          <w:rFonts w:ascii="Calibri" w:hAnsi="Calibri"/>
          <w:color w:val="000000" w:themeColor="text1"/>
          <w:szCs w:val="26"/>
          <w:lang w:val="en-US"/>
        </w:rPr>
        <w:t xml:space="preserve">The barrier was getting the capital to the right entrepreneurs. To address this challenge </w:t>
      </w:r>
      <w:r w:rsidR="00184436" w:rsidRPr="00CB2768">
        <w:rPr>
          <w:rFonts w:ascii="Calibri" w:hAnsi="Calibri"/>
          <w:color w:val="000000" w:themeColor="text1"/>
          <w:szCs w:val="26"/>
          <w:lang w:val="en-US"/>
        </w:rPr>
        <w:t>Agora</w:t>
      </w:r>
      <w:r w:rsidR="00075BC0" w:rsidRPr="00CB2768">
        <w:rPr>
          <w:rFonts w:ascii="Calibri" w:hAnsi="Calibri"/>
          <w:color w:val="000000" w:themeColor="text1"/>
          <w:szCs w:val="26"/>
          <w:lang w:val="en-US"/>
        </w:rPr>
        <w:t xml:space="preserve"> designed an accelerator program focused specifically on delivering the right mix of knowledge, networks, and capital to entrepreneurs</w:t>
      </w:r>
      <w:r w:rsidR="001F0AD7" w:rsidRPr="00CB2768">
        <w:rPr>
          <w:rFonts w:ascii="Calibri" w:hAnsi="Calibri"/>
          <w:color w:val="000000" w:themeColor="text1"/>
          <w:szCs w:val="26"/>
          <w:lang w:val="en-US"/>
        </w:rPr>
        <w:t xml:space="preserve">. </w:t>
      </w:r>
      <w:r w:rsidR="00075BC0" w:rsidRPr="00CB2768">
        <w:rPr>
          <w:rFonts w:ascii="Calibri" w:hAnsi="Calibri"/>
          <w:color w:val="000000" w:themeColor="text1"/>
          <w:szCs w:val="26"/>
          <w:lang w:val="en-US"/>
        </w:rPr>
        <w:t xml:space="preserve">In 2011, </w:t>
      </w:r>
      <w:r w:rsidR="00075BC0" w:rsidRPr="00CB2768">
        <w:rPr>
          <w:rFonts w:ascii="Calibri" w:hAnsi="Calibri"/>
          <w:color w:val="000000" w:themeColor="text1"/>
          <w:szCs w:val="26"/>
          <w:lang w:val="en-US"/>
        </w:rPr>
        <w:lastRenderedPageBreak/>
        <w:t>Agora launched its first Accelerator class and hosted its first Impact Investing in Action conference.  </w:t>
      </w:r>
    </w:p>
    <w:p w:rsidR="00075BC0" w:rsidRPr="00DA2509" w:rsidRDefault="00075BC0" w:rsidP="000E5EB3">
      <w:pPr>
        <w:ind w:left="360" w:hanging="360"/>
        <w:jc w:val="both"/>
        <w:rPr>
          <w:rFonts w:ascii="Calibri" w:hAnsi="Calibri"/>
          <w:color w:val="000000" w:themeColor="text1"/>
          <w:szCs w:val="26"/>
        </w:rPr>
      </w:pPr>
    </w:p>
    <w:p w:rsidR="001F0AD7" w:rsidRPr="00106DC3" w:rsidRDefault="000E5EB3" w:rsidP="000E5EB3">
      <w:pPr>
        <w:pStyle w:val="Paragraph"/>
        <w:numPr>
          <w:ilvl w:val="1"/>
          <w:numId w:val="1"/>
        </w:numPr>
        <w:shd w:val="clear" w:color="auto" w:fill="FFFFFF"/>
        <w:ind w:left="720" w:hanging="720"/>
        <w:rPr>
          <w:rFonts w:ascii="Calibri" w:hAnsi="Calibri"/>
          <w:b/>
          <w:color w:val="000000" w:themeColor="text1"/>
          <w:szCs w:val="26"/>
          <w:lang w:val="en-US"/>
        </w:rPr>
      </w:pPr>
      <w:r w:rsidRPr="00CB2768">
        <w:rPr>
          <w:rFonts w:ascii="Calibri" w:hAnsi="Calibri"/>
          <w:b/>
          <w:color w:val="000000" w:themeColor="text1"/>
          <w:szCs w:val="26"/>
          <w:lang w:val="en-US"/>
        </w:rPr>
        <w:t xml:space="preserve">Agora 3.0: </w:t>
      </w:r>
      <w:r w:rsidR="00075BC0" w:rsidRPr="00CB2768">
        <w:rPr>
          <w:rFonts w:ascii="Calibri" w:hAnsi="Calibri"/>
          <w:color w:val="000000" w:themeColor="text1"/>
          <w:szCs w:val="26"/>
          <w:lang w:val="en-US"/>
        </w:rPr>
        <w:t xml:space="preserve">Looking towards the future, </w:t>
      </w:r>
      <w:r w:rsidR="00184436" w:rsidRPr="00CB2768">
        <w:rPr>
          <w:rFonts w:ascii="Calibri" w:hAnsi="Calibri"/>
          <w:color w:val="000000" w:themeColor="text1"/>
          <w:szCs w:val="26"/>
          <w:lang w:val="en-US"/>
        </w:rPr>
        <w:t xml:space="preserve">the MIF will help </w:t>
      </w:r>
      <w:r w:rsidR="00075BC0" w:rsidRPr="00CB2768">
        <w:rPr>
          <w:rFonts w:ascii="Calibri" w:hAnsi="Calibri"/>
          <w:color w:val="000000" w:themeColor="text1"/>
          <w:szCs w:val="26"/>
          <w:lang w:val="en-US"/>
        </w:rPr>
        <w:t xml:space="preserve">grow </w:t>
      </w:r>
      <w:r w:rsidR="00184436" w:rsidRPr="00CB2768">
        <w:rPr>
          <w:rFonts w:ascii="Calibri" w:hAnsi="Calibri"/>
          <w:color w:val="000000" w:themeColor="text1"/>
          <w:szCs w:val="26"/>
          <w:lang w:val="en-US"/>
        </w:rPr>
        <w:t>the</w:t>
      </w:r>
      <w:r w:rsidR="00075BC0" w:rsidRPr="00CB2768">
        <w:rPr>
          <w:rFonts w:ascii="Calibri" w:hAnsi="Calibri"/>
          <w:color w:val="000000" w:themeColor="text1"/>
          <w:szCs w:val="26"/>
          <w:lang w:val="en-US"/>
        </w:rPr>
        <w:t xml:space="preserve"> partner and investor network, to better integrate funders and investors earlier and more holistically into </w:t>
      </w:r>
      <w:r w:rsidR="00184436" w:rsidRPr="00CB2768">
        <w:rPr>
          <w:rFonts w:ascii="Calibri" w:hAnsi="Calibri"/>
          <w:color w:val="000000" w:themeColor="text1"/>
          <w:szCs w:val="26"/>
          <w:lang w:val="en-US"/>
        </w:rPr>
        <w:t>the</w:t>
      </w:r>
      <w:r w:rsidR="00075BC0" w:rsidRPr="00CB2768">
        <w:rPr>
          <w:rFonts w:ascii="Calibri" w:hAnsi="Calibri"/>
          <w:color w:val="000000" w:themeColor="text1"/>
          <w:szCs w:val="26"/>
          <w:lang w:val="en-US"/>
        </w:rPr>
        <w:t xml:space="preserve"> model, and to focus more on the system wide impact of </w:t>
      </w:r>
      <w:r w:rsidR="00184436" w:rsidRPr="00CB2768">
        <w:rPr>
          <w:rFonts w:ascii="Calibri" w:hAnsi="Calibri"/>
          <w:color w:val="000000" w:themeColor="text1"/>
          <w:szCs w:val="26"/>
          <w:lang w:val="en-US"/>
        </w:rPr>
        <w:t xml:space="preserve">the </w:t>
      </w:r>
      <w:r w:rsidR="00075BC0" w:rsidRPr="00CB2768">
        <w:rPr>
          <w:rFonts w:ascii="Calibri" w:hAnsi="Calibri"/>
          <w:color w:val="000000" w:themeColor="text1"/>
          <w:szCs w:val="26"/>
          <w:lang w:val="en-US"/>
        </w:rPr>
        <w:t xml:space="preserve">model. </w:t>
      </w:r>
      <w:r w:rsidR="00816727" w:rsidRPr="00106DC3">
        <w:rPr>
          <w:rFonts w:ascii="Calibri" w:hAnsi="Calibri"/>
          <w:color w:val="000000" w:themeColor="text1"/>
          <w:szCs w:val="26"/>
          <w:lang w:val="en-US"/>
        </w:rPr>
        <w:t xml:space="preserve">It </w:t>
      </w:r>
      <w:r w:rsidR="00075BC0" w:rsidRPr="00106DC3">
        <w:rPr>
          <w:rFonts w:ascii="Calibri" w:hAnsi="Calibri"/>
          <w:color w:val="000000" w:themeColor="text1"/>
          <w:szCs w:val="26"/>
          <w:lang w:val="en-US"/>
        </w:rPr>
        <w:t>will continue to do so while also inv</w:t>
      </w:r>
      <w:r w:rsidR="001F0AD7" w:rsidRPr="00106DC3">
        <w:rPr>
          <w:rFonts w:ascii="Calibri" w:hAnsi="Calibri"/>
          <w:color w:val="000000" w:themeColor="text1"/>
          <w:szCs w:val="26"/>
          <w:lang w:val="en-US"/>
        </w:rPr>
        <w:t>esting in building strong, long-</w:t>
      </w:r>
      <w:r w:rsidR="00075BC0" w:rsidRPr="00106DC3">
        <w:rPr>
          <w:rFonts w:ascii="Calibri" w:hAnsi="Calibri"/>
          <w:color w:val="000000" w:themeColor="text1"/>
          <w:szCs w:val="26"/>
          <w:lang w:val="en-US"/>
        </w:rPr>
        <w:t>term corporate and foundation partnerships, launching new offering for investors like delegations and Deal Rooms, and focusing more on working with entrepreneurial cohorts to create more s</w:t>
      </w:r>
      <w:r w:rsidR="00106DC3" w:rsidRPr="00106DC3">
        <w:rPr>
          <w:rFonts w:ascii="Calibri" w:hAnsi="Calibri"/>
          <w:color w:val="000000" w:themeColor="text1"/>
          <w:szCs w:val="26"/>
          <w:lang w:val="en-US"/>
        </w:rPr>
        <w:t xml:space="preserve">ynergies and efficiencies in Agora’s </w:t>
      </w:r>
      <w:r w:rsidR="00075BC0" w:rsidRPr="00106DC3">
        <w:rPr>
          <w:rFonts w:ascii="Calibri" w:hAnsi="Calibri"/>
          <w:color w:val="000000" w:themeColor="text1"/>
          <w:szCs w:val="26"/>
          <w:lang w:val="en-US"/>
        </w:rPr>
        <w:t xml:space="preserve">model. </w:t>
      </w:r>
    </w:p>
    <w:p w:rsidR="001F0AD7" w:rsidRPr="00DA2509" w:rsidRDefault="001F0AD7" w:rsidP="000E5EB3">
      <w:pPr>
        <w:ind w:left="360" w:hanging="360"/>
        <w:jc w:val="both"/>
        <w:rPr>
          <w:rFonts w:ascii="Calibri" w:hAnsi="Calibri"/>
          <w:color w:val="000000" w:themeColor="text1"/>
          <w:szCs w:val="26"/>
        </w:rPr>
      </w:pPr>
    </w:p>
    <w:p w:rsidR="00075BC0" w:rsidRDefault="001F0AD7" w:rsidP="000E5EB3">
      <w:pPr>
        <w:pStyle w:val="Paragraph"/>
        <w:numPr>
          <w:ilvl w:val="1"/>
          <w:numId w:val="1"/>
        </w:numPr>
        <w:shd w:val="clear" w:color="auto" w:fill="FFFFFF"/>
        <w:ind w:left="720" w:hanging="720"/>
        <w:rPr>
          <w:rFonts w:ascii="Calibri" w:hAnsi="Calibri"/>
          <w:color w:val="000000" w:themeColor="text1"/>
          <w:szCs w:val="26"/>
          <w:lang w:val="en-US"/>
        </w:rPr>
      </w:pPr>
      <w:r w:rsidRPr="00795A3E">
        <w:rPr>
          <w:rFonts w:ascii="Calibri" w:hAnsi="Calibri"/>
          <w:color w:val="000000" w:themeColor="text1"/>
          <w:szCs w:val="26"/>
          <w:lang w:val="en-US"/>
        </w:rPr>
        <w:t>Agora</w:t>
      </w:r>
      <w:r w:rsidR="00795A3E" w:rsidRPr="00795A3E">
        <w:rPr>
          <w:rFonts w:ascii="Calibri" w:hAnsi="Calibri"/>
          <w:color w:val="000000" w:themeColor="text1"/>
          <w:szCs w:val="26"/>
          <w:lang w:val="en-US"/>
        </w:rPr>
        <w:t xml:space="preserve"> P</w:t>
      </w:r>
      <w:r w:rsidR="00795A3E">
        <w:rPr>
          <w:rFonts w:ascii="Calibri" w:hAnsi="Calibri"/>
          <w:color w:val="000000" w:themeColor="text1"/>
          <w:szCs w:val="26"/>
          <w:lang w:val="en-US"/>
        </w:rPr>
        <w:t>artnership</w:t>
      </w:r>
      <w:r w:rsidRPr="00795A3E">
        <w:rPr>
          <w:rFonts w:ascii="Calibri" w:hAnsi="Calibri"/>
          <w:color w:val="000000" w:themeColor="text1"/>
          <w:szCs w:val="26"/>
          <w:lang w:val="en-US"/>
        </w:rPr>
        <w:t>s</w:t>
      </w:r>
      <w:r w:rsidR="00795A3E">
        <w:rPr>
          <w:rFonts w:ascii="Calibri" w:hAnsi="Calibri"/>
          <w:color w:val="000000" w:themeColor="text1"/>
          <w:szCs w:val="26"/>
          <w:lang w:val="en-US"/>
        </w:rPr>
        <w:t>’</w:t>
      </w:r>
      <w:r w:rsidRPr="00795A3E">
        <w:rPr>
          <w:rFonts w:ascii="Calibri" w:hAnsi="Calibri"/>
          <w:color w:val="000000" w:themeColor="text1"/>
          <w:szCs w:val="26"/>
          <w:lang w:val="en-US"/>
        </w:rPr>
        <w:t xml:space="preserve"> major funders ($100,000+) since 2005 include: </w:t>
      </w:r>
      <w:proofErr w:type="spellStart"/>
      <w:r w:rsidRPr="00795A3E">
        <w:rPr>
          <w:rFonts w:ascii="Calibri" w:hAnsi="Calibri"/>
          <w:color w:val="000000" w:themeColor="text1"/>
          <w:szCs w:val="26"/>
          <w:lang w:val="en-US"/>
        </w:rPr>
        <w:t>Argidius</w:t>
      </w:r>
      <w:proofErr w:type="spellEnd"/>
      <w:r w:rsidRPr="00795A3E">
        <w:rPr>
          <w:rFonts w:ascii="Calibri" w:hAnsi="Calibri"/>
          <w:color w:val="000000" w:themeColor="text1"/>
          <w:szCs w:val="26"/>
          <w:lang w:val="en-US"/>
        </w:rPr>
        <w:t xml:space="preserve"> Foundation; </w:t>
      </w:r>
      <w:proofErr w:type="spellStart"/>
      <w:r w:rsidRPr="00795A3E">
        <w:rPr>
          <w:rFonts w:ascii="Calibri" w:hAnsi="Calibri"/>
          <w:color w:val="000000" w:themeColor="text1"/>
          <w:szCs w:val="26"/>
          <w:lang w:val="en-US"/>
        </w:rPr>
        <w:t>Ashoka</w:t>
      </w:r>
      <w:proofErr w:type="spellEnd"/>
      <w:r w:rsidRPr="00795A3E">
        <w:rPr>
          <w:rFonts w:ascii="Calibri" w:hAnsi="Calibri"/>
          <w:color w:val="000000" w:themeColor="text1"/>
          <w:szCs w:val="26"/>
          <w:lang w:val="en-US"/>
        </w:rPr>
        <w:t xml:space="preserve">; DOEN Foundation; McNulty Foundation; South Korea Fund, Inter-American Development Bank; The Draper Richards Kaplan Foundation; The Rockefeller Foundation; </w:t>
      </w:r>
      <w:proofErr w:type="spellStart"/>
      <w:r w:rsidRPr="00795A3E">
        <w:rPr>
          <w:rFonts w:ascii="Calibri" w:hAnsi="Calibri"/>
          <w:color w:val="000000" w:themeColor="text1"/>
          <w:szCs w:val="26"/>
          <w:lang w:val="en-US"/>
        </w:rPr>
        <w:t>Thriive</w:t>
      </w:r>
      <w:proofErr w:type="spellEnd"/>
      <w:r w:rsidRPr="00795A3E">
        <w:rPr>
          <w:rFonts w:ascii="Calibri" w:hAnsi="Calibri"/>
          <w:color w:val="000000" w:themeColor="text1"/>
          <w:szCs w:val="26"/>
          <w:lang w:val="en-US"/>
        </w:rPr>
        <w:t xml:space="preserve"> Inc.; United States Agency for International Development.</w:t>
      </w:r>
    </w:p>
    <w:p w:rsidR="00795A3E" w:rsidRDefault="00795A3E" w:rsidP="00795A3E">
      <w:pPr>
        <w:pStyle w:val="ListParagraph"/>
        <w:rPr>
          <w:rFonts w:ascii="Calibri" w:hAnsi="Calibri"/>
          <w:color w:val="000000" w:themeColor="text1"/>
          <w:szCs w:val="26"/>
        </w:rPr>
      </w:pPr>
    </w:p>
    <w:p w:rsidR="00795A3E" w:rsidRDefault="00795A3E" w:rsidP="00795A3E">
      <w:pPr>
        <w:pStyle w:val="Chapter"/>
        <w:numPr>
          <w:ilvl w:val="0"/>
          <w:numId w:val="1"/>
        </w:numPr>
        <w:tabs>
          <w:tab w:val="clear" w:pos="1440"/>
        </w:tabs>
        <w:spacing w:before="0" w:after="0"/>
        <w:rPr>
          <w:rFonts w:ascii="Calibri" w:hAnsi="Calibri"/>
          <w:lang w:val="en-US"/>
        </w:rPr>
      </w:pPr>
      <w:bookmarkStart w:id="10" w:name="_Toc388956452"/>
      <w:r w:rsidRPr="00602B82">
        <w:rPr>
          <w:rFonts w:ascii="Calibri" w:hAnsi="Calibri"/>
          <w:lang w:val="en-US"/>
        </w:rPr>
        <w:t>Project Risks</w:t>
      </w:r>
      <w:bookmarkEnd w:id="10"/>
    </w:p>
    <w:p w:rsidR="00AF2165" w:rsidRPr="00AF2165" w:rsidRDefault="00AF2165" w:rsidP="00AF2165"/>
    <w:p w:rsidR="00795A3E" w:rsidRPr="00AF2165" w:rsidRDefault="00A83AE9" w:rsidP="00A83AE9">
      <w:pPr>
        <w:pStyle w:val="Paragraph"/>
        <w:numPr>
          <w:ilvl w:val="1"/>
          <w:numId w:val="1"/>
        </w:numPr>
        <w:shd w:val="clear" w:color="auto" w:fill="FFFFFF"/>
        <w:ind w:left="720" w:hanging="720"/>
        <w:rPr>
          <w:rFonts w:ascii="Calibri" w:hAnsi="Calibri"/>
          <w:color w:val="000000" w:themeColor="text1"/>
          <w:szCs w:val="26"/>
          <w:lang w:val="en-US"/>
        </w:rPr>
      </w:pPr>
      <w:r w:rsidRPr="00602B82">
        <w:rPr>
          <w:rFonts w:ascii="Calibri" w:hAnsi="Calibri"/>
          <w:b/>
          <w:color w:val="000000" w:themeColor="text1"/>
          <w:lang w:val="en-US"/>
        </w:rPr>
        <w:t>Sector risk</w:t>
      </w:r>
      <w:r>
        <w:rPr>
          <w:rFonts w:ascii="Calibri" w:hAnsi="Calibri"/>
          <w:b/>
          <w:color w:val="000000" w:themeColor="text1"/>
          <w:lang w:val="en-US"/>
        </w:rPr>
        <w:t>s</w:t>
      </w:r>
      <w:r w:rsidRPr="00602B82">
        <w:rPr>
          <w:rFonts w:ascii="Calibri" w:hAnsi="Calibri"/>
          <w:b/>
          <w:color w:val="000000" w:themeColor="text1"/>
          <w:lang w:val="en-US"/>
        </w:rPr>
        <w:t>:</w:t>
      </w:r>
    </w:p>
    <w:p w:rsidR="00AF2165" w:rsidRPr="00795A3E" w:rsidRDefault="00AF2165" w:rsidP="00AF2165">
      <w:pPr>
        <w:pStyle w:val="Paragraph"/>
        <w:shd w:val="clear" w:color="auto" w:fill="FFFFFF"/>
        <w:tabs>
          <w:tab w:val="clear" w:pos="720"/>
        </w:tabs>
        <w:ind w:firstLine="0"/>
        <w:rPr>
          <w:rFonts w:ascii="Calibri" w:hAnsi="Calibri"/>
          <w:color w:val="000000" w:themeColor="text1"/>
          <w:szCs w:val="26"/>
          <w:lang w:val="en-US"/>
        </w:rPr>
      </w:pPr>
    </w:p>
    <w:tbl>
      <w:tblPr>
        <w:tblStyle w:val="TableGrid"/>
        <w:tblW w:w="0" w:type="auto"/>
        <w:tblInd w:w="108" w:type="dxa"/>
        <w:tblLook w:val="00A0" w:firstRow="1" w:lastRow="0" w:firstColumn="1" w:lastColumn="0" w:noHBand="0" w:noVBand="0"/>
      </w:tblPr>
      <w:tblGrid>
        <w:gridCol w:w="1890"/>
        <w:gridCol w:w="7578"/>
      </w:tblGrid>
      <w:tr w:rsidR="00DA2509" w:rsidRPr="00DA2509">
        <w:tc>
          <w:tcPr>
            <w:tcW w:w="1890" w:type="dxa"/>
            <w:shd w:val="clear" w:color="auto" w:fill="B8CCE4" w:themeFill="accent1" w:themeFillTint="66"/>
          </w:tcPr>
          <w:bookmarkEnd w:id="8"/>
          <w:bookmarkEnd w:id="9"/>
          <w:p w:rsidR="006451C1" w:rsidRPr="00DA2509" w:rsidRDefault="006451C1" w:rsidP="000E5EB3">
            <w:pPr>
              <w:pStyle w:val="Paragraph"/>
              <w:tabs>
                <w:tab w:val="clear" w:pos="720"/>
              </w:tabs>
              <w:ind w:left="360" w:hanging="360"/>
              <w:rPr>
                <w:rFonts w:asciiTheme="minorHAnsi" w:hAnsiTheme="minorHAnsi"/>
                <w:b/>
                <w:color w:val="000000" w:themeColor="text1"/>
                <w:sz w:val="22"/>
                <w:lang w:val="en-US"/>
              </w:rPr>
            </w:pPr>
            <w:r w:rsidRPr="00DA2509">
              <w:rPr>
                <w:rFonts w:asciiTheme="minorHAnsi" w:hAnsiTheme="minorHAnsi"/>
                <w:b/>
                <w:color w:val="000000" w:themeColor="text1"/>
                <w:sz w:val="22"/>
                <w:lang w:val="en-US"/>
              </w:rPr>
              <w:t>RISK</w:t>
            </w:r>
          </w:p>
        </w:tc>
        <w:tc>
          <w:tcPr>
            <w:tcW w:w="7578" w:type="dxa"/>
            <w:shd w:val="clear" w:color="auto" w:fill="B8CCE4" w:themeFill="accent1" w:themeFillTint="66"/>
          </w:tcPr>
          <w:p w:rsidR="006451C1" w:rsidRPr="00DA2509" w:rsidRDefault="006451C1" w:rsidP="000E5EB3">
            <w:pPr>
              <w:pStyle w:val="Paragraph"/>
              <w:tabs>
                <w:tab w:val="clear" w:pos="720"/>
              </w:tabs>
              <w:ind w:left="360" w:hanging="360"/>
              <w:rPr>
                <w:rFonts w:asciiTheme="minorHAnsi" w:hAnsiTheme="minorHAnsi"/>
                <w:b/>
                <w:color w:val="000000" w:themeColor="text1"/>
                <w:sz w:val="22"/>
                <w:lang w:val="en-US"/>
              </w:rPr>
            </w:pPr>
            <w:r w:rsidRPr="00DA2509">
              <w:rPr>
                <w:rFonts w:asciiTheme="minorHAnsi" w:hAnsiTheme="minorHAnsi"/>
                <w:b/>
                <w:color w:val="000000" w:themeColor="text1"/>
                <w:sz w:val="22"/>
                <w:lang w:val="en-US"/>
              </w:rPr>
              <w:t>MITIGATION</w:t>
            </w:r>
          </w:p>
        </w:tc>
      </w:tr>
      <w:tr w:rsidR="00DA2509" w:rsidRPr="00DA2509">
        <w:tc>
          <w:tcPr>
            <w:tcW w:w="1890" w:type="dxa"/>
          </w:tcPr>
          <w:p w:rsidR="00B87352" w:rsidRPr="00DA2509" w:rsidRDefault="00A83AE9" w:rsidP="00A83AE9">
            <w:pPr>
              <w:pStyle w:val="Paragraph"/>
              <w:tabs>
                <w:tab w:val="clear" w:pos="720"/>
              </w:tabs>
              <w:ind w:left="0" w:firstLine="0"/>
              <w:jc w:val="left"/>
              <w:rPr>
                <w:rFonts w:asciiTheme="minorHAnsi" w:hAnsiTheme="minorHAnsi"/>
                <w:color w:val="000000" w:themeColor="text1"/>
                <w:sz w:val="22"/>
                <w:lang w:val="en-US"/>
              </w:rPr>
            </w:pPr>
            <w:r>
              <w:rPr>
                <w:rFonts w:asciiTheme="minorHAnsi" w:hAnsiTheme="minorHAnsi"/>
                <w:color w:val="000000" w:themeColor="text1"/>
                <w:sz w:val="22"/>
                <w:lang w:val="en-US"/>
              </w:rPr>
              <w:t>Difficulty recruiting 15</w:t>
            </w:r>
            <w:r w:rsidR="001D1955" w:rsidRPr="00DA2509">
              <w:rPr>
                <w:rFonts w:asciiTheme="minorHAnsi" w:hAnsiTheme="minorHAnsi"/>
                <w:color w:val="000000" w:themeColor="text1"/>
                <w:sz w:val="22"/>
                <w:lang w:val="en-US"/>
              </w:rPr>
              <w:t xml:space="preserve"> </w:t>
            </w:r>
            <w:r w:rsidR="00EE04F4" w:rsidRPr="00DA2509">
              <w:rPr>
                <w:rFonts w:asciiTheme="minorHAnsi" w:hAnsiTheme="minorHAnsi"/>
                <w:color w:val="000000" w:themeColor="text1"/>
                <w:sz w:val="22"/>
                <w:lang w:val="en-US"/>
              </w:rPr>
              <w:t>companies</w:t>
            </w:r>
            <w:r w:rsidR="001D1955" w:rsidRPr="00DA2509">
              <w:rPr>
                <w:rFonts w:asciiTheme="minorHAnsi" w:hAnsiTheme="minorHAnsi"/>
                <w:color w:val="000000" w:themeColor="text1"/>
                <w:sz w:val="22"/>
                <w:lang w:val="en-US"/>
              </w:rPr>
              <w:t xml:space="preserve"> that fit the criteria of the Basic Services cohort</w:t>
            </w:r>
            <w:r>
              <w:rPr>
                <w:rFonts w:asciiTheme="minorHAnsi" w:hAnsiTheme="minorHAnsi"/>
                <w:color w:val="000000" w:themeColor="text1"/>
                <w:sz w:val="22"/>
                <w:lang w:val="en-US"/>
              </w:rPr>
              <w:t>.</w:t>
            </w:r>
          </w:p>
        </w:tc>
        <w:tc>
          <w:tcPr>
            <w:tcW w:w="7578" w:type="dxa"/>
          </w:tcPr>
          <w:p w:rsidR="00FE1C25" w:rsidRPr="00DA2509" w:rsidRDefault="001D1955" w:rsidP="00A83AE9">
            <w:pPr>
              <w:pStyle w:val="Paragraph"/>
              <w:tabs>
                <w:tab w:val="clear" w:pos="720"/>
              </w:tabs>
              <w:ind w:left="0" w:firstLine="0"/>
              <w:jc w:val="left"/>
              <w:rPr>
                <w:rFonts w:asciiTheme="minorHAnsi" w:hAnsiTheme="minorHAnsi"/>
                <w:color w:val="000000" w:themeColor="text1"/>
                <w:sz w:val="22"/>
                <w:lang w:val="en-US"/>
              </w:rPr>
            </w:pPr>
            <w:r w:rsidRPr="00DA2509">
              <w:rPr>
                <w:rFonts w:asciiTheme="minorHAnsi" w:hAnsiTheme="minorHAnsi"/>
                <w:color w:val="000000" w:themeColor="text1"/>
                <w:sz w:val="22"/>
                <w:lang w:val="en-US"/>
              </w:rPr>
              <w:t xml:space="preserve">-Highly qualified recruitment manager with excellent support team to implement extensive recruitment plan with strong focus on building partnerships with local organizations, networks, and HUBS to recommend entrepreneurs </w:t>
            </w:r>
          </w:p>
          <w:p w:rsidR="001D1955" w:rsidRPr="00DA2509" w:rsidRDefault="00FE1C25" w:rsidP="00A83AE9">
            <w:pPr>
              <w:pStyle w:val="Paragraph"/>
              <w:tabs>
                <w:tab w:val="clear" w:pos="720"/>
              </w:tabs>
              <w:ind w:left="0" w:firstLine="0"/>
              <w:jc w:val="left"/>
              <w:rPr>
                <w:rFonts w:asciiTheme="minorHAnsi" w:hAnsiTheme="minorHAnsi"/>
                <w:color w:val="000000" w:themeColor="text1"/>
                <w:sz w:val="22"/>
                <w:lang w:val="en-US"/>
              </w:rPr>
            </w:pPr>
            <w:r w:rsidRPr="00DA2509">
              <w:rPr>
                <w:rFonts w:asciiTheme="minorHAnsi" w:hAnsiTheme="minorHAnsi"/>
                <w:color w:val="000000" w:themeColor="text1"/>
                <w:sz w:val="22"/>
                <w:lang w:val="en-US"/>
              </w:rPr>
              <w:t>-Utilize the 11 Basic Services Accelerator alumni to recruit in their own networks</w:t>
            </w:r>
          </w:p>
          <w:p w:rsidR="00EE04F4" w:rsidRPr="00DA2509" w:rsidRDefault="001D1955" w:rsidP="00A83AE9">
            <w:pPr>
              <w:pStyle w:val="Paragraph"/>
              <w:tabs>
                <w:tab w:val="clear" w:pos="720"/>
              </w:tabs>
              <w:ind w:left="0" w:firstLine="0"/>
              <w:jc w:val="left"/>
              <w:rPr>
                <w:rFonts w:asciiTheme="minorHAnsi" w:hAnsiTheme="minorHAnsi"/>
                <w:color w:val="000000" w:themeColor="text1"/>
                <w:sz w:val="22"/>
                <w:lang w:val="en-US"/>
              </w:rPr>
            </w:pPr>
            <w:r w:rsidRPr="00DA2509">
              <w:rPr>
                <w:rFonts w:asciiTheme="minorHAnsi" w:hAnsiTheme="minorHAnsi"/>
                <w:color w:val="000000" w:themeColor="text1"/>
                <w:sz w:val="22"/>
                <w:lang w:val="en-US"/>
              </w:rPr>
              <w:t>-Advertising to effectively communicate the value proposition of the Accelerator</w:t>
            </w:r>
          </w:p>
          <w:p w:rsidR="00B87352" w:rsidRPr="00DA2509" w:rsidRDefault="00EE04F4" w:rsidP="00A83AE9">
            <w:pPr>
              <w:pStyle w:val="Paragraph"/>
              <w:tabs>
                <w:tab w:val="clear" w:pos="720"/>
              </w:tabs>
              <w:ind w:left="0" w:firstLine="0"/>
              <w:jc w:val="left"/>
              <w:rPr>
                <w:rFonts w:asciiTheme="minorHAnsi" w:hAnsiTheme="minorHAnsi"/>
                <w:color w:val="000000" w:themeColor="text1"/>
                <w:sz w:val="22"/>
                <w:lang w:val="en-US"/>
              </w:rPr>
            </w:pPr>
            <w:r w:rsidRPr="00DA2509">
              <w:rPr>
                <w:rFonts w:asciiTheme="minorHAnsi" w:hAnsiTheme="minorHAnsi"/>
                <w:color w:val="000000" w:themeColor="text1"/>
                <w:sz w:val="22"/>
                <w:lang w:val="en-US"/>
              </w:rPr>
              <w:t>-Full funded cohort allowing for minimal expense to the entrepreneur</w:t>
            </w:r>
          </w:p>
        </w:tc>
      </w:tr>
      <w:tr w:rsidR="00DA2509" w:rsidRPr="00DA2509">
        <w:tc>
          <w:tcPr>
            <w:tcW w:w="1890" w:type="dxa"/>
          </w:tcPr>
          <w:p w:rsidR="00581962" w:rsidRPr="00DA2509" w:rsidRDefault="00581962" w:rsidP="00A83AE9">
            <w:pPr>
              <w:pStyle w:val="Paragraph"/>
              <w:tabs>
                <w:tab w:val="clear" w:pos="720"/>
              </w:tabs>
              <w:ind w:left="0" w:firstLine="0"/>
              <w:jc w:val="left"/>
              <w:rPr>
                <w:rFonts w:asciiTheme="minorHAnsi" w:hAnsiTheme="minorHAnsi"/>
                <w:color w:val="000000" w:themeColor="text1"/>
                <w:sz w:val="22"/>
                <w:lang w:val="en-US"/>
              </w:rPr>
            </w:pPr>
            <w:r w:rsidRPr="00DA2509">
              <w:rPr>
                <w:rFonts w:asciiTheme="minorHAnsi" w:hAnsiTheme="minorHAnsi"/>
                <w:color w:val="000000" w:themeColor="text1"/>
                <w:sz w:val="22"/>
                <w:lang w:val="en-US"/>
              </w:rPr>
              <w:t>Competition from larger companies, government, and/or NGO’s offering products and services at subsidized prices</w:t>
            </w:r>
          </w:p>
        </w:tc>
        <w:tc>
          <w:tcPr>
            <w:tcW w:w="7578" w:type="dxa"/>
          </w:tcPr>
          <w:p w:rsidR="0089437E" w:rsidRPr="00DA2509" w:rsidRDefault="00581962" w:rsidP="00A83AE9">
            <w:pPr>
              <w:pStyle w:val="Paragraph"/>
              <w:tabs>
                <w:tab w:val="clear" w:pos="720"/>
              </w:tabs>
              <w:ind w:left="0" w:firstLine="0"/>
              <w:jc w:val="left"/>
              <w:rPr>
                <w:rFonts w:asciiTheme="minorHAnsi" w:hAnsiTheme="minorHAnsi"/>
                <w:color w:val="000000" w:themeColor="text1"/>
                <w:sz w:val="22"/>
                <w:lang w:val="en-US"/>
              </w:rPr>
            </w:pPr>
            <w:r w:rsidRPr="00DA2509">
              <w:rPr>
                <w:rFonts w:asciiTheme="minorHAnsi" w:hAnsiTheme="minorHAnsi"/>
                <w:color w:val="000000" w:themeColor="text1"/>
                <w:sz w:val="22"/>
                <w:lang w:val="en-US"/>
              </w:rPr>
              <w:t xml:space="preserve">-A major component of the </w:t>
            </w:r>
            <w:r w:rsidR="0089437E" w:rsidRPr="00DA2509">
              <w:rPr>
                <w:rFonts w:asciiTheme="minorHAnsi" w:hAnsiTheme="minorHAnsi"/>
                <w:color w:val="000000" w:themeColor="text1"/>
                <w:sz w:val="22"/>
                <w:lang w:val="en-US"/>
              </w:rPr>
              <w:t>recruiting</w:t>
            </w:r>
            <w:r w:rsidRPr="00DA2509">
              <w:rPr>
                <w:rFonts w:asciiTheme="minorHAnsi" w:hAnsiTheme="minorHAnsi"/>
                <w:color w:val="000000" w:themeColor="text1"/>
                <w:sz w:val="22"/>
                <w:lang w:val="en-US"/>
              </w:rPr>
              <w:t xml:space="preserve"> and selection process of </w:t>
            </w:r>
            <w:r w:rsidR="0089437E" w:rsidRPr="00DA2509">
              <w:rPr>
                <w:rFonts w:asciiTheme="minorHAnsi" w:hAnsiTheme="minorHAnsi"/>
                <w:color w:val="000000" w:themeColor="text1"/>
                <w:sz w:val="22"/>
                <w:lang w:val="en-US"/>
              </w:rPr>
              <w:t>entrepreneurs</w:t>
            </w:r>
            <w:r w:rsidRPr="00DA2509">
              <w:rPr>
                <w:rFonts w:asciiTheme="minorHAnsi" w:hAnsiTheme="minorHAnsi"/>
                <w:color w:val="000000" w:themeColor="text1"/>
                <w:sz w:val="22"/>
                <w:lang w:val="en-US"/>
              </w:rPr>
              <w:t xml:space="preserve"> is to gain an understanding of the marketing in which </w:t>
            </w:r>
            <w:r w:rsidR="00106DC3">
              <w:rPr>
                <w:rFonts w:asciiTheme="minorHAnsi" w:hAnsiTheme="minorHAnsi"/>
                <w:color w:val="000000" w:themeColor="text1"/>
                <w:sz w:val="22"/>
                <w:lang w:val="en-US"/>
              </w:rPr>
              <w:t>the</w:t>
            </w:r>
            <w:r w:rsidRPr="00DA2509">
              <w:rPr>
                <w:rFonts w:asciiTheme="minorHAnsi" w:hAnsiTheme="minorHAnsi"/>
                <w:color w:val="000000" w:themeColor="text1"/>
                <w:sz w:val="22"/>
                <w:lang w:val="en-US"/>
              </w:rPr>
              <w:t xml:space="preserve"> entrepreneurs are working</w:t>
            </w:r>
          </w:p>
          <w:p w:rsidR="00581962" w:rsidRPr="00DA2509" w:rsidRDefault="0089437E" w:rsidP="00A83AE9">
            <w:pPr>
              <w:pStyle w:val="Paragraph"/>
              <w:tabs>
                <w:tab w:val="clear" w:pos="720"/>
              </w:tabs>
              <w:ind w:left="0" w:firstLine="0"/>
              <w:jc w:val="left"/>
              <w:rPr>
                <w:rFonts w:asciiTheme="minorHAnsi" w:hAnsiTheme="minorHAnsi"/>
                <w:color w:val="000000" w:themeColor="text1"/>
                <w:sz w:val="22"/>
                <w:lang w:val="en-US"/>
              </w:rPr>
            </w:pPr>
            <w:r w:rsidRPr="00DA2509">
              <w:rPr>
                <w:rFonts w:asciiTheme="minorHAnsi" w:hAnsiTheme="minorHAnsi"/>
                <w:color w:val="000000" w:themeColor="text1"/>
                <w:sz w:val="22"/>
                <w:lang w:val="en-US"/>
              </w:rPr>
              <w:t>-One of the selection criteria will be that the market in which the company works truly has a need for the product/service and a space for a private sector solution</w:t>
            </w:r>
          </w:p>
          <w:p w:rsidR="00581962" w:rsidRPr="00DA2509" w:rsidRDefault="0089437E" w:rsidP="00A83AE9">
            <w:pPr>
              <w:pStyle w:val="Paragraph"/>
              <w:tabs>
                <w:tab w:val="clear" w:pos="720"/>
              </w:tabs>
              <w:ind w:left="0" w:firstLine="0"/>
              <w:jc w:val="left"/>
              <w:rPr>
                <w:rFonts w:asciiTheme="minorHAnsi" w:hAnsiTheme="minorHAnsi"/>
                <w:color w:val="000000" w:themeColor="text1"/>
                <w:sz w:val="22"/>
                <w:lang w:val="en-US"/>
              </w:rPr>
            </w:pPr>
            <w:r w:rsidRPr="00DA2509">
              <w:rPr>
                <w:rFonts w:asciiTheme="minorHAnsi" w:hAnsiTheme="minorHAnsi"/>
                <w:color w:val="000000" w:themeColor="text1"/>
                <w:sz w:val="22"/>
                <w:lang w:val="en-US"/>
              </w:rPr>
              <w:t>-Consultants will help entrepreneurs to</w:t>
            </w:r>
            <w:r w:rsidR="00581962" w:rsidRPr="00DA2509">
              <w:rPr>
                <w:rFonts w:asciiTheme="minorHAnsi" w:hAnsiTheme="minorHAnsi"/>
                <w:color w:val="000000" w:themeColor="text1"/>
                <w:sz w:val="22"/>
                <w:lang w:val="en-US"/>
              </w:rPr>
              <w:t xml:space="preserve"> navigate partnerships with larger competitor</w:t>
            </w:r>
          </w:p>
        </w:tc>
      </w:tr>
      <w:tr w:rsidR="00DA2509" w:rsidRPr="00DA2509">
        <w:tc>
          <w:tcPr>
            <w:tcW w:w="1890" w:type="dxa"/>
          </w:tcPr>
          <w:p w:rsidR="00B87352" w:rsidRPr="00DA2509" w:rsidRDefault="00FE1C25" w:rsidP="000919E7">
            <w:pPr>
              <w:pStyle w:val="Paragraph"/>
              <w:tabs>
                <w:tab w:val="clear" w:pos="720"/>
              </w:tabs>
              <w:ind w:left="0" w:firstLine="0"/>
              <w:jc w:val="left"/>
              <w:rPr>
                <w:rFonts w:asciiTheme="minorHAnsi" w:hAnsiTheme="minorHAnsi"/>
                <w:color w:val="000000" w:themeColor="text1"/>
                <w:sz w:val="22"/>
                <w:lang w:val="en-US"/>
              </w:rPr>
            </w:pPr>
            <w:r w:rsidRPr="00DA2509">
              <w:rPr>
                <w:rFonts w:asciiTheme="minorHAnsi" w:hAnsiTheme="minorHAnsi"/>
                <w:color w:val="000000" w:themeColor="text1"/>
                <w:sz w:val="22"/>
                <w:lang w:val="en-US"/>
              </w:rPr>
              <w:t xml:space="preserve">Strict local policy and/or policy changes in </w:t>
            </w:r>
            <w:r w:rsidR="00B87352" w:rsidRPr="00DA2509">
              <w:rPr>
                <w:rFonts w:asciiTheme="minorHAnsi" w:hAnsiTheme="minorHAnsi"/>
                <w:color w:val="000000" w:themeColor="text1"/>
                <w:sz w:val="22"/>
                <w:lang w:val="en-US"/>
              </w:rPr>
              <w:t>regulations</w:t>
            </w:r>
            <w:r w:rsidRPr="00DA2509">
              <w:rPr>
                <w:rFonts w:asciiTheme="minorHAnsi" w:hAnsiTheme="minorHAnsi"/>
                <w:color w:val="000000" w:themeColor="text1"/>
                <w:sz w:val="22"/>
                <w:lang w:val="en-US"/>
              </w:rPr>
              <w:t xml:space="preserve"> that limit customer access to basic </w:t>
            </w:r>
            <w:r w:rsidRPr="00DA2509">
              <w:rPr>
                <w:rFonts w:asciiTheme="minorHAnsi" w:hAnsiTheme="minorHAnsi"/>
                <w:color w:val="000000" w:themeColor="text1"/>
                <w:sz w:val="22"/>
                <w:lang w:val="en-US"/>
              </w:rPr>
              <w:lastRenderedPageBreak/>
              <w:t>ser</w:t>
            </w:r>
            <w:r w:rsidR="000919E7">
              <w:rPr>
                <w:rFonts w:asciiTheme="minorHAnsi" w:hAnsiTheme="minorHAnsi"/>
                <w:color w:val="000000" w:themeColor="text1"/>
                <w:sz w:val="22"/>
                <w:lang w:val="en-US"/>
              </w:rPr>
              <w:t>vices</w:t>
            </w:r>
          </w:p>
        </w:tc>
        <w:tc>
          <w:tcPr>
            <w:tcW w:w="7578" w:type="dxa"/>
          </w:tcPr>
          <w:p w:rsidR="0089437E" w:rsidRPr="00DA2509" w:rsidRDefault="00581962" w:rsidP="00A83AE9">
            <w:pPr>
              <w:pStyle w:val="Paragraph"/>
              <w:tabs>
                <w:tab w:val="clear" w:pos="720"/>
              </w:tabs>
              <w:ind w:left="0" w:firstLine="0"/>
              <w:jc w:val="left"/>
              <w:rPr>
                <w:rFonts w:asciiTheme="minorHAnsi" w:hAnsiTheme="minorHAnsi"/>
                <w:color w:val="000000" w:themeColor="text1"/>
                <w:sz w:val="22"/>
                <w:lang w:val="en-US"/>
              </w:rPr>
            </w:pPr>
            <w:r w:rsidRPr="00DA2509">
              <w:rPr>
                <w:rFonts w:asciiTheme="minorHAnsi" w:hAnsiTheme="minorHAnsi"/>
                <w:color w:val="000000" w:themeColor="text1"/>
                <w:sz w:val="22"/>
                <w:lang w:val="en-US"/>
              </w:rPr>
              <w:lastRenderedPageBreak/>
              <w:t>-</w:t>
            </w:r>
            <w:r w:rsidR="0089437E" w:rsidRPr="00DA2509">
              <w:rPr>
                <w:rFonts w:asciiTheme="minorHAnsi" w:hAnsiTheme="minorHAnsi"/>
                <w:color w:val="000000" w:themeColor="text1"/>
                <w:sz w:val="22"/>
                <w:lang w:val="en-US"/>
              </w:rPr>
              <w:t>Agora Consultants (who are on-the-ground) will develop relationships with local government officials and work to really understand how local policies can either hurt o</w:t>
            </w:r>
            <w:r w:rsidR="00694A85">
              <w:rPr>
                <w:rFonts w:asciiTheme="minorHAnsi" w:hAnsiTheme="minorHAnsi"/>
                <w:color w:val="000000" w:themeColor="text1"/>
                <w:sz w:val="22"/>
                <w:lang w:val="en-US"/>
              </w:rPr>
              <w:t>r</w:t>
            </w:r>
            <w:r w:rsidR="0089437E" w:rsidRPr="00DA2509">
              <w:rPr>
                <w:rFonts w:asciiTheme="minorHAnsi" w:hAnsiTheme="minorHAnsi"/>
                <w:color w:val="000000" w:themeColor="text1"/>
                <w:sz w:val="22"/>
                <w:lang w:val="en-US"/>
              </w:rPr>
              <w:t xml:space="preserve"> </w:t>
            </w:r>
            <w:r w:rsidR="00106DC3">
              <w:rPr>
                <w:rFonts w:asciiTheme="minorHAnsi" w:hAnsiTheme="minorHAnsi"/>
                <w:color w:val="000000" w:themeColor="text1"/>
                <w:sz w:val="22"/>
                <w:lang w:val="en-US"/>
              </w:rPr>
              <w:t>help the</w:t>
            </w:r>
            <w:r w:rsidR="0089437E" w:rsidRPr="00DA2509">
              <w:rPr>
                <w:rFonts w:asciiTheme="minorHAnsi" w:hAnsiTheme="minorHAnsi"/>
                <w:color w:val="000000" w:themeColor="text1"/>
                <w:sz w:val="22"/>
                <w:lang w:val="en-US"/>
              </w:rPr>
              <w:t xml:space="preserve"> entrepreneurs and will incorporate this knowledge into the strategy consulting</w:t>
            </w:r>
          </w:p>
          <w:p w:rsidR="00581962" w:rsidRPr="00DA2509" w:rsidRDefault="0089437E" w:rsidP="00A83AE9">
            <w:pPr>
              <w:pStyle w:val="Paragraph"/>
              <w:tabs>
                <w:tab w:val="clear" w:pos="720"/>
              </w:tabs>
              <w:ind w:left="0" w:firstLine="0"/>
              <w:jc w:val="left"/>
              <w:rPr>
                <w:rFonts w:asciiTheme="minorHAnsi" w:hAnsiTheme="minorHAnsi"/>
                <w:color w:val="000000" w:themeColor="text1"/>
                <w:sz w:val="22"/>
                <w:lang w:val="en-US"/>
              </w:rPr>
            </w:pPr>
            <w:r w:rsidRPr="00DA2509">
              <w:rPr>
                <w:rFonts w:asciiTheme="minorHAnsi" w:hAnsiTheme="minorHAnsi"/>
                <w:color w:val="000000" w:themeColor="text1"/>
                <w:sz w:val="22"/>
                <w:lang w:val="en-US"/>
              </w:rPr>
              <w:t>-</w:t>
            </w:r>
            <w:r w:rsidR="00184436">
              <w:rPr>
                <w:rFonts w:asciiTheme="minorHAnsi" w:hAnsiTheme="minorHAnsi"/>
                <w:color w:val="000000" w:themeColor="text1"/>
                <w:sz w:val="22"/>
                <w:lang w:val="en-US"/>
              </w:rPr>
              <w:t xml:space="preserve">Understanding potential markets before accepting </w:t>
            </w:r>
            <w:r w:rsidR="00581962" w:rsidRPr="00DA2509">
              <w:rPr>
                <w:rFonts w:asciiTheme="minorHAnsi" w:hAnsiTheme="minorHAnsi"/>
                <w:color w:val="000000" w:themeColor="text1"/>
                <w:sz w:val="22"/>
                <w:lang w:val="en-US"/>
              </w:rPr>
              <w:t xml:space="preserve">the entrepreneurs </w:t>
            </w:r>
            <w:r w:rsidR="00184436">
              <w:rPr>
                <w:rFonts w:asciiTheme="minorHAnsi" w:hAnsiTheme="minorHAnsi"/>
                <w:color w:val="000000" w:themeColor="text1"/>
                <w:sz w:val="22"/>
                <w:lang w:val="en-US"/>
              </w:rPr>
              <w:t xml:space="preserve">to </w:t>
            </w:r>
            <w:r w:rsidR="00184436">
              <w:rPr>
                <w:rFonts w:asciiTheme="minorHAnsi" w:hAnsiTheme="minorHAnsi"/>
                <w:color w:val="000000" w:themeColor="text1"/>
                <w:sz w:val="22"/>
                <w:lang w:val="en-US"/>
              </w:rPr>
              <w:lastRenderedPageBreak/>
              <w:t>minimize unanticipated problems</w:t>
            </w:r>
            <w:r w:rsidR="00581962" w:rsidRPr="00DA2509">
              <w:rPr>
                <w:rFonts w:asciiTheme="minorHAnsi" w:hAnsiTheme="minorHAnsi"/>
                <w:color w:val="000000" w:themeColor="text1"/>
                <w:sz w:val="22"/>
                <w:lang w:val="en-US"/>
              </w:rPr>
              <w:t xml:space="preserve">  </w:t>
            </w:r>
          </w:p>
          <w:p w:rsidR="00B87352" w:rsidRPr="00DA2509" w:rsidRDefault="00581962" w:rsidP="00106DC3">
            <w:pPr>
              <w:pStyle w:val="Paragraph"/>
              <w:tabs>
                <w:tab w:val="clear" w:pos="720"/>
              </w:tabs>
              <w:ind w:left="0" w:firstLine="0"/>
              <w:jc w:val="left"/>
              <w:rPr>
                <w:rFonts w:asciiTheme="minorHAnsi" w:hAnsiTheme="minorHAnsi"/>
                <w:color w:val="000000" w:themeColor="text1"/>
                <w:sz w:val="22"/>
                <w:lang w:val="en-US"/>
              </w:rPr>
            </w:pPr>
            <w:r w:rsidRPr="00DA2509">
              <w:rPr>
                <w:rFonts w:asciiTheme="minorHAnsi" w:hAnsiTheme="minorHAnsi"/>
                <w:color w:val="000000" w:themeColor="text1"/>
                <w:sz w:val="22"/>
                <w:lang w:val="en-US"/>
              </w:rPr>
              <w:t>-Agora is a GLG fellow,</w:t>
            </w:r>
            <w:r w:rsidR="00106DC3">
              <w:rPr>
                <w:rFonts w:asciiTheme="minorHAnsi" w:hAnsiTheme="minorHAnsi"/>
                <w:color w:val="000000" w:themeColor="text1"/>
                <w:sz w:val="22"/>
                <w:lang w:val="en-US"/>
              </w:rPr>
              <w:t xml:space="preserve"> which provides them with</w:t>
            </w:r>
            <w:r w:rsidRPr="00DA2509">
              <w:rPr>
                <w:rFonts w:asciiTheme="minorHAnsi" w:hAnsiTheme="minorHAnsi"/>
                <w:color w:val="000000" w:themeColor="text1"/>
                <w:sz w:val="22"/>
                <w:lang w:val="en-US"/>
              </w:rPr>
              <w:t xml:space="preserve"> access to the top mentors across the globe, with knowledge on virtually every subject</w:t>
            </w:r>
          </w:p>
        </w:tc>
      </w:tr>
    </w:tbl>
    <w:p w:rsidR="00AF2165" w:rsidRPr="00BE273F" w:rsidRDefault="00A83AE9" w:rsidP="00BE273F">
      <w:pPr>
        <w:pStyle w:val="Paragraph"/>
        <w:numPr>
          <w:ilvl w:val="1"/>
          <w:numId w:val="1"/>
        </w:numPr>
        <w:shd w:val="clear" w:color="auto" w:fill="FFFFFF"/>
        <w:ind w:left="720" w:hanging="720"/>
        <w:rPr>
          <w:rFonts w:ascii="Calibri" w:hAnsi="Calibri"/>
          <w:color w:val="000000" w:themeColor="text1"/>
          <w:szCs w:val="26"/>
          <w:lang w:val="en-US"/>
        </w:rPr>
      </w:pPr>
      <w:r>
        <w:rPr>
          <w:rFonts w:ascii="Calibri" w:hAnsi="Calibri"/>
          <w:b/>
          <w:color w:val="000000" w:themeColor="text1"/>
          <w:lang w:val="en-US"/>
        </w:rPr>
        <w:lastRenderedPageBreak/>
        <w:t>Financial</w:t>
      </w:r>
      <w:r w:rsidRPr="00602B82">
        <w:rPr>
          <w:rFonts w:ascii="Calibri" w:hAnsi="Calibri"/>
          <w:b/>
          <w:color w:val="000000" w:themeColor="text1"/>
          <w:lang w:val="en-US"/>
        </w:rPr>
        <w:t xml:space="preserve"> risk</w:t>
      </w:r>
      <w:r>
        <w:rPr>
          <w:rFonts w:ascii="Calibri" w:hAnsi="Calibri"/>
          <w:b/>
          <w:color w:val="000000" w:themeColor="text1"/>
          <w:lang w:val="en-US"/>
        </w:rPr>
        <w:t>s</w:t>
      </w:r>
      <w:r w:rsidRPr="00602B82">
        <w:rPr>
          <w:rFonts w:ascii="Calibri" w:hAnsi="Calibri"/>
          <w:b/>
          <w:color w:val="000000" w:themeColor="text1"/>
          <w:lang w:val="en-US"/>
        </w:rPr>
        <w:t>:</w:t>
      </w:r>
    </w:p>
    <w:tbl>
      <w:tblPr>
        <w:tblStyle w:val="TableGrid"/>
        <w:tblW w:w="0" w:type="auto"/>
        <w:tblInd w:w="108" w:type="dxa"/>
        <w:tblLook w:val="00A0" w:firstRow="1" w:lastRow="0" w:firstColumn="1" w:lastColumn="0" w:noHBand="0" w:noVBand="0"/>
      </w:tblPr>
      <w:tblGrid>
        <w:gridCol w:w="1890"/>
        <w:gridCol w:w="7578"/>
      </w:tblGrid>
      <w:tr w:rsidR="000919E7" w:rsidRPr="00DA2509">
        <w:tc>
          <w:tcPr>
            <w:tcW w:w="1890" w:type="dxa"/>
            <w:shd w:val="clear" w:color="auto" w:fill="B8CCE4" w:themeFill="accent1" w:themeFillTint="66"/>
          </w:tcPr>
          <w:p w:rsidR="000919E7" w:rsidRPr="00DA2509" w:rsidRDefault="000919E7" w:rsidP="00CB2768">
            <w:pPr>
              <w:pStyle w:val="Paragraph"/>
              <w:tabs>
                <w:tab w:val="clear" w:pos="720"/>
              </w:tabs>
              <w:ind w:left="360" w:hanging="360"/>
              <w:rPr>
                <w:rFonts w:asciiTheme="minorHAnsi" w:hAnsiTheme="minorHAnsi"/>
                <w:b/>
                <w:color w:val="000000" w:themeColor="text1"/>
                <w:sz w:val="22"/>
                <w:lang w:val="en-US"/>
              </w:rPr>
            </w:pPr>
            <w:r w:rsidRPr="00DA2509">
              <w:rPr>
                <w:rFonts w:asciiTheme="minorHAnsi" w:hAnsiTheme="minorHAnsi"/>
                <w:b/>
                <w:color w:val="000000" w:themeColor="text1"/>
                <w:sz w:val="22"/>
                <w:lang w:val="en-US"/>
              </w:rPr>
              <w:t>RISK</w:t>
            </w:r>
          </w:p>
        </w:tc>
        <w:tc>
          <w:tcPr>
            <w:tcW w:w="7578" w:type="dxa"/>
            <w:shd w:val="clear" w:color="auto" w:fill="B8CCE4" w:themeFill="accent1" w:themeFillTint="66"/>
          </w:tcPr>
          <w:p w:rsidR="000919E7" w:rsidRPr="00DA2509" w:rsidRDefault="000919E7" w:rsidP="00CB2768">
            <w:pPr>
              <w:pStyle w:val="Paragraph"/>
              <w:tabs>
                <w:tab w:val="clear" w:pos="720"/>
              </w:tabs>
              <w:ind w:left="360" w:hanging="360"/>
              <w:rPr>
                <w:rFonts w:asciiTheme="minorHAnsi" w:hAnsiTheme="minorHAnsi"/>
                <w:b/>
                <w:color w:val="000000" w:themeColor="text1"/>
                <w:sz w:val="22"/>
                <w:lang w:val="en-US"/>
              </w:rPr>
            </w:pPr>
            <w:r w:rsidRPr="00DA2509">
              <w:rPr>
                <w:rFonts w:asciiTheme="minorHAnsi" w:hAnsiTheme="minorHAnsi"/>
                <w:b/>
                <w:color w:val="000000" w:themeColor="text1"/>
                <w:sz w:val="22"/>
                <w:lang w:val="en-US"/>
              </w:rPr>
              <w:t>MITIGATION</w:t>
            </w:r>
          </w:p>
        </w:tc>
      </w:tr>
      <w:tr w:rsidR="00A83AE9" w:rsidRPr="00DA2509">
        <w:tc>
          <w:tcPr>
            <w:tcW w:w="1890" w:type="dxa"/>
          </w:tcPr>
          <w:p w:rsidR="00A83AE9" w:rsidRPr="00DA2509" w:rsidRDefault="00A83AE9" w:rsidP="00A83AE9">
            <w:pPr>
              <w:pStyle w:val="Paragraph"/>
              <w:tabs>
                <w:tab w:val="clear" w:pos="720"/>
              </w:tabs>
              <w:ind w:left="0" w:firstLine="0"/>
              <w:jc w:val="left"/>
              <w:rPr>
                <w:rFonts w:asciiTheme="minorHAnsi" w:hAnsiTheme="minorHAnsi"/>
                <w:color w:val="000000" w:themeColor="text1"/>
                <w:sz w:val="22"/>
                <w:lang w:val="en-US"/>
              </w:rPr>
            </w:pPr>
            <w:r w:rsidRPr="00DA2509">
              <w:rPr>
                <w:rFonts w:asciiTheme="minorHAnsi" w:hAnsiTheme="minorHAnsi"/>
                <w:color w:val="000000" w:themeColor="text1"/>
                <w:sz w:val="22"/>
                <w:lang w:val="en-US"/>
              </w:rPr>
              <w:t>Consulting methodology and other Accelerator services do not meet the needs or expectations of the entrepreneurs</w:t>
            </w:r>
          </w:p>
        </w:tc>
        <w:tc>
          <w:tcPr>
            <w:tcW w:w="7578" w:type="dxa"/>
          </w:tcPr>
          <w:p w:rsidR="00A83AE9" w:rsidRPr="00DA2509" w:rsidRDefault="00A83AE9" w:rsidP="00A83AE9">
            <w:pPr>
              <w:pStyle w:val="Paragraph"/>
              <w:tabs>
                <w:tab w:val="clear" w:pos="720"/>
              </w:tabs>
              <w:ind w:left="0" w:firstLine="0"/>
              <w:jc w:val="left"/>
              <w:rPr>
                <w:rFonts w:asciiTheme="minorHAnsi" w:hAnsiTheme="minorHAnsi"/>
                <w:color w:val="000000" w:themeColor="text1"/>
                <w:sz w:val="22"/>
                <w:lang w:val="en-US"/>
              </w:rPr>
            </w:pPr>
            <w:r w:rsidRPr="00DA2509">
              <w:rPr>
                <w:rFonts w:asciiTheme="minorHAnsi" w:hAnsiTheme="minorHAnsi"/>
                <w:color w:val="000000" w:themeColor="text1"/>
                <w:sz w:val="22"/>
                <w:lang w:val="en-US"/>
              </w:rPr>
              <w:t>-Flexible modular design of the consulting allows the consultants to focus on the specific needs of each individual company</w:t>
            </w:r>
          </w:p>
          <w:p w:rsidR="00A83AE9" w:rsidRPr="00DA2509" w:rsidRDefault="00A83AE9" w:rsidP="00A83AE9">
            <w:pPr>
              <w:pStyle w:val="Paragraph"/>
              <w:tabs>
                <w:tab w:val="clear" w:pos="720"/>
              </w:tabs>
              <w:ind w:left="0" w:firstLine="0"/>
              <w:jc w:val="left"/>
              <w:rPr>
                <w:rFonts w:asciiTheme="minorHAnsi" w:hAnsiTheme="minorHAnsi"/>
                <w:color w:val="000000" w:themeColor="text1"/>
                <w:sz w:val="22"/>
                <w:lang w:val="en-US"/>
              </w:rPr>
            </w:pPr>
            <w:r w:rsidRPr="00DA2509">
              <w:rPr>
                <w:rFonts w:asciiTheme="minorHAnsi" w:hAnsiTheme="minorHAnsi"/>
                <w:color w:val="000000" w:themeColor="text1"/>
                <w:sz w:val="22"/>
                <w:lang w:val="en-US"/>
              </w:rPr>
              <w:t xml:space="preserve">-Ensure that consultants understand the consequences of a business model that focuses on selling to the </w:t>
            </w:r>
            <w:proofErr w:type="spellStart"/>
            <w:r w:rsidRPr="00DA2509">
              <w:rPr>
                <w:rFonts w:asciiTheme="minorHAnsi" w:hAnsiTheme="minorHAnsi"/>
                <w:color w:val="000000" w:themeColor="text1"/>
                <w:sz w:val="22"/>
                <w:lang w:val="en-US"/>
              </w:rPr>
              <w:t>BoP</w:t>
            </w:r>
            <w:proofErr w:type="spellEnd"/>
            <w:r w:rsidRPr="00DA2509">
              <w:rPr>
                <w:rFonts w:asciiTheme="minorHAnsi" w:hAnsiTheme="minorHAnsi"/>
                <w:color w:val="000000" w:themeColor="text1"/>
                <w:sz w:val="22"/>
                <w:lang w:val="en-US"/>
              </w:rPr>
              <w:t xml:space="preserve"> (risk adversity, difficult access, lack of information, legislations, etc.)</w:t>
            </w:r>
          </w:p>
          <w:p w:rsidR="00A83AE9" w:rsidRPr="00DA2509" w:rsidRDefault="00A83AE9" w:rsidP="00A83AE9">
            <w:pPr>
              <w:pStyle w:val="Paragraph"/>
              <w:tabs>
                <w:tab w:val="clear" w:pos="720"/>
              </w:tabs>
              <w:ind w:left="0" w:firstLine="0"/>
              <w:jc w:val="left"/>
              <w:rPr>
                <w:rFonts w:asciiTheme="minorHAnsi" w:hAnsiTheme="minorHAnsi"/>
                <w:color w:val="000000" w:themeColor="text1"/>
                <w:sz w:val="22"/>
                <w:lang w:val="en-US"/>
              </w:rPr>
            </w:pPr>
            <w:r w:rsidRPr="00DA2509">
              <w:rPr>
                <w:rFonts w:asciiTheme="minorHAnsi" w:hAnsiTheme="minorHAnsi"/>
                <w:color w:val="000000" w:themeColor="text1"/>
                <w:sz w:val="22"/>
                <w:lang w:val="en-US"/>
              </w:rPr>
              <w:t>-Recent implementation of</w:t>
            </w:r>
            <w:r w:rsidR="0056573D">
              <w:rPr>
                <w:rFonts w:asciiTheme="minorHAnsi" w:hAnsiTheme="minorHAnsi"/>
                <w:color w:val="000000" w:themeColor="text1"/>
                <w:sz w:val="22"/>
                <w:lang w:val="en-US"/>
              </w:rPr>
              <w:t xml:space="preserve"> its</w:t>
            </w:r>
            <w:r w:rsidRPr="00DA2509">
              <w:rPr>
                <w:rFonts w:asciiTheme="minorHAnsi" w:hAnsiTheme="minorHAnsi"/>
                <w:color w:val="000000" w:themeColor="text1"/>
                <w:sz w:val="22"/>
                <w:lang w:val="en-US"/>
              </w:rPr>
              <w:t xml:space="preserve"> biannual review of existing knowledge on the accelerator market, references </w:t>
            </w:r>
            <w:r w:rsidR="0056573D">
              <w:rPr>
                <w:rFonts w:asciiTheme="minorHAnsi" w:hAnsiTheme="minorHAnsi"/>
                <w:color w:val="000000" w:themeColor="text1"/>
                <w:sz w:val="22"/>
                <w:lang w:val="en-US"/>
              </w:rPr>
              <w:t>from its</w:t>
            </w:r>
            <w:r w:rsidRPr="00DA2509">
              <w:rPr>
                <w:rFonts w:asciiTheme="minorHAnsi" w:hAnsiTheme="minorHAnsi"/>
                <w:color w:val="000000" w:themeColor="text1"/>
                <w:sz w:val="22"/>
                <w:lang w:val="en-US"/>
              </w:rPr>
              <w:t xml:space="preserve"> targe</w:t>
            </w:r>
            <w:r w:rsidR="0056573D">
              <w:rPr>
                <w:rFonts w:asciiTheme="minorHAnsi" w:hAnsiTheme="minorHAnsi"/>
                <w:color w:val="000000" w:themeColor="text1"/>
                <w:sz w:val="22"/>
                <w:lang w:val="en-US"/>
              </w:rPr>
              <w:t>t entrepreneurs, the services it</w:t>
            </w:r>
            <w:r w:rsidRPr="00DA2509">
              <w:rPr>
                <w:rFonts w:asciiTheme="minorHAnsi" w:hAnsiTheme="minorHAnsi"/>
                <w:color w:val="000000" w:themeColor="text1"/>
                <w:sz w:val="22"/>
                <w:lang w:val="en-US"/>
              </w:rPr>
              <w:t xml:space="preserve"> provide</w:t>
            </w:r>
            <w:r w:rsidR="0056573D">
              <w:rPr>
                <w:rFonts w:asciiTheme="minorHAnsi" w:hAnsiTheme="minorHAnsi"/>
                <w:color w:val="000000" w:themeColor="text1"/>
                <w:sz w:val="22"/>
                <w:lang w:val="en-US"/>
              </w:rPr>
              <w:t>s</w:t>
            </w:r>
            <w:r w:rsidRPr="00DA2509">
              <w:rPr>
                <w:rFonts w:asciiTheme="minorHAnsi" w:hAnsiTheme="minorHAnsi"/>
                <w:color w:val="000000" w:themeColor="text1"/>
                <w:sz w:val="22"/>
                <w:lang w:val="en-US"/>
              </w:rPr>
              <w:t>, etc</w:t>
            </w:r>
            <w:r w:rsidR="0056573D">
              <w:rPr>
                <w:rFonts w:asciiTheme="minorHAnsi" w:hAnsiTheme="minorHAnsi"/>
                <w:color w:val="000000" w:themeColor="text1"/>
                <w:sz w:val="22"/>
                <w:lang w:val="en-US"/>
              </w:rPr>
              <w:t>. to ensure that the services Agora</w:t>
            </w:r>
            <w:r w:rsidRPr="00DA2509">
              <w:rPr>
                <w:rFonts w:asciiTheme="minorHAnsi" w:hAnsiTheme="minorHAnsi"/>
                <w:color w:val="000000" w:themeColor="text1"/>
                <w:sz w:val="22"/>
                <w:lang w:val="en-US"/>
              </w:rPr>
              <w:t xml:space="preserve"> offer</w:t>
            </w:r>
            <w:r w:rsidR="0056573D">
              <w:rPr>
                <w:rFonts w:asciiTheme="minorHAnsi" w:hAnsiTheme="minorHAnsi"/>
                <w:color w:val="000000" w:themeColor="text1"/>
                <w:sz w:val="22"/>
                <w:lang w:val="en-US"/>
              </w:rPr>
              <w:t xml:space="preserve">s and the companies it </w:t>
            </w:r>
            <w:r w:rsidRPr="00DA2509">
              <w:rPr>
                <w:rFonts w:asciiTheme="minorHAnsi" w:hAnsiTheme="minorHAnsi"/>
                <w:color w:val="000000" w:themeColor="text1"/>
                <w:sz w:val="22"/>
                <w:lang w:val="en-US"/>
              </w:rPr>
              <w:t>recruit</w:t>
            </w:r>
            <w:r w:rsidR="0056573D">
              <w:rPr>
                <w:rFonts w:asciiTheme="minorHAnsi" w:hAnsiTheme="minorHAnsi"/>
                <w:color w:val="000000" w:themeColor="text1"/>
                <w:sz w:val="22"/>
                <w:lang w:val="en-US"/>
              </w:rPr>
              <w:t>s</w:t>
            </w:r>
            <w:r w:rsidRPr="00DA2509">
              <w:rPr>
                <w:rFonts w:asciiTheme="minorHAnsi" w:hAnsiTheme="minorHAnsi"/>
                <w:color w:val="000000" w:themeColor="text1"/>
                <w:sz w:val="22"/>
                <w:lang w:val="en-US"/>
              </w:rPr>
              <w:t xml:space="preserve"> are in maximum alignment </w:t>
            </w:r>
          </w:p>
          <w:p w:rsidR="00A83AE9" w:rsidRPr="00DA2509" w:rsidRDefault="00A83AE9" w:rsidP="00A83AE9">
            <w:pPr>
              <w:pStyle w:val="Paragraph"/>
              <w:tabs>
                <w:tab w:val="clear" w:pos="720"/>
              </w:tabs>
              <w:ind w:left="0" w:firstLine="0"/>
              <w:jc w:val="left"/>
              <w:rPr>
                <w:rFonts w:asciiTheme="minorHAnsi" w:hAnsiTheme="minorHAnsi"/>
                <w:color w:val="000000" w:themeColor="text1"/>
                <w:sz w:val="22"/>
                <w:lang w:val="en-US"/>
              </w:rPr>
            </w:pPr>
            <w:r w:rsidRPr="00DA2509">
              <w:rPr>
                <w:rFonts w:asciiTheme="minorHAnsi" w:hAnsiTheme="minorHAnsi"/>
                <w:color w:val="000000" w:themeColor="text1"/>
                <w:sz w:val="22"/>
                <w:lang w:val="en-US"/>
              </w:rPr>
              <w:t>-Recruit the best consultants with newly designed extensive recruiting plan, new section on website dedicated to marketing the fellowship program, and enhanced value proposition of the fellowship including formalized trainings in Washington DC and Nicaragua</w:t>
            </w:r>
          </w:p>
        </w:tc>
      </w:tr>
      <w:tr w:rsidR="000919E7" w:rsidRPr="00DA2509">
        <w:tc>
          <w:tcPr>
            <w:tcW w:w="1890" w:type="dxa"/>
          </w:tcPr>
          <w:p w:rsidR="000919E7" w:rsidRPr="00DA2509" w:rsidRDefault="000919E7" w:rsidP="00CB2768">
            <w:pPr>
              <w:pStyle w:val="Paragraph"/>
              <w:tabs>
                <w:tab w:val="clear" w:pos="720"/>
              </w:tabs>
              <w:ind w:left="0" w:firstLine="0"/>
              <w:jc w:val="left"/>
              <w:rPr>
                <w:rFonts w:asciiTheme="minorHAnsi" w:hAnsiTheme="minorHAnsi"/>
                <w:color w:val="000000" w:themeColor="text1"/>
                <w:sz w:val="22"/>
                <w:lang w:val="en-US"/>
              </w:rPr>
            </w:pPr>
            <w:r w:rsidRPr="00DA2509">
              <w:rPr>
                <w:rFonts w:asciiTheme="minorHAnsi" w:hAnsiTheme="minorHAnsi"/>
                <w:color w:val="000000" w:themeColor="text1"/>
                <w:sz w:val="22"/>
                <w:lang w:val="en-US"/>
              </w:rPr>
              <w:t>Few investors interested in Basic Services companies</w:t>
            </w:r>
          </w:p>
        </w:tc>
        <w:tc>
          <w:tcPr>
            <w:tcW w:w="7578" w:type="dxa"/>
          </w:tcPr>
          <w:p w:rsidR="000919E7" w:rsidRPr="00DA2509" w:rsidRDefault="000919E7" w:rsidP="00CB2768">
            <w:pPr>
              <w:pStyle w:val="Paragraph"/>
              <w:tabs>
                <w:tab w:val="clear" w:pos="720"/>
              </w:tabs>
              <w:ind w:left="0" w:firstLine="0"/>
              <w:jc w:val="left"/>
              <w:rPr>
                <w:rFonts w:asciiTheme="minorHAnsi" w:hAnsiTheme="minorHAnsi"/>
                <w:color w:val="000000" w:themeColor="text1"/>
                <w:sz w:val="22"/>
                <w:lang w:val="en-US"/>
              </w:rPr>
            </w:pPr>
            <w:r w:rsidRPr="00DA2509">
              <w:rPr>
                <w:rFonts w:asciiTheme="minorHAnsi" w:hAnsiTheme="minorHAnsi"/>
                <w:color w:val="000000" w:themeColor="text1"/>
                <w:sz w:val="22"/>
                <w:lang w:val="en-US"/>
              </w:rPr>
              <w:t>-Out of 63 funds which invest in Latin America that are registered from GIIN’s database (</w:t>
            </w:r>
            <w:proofErr w:type="spellStart"/>
            <w:r w:rsidRPr="00DA2509">
              <w:rPr>
                <w:rFonts w:asciiTheme="minorHAnsi" w:hAnsiTheme="minorHAnsi"/>
                <w:color w:val="000000" w:themeColor="text1"/>
                <w:sz w:val="22"/>
                <w:lang w:val="en-US"/>
              </w:rPr>
              <w:t>ImpactBase</w:t>
            </w:r>
            <w:proofErr w:type="spellEnd"/>
            <w:r w:rsidRPr="00DA2509">
              <w:rPr>
                <w:rFonts w:asciiTheme="minorHAnsi" w:hAnsiTheme="minorHAnsi"/>
                <w:color w:val="000000" w:themeColor="text1"/>
                <w:sz w:val="22"/>
                <w:lang w:val="en-US"/>
              </w:rPr>
              <w:t>), 29 focus on Access to Basic Services</w:t>
            </w:r>
          </w:p>
          <w:p w:rsidR="000919E7" w:rsidRPr="00DA2509" w:rsidRDefault="000919E7" w:rsidP="00CB2768">
            <w:pPr>
              <w:pStyle w:val="Paragraph"/>
              <w:tabs>
                <w:tab w:val="clear" w:pos="720"/>
              </w:tabs>
              <w:ind w:left="0" w:firstLine="0"/>
              <w:jc w:val="left"/>
              <w:rPr>
                <w:rFonts w:asciiTheme="minorHAnsi" w:hAnsiTheme="minorHAnsi"/>
                <w:color w:val="000000" w:themeColor="text1"/>
                <w:sz w:val="22"/>
                <w:lang w:val="en-US"/>
              </w:rPr>
            </w:pPr>
            <w:r w:rsidRPr="00DA2509">
              <w:rPr>
                <w:rFonts w:asciiTheme="minorHAnsi" w:hAnsiTheme="minorHAnsi"/>
                <w:color w:val="000000" w:themeColor="text1"/>
                <w:sz w:val="22"/>
                <w:lang w:val="en-US"/>
              </w:rPr>
              <w:t>-$2.6MM has been invested in Basic Services companies that have participated in the Agora Accelerator in the past</w:t>
            </w:r>
          </w:p>
          <w:p w:rsidR="000919E7" w:rsidRPr="00DA2509" w:rsidRDefault="000919E7" w:rsidP="00CB2768">
            <w:pPr>
              <w:pStyle w:val="Paragraph"/>
              <w:tabs>
                <w:tab w:val="clear" w:pos="720"/>
              </w:tabs>
              <w:ind w:left="0" w:firstLine="0"/>
              <w:jc w:val="left"/>
              <w:rPr>
                <w:rFonts w:asciiTheme="minorHAnsi" w:hAnsiTheme="minorHAnsi"/>
                <w:color w:val="000000" w:themeColor="text1"/>
                <w:sz w:val="22"/>
                <w:lang w:val="en-US"/>
              </w:rPr>
            </w:pPr>
            <w:r w:rsidRPr="00DA2509">
              <w:rPr>
                <w:rFonts w:asciiTheme="minorHAnsi" w:hAnsiTheme="minorHAnsi"/>
                <w:color w:val="000000" w:themeColor="text1"/>
                <w:sz w:val="22"/>
                <w:lang w:val="en-US"/>
              </w:rPr>
              <w:t>-Leverage the IDB’s investment into the cohort to recruit new investors</w:t>
            </w:r>
            <w:r w:rsidR="00694A85">
              <w:rPr>
                <w:rFonts w:asciiTheme="minorHAnsi" w:hAnsiTheme="minorHAnsi"/>
                <w:color w:val="000000" w:themeColor="text1"/>
                <w:sz w:val="22"/>
                <w:lang w:val="en-US"/>
              </w:rPr>
              <w:t xml:space="preserve"> including OMJ and MIF supported funds</w:t>
            </w:r>
            <w:r w:rsidRPr="00DA2509">
              <w:rPr>
                <w:rFonts w:asciiTheme="minorHAnsi" w:hAnsiTheme="minorHAnsi"/>
                <w:color w:val="000000" w:themeColor="text1"/>
                <w:sz w:val="22"/>
                <w:lang w:val="en-US"/>
              </w:rPr>
              <w:t xml:space="preserve"> into the Agora Investor Network with a particular interest in Basic Services </w:t>
            </w:r>
          </w:p>
          <w:p w:rsidR="000919E7" w:rsidRPr="00DA2509" w:rsidRDefault="000919E7" w:rsidP="00CB2768">
            <w:pPr>
              <w:pStyle w:val="Paragraph"/>
              <w:tabs>
                <w:tab w:val="clear" w:pos="720"/>
              </w:tabs>
              <w:ind w:left="0" w:firstLine="0"/>
              <w:jc w:val="left"/>
              <w:rPr>
                <w:rFonts w:asciiTheme="minorHAnsi" w:hAnsiTheme="minorHAnsi"/>
                <w:color w:val="000000" w:themeColor="text1"/>
                <w:sz w:val="22"/>
                <w:lang w:val="en-US"/>
              </w:rPr>
            </w:pPr>
            <w:r w:rsidRPr="00DA2509">
              <w:rPr>
                <w:rFonts w:asciiTheme="minorHAnsi" w:hAnsiTheme="minorHAnsi"/>
                <w:color w:val="000000" w:themeColor="text1"/>
                <w:sz w:val="22"/>
                <w:lang w:val="en-US"/>
              </w:rPr>
              <w:t>-Invite potential investors to Entrepreneur Retreat to meet the companies at the beginning of the Accelerator</w:t>
            </w:r>
          </w:p>
        </w:tc>
      </w:tr>
    </w:tbl>
    <w:p w:rsidR="00AF2165" w:rsidRPr="00BE273F" w:rsidRDefault="00A83AE9" w:rsidP="00BE273F">
      <w:pPr>
        <w:pStyle w:val="Paragraph"/>
        <w:numPr>
          <w:ilvl w:val="1"/>
          <w:numId w:val="1"/>
        </w:numPr>
        <w:shd w:val="clear" w:color="auto" w:fill="FFFFFF"/>
        <w:ind w:left="720" w:hanging="720"/>
        <w:rPr>
          <w:rFonts w:ascii="Calibri" w:hAnsi="Calibri"/>
          <w:color w:val="000000" w:themeColor="text1"/>
          <w:szCs w:val="26"/>
          <w:lang w:val="en-US"/>
        </w:rPr>
      </w:pPr>
      <w:r>
        <w:rPr>
          <w:rFonts w:ascii="Calibri" w:hAnsi="Calibri"/>
          <w:b/>
          <w:color w:val="000000" w:themeColor="text1"/>
          <w:lang w:val="en-US"/>
        </w:rPr>
        <w:t>Other</w:t>
      </w:r>
      <w:r w:rsidRPr="00602B82">
        <w:rPr>
          <w:rFonts w:ascii="Calibri" w:hAnsi="Calibri"/>
          <w:b/>
          <w:color w:val="000000" w:themeColor="text1"/>
          <w:lang w:val="en-US"/>
        </w:rPr>
        <w:t xml:space="preserve"> risk</w:t>
      </w:r>
      <w:r>
        <w:rPr>
          <w:rFonts w:ascii="Calibri" w:hAnsi="Calibri"/>
          <w:b/>
          <w:color w:val="000000" w:themeColor="text1"/>
          <w:lang w:val="en-US"/>
        </w:rPr>
        <w:t>s</w:t>
      </w:r>
      <w:r w:rsidRPr="00602B82">
        <w:rPr>
          <w:rFonts w:ascii="Calibri" w:hAnsi="Calibri"/>
          <w:b/>
          <w:color w:val="000000" w:themeColor="text1"/>
          <w:lang w:val="en-US"/>
        </w:rPr>
        <w:t>:</w:t>
      </w:r>
    </w:p>
    <w:tbl>
      <w:tblPr>
        <w:tblStyle w:val="TableGrid"/>
        <w:tblW w:w="0" w:type="auto"/>
        <w:tblInd w:w="108" w:type="dxa"/>
        <w:tblLook w:val="00A0" w:firstRow="1" w:lastRow="0" w:firstColumn="1" w:lastColumn="0" w:noHBand="0" w:noVBand="0"/>
      </w:tblPr>
      <w:tblGrid>
        <w:gridCol w:w="1800"/>
        <w:gridCol w:w="7668"/>
      </w:tblGrid>
      <w:tr w:rsidR="000919E7" w:rsidRPr="00DA2509" w:rsidTr="00B04264">
        <w:tc>
          <w:tcPr>
            <w:tcW w:w="1800" w:type="dxa"/>
            <w:shd w:val="clear" w:color="auto" w:fill="B8CCE4" w:themeFill="accent1" w:themeFillTint="66"/>
          </w:tcPr>
          <w:p w:rsidR="000919E7" w:rsidRPr="00DA2509" w:rsidRDefault="000919E7" w:rsidP="00CB2768">
            <w:pPr>
              <w:pStyle w:val="Paragraph"/>
              <w:tabs>
                <w:tab w:val="clear" w:pos="720"/>
              </w:tabs>
              <w:ind w:left="360" w:hanging="360"/>
              <w:rPr>
                <w:rFonts w:asciiTheme="minorHAnsi" w:hAnsiTheme="minorHAnsi"/>
                <w:b/>
                <w:color w:val="000000" w:themeColor="text1"/>
                <w:sz w:val="22"/>
                <w:lang w:val="en-US"/>
              </w:rPr>
            </w:pPr>
            <w:r w:rsidRPr="00DA2509">
              <w:rPr>
                <w:rFonts w:asciiTheme="minorHAnsi" w:hAnsiTheme="minorHAnsi"/>
                <w:b/>
                <w:color w:val="000000" w:themeColor="text1"/>
                <w:sz w:val="22"/>
                <w:lang w:val="en-US"/>
              </w:rPr>
              <w:t>RISK</w:t>
            </w:r>
          </w:p>
        </w:tc>
        <w:tc>
          <w:tcPr>
            <w:tcW w:w="7668" w:type="dxa"/>
            <w:shd w:val="clear" w:color="auto" w:fill="B8CCE4" w:themeFill="accent1" w:themeFillTint="66"/>
          </w:tcPr>
          <w:p w:rsidR="000919E7" w:rsidRPr="00DA2509" w:rsidRDefault="000919E7" w:rsidP="00CB2768">
            <w:pPr>
              <w:pStyle w:val="Paragraph"/>
              <w:tabs>
                <w:tab w:val="clear" w:pos="720"/>
              </w:tabs>
              <w:ind w:left="360" w:hanging="360"/>
              <w:rPr>
                <w:rFonts w:asciiTheme="minorHAnsi" w:hAnsiTheme="minorHAnsi"/>
                <w:b/>
                <w:color w:val="000000" w:themeColor="text1"/>
                <w:sz w:val="22"/>
                <w:lang w:val="en-US"/>
              </w:rPr>
            </w:pPr>
            <w:r w:rsidRPr="00DA2509">
              <w:rPr>
                <w:rFonts w:asciiTheme="minorHAnsi" w:hAnsiTheme="minorHAnsi"/>
                <w:b/>
                <w:color w:val="000000" w:themeColor="text1"/>
                <w:sz w:val="22"/>
                <w:lang w:val="en-US"/>
              </w:rPr>
              <w:t>MITIGATION</w:t>
            </w:r>
          </w:p>
        </w:tc>
      </w:tr>
      <w:tr w:rsidR="00A83AE9" w:rsidRPr="00DA2509" w:rsidTr="00B04264">
        <w:trPr>
          <w:trHeight w:val="2843"/>
        </w:trPr>
        <w:tc>
          <w:tcPr>
            <w:tcW w:w="1800" w:type="dxa"/>
          </w:tcPr>
          <w:p w:rsidR="00A83AE9" w:rsidRPr="00DA2509" w:rsidRDefault="000919E7" w:rsidP="00A83AE9">
            <w:pPr>
              <w:pStyle w:val="Paragraph"/>
              <w:tabs>
                <w:tab w:val="clear" w:pos="720"/>
              </w:tabs>
              <w:ind w:left="0" w:firstLine="0"/>
              <w:jc w:val="left"/>
              <w:rPr>
                <w:rFonts w:asciiTheme="minorHAnsi" w:hAnsiTheme="minorHAnsi"/>
                <w:color w:val="000000" w:themeColor="text1"/>
                <w:sz w:val="22"/>
                <w:lang w:val="en-US"/>
              </w:rPr>
            </w:pPr>
            <w:r>
              <w:rPr>
                <w:rFonts w:asciiTheme="minorHAnsi" w:hAnsiTheme="minorHAnsi"/>
                <w:color w:val="000000" w:themeColor="text1"/>
                <w:sz w:val="22"/>
                <w:lang w:val="en-US"/>
              </w:rPr>
              <w:lastRenderedPageBreak/>
              <w:t xml:space="preserve">1. </w:t>
            </w:r>
            <w:r w:rsidR="00A83AE9" w:rsidRPr="00DA2509">
              <w:rPr>
                <w:rFonts w:asciiTheme="minorHAnsi" w:hAnsiTheme="minorHAnsi"/>
                <w:color w:val="000000" w:themeColor="text1"/>
                <w:sz w:val="22"/>
                <w:lang w:val="en-US"/>
              </w:rPr>
              <w:t>Key Agora staff leaving during the process</w:t>
            </w:r>
          </w:p>
        </w:tc>
        <w:tc>
          <w:tcPr>
            <w:tcW w:w="7668" w:type="dxa"/>
          </w:tcPr>
          <w:p w:rsidR="00A83AE9" w:rsidRPr="00DA2509" w:rsidRDefault="00A83AE9" w:rsidP="00A83AE9">
            <w:pPr>
              <w:pStyle w:val="Paragraph"/>
              <w:tabs>
                <w:tab w:val="clear" w:pos="720"/>
              </w:tabs>
              <w:ind w:left="0" w:firstLine="0"/>
              <w:jc w:val="left"/>
              <w:rPr>
                <w:rFonts w:asciiTheme="minorHAnsi" w:hAnsiTheme="minorHAnsi"/>
                <w:color w:val="000000" w:themeColor="text1"/>
                <w:sz w:val="22"/>
                <w:lang w:val="en-US"/>
              </w:rPr>
            </w:pPr>
            <w:r w:rsidRPr="00DA2509">
              <w:rPr>
                <w:rFonts w:asciiTheme="minorHAnsi" w:hAnsiTheme="minorHAnsi"/>
                <w:color w:val="000000" w:themeColor="text1"/>
                <w:sz w:val="22"/>
                <w:lang w:val="en-US"/>
              </w:rPr>
              <w:t>-Significantly increased fundraising in 2014 have allowed for more competitive salaries and the potential for benefits packages in the near future</w:t>
            </w:r>
          </w:p>
          <w:p w:rsidR="00A83AE9" w:rsidRPr="00DA2509" w:rsidRDefault="00A83AE9" w:rsidP="00A83AE9">
            <w:pPr>
              <w:pStyle w:val="Paragraph"/>
              <w:tabs>
                <w:tab w:val="clear" w:pos="720"/>
              </w:tabs>
              <w:ind w:left="0" w:firstLine="0"/>
              <w:jc w:val="left"/>
              <w:rPr>
                <w:rFonts w:asciiTheme="minorHAnsi" w:hAnsiTheme="minorHAnsi"/>
                <w:color w:val="000000" w:themeColor="text1"/>
                <w:sz w:val="22"/>
                <w:lang w:val="en-US"/>
              </w:rPr>
            </w:pPr>
            <w:r w:rsidRPr="00DA2509">
              <w:rPr>
                <w:rFonts w:asciiTheme="minorHAnsi" w:hAnsiTheme="minorHAnsi"/>
                <w:color w:val="000000" w:themeColor="text1"/>
                <w:sz w:val="22"/>
                <w:lang w:val="en-US"/>
              </w:rPr>
              <w:t>-Full SWOT analysis and internal GOSPA</w:t>
            </w:r>
            <w:r>
              <w:rPr>
                <w:rStyle w:val="FootnoteReference"/>
                <w:rFonts w:asciiTheme="minorHAnsi" w:hAnsiTheme="minorHAnsi"/>
                <w:color w:val="000000" w:themeColor="text1"/>
                <w:sz w:val="22"/>
                <w:lang w:val="en-US"/>
              </w:rPr>
              <w:footnoteReference w:id="35"/>
            </w:r>
            <w:r w:rsidRPr="00DA2509">
              <w:rPr>
                <w:rFonts w:asciiTheme="minorHAnsi" w:hAnsiTheme="minorHAnsi"/>
                <w:color w:val="000000" w:themeColor="text1"/>
                <w:sz w:val="22"/>
                <w:lang w:val="en-US"/>
              </w:rPr>
              <w:t xml:space="preserve"> review in early 2014 resulted in the realization of internal weaknesses and have allowed Agora to address these to ensure a positive and enjoyable work process</w:t>
            </w:r>
          </w:p>
          <w:p w:rsidR="00A83AE9" w:rsidRPr="00DA2509" w:rsidRDefault="00A83AE9" w:rsidP="00A83AE9">
            <w:pPr>
              <w:pStyle w:val="Paragraph"/>
              <w:tabs>
                <w:tab w:val="clear" w:pos="720"/>
              </w:tabs>
              <w:ind w:left="0" w:firstLine="0"/>
              <w:jc w:val="left"/>
              <w:rPr>
                <w:rFonts w:asciiTheme="minorHAnsi" w:hAnsiTheme="minorHAnsi"/>
                <w:color w:val="000000" w:themeColor="text1"/>
                <w:sz w:val="22"/>
                <w:lang w:val="en-US"/>
              </w:rPr>
            </w:pPr>
            <w:r w:rsidRPr="00DA2509">
              <w:rPr>
                <w:rFonts w:asciiTheme="minorHAnsi" w:hAnsiTheme="minorHAnsi"/>
                <w:color w:val="000000" w:themeColor="text1"/>
                <w:sz w:val="22"/>
                <w:lang w:val="en-US"/>
              </w:rPr>
              <w:t>-Depth of skills and flexibility of the current team allows for shifting roles when needed</w:t>
            </w:r>
          </w:p>
          <w:p w:rsidR="00A83AE9" w:rsidRPr="00DA2509" w:rsidRDefault="00BE273F" w:rsidP="00A83AE9">
            <w:pPr>
              <w:pStyle w:val="Paragraph"/>
              <w:tabs>
                <w:tab w:val="clear" w:pos="720"/>
              </w:tabs>
              <w:ind w:left="0" w:firstLine="0"/>
              <w:jc w:val="left"/>
              <w:rPr>
                <w:rFonts w:asciiTheme="minorHAnsi" w:hAnsiTheme="minorHAnsi"/>
                <w:color w:val="000000" w:themeColor="text1"/>
                <w:sz w:val="22"/>
                <w:lang w:val="en-US"/>
              </w:rPr>
            </w:pPr>
            <w:r>
              <w:rPr>
                <w:rFonts w:asciiTheme="minorHAnsi" w:hAnsiTheme="minorHAnsi"/>
                <w:color w:val="000000" w:themeColor="text1"/>
                <w:sz w:val="22"/>
                <w:lang w:val="en-US"/>
              </w:rPr>
              <w:t>-Agora’s</w:t>
            </w:r>
            <w:r w:rsidR="00106DC3">
              <w:rPr>
                <w:rFonts w:asciiTheme="minorHAnsi" w:hAnsiTheme="minorHAnsi"/>
                <w:color w:val="000000" w:themeColor="text1"/>
                <w:sz w:val="22"/>
                <w:lang w:val="en-US"/>
              </w:rPr>
              <w:t xml:space="preserve"> extensive network allows them</w:t>
            </w:r>
            <w:r w:rsidR="00A83AE9" w:rsidRPr="00DA2509">
              <w:rPr>
                <w:rFonts w:asciiTheme="minorHAnsi" w:hAnsiTheme="minorHAnsi"/>
                <w:color w:val="000000" w:themeColor="text1"/>
                <w:sz w:val="22"/>
                <w:lang w:val="en-US"/>
              </w:rPr>
              <w:t xml:space="preserve"> to quickly find high-quality talent</w:t>
            </w:r>
          </w:p>
        </w:tc>
      </w:tr>
    </w:tbl>
    <w:p w:rsidR="00A83AE9" w:rsidRDefault="0080264F" w:rsidP="000E5EB3">
      <w:pPr>
        <w:pStyle w:val="Chapter"/>
        <w:numPr>
          <w:ilvl w:val="0"/>
          <w:numId w:val="1"/>
        </w:numPr>
        <w:spacing w:before="120" w:after="0"/>
        <w:rPr>
          <w:rFonts w:asciiTheme="minorHAnsi" w:hAnsiTheme="minorHAnsi"/>
          <w:color w:val="000000" w:themeColor="text1"/>
          <w:lang w:val="en-US"/>
        </w:rPr>
      </w:pPr>
      <w:bookmarkStart w:id="11" w:name="_Toc309632508"/>
      <w:bookmarkStart w:id="12" w:name="_Toc309632507"/>
      <w:r w:rsidRPr="00DA2509">
        <w:rPr>
          <w:rFonts w:asciiTheme="minorHAnsi" w:hAnsiTheme="minorHAnsi"/>
          <w:color w:val="000000" w:themeColor="text1"/>
          <w:lang w:val="en-US"/>
        </w:rPr>
        <w:t>Environmental and Social</w:t>
      </w:r>
      <w:bookmarkEnd w:id="11"/>
      <w:r w:rsidRPr="00DA2509">
        <w:rPr>
          <w:rFonts w:asciiTheme="minorHAnsi" w:hAnsiTheme="minorHAnsi"/>
          <w:color w:val="000000" w:themeColor="text1"/>
          <w:lang w:val="en-US"/>
        </w:rPr>
        <w:t xml:space="preserve"> Effects</w:t>
      </w:r>
    </w:p>
    <w:p w:rsidR="002B3E4E" w:rsidRDefault="0080264F" w:rsidP="00B04264">
      <w:pPr>
        <w:pStyle w:val="Chapter"/>
        <w:tabs>
          <w:tab w:val="clear" w:pos="648"/>
        </w:tabs>
        <w:spacing w:before="0" w:after="0"/>
        <w:ind w:left="360" w:firstLine="0"/>
        <w:jc w:val="left"/>
        <w:rPr>
          <w:rFonts w:asciiTheme="minorHAnsi" w:hAnsiTheme="minorHAnsi"/>
          <w:color w:val="000000" w:themeColor="text1"/>
          <w:lang w:val="en-US"/>
        </w:rPr>
      </w:pPr>
      <w:r w:rsidRPr="00DA2509">
        <w:rPr>
          <w:rFonts w:asciiTheme="minorHAnsi" w:hAnsiTheme="minorHAnsi"/>
          <w:color w:val="000000" w:themeColor="text1"/>
          <w:lang w:val="en-US"/>
        </w:rPr>
        <w:t xml:space="preserve">  </w:t>
      </w:r>
      <w:bookmarkEnd w:id="12"/>
    </w:p>
    <w:p w:rsidR="00A83AE9" w:rsidRPr="00CB2768" w:rsidRDefault="00A83AE9" w:rsidP="00A83AE9">
      <w:pPr>
        <w:pStyle w:val="Paragraph"/>
        <w:numPr>
          <w:ilvl w:val="1"/>
          <w:numId w:val="1"/>
        </w:numPr>
        <w:shd w:val="clear" w:color="auto" w:fill="FFFFFF"/>
        <w:ind w:left="720" w:hanging="720"/>
        <w:rPr>
          <w:lang w:val="en-US"/>
        </w:rPr>
      </w:pPr>
      <w:r w:rsidRPr="00CD753D">
        <w:rPr>
          <w:rFonts w:ascii="Calibri" w:hAnsi="Calibri"/>
          <w:lang w:val="en-US"/>
        </w:rPr>
        <w:t xml:space="preserve">Based on the available documents, this operation is a </w:t>
      </w:r>
      <w:r w:rsidRPr="00CD753D">
        <w:rPr>
          <w:rFonts w:ascii="Calibri" w:hAnsi="Calibri"/>
          <w:color w:val="000000" w:themeColor="text1"/>
          <w:lang w:val="en-US"/>
        </w:rPr>
        <w:t xml:space="preserve">Category C according </w:t>
      </w:r>
      <w:r w:rsidRPr="00CD753D">
        <w:rPr>
          <w:rFonts w:ascii="Calibri" w:hAnsi="Calibri"/>
          <w:lang w:val="en-US"/>
        </w:rPr>
        <w:t>to IDB Policy OP 703 Directive B.3, with little or no environmental and social impacts.</w:t>
      </w:r>
    </w:p>
    <w:p w:rsidR="00332A1C" w:rsidRPr="00DA2509" w:rsidRDefault="00332A1C" w:rsidP="00A83AE9">
      <w:pPr>
        <w:pStyle w:val="Paragraph"/>
        <w:tabs>
          <w:tab w:val="clear" w:pos="720"/>
        </w:tabs>
        <w:ind w:left="360" w:hanging="360"/>
        <w:jc w:val="right"/>
        <w:rPr>
          <w:rFonts w:asciiTheme="minorHAnsi" w:hAnsiTheme="minorHAnsi"/>
          <w:color w:val="000000" w:themeColor="text1"/>
          <w:lang w:val="en-US"/>
        </w:rPr>
      </w:pPr>
    </w:p>
    <w:p w:rsidR="002B3E4E" w:rsidRPr="00DA2509" w:rsidRDefault="0080264F" w:rsidP="000E5EB3">
      <w:pPr>
        <w:pStyle w:val="Chapter"/>
        <w:numPr>
          <w:ilvl w:val="0"/>
          <w:numId w:val="1"/>
        </w:numPr>
        <w:spacing w:before="120" w:after="0"/>
        <w:rPr>
          <w:rFonts w:asciiTheme="minorHAnsi" w:hAnsiTheme="minorHAnsi"/>
          <w:color w:val="000000" w:themeColor="text1"/>
          <w:lang w:val="en-US"/>
        </w:rPr>
      </w:pPr>
      <w:r w:rsidRPr="00DA2509">
        <w:rPr>
          <w:rFonts w:asciiTheme="minorHAnsi" w:hAnsiTheme="minorHAnsi"/>
          <w:color w:val="000000" w:themeColor="text1"/>
          <w:lang w:val="en-US"/>
        </w:rPr>
        <w:t xml:space="preserve">Compliance with Milestones and Special Fiduciary Arrangements </w:t>
      </w:r>
    </w:p>
    <w:p w:rsidR="00133005" w:rsidRPr="00DA2509" w:rsidRDefault="00133005" w:rsidP="000E5EB3">
      <w:pPr>
        <w:ind w:left="360" w:hanging="360"/>
        <w:rPr>
          <w:rFonts w:asciiTheme="minorHAnsi" w:hAnsiTheme="minorHAnsi"/>
          <w:color w:val="000000" w:themeColor="text1"/>
        </w:rPr>
      </w:pPr>
    </w:p>
    <w:p w:rsidR="00133005" w:rsidRDefault="00133005" w:rsidP="00C202C4">
      <w:pPr>
        <w:pStyle w:val="Paragraph"/>
        <w:numPr>
          <w:ilvl w:val="1"/>
          <w:numId w:val="1"/>
        </w:numPr>
        <w:spacing w:before="0" w:after="0"/>
        <w:ind w:left="720" w:hanging="720"/>
        <w:rPr>
          <w:rFonts w:asciiTheme="minorHAnsi" w:hAnsiTheme="minorHAnsi"/>
          <w:color w:val="000000" w:themeColor="text1"/>
          <w:lang w:val="en-US"/>
        </w:rPr>
      </w:pPr>
      <w:r w:rsidRPr="00DA2509">
        <w:rPr>
          <w:rFonts w:asciiTheme="minorHAnsi" w:hAnsiTheme="minorHAnsi"/>
          <w:b/>
          <w:color w:val="000000" w:themeColor="text1"/>
          <w:lang w:val="en-US"/>
        </w:rPr>
        <w:t xml:space="preserve">Disbursement by Results and Fiduciary Arrangements. </w:t>
      </w:r>
      <w:r w:rsidRPr="00DA2509">
        <w:rPr>
          <w:rFonts w:asciiTheme="minorHAnsi" w:hAnsiTheme="minorHAnsi"/>
          <w:color w:val="000000" w:themeColor="text1"/>
          <w:lang w:val="en-US"/>
        </w:rPr>
        <w:t xml:space="preserve">The Executing Agency will adhere to the standard MIF disbursement by results, procurement and financial management arrangements </w:t>
      </w:r>
      <w:r w:rsidRPr="00A83AE9">
        <w:rPr>
          <w:rFonts w:asciiTheme="minorHAnsi" w:hAnsiTheme="minorHAnsi"/>
          <w:color w:val="000000" w:themeColor="text1"/>
          <w:lang w:val="en-US"/>
        </w:rPr>
        <w:t>specified in Annex VII.</w:t>
      </w:r>
      <w:r w:rsidRPr="00DA2509">
        <w:rPr>
          <w:rFonts w:asciiTheme="minorHAnsi" w:hAnsiTheme="minorHAnsi"/>
          <w:color w:val="000000" w:themeColor="text1"/>
          <w:lang w:val="en-US"/>
        </w:rPr>
        <w:t xml:space="preserve"> Based on the DNA results of the projec</w:t>
      </w:r>
      <w:r w:rsidR="00A83AE9">
        <w:rPr>
          <w:rFonts w:asciiTheme="minorHAnsi" w:hAnsiTheme="minorHAnsi"/>
          <w:color w:val="000000" w:themeColor="text1"/>
          <w:lang w:val="en-US"/>
        </w:rPr>
        <w:t xml:space="preserve">t, in terms of </w:t>
      </w:r>
      <w:r w:rsidR="00A83AE9" w:rsidRPr="00A83AE9">
        <w:rPr>
          <w:rFonts w:asciiTheme="minorHAnsi" w:hAnsiTheme="minorHAnsi"/>
          <w:color w:val="000000" w:themeColor="text1"/>
          <w:lang w:val="en-US"/>
        </w:rPr>
        <w:t>Procurement and Financial M</w:t>
      </w:r>
      <w:r w:rsidR="00A83AE9">
        <w:rPr>
          <w:rFonts w:asciiTheme="minorHAnsi" w:hAnsiTheme="minorHAnsi"/>
          <w:color w:val="000000" w:themeColor="text1"/>
          <w:lang w:val="en-US"/>
        </w:rPr>
        <w:t>anagement Agora</w:t>
      </w:r>
      <w:r w:rsidR="00C202C4">
        <w:rPr>
          <w:rFonts w:asciiTheme="minorHAnsi" w:hAnsiTheme="minorHAnsi"/>
          <w:color w:val="000000" w:themeColor="text1"/>
          <w:lang w:val="en-US"/>
        </w:rPr>
        <w:t xml:space="preserve"> Partnerships has a medium risk, while it is considered low risk in terms of</w:t>
      </w:r>
      <w:r w:rsidR="00C202C4" w:rsidRPr="00C202C4">
        <w:rPr>
          <w:rFonts w:asciiTheme="minorHAnsi" w:hAnsiTheme="minorHAnsi"/>
          <w:color w:val="000000" w:themeColor="text1"/>
          <w:lang w:val="en-US"/>
        </w:rPr>
        <w:t xml:space="preserve"> Technical and Knowledge</w:t>
      </w:r>
      <w:r w:rsidR="00C202C4">
        <w:rPr>
          <w:rFonts w:asciiTheme="minorHAnsi" w:hAnsiTheme="minorHAnsi"/>
          <w:color w:val="000000" w:themeColor="text1"/>
          <w:lang w:val="en-US"/>
        </w:rPr>
        <w:t xml:space="preserve"> capacity.</w:t>
      </w:r>
    </w:p>
    <w:p w:rsidR="006B56AB" w:rsidRDefault="006B56AB" w:rsidP="006B56AB">
      <w:pPr>
        <w:pStyle w:val="Paragraph"/>
        <w:tabs>
          <w:tab w:val="clear" w:pos="720"/>
        </w:tabs>
        <w:spacing w:before="0" w:after="0"/>
        <w:ind w:firstLine="0"/>
        <w:rPr>
          <w:rFonts w:asciiTheme="minorHAnsi" w:hAnsiTheme="minorHAnsi"/>
          <w:color w:val="000000" w:themeColor="text1"/>
          <w:lang w:val="en-US"/>
        </w:rPr>
      </w:pPr>
    </w:p>
    <w:p w:rsidR="006B56AB" w:rsidRPr="00DA2509" w:rsidRDefault="006B56AB" w:rsidP="00C202C4">
      <w:pPr>
        <w:pStyle w:val="Paragraph"/>
        <w:numPr>
          <w:ilvl w:val="1"/>
          <w:numId w:val="1"/>
        </w:numPr>
        <w:spacing w:before="0" w:after="0"/>
        <w:ind w:left="720" w:hanging="720"/>
        <w:rPr>
          <w:rFonts w:asciiTheme="minorHAnsi" w:hAnsiTheme="minorHAnsi"/>
          <w:color w:val="000000" w:themeColor="text1"/>
          <w:lang w:val="en-US"/>
        </w:rPr>
      </w:pPr>
      <w:r>
        <w:rPr>
          <w:rFonts w:asciiTheme="minorHAnsi" w:hAnsiTheme="minorHAnsi"/>
          <w:color w:val="000000" w:themeColor="text1"/>
          <w:lang w:val="en-US"/>
        </w:rPr>
        <w:t>This project will recognize counterpart costs retroactively only for those expenses made after September 1st 2014 and whose concept relates to communications activities and coordination with regards to identifying potential social entrepreneurs.</w:t>
      </w:r>
    </w:p>
    <w:p w:rsidR="00133005" w:rsidRPr="00DA2509" w:rsidRDefault="00133005" w:rsidP="000E5EB3">
      <w:pPr>
        <w:pStyle w:val="Paragraph"/>
        <w:tabs>
          <w:tab w:val="clear" w:pos="720"/>
        </w:tabs>
        <w:spacing w:before="0" w:after="0"/>
        <w:ind w:left="360" w:hanging="360"/>
        <w:rPr>
          <w:rFonts w:asciiTheme="minorHAnsi" w:hAnsiTheme="minorHAnsi"/>
          <w:b/>
          <w:color w:val="000000" w:themeColor="text1"/>
          <w:lang w:val="en-US"/>
        </w:rPr>
      </w:pPr>
    </w:p>
    <w:p w:rsidR="00133005" w:rsidRPr="00DA2509" w:rsidRDefault="00133005" w:rsidP="000E5EB3">
      <w:pPr>
        <w:pStyle w:val="Chapter"/>
        <w:numPr>
          <w:ilvl w:val="0"/>
          <w:numId w:val="1"/>
        </w:numPr>
        <w:spacing w:before="0" w:after="0"/>
        <w:rPr>
          <w:rFonts w:asciiTheme="minorHAnsi" w:hAnsiTheme="minorHAnsi"/>
          <w:color w:val="000000" w:themeColor="text1"/>
          <w:lang w:val="en-US"/>
        </w:rPr>
      </w:pPr>
      <w:bookmarkStart w:id="13" w:name="_Toc388956455"/>
      <w:r w:rsidRPr="00DA2509">
        <w:rPr>
          <w:rFonts w:asciiTheme="minorHAnsi" w:hAnsiTheme="minorHAnsi"/>
          <w:color w:val="000000" w:themeColor="text1"/>
          <w:lang w:val="en-US"/>
        </w:rPr>
        <w:t>Information Disclosure and Intellectual Property</w:t>
      </w:r>
      <w:bookmarkEnd w:id="13"/>
    </w:p>
    <w:p w:rsidR="00133005" w:rsidRPr="00DA2509" w:rsidRDefault="00133005" w:rsidP="000E5EB3">
      <w:pPr>
        <w:ind w:left="360" w:hanging="360"/>
        <w:rPr>
          <w:rFonts w:asciiTheme="minorHAnsi" w:hAnsiTheme="minorHAnsi"/>
          <w:color w:val="000000" w:themeColor="text1"/>
        </w:rPr>
      </w:pPr>
    </w:p>
    <w:p w:rsidR="00133005" w:rsidRPr="00CB2768" w:rsidRDefault="00133005" w:rsidP="0085602E">
      <w:pPr>
        <w:pStyle w:val="Paragraph"/>
        <w:numPr>
          <w:ilvl w:val="1"/>
          <w:numId w:val="1"/>
        </w:numPr>
        <w:spacing w:before="0" w:after="0"/>
        <w:ind w:left="720" w:hanging="720"/>
        <w:rPr>
          <w:rFonts w:asciiTheme="minorHAnsi" w:hAnsiTheme="minorHAnsi"/>
          <w:lang w:val="en-US"/>
        </w:rPr>
      </w:pPr>
      <w:r w:rsidRPr="00CB2768">
        <w:rPr>
          <w:rFonts w:asciiTheme="minorHAnsi" w:hAnsiTheme="minorHAnsi"/>
          <w:b/>
          <w:lang w:val="en-US"/>
        </w:rPr>
        <w:t xml:space="preserve">Information Disclosure. </w:t>
      </w:r>
      <w:r w:rsidRPr="00CB2768">
        <w:rPr>
          <w:rFonts w:asciiTheme="minorHAnsi" w:hAnsiTheme="minorHAnsi"/>
          <w:lang w:val="en-US"/>
        </w:rPr>
        <w:t>This project is not deemed to have confidential information according to the Bank’s information policy.</w:t>
      </w:r>
    </w:p>
    <w:p w:rsidR="00133005" w:rsidRPr="00382623" w:rsidRDefault="00133005" w:rsidP="000E5EB3">
      <w:pPr>
        <w:ind w:left="360" w:hanging="360"/>
        <w:rPr>
          <w:rFonts w:asciiTheme="minorHAnsi" w:hAnsiTheme="minorHAnsi"/>
        </w:rPr>
      </w:pPr>
    </w:p>
    <w:p w:rsidR="00133005" w:rsidRPr="00CB2768" w:rsidRDefault="00133005" w:rsidP="0085602E">
      <w:pPr>
        <w:pStyle w:val="Paragraph"/>
        <w:numPr>
          <w:ilvl w:val="1"/>
          <w:numId w:val="1"/>
        </w:numPr>
        <w:spacing w:before="0" w:after="0"/>
        <w:ind w:left="720" w:hanging="720"/>
        <w:rPr>
          <w:rFonts w:asciiTheme="minorHAnsi" w:hAnsiTheme="minorHAnsi"/>
          <w:lang w:val="en-US"/>
        </w:rPr>
      </w:pPr>
      <w:r w:rsidRPr="00CB2768">
        <w:rPr>
          <w:rFonts w:asciiTheme="minorHAnsi" w:hAnsiTheme="minorHAnsi"/>
          <w:b/>
          <w:lang w:val="en-US"/>
        </w:rPr>
        <w:t>Intellectual Property.</w:t>
      </w:r>
      <w:r w:rsidRPr="00CB2768">
        <w:rPr>
          <w:rFonts w:asciiTheme="minorHAnsi" w:hAnsiTheme="minorHAnsi"/>
          <w:lang w:val="en-US"/>
        </w:rPr>
        <w:t xml:space="preserve"> The Bank shall own the intellectual property to any work produced or results obtained under this grant; provided, however, that Agora Partnerships shall retain the sole intellectual property rights </w:t>
      </w:r>
      <w:r w:rsidR="0085602E" w:rsidRPr="00CB2768">
        <w:rPr>
          <w:rFonts w:asciiTheme="minorHAnsi" w:hAnsiTheme="minorHAnsi"/>
          <w:lang w:val="en-US"/>
        </w:rPr>
        <w:t>over products and materials related the implementation of their consulting services.</w:t>
      </w:r>
    </w:p>
    <w:p w:rsidR="0085602E" w:rsidRDefault="0085602E" w:rsidP="000E5EB3">
      <w:pPr>
        <w:ind w:left="360" w:hanging="360"/>
        <w:jc w:val="both"/>
        <w:rPr>
          <w:rFonts w:asciiTheme="minorHAnsi" w:hAnsiTheme="minorHAnsi"/>
        </w:rPr>
      </w:pPr>
    </w:p>
    <w:p w:rsidR="0085602E" w:rsidRDefault="0085602E" w:rsidP="0085602E">
      <w:pPr>
        <w:pStyle w:val="Chapter"/>
        <w:tabs>
          <w:tab w:val="clear" w:pos="648"/>
        </w:tabs>
        <w:spacing w:before="0" w:after="0"/>
        <w:ind w:firstLine="0"/>
        <w:rPr>
          <w:rFonts w:ascii="Calibri" w:hAnsi="Calibri"/>
          <w:lang w:val="en-US"/>
        </w:rPr>
      </w:pPr>
      <w:bookmarkStart w:id="14" w:name="_Toc364849205"/>
      <w:bookmarkStart w:id="15" w:name="_Toc245035798"/>
      <w:bookmarkStart w:id="16" w:name="_Toc388956456"/>
      <w:r w:rsidRPr="00AF358E">
        <w:rPr>
          <w:rFonts w:ascii="Calibri" w:hAnsi="Calibri"/>
          <w:lang w:val="en-US"/>
        </w:rPr>
        <w:lastRenderedPageBreak/>
        <w:t>10. Recommendation</w:t>
      </w:r>
      <w:bookmarkEnd w:id="14"/>
      <w:bookmarkEnd w:id="15"/>
      <w:bookmarkEnd w:id="16"/>
    </w:p>
    <w:p w:rsidR="0085602E" w:rsidRPr="0090772F" w:rsidRDefault="0085602E" w:rsidP="0085602E"/>
    <w:p w:rsidR="0085602E" w:rsidRPr="000428B7" w:rsidRDefault="0085602E" w:rsidP="0085602E">
      <w:pPr>
        <w:pStyle w:val="ListParagraph"/>
        <w:numPr>
          <w:ilvl w:val="0"/>
          <w:numId w:val="1"/>
        </w:numPr>
        <w:contextualSpacing w:val="0"/>
        <w:jc w:val="both"/>
        <w:outlineLvl w:val="1"/>
        <w:rPr>
          <w:rFonts w:asciiTheme="minorHAnsi" w:hAnsiTheme="minorHAnsi"/>
          <w:vanish/>
        </w:rPr>
      </w:pPr>
    </w:p>
    <w:p w:rsidR="0085602E" w:rsidRPr="000428B7" w:rsidRDefault="0085602E" w:rsidP="0085602E">
      <w:pPr>
        <w:pStyle w:val="ListParagraph"/>
        <w:numPr>
          <w:ilvl w:val="0"/>
          <w:numId w:val="1"/>
        </w:numPr>
        <w:contextualSpacing w:val="0"/>
        <w:jc w:val="both"/>
        <w:outlineLvl w:val="1"/>
        <w:rPr>
          <w:rFonts w:asciiTheme="minorHAnsi" w:hAnsiTheme="minorHAnsi"/>
          <w:vanish/>
        </w:rPr>
      </w:pPr>
    </w:p>
    <w:p w:rsidR="0085602E" w:rsidRPr="000428B7" w:rsidRDefault="0085602E" w:rsidP="0085602E">
      <w:pPr>
        <w:pStyle w:val="ListParagraph"/>
        <w:numPr>
          <w:ilvl w:val="0"/>
          <w:numId w:val="1"/>
        </w:numPr>
        <w:contextualSpacing w:val="0"/>
        <w:jc w:val="both"/>
        <w:outlineLvl w:val="1"/>
        <w:rPr>
          <w:rFonts w:asciiTheme="minorHAnsi" w:hAnsiTheme="minorHAnsi"/>
          <w:vanish/>
        </w:rPr>
      </w:pPr>
    </w:p>
    <w:p w:rsidR="0085602E" w:rsidRPr="000428B7" w:rsidRDefault="0085602E" w:rsidP="0085602E">
      <w:pPr>
        <w:pStyle w:val="ListParagraph"/>
        <w:numPr>
          <w:ilvl w:val="0"/>
          <w:numId w:val="1"/>
        </w:numPr>
        <w:contextualSpacing w:val="0"/>
        <w:jc w:val="both"/>
        <w:outlineLvl w:val="1"/>
        <w:rPr>
          <w:rFonts w:asciiTheme="minorHAnsi" w:hAnsiTheme="minorHAnsi"/>
          <w:vanish/>
        </w:rPr>
      </w:pPr>
    </w:p>
    <w:p w:rsidR="0085602E" w:rsidRPr="000428B7" w:rsidRDefault="0085602E" w:rsidP="0085602E">
      <w:pPr>
        <w:pStyle w:val="ListParagraph"/>
        <w:numPr>
          <w:ilvl w:val="0"/>
          <w:numId w:val="1"/>
        </w:numPr>
        <w:contextualSpacing w:val="0"/>
        <w:jc w:val="both"/>
        <w:outlineLvl w:val="1"/>
        <w:rPr>
          <w:rFonts w:asciiTheme="minorHAnsi" w:hAnsiTheme="minorHAnsi"/>
          <w:vanish/>
        </w:rPr>
      </w:pPr>
    </w:p>
    <w:p w:rsidR="0085602E" w:rsidRPr="000428B7" w:rsidRDefault="0085602E" w:rsidP="0085602E">
      <w:pPr>
        <w:pStyle w:val="ListParagraph"/>
        <w:numPr>
          <w:ilvl w:val="0"/>
          <w:numId w:val="1"/>
        </w:numPr>
        <w:contextualSpacing w:val="0"/>
        <w:jc w:val="both"/>
        <w:outlineLvl w:val="1"/>
        <w:rPr>
          <w:rFonts w:asciiTheme="minorHAnsi" w:hAnsiTheme="minorHAnsi"/>
          <w:vanish/>
        </w:rPr>
      </w:pPr>
    </w:p>
    <w:p w:rsidR="0085602E" w:rsidRPr="000428B7" w:rsidRDefault="0085602E" w:rsidP="0085602E">
      <w:pPr>
        <w:pStyle w:val="ListParagraph"/>
        <w:numPr>
          <w:ilvl w:val="0"/>
          <w:numId w:val="1"/>
        </w:numPr>
        <w:contextualSpacing w:val="0"/>
        <w:jc w:val="both"/>
        <w:outlineLvl w:val="1"/>
        <w:rPr>
          <w:rFonts w:asciiTheme="minorHAnsi" w:hAnsiTheme="minorHAnsi"/>
          <w:vanish/>
        </w:rPr>
      </w:pPr>
    </w:p>
    <w:p w:rsidR="0085602E" w:rsidRPr="000428B7" w:rsidRDefault="0085602E" w:rsidP="0085602E">
      <w:pPr>
        <w:pStyle w:val="ListParagraph"/>
        <w:numPr>
          <w:ilvl w:val="0"/>
          <w:numId w:val="1"/>
        </w:numPr>
        <w:contextualSpacing w:val="0"/>
        <w:jc w:val="both"/>
        <w:outlineLvl w:val="1"/>
        <w:rPr>
          <w:rFonts w:asciiTheme="minorHAnsi" w:hAnsiTheme="minorHAnsi"/>
          <w:vanish/>
        </w:rPr>
      </w:pPr>
    </w:p>
    <w:p w:rsidR="0085602E" w:rsidRPr="000428B7" w:rsidRDefault="0085602E" w:rsidP="0085602E">
      <w:pPr>
        <w:pStyle w:val="ListParagraph"/>
        <w:numPr>
          <w:ilvl w:val="0"/>
          <w:numId w:val="1"/>
        </w:numPr>
        <w:contextualSpacing w:val="0"/>
        <w:jc w:val="both"/>
        <w:outlineLvl w:val="1"/>
        <w:rPr>
          <w:rFonts w:asciiTheme="minorHAnsi" w:hAnsiTheme="minorHAnsi"/>
          <w:vanish/>
        </w:rPr>
      </w:pPr>
    </w:p>
    <w:p w:rsidR="0085602E" w:rsidRPr="000428B7" w:rsidRDefault="0085602E" w:rsidP="0085602E">
      <w:pPr>
        <w:pStyle w:val="ListParagraph"/>
        <w:numPr>
          <w:ilvl w:val="0"/>
          <w:numId w:val="1"/>
        </w:numPr>
        <w:contextualSpacing w:val="0"/>
        <w:jc w:val="both"/>
        <w:outlineLvl w:val="1"/>
        <w:rPr>
          <w:rFonts w:asciiTheme="minorHAnsi" w:hAnsiTheme="minorHAnsi"/>
          <w:vanish/>
        </w:rPr>
      </w:pPr>
    </w:p>
    <w:p w:rsidR="0085602E" w:rsidRPr="00BC72A2" w:rsidRDefault="0085602E" w:rsidP="0085602E">
      <w:pPr>
        <w:pStyle w:val="Paragraph"/>
        <w:tabs>
          <w:tab w:val="clear" w:pos="720"/>
          <w:tab w:val="left" w:pos="810"/>
        </w:tabs>
        <w:spacing w:before="0" w:after="0"/>
        <w:rPr>
          <w:rFonts w:asciiTheme="minorHAnsi" w:hAnsiTheme="minorHAnsi"/>
          <w:lang w:val="en-US"/>
        </w:rPr>
      </w:pPr>
      <w:r>
        <w:rPr>
          <w:rFonts w:asciiTheme="minorHAnsi" w:hAnsiTheme="minorHAnsi"/>
          <w:lang w:val="en-US"/>
        </w:rPr>
        <w:t xml:space="preserve">10.1 </w:t>
      </w:r>
      <w:r>
        <w:rPr>
          <w:rFonts w:asciiTheme="minorHAnsi" w:hAnsiTheme="minorHAnsi"/>
          <w:lang w:val="en-US"/>
        </w:rPr>
        <w:tab/>
      </w:r>
      <w:r w:rsidRPr="000428B7">
        <w:rPr>
          <w:rFonts w:asciiTheme="minorHAnsi" w:hAnsiTheme="minorHAnsi"/>
          <w:lang w:val="en-US"/>
        </w:rPr>
        <w:t xml:space="preserve">The Project Team Leader, David Bloomgarden, recommends the approval of this operation by the General Manager of the MIF, under the Delegation of Authority granted by the Donors Committee on October 9, 2012, </w:t>
      </w:r>
      <w:r w:rsidRPr="00E26C2D">
        <w:rPr>
          <w:rFonts w:asciiTheme="minorHAnsi" w:hAnsiTheme="minorHAnsi"/>
          <w:lang w:val="en-US"/>
        </w:rPr>
        <w:t xml:space="preserve">and the use of MIF funds of up to a maximum </w:t>
      </w:r>
      <w:r w:rsidRPr="00BC72A2">
        <w:rPr>
          <w:rFonts w:asciiTheme="minorHAnsi" w:hAnsiTheme="minorHAnsi"/>
          <w:lang w:val="en-US"/>
        </w:rPr>
        <w:t>of US</w:t>
      </w:r>
      <w:r w:rsidRPr="0085602E">
        <w:rPr>
          <w:rFonts w:asciiTheme="minorHAnsi" w:hAnsiTheme="minorHAnsi"/>
          <w:color w:val="000000" w:themeColor="text1"/>
          <w:lang w:val="en-US"/>
        </w:rPr>
        <w:t>$251,249</w:t>
      </w:r>
      <w:r>
        <w:rPr>
          <w:rFonts w:asciiTheme="minorHAnsi" w:hAnsiTheme="minorHAnsi"/>
          <w:color w:val="000000" w:themeColor="text1"/>
          <w:lang w:val="en-US"/>
        </w:rPr>
        <w:t xml:space="preserve"> </w:t>
      </w:r>
      <w:r w:rsidRPr="00BC72A2">
        <w:rPr>
          <w:rFonts w:asciiTheme="minorHAnsi" w:hAnsiTheme="minorHAnsi"/>
          <w:lang w:val="en-US"/>
        </w:rPr>
        <w:t xml:space="preserve">to finance this project. </w:t>
      </w:r>
    </w:p>
    <w:p w:rsidR="0085602E" w:rsidRPr="00382623" w:rsidRDefault="0085602E" w:rsidP="000E5EB3">
      <w:pPr>
        <w:ind w:left="360" w:hanging="360"/>
        <w:jc w:val="both"/>
        <w:rPr>
          <w:rFonts w:asciiTheme="minorHAnsi" w:hAnsiTheme="minorHAnsi"/>
        </w:rPr>
      </w:pPr>
    </w:p>
    <w:p w:rsidR="00133005" w:rsidRPr="00382623" w:rsidRDefault="00133005" w:rsidP="000E5EB3">
      <w:pPr>
        <w:pStyle w:val="Chapter"/>
        <w:tabs>
          <w:tab w:val="clear" w:pos="648"/>
        </w:tabs>
        <w:spacing w:before="0" w:after="0"/>
        <w:ind w:left="360" w:hanging="360"/>
        <w:rPr>
          <w:rFonts w:asciiTheme="minorHAnsi" w:hAnsiTheme="minorHAnsi"/>
          <w:lang w:val="en-US"/>
        </w:rPr>
      </w:pPr>
      <w:bookmarkStart w:id="17" w:name="_Toc364849206"/>
      <w:bookmarkStart w:id="18" w:name="_Toc245035799"/>
      <w:bookmarkStart w:id="19" w:name="_Toc388956457"/>
      <w:r w:rsidRPr="00382623">
        <w:rPr>
          <w:rFonts w:asciiTheme="minorHAnsi" w:hAnsiTheme="minorHAnsi"/>
          <w:lang w:val="en-US"/>
        </w:rPr>
        <w:t>11. MIF General Manager Approval</w:t>
      </w:r>
      <w:bookmarkEnd w:id="17"/>
      <w:bookmarkEnd w:id="18"/>
      <w:bookmarkEnd w:id="19"/>
    </w:p>
    <w:p w:rsidR="00133005" w:rsidRPr="00382623" w:rsidRDefault="00133005" w:rsidP="000E5EB3">
      <w:pPr>
        <w:ind w:left="360" w:hanging="360"/>
        <w:rPr>
          <w:rFonts w:asciiTheme="minorHAnsi" w:hAnsiTheme="minorHAnsi"/>
        </w:rPr>
      </w:pPr>
    </w:p>
    <w:p w:rsidR="00133005" w:rsidRPr="00382623" w:rsidRDefault="00133005" w:rsidP="0085602E">
      <w:pPr>
        <w:pStyle w:val="Paragraph"/>
        <w:tabs>
          <w:tab w:val="clear" w:pos="720"/>
        </w:tabs>
        <w:spacing w:before="0" w:after="0"/>
        <w:rPr>
          <w:rFonts w:asciiTheme="minorHAnsi" w:hAnsiTheme="minorHAnsi"/>
          <w:lang w:val="en-US"/>
        </w:rPr>
      </w:pPr>
      <w:r w:rsidRPr="00382623">
        <w:rPr>
          <w:rFonts w:asciiTheme="minorHAnsi" w:hAnsiTheme="minorHAnsi"/>
          <w:lang w:val="en-US"/>
        </w:rPr>
        <w:t>11.1</w:t>
      </w:r>
      <w:r w:rsidRPr="00382623">
        <w:rPr>
          <w:rFonts w:asciiTheme="minorHAnsi" w:hAnsiTheme="minorHAnsi"/>
          <w:lang w:val="en-US"/>
        </w:rPr>
        <w:tab/>
        <w:t xml:space="preserve">I hereby approve, in accordance with the Delegation of Authority provided by the Donors Committee on October 9, 2012, under MIF/AT-1205, the amount of up to </w:t>
      </w:r>
      <w:r w:rsidR="0085602E" w:rsidRPr="00BC72A2">
        <w:rPr>
          <w:rFonts w:asciiTheme="minorHAnsi" w:hAnsiTheme="minorHAnsi"/>
          <w:lang w:val="en-US"/>
        </w:rPr>
        <w:t>US</w:t>
      </w:r>
      <w:r w:rsidR="0085602E" w:rsidRPr="0085602E">
        <w:rPr>
          <w:rFonts w:asciiTheme="minorHAnsi" w:hAnsiTheme="minorHAnsi"/>
          <w:color w:val="000000" w:themeColor="text1"/>
          <w:lang w:val="en-US"/>
        </w:rPr>
        <w:t>$251,249</w:t>
      </w:r>
      <w:r w:rsidR="0085602E">
        <w:rPr>
          <w:rFonts w:asciiTheme="minorHAnsi" w:hAnsiTheme="minorHAnsi"/>
          <w:color w:val="000000" w:themeColor="text1"/>
          <w:lang w:val="en-US"/>
        </w:rPr>
        <w:t xml:space="preserve"> </w:t>
      </w:r>
      <w:r w:rsidRPr="00382623">
        <w:rPr>
          <w:rFonts w:asciiTheme="minorHAnsi" w:hAnsiTheme="minorHAnsi"/>
          <w:lang w:val="en-US"/>
        </w:rPr>
        <w:t>to finance the project</w:t>
      </w:r>
      <w:r w:rsidR="0085602E">
        <w:rPr>
          <w:rFonts w:asciiTheme="minorHAnsi" w:hAnsiTheme="minorHAnsi"/>
          <w:lang w:val="en-US"/>
        </w:rPr>
        <w:t xml:space="preserve"> “</w:t>
      </w:r>
      <w:r w:rsidR="0085602E" w:rsidRPr="0085602E">
        <w:rPr>
          <w:rFonts w:asciiTheme="minorHAnsi" w:hAnsiTheme="minorHAnsi"/>
          <w:i/>
          <w:lang w:val="en-US"/>
        </w:rPr>
        <w:t>Acceleration Track for Social Businesses Working in Basic Services</w:t>
      </w:r>
      <w:r w:rsidR="0085602E">
        <w:rPr>
          <w:rFonts w:asciiTheme="minorHAnsi" w:hAnsiTheme="minorHAnsi"/>
          <w:lang w:val="en-US"/>
        </w:rPr>
        <w:t>”</w:t>
      </w:r>
      <w:r w:rsidR="0085602E" w:rsidRPr="00382623">
        <w:rPr>
          <w:rFonts w:asciiTheme="minorHAnsi" w:hAnsiTheme="minorHAnsi"/>
          <w:lang w:val="en-US"/>
        </w:rPr>
        <w:t xml:space="preserve"> </w:t>
      </w:r>
      <w:r w:rsidRPr="00382623">
        <w:rPr>
          <w:rFonts w:asciiTheme="minorHAnsi" w:hAnsiTheme="minorHAnsi"/>
          <w:lang w:val="en-US"/>
        </w:rPr>
        <w:t>as part of the “</w:t>
      </w:r>
      <w:r w:rsidRPr="0085602E">
        <w:rPr>
          <w:rFonts w:asciiTheme="minorHAnsi" w:hAnsiTheme="minorHAnsi"/>
          <w:i/>
          <w:lang w:val="en-US"/>
        </w:rPr>
        <w:t>Program to Accelerate Businesses Providing Basic Services to Poor and Low Income Populations</w:t>
      </w:r>
      <w:r w:rsidRPr="00382623">
        <w:rPr>
          <w:rFonts w:asciiTheme="minorHAnsi" w:hAnsiTheme="minorHAnsi"/>
          <w:lang w:val="en-US"/>
        </w:rPr>
        <w:t xml:space="preserve">” (RG-M1217). </w:t>
      </w:r>
    </w:p>
    <w:p w:rsidR="00133005" w:rsidRPr="00382623" w:rsidRDefault="00133005" w:rsidP="0085602E">
      <w:pPr>
        <w:pStyle w:val="Paragraph"/>
        <w:tabs>
          <w:tab w:val="clear" w:pos="720"/>
        </w:tabs>
        <w:spacing w:before="0" w:after="0"/>
        <w:rPr>
          <w:rFonts w:asciiTheme="minorHAnsi" w:hAnsiTheme="minorHAnsi"/>
          <w:lang w:val="en-US"/>
        </w:rPr>
      </w:pPr>
    </w:p>
    <w:p w:rsidR="00133005" w:rsidRPr="00382623" w:rsidRDefault="00133005" w:rsidP="0085602E">
      <w:pPr>
        <w:pStyle w:val="Paragraph"/>
        <w:tabs>
          <w:tab w:val="clear" w:pos="720"/>
        </w:tabs>
        <w:spacing w:before="0" w:after="0"/>
        <w:rPr>
          <w:rFonts w:asciiTheme="minorHAnsi" w:hAnsiTheme="minorHAnsi"/>
          <w:lang w:val="en-US"/>
        </w:rPr>
      </w:pPr>
      <w:r w:rsidRPr="00382623">
        <w:rPr>
          <w:rFonts w:asciiTheme="minorHAnsi" w:hAnsiTheme="minorHAnsi"/>
          <w:lang w:val="en-US"/>
        </w:rPr>
        <w:t xml:space="preserve">11.2 </w:t>
      </w:r>
      <w:r w:rsidRPr="00382623">
        <w:rPr>
          <w:rFonts w:asciiTheme="minorHAnsi" w:hAnsiTheme="minorHAnsi"/>
          <w:lang w:val="en-US"/>
        </w:rPr>
        <w:tab/>
        <w:t>Project resources will be used to finance the activities described and budgeted in this document, to be charged against MIF funds under the Program to Accelerate Businesses Providing Basic Services to Poor and Low Income Populations”, and are non-reimbursable.</w:t>
      </w:r>
    </w:p>
    <w:p w:rsidR="00133005" w:rsidRPr="00382623" w:rsidRDefault="00133005" w:rsidP="0085602E">
      <w:pPr>
        <w:pStyle w:val="Paragraph"/>
        <w:tabs>
          <w:tab w:val="clear" w:pos="720"/>
        </w:tabs>
        <w:spacing w:before="0" w:after="0"/>
        <w:rPr>
          <w:rFonts w:asciiTheme="minorHAnsi" w:hAnsiTheme="minorHAnsi"/>
          <w:lang w:val="en-US"/>
        </w:rPr>
      </w:pPr>
    </w:p>
    <w:p w:rsidR="00133005" w:rsidRPr="00382623" w:rsidRDefault="00133005" w:rsidP="0085602E">
      <w:pPr>
        <w:pStyle w:val="Paragraph"/>
        <w:tabs>
          <w:tab w:val="clear" w:pos="720"/>
        </w:tabs>
        <w:spacing w:before="0" w:after="0"/>
        <w:rPr>
          <w:rFonts w:asciiTheme="minorHAnsi" w:hAnsiTheme="minorHAnsi"/>
          <w:lang w:val="en-US"/>
        </w:rPr>
      </w:pPr>
      <w:r w:rsidRPr="00382623">
        <w:rPr>
          <w:rFonts w:asciiTheme="minorHAnsi" w:hAnsiTheme="minorHAnsi"/>
          <w:lang w:val="en-US"/>
        </w:rPr>
        <w:t>11.3</w:t>
      </w:r>
      <w:r w:rsidRPr="00382623">
        <w:rPr>
          <w:rFonts w:asciiTheme="minorHAnsi" w:hAnsiTheme="minorHAnsi"/>
          <w:lang w:val="en-US"/>
        </w:rPr>
        <w:tab/>
        <w:t xml:space="preserve">The Bank will commit and disburse these funds in U.S. dollars. The same currency will be used to establish the compensation and payment of consultants, except in the case of local consultants working in their own borrowing country, in which case compensation will be defined and paid in local currency. </w:t>
      </w:r>
    </w:p>
    <w:p w:rsidR="00133005" w:rsidRPr="00382623" w:rsidRDefault="00133005" w:rsidP="0085602E">
      <w:pPr>
        <w:pStyle w:val="Paragraph"/>
        <w:tabs>
          <w:tab w:val="clear" w:pos="720"/>
        </w:tabs>
        <w:spacing w:before="0" w:after="0"/>
        <w:rPr>
          <w:rFonts w:asciiTheme="minorHAnsi" w:hAnsiTheme="minorHAnsi"/>
          <w:lang w:val="en-US"/>
        </w:rPr>
      </w:pPr>
    </w:p>
    <w:p w:rsidR="00133005" w:rsidRPr="00382623" w:rsidRDefault="00133005" w:rsidP="0085602E">
      <w:pPr>
        <w:pStyle w:val="Paragraph"/>
        <w:tabs>
          <w:tab w:val="clear" w:pos="720"/>
        </w:tabs>
        <w:spacing w:before="0" w:after="0"/>
        <w:rPr>
          <w:rFonts w:asciiTheme="minorHAnsi" w:hAnsiTheme="minorHAnsi"/>
          <w:lang w:val="en-US"/>
        </w:rPr>
      </w:pPr>
      <w:r w:rsidRPr="00382623">
        <w:rPr>
          <w:rFonts w:asciiTheme="minorHAnsi" w:hAnsiTheme="minorHAnsi"/>
          <w:lang w:val="en-US"/>
        </w:rPr>
        <w:t>11.4</w:t>
      </w:r>
      <w:r w:rsidRPr="00382623">
        <w:rPr>
          <w:rFonts w:asciiTheme="minorHAnsi" w:hAnsiTheme="minorHAnsi"/>
          <w:lang w:val="en-US"/>
        </w:rPr>
        <w:tab/>
        <w:t>No program funds other than the amount certified above will be available for implementation of this technical cooperation operation.</w:t>
      </w:r>
    </w:p>
    <w:p w:rsidR="00133005" w:rsidRDefault="00133005" w:rsidP="00133005">
      <w:pPr>
        <w:pStyle w:val="Paragraph"/>
        <w:tabs>
          <w:tab w:val="clear" w:pos="720"/>
        </w:tabs>
        <w:spacing w:before="0" w:after="0"/>
        <w:ind w:firstLine="0"/>
        <w:rPr>
          <w:rFonts w:asciiTheme="minorHAnsi" w:hAnsiTheme="minorHAnsi"/>
          <w:lang w:val="en-US"/>
        </w:rPr>
      </w:pPr>
    </w:p>
    <w:p w:rsidR="00133005" w:rsidRPr="00382623" w:rsidRDefault="00133005" w:rsidP="00133005">
      <w:pPr>
        <w:autoSpaceDE w:val="0"/>
        <w:autoSpaceDN w:val="0"/>
        <w:jc w:val="both"/>
        <w:rPr>
          <w:rFonts w:asciiTheme="minorHAnsi" w:hAnsiTheme="minorHAnsi"/>
          <w:color w:val="000000"/>
        </w:rPr>
      </w:pPr>
      <w:r w:rsidRPr="00382623">
        <w:rPr>
          <w:rFonts w:asciiTheme="minorHAnsi" w:hAnsiTheme="minorHAnsi"/>
          <w:color w:val="000000"/>
        </w:rPr>
        <w:t>Approved</w:t>
      </w:r>
    </w:p>
    <w:p w:rsidR="00133005" w:rsidRDefault="00133005" w:rsidP="00133005">
      <w:pPr>
        <w:autoSpaceDE w:val="0"/>
        <w:autoSpaceDN w:val="0"/>
        <w:jc w:val="both"/>
        <w:rPr>
          <w:rFonts w:asciiTheme="minorHAnsi" w:hAnsiTheme="minorHAnsi"/>
          <w:color w:val="000000"/>
        </w:rPr>
      </w:pPr>
    </w:p>
    <w:p w:rsidR="00B04264" w:rsidRPr="00382623" w:rsidRDefault="00B04264" w:rsidP="00133005">
      <w:pPr>
        <w:autoSpaceDE w:val="0"/>
        <w:autoSpaceDN w:val="0"/>
        <w:jc w:val="both"/>
        <w:rPr>
          <w:rFonts w:asciiTheme="minorHAnsi" w:hAnsiTheme="minorHAnsi"/>
          <w:color w:val="000000"/>
        </w:rPr>
      </w:pPr>
    </w:p>
    <w:p w:rsidR="00133005" w:rsidRPr="00382623" w:rsidRDefault="00133005" w:rsidP="00133005">
      <w:pPr>
        <w:spacing w:before="120" w:after="120"/>
        <w:rPr>
          <w:rFonts w:asciiTheme="minorHAnsi" w:hAnsiTheme="minorHAnsi"/>
        </w:rPr>
      </w:pPr>
      <w:r w:rsidRPr="00382623">
        <w:rPr>
          <w:rFonts w:asciiTheme="minorHAnsi" w:hAnsiTheme="minorHAnsi"/>
        </w:rPr>
        <w:t>___________________________________        </w:t>
      </w:r>
      <w:r w:rsidRPr="00382623">
        <w:rPr>
          <w:rFonts w:asciiTheme="minorHAnsi" w:hAnsiTheme="minorHAnsi"/>
        </w:rPr>
        <w:tab/>
        <w:t xml:space="preserve"> __________________</w:t>
      </w:r>
    </w:p>
    <w:p w:rsidR="00133005" w:rsidRPr="00382623" w:rsidRDefault="00133005" w:rsidP="00133005">
      <w:pPr>
        <w:jc w:val="both"/>
        <w:rPr>
          <w:rFonts w:asciiTheme="minorHAnsi" w:hAnsiTheme="minorHAnsi"/>
        </w:rPr>
      </w:pPr>
      <w:r w:rsidRPr="00382623">
        <w:rPr>
          <w:rFonts w:asciiTheme="minorHAnsi" w:hAnsiTheme="minorHAnsi"/>
        </w:rPr>
        <w:t>Nancy Lee                                                              </w:t>
      </w:r>
      <w:r w:rsidRPr="00382623">
        <w:rPr>
          <w:rFonts w:asciiTheme="minorHAnsi" w:hAnsiTheme="minorHAnsi"/>
        </w:rPr>
        <w:tab/>
        <w:t> [Date]</w:t>
      </w:r>
    </w:p>
    <w:p w:rsidR="00133005" w:rsidRPr="00382623" w:rsidRDefault="00133005" w:rsidP="0085602E">
      <w:pPr>
        <w:jc w:val="both"/>
        <w:rPr>
          <w:rFonts w:asciiTheme="minorHAnsi" w:hAnsiTheme="minorHAnsi"/>
        </w:rPr>
      </w:pPr>
      <w:r w:rsidRPr="00382623">
        <w:rPr>
          <w:rFonts w:asciiTheme="minorHAnsi" w:hAnsiTheme="minorHAnsi"/>
        </w:rPr>
        <w:t>MIF, General Manager</w:t>
      </w:r>
    </w:p>
    <w:sectPr w:rsidR="00133005" w:rsidRPr="00382623" w:rsidSect="00532E22">
      <w:headerReference w:type="even" r:id="rId9"/>
      <w:headerReference w:type="default" r:id="rId10"/>
      <w:headerReference w:type="first" r:id="rId11"/>
      <w:pgSz w:w="12240" w:h="15840" w:code="1"/>
      <w:pgMar w:top="1008" w:right="1440" w:bottom="1008" w:left="1440" w:header="706" w:footer="70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F6D" w:rsidRDefault="00715F6D">
      <w:r>
        <w:separator/>
      </w:r>
    </w:p>
  </w:endnote>
  <w:endnote w:type="continuationSeparator" w:id="0">
    <w:p w:rsidR="00715F6D" w:rsidRDefault="00715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F6D" w:rsidRDefault="00715F6D">
      <w:r>
        <w:separator/>
      </w:r>
    </w:p>
  </w:footnote>
  <w:footnote w:type="continuationSeparator" w:id="0">
    <w:p w:rsidR="00715F6D" w:rsidRDefault="00715F6D">
      <w:r>
        <w:continuationSeparator/>
      </w:r>
    </w:p>
  </w:footnote>
  <w:footnote w:id="1">
    <w:p w:rsidR="00715F6D" w:rsidRPr="00B04AA8" w:rsidRDefault="00715F6D" w:rsidP="00B04AA8">
      <w:pPr>
        <w:pStyle w:val="FootnoteText"/>
        <w:spacing w:after="0"/>
        <w:ind w:left="0" w:firstLine="0"/>
        <w:rPr>
          <w:szCs w:val="20"/>
        </w:rPr>
      </w:pPr>
      <w:r w:rsidRPr="00B04AA8">
        <w:rPr>
          <w:rStyle w:val="FootnoteReference"/>
          <w:szCs w:val="20"/>
        </w:rPr>
        <w:footnoteRef/>
      </w:r>
      <w:r w:rsidRPr="00B04AA8">
        <w:rPr>
          <w:szCs w:val="20"/>
        </w:rPr>
        <w:t xml:space="preserve"> </w:t>
      </w:r>
      <w:r w:rsidRPr="00B04AA8">
        <w:rPr>
          <w:color w:val="000000" w:themeColor="text1"/>
          <w:szCs w:val="20"/>
        </w:rPr>
        <w:t>Facility code: BASICSERV</w:t>
      </w:r>
    </w:p>
  </w:footnote>
  <w:footnote w:id="2">
    <w:p w:rsidR="00715F6D" w:rsidRPr="00B04AA8" w:rsidRDefault="00715F6D" w:rsidP="00B04AA8">
      <w:pPr>
        <w:pStyle w:val="FootnoteText"/>
        <w:spacing w:after="0"/>
        <w:rPr>
          <w:szCs w:val="20"/>
        </w:rPr>
      </w:pPr>
      <w:r w:rsidRPr="00B04AA8">
        <w:rPr>
          <w:rStyle w:val="FootnoteReference"/>
          <w:szCs w:val="20"/>
        </w:rPr>
        <w:footnoteRef/>
      </w:r>
      <w:r w:rsidRPr="00B04AA8">
        <w:rPr>
          <w:szCs w:val="20"/>
        </w:rPr>
        <w:t xml:space="preserve"> List of Agora Accelerator entrepreneurs: </w:t>
      </w:r>
      <w:hyperlink r:id="rId1" w:anchor="ourentrepreneur" w:history="1">
        <w:r w:rsidRPr="00B04AA8">
          <w:rPr>
            <w:rStyle w:val="Hyperlink"/>
            <w:szCs w:val="20"/>
          </w:rPr>
          <w:t>http://agorapartnerships.org/accelerator/#ourentrepreneur</w:t>
        </w:r>
      </w:hyperlink>
    </w:p>
  </w:footnote>
  <w:footnote w:id="3">
    <w:p w:rsidR="00715F6D" w:rsidRPr="00B04AA8" w:rsidRDefault="00715F6D" w:rsidP="00371DB2">
      <w:pPr>
        <w:pStyle w:val="FootnoteText"/>
        <w:spacing w:after="0"/>
        <w:ind w:left="0" w:firstLine="0"/>
      </w:pPr>
      <w:r w:rsidRPr="00B04AA8">
        <w:rPr>
          <w:rStyle w:val="FootnoteReference"/>
          <w:szCs w:val="20"/>
        </w:rPr>
        <w:footnoteRef/>
      </w:r>
      <w:r w:rsidRPr="00B04AA8">
        <w:rPr>
          <w:szCs w:val="20"/>
        </w:rPr>
        <w:t xml:space="preserve"> Results obtained from Agora’</w:t>
      </w:r>
      <w:r>
        <w:rPr>
          <w:szCs w:val="20"/>
        </w:rPr>
        <w:t>s i</w:t>
      </w:r>
      <w:r w:rsidRPr="00B04AA8">
        <w:rPr>
          <w:szCs w:val="20"/>
        </w:rPr>
        <w:t xml:space="preserve">mpact measurement: </w:t>
      </w:r>
      <w:hyperlink r:id="rId2" w:history="1">
        <w:r w:rsidRPr="00B04AA8">
          <w:rPr>
            <w:rStyle w:val="Hyperlink"/>
            <w:szCs w:val="20"/>
          </w:rPr>
          <w:t>http://agorapartnerships.org/measuring-impact/</w:t>
        </w:r>
      </w:hyperlink>
    </w:p>
  </w:footnote>
  <w:footnote w:id="4">
    <w:p w:rsidR="00715F6D" w:rsidRPr="00371DB2" w:rsidRDefault="00715F6D" w:rsidP="00371DB2">
      <w:pPr>
        <w:pStyle w:val="FootnoteText"/>
        <w:ind w:left="0" w:firstLine="0"/>
      </w:pPr>
      <w:r>
        <w:rPr>
          <w:rStyle w:val="FootnoteReference"/>
        </w:rPr>
        <w:footnoteRef/>
      </w:r>
      <w:r>
        <w:t xml:space="preserve"> </w:t>
      </w:r>
      <w:r w:rsidRPr="00371DB2">
        <w:t>“</w:t>
      </w:r>
      <w:proofErr w:type="spellStart"/>
      <w:r w:rsidRPr="00371DB2">
        <w:rPr>
          <w:i/>
        </w:rPr>
        <w:t>Ver</w:t>
      </w:r>
      <w:proofErr w:type="spellEnd"/>
      <w:r w:rsidRPr="00371DB2">
        <w:rPr>
          <w:i/>
        </w:rPr>
        <w:t xml:space="preserve"> de </w:t>
      </w:r>
      <w:proofErr w:type="spellStart"/>
      <w:r w:rsidRPr="00371DB2">
        <w:rPr>
          <w:i/>
        </w:rPr>
        <w:t>Verdad</w:t>
      </w:r>
      <w:proofErr w:type="spellEnd"/>
      <w:r w:rsidRPr="00371DB2">
        <w:rPr>
          <w:i/>
        </w:rPr>
        <w:t xml:space="preserve"> Mobile Diagnostic Centers: Bringing Affordable Quality Eye-Care</w:t>
      </w:r>
      <w:r w:rsidRPr="00371DB2">
        <w:t>” (ME-M1087); “</w:t>
      </w:r>
      <w:proofErr w:type="spellStart"/>
      <w:r w:rsidRPr="00371DB2">
        <w:rPr>
          <w:i/>
        </w:rPr>
        <w:t>Quetsol</w:t>
      </w:r>
      <w:proofErr w:type="spellEnd"/>
      <w:r w:rsidRPr="00371DB2">
        <w:rPr>
          <w:i/>
        </w:rPr>
        <w:t xml:space="preserve"> Pay-as-you-go solar power for the BOP in Guatemala</w:t>
      </w:r>
      <w:r w:rsidRPr="00371DB2">
        <w:t>” (GU-M1053); “</w:t>
      </w:r>
      <w:r w:rsidRPr="00371DB2">
        <w:rPr>
          <w:i/>
        </w:rPr>
        <w:t>Learning and Innovation Centers: Reducing the Digital Divide for the Mexican BOP</w:t>
      </w:r>
      <w:r w:rsidRPr="00371DB2">
        <w:t>” (ME-M1093); “</w:t>
      </w:r>
      <w:proofErr w:type="spellStart"/>
      <w:r w:rsidRPr="00371DB2">
        <w:rPr>
          <w:i/>
        </w:rPr>
        <w:t>Biobolsa</w:t>
      </w:r>
      <w:proofErr w:type="spellEnd"/>
      <w:r w:rsidRPr="00371DB2">
        <w:rPr>
          <w:i/>
        </w:rPr>
        <w:t>: A Biogas Solution for Small Farms in Mexico, Honduras and Nicaragua</w:t>
      </w:r>
      <w:r w:rsidRPr="00371DB2">
        <w:t>” (RG-M1260)</w:t>
      </w:r>
    </w:p>
  </w:footnote>
  <w:footnote w:id="5">
    <w:p w:rsidR="00715F6D" w:rsidRPr="00AF2165" w:rsidRDefault="00715F6D">
      <w:pPr>
        <w:pStyle w:val="FootnoteText"/>
        <w:rPr>
          <w:szCs w:val="20"/>
        </w:rPr>
      </w:pPr>
      <w:r w:rsidRPr="00AF2165">
        <w:rPr>
          <w:rStyle w:val="FootnoteReference"/>
          <w:szCs w:val="20"/>
        </w:rPr>
        <w:footnoteRef/>
      </w:r>
      <w:r w:rsidRPr="00AF2165">
        <w:rPr>
          <w:szCs w:val="20"/>
        </w:rPr>
        <w:t xml:space="preserve"> Agora is a </w:t>
      </w:r>
      <w:r w:rsidRPr="00AF2165">
        <w:rPr>
          <w:color w:val="000000" w:themeColor="text1"/>
          <w:szCs w:val="20"/>
        </w:rPr>
        <w:t>501(c)(3) Nonprofit Organization</w:t>
      </w:r>
    </w:p>
  </w:footnote>
  <w:footnote w:id="6">
    <w:p w:rsidR="00715F6D" w:rsidRPr="00651053" w:rsidRDefault="00715F6D" w:rsidP="00651053">
      <w:pPr>
        <w:pStyle w:val="FootnoteText"/>
        <w:spacing w:after="0"/>
        <w:ind w:left="0" w:firstLine="0"/>
      </w:pPr>
      <w:r w:rsidRPr="00651053">
        <w:rPr>
          <w:rStyle w:val="FootnoteReference"/>
        </w:rPr>
        <w:footnoteRef/>
      </w:r>
      <w:r w:rsidRPr="00651053">
        <w:t xml:space="preserve"> </w:t>
      </w:r>
      <w:proofErr w:type="gramStart"/>
      <w:r w:rsidRPr="00651053">
        <w:t>Center for Entrepreneurship and Research Commercialization.</w:t>
      </w:r>
      <w:proofErr w:type="gramEnd"/>
      <w:r w:rsidRPr="00651053">
        <w:t xml:space="preserve"> </w:t>
      </w:r>
      <w:proofErr w:type="gramStart"/>
      <w:r w:rsidRPr="00651053">
        <w:t>Duke University.</w:t>
      </w:r>
      <w:proofErr w:type="gramEnd"/>
    </w:p>
  </w:footnote>
  <w:footnote w:id="7">
    <w:p w:rsidR="00715F6D" w:rsidRPr="00FE4729" w:rsidRDefault="00715F6D" w:rsidP="00651053">
      <w:pPr>
        <w:pStyle w:val="FootnoteText"/>
        <w:spacing w:after="0"/>
        <w:ind w:left="0" w:firstLine="0"/>
        <w:rPr>
          <w:sz w:val="16"/>
        </w:rPr>
      </w:pPr>
      <w:r w:rsidRPr="00651053">
        <w:rPr>
          <w:rStyle w:val="FootnoteReference"/>
        </w:rPr>
        <w:footnoteRef/>
      </w:r>
      <w:hyperlink r:id="rId3" w:history="1">
        <w:r w:rsidRPr="00651053">
          <w:rPr>
            <w:rStyle w:val="Hyperlink"/>
          </w:rPr>
          <w:t>Http://www.mim.monitor.com/downloads/Blueprint_To_Scale/From%20Blueprint%20to%20Scale%20-%20Case%20for%20Philanthropy%20in%20Impact%20Investing_Full%20report.pdf</w:t>
        </w:r>
      </w:hyperlink>
    </w:p>
  </w:footnote>
  <w:footnote w:id="8">
    <w:p w:rsidR="00715F6D" w:rsidRPr="00651053" w:rsidRDefault="00715F6D" w:rsidP="00651053">
      <w:pPr>
        <w:pStyle w:val="FootnoteText"/>
        <w:spacing w:after="0"/>
        <w:rPr>
          <w:szCs w:val="20"/>
        </w:rPr>
      </w:pPr>
      <w:r w:rsidRPr="00651053">
        <w:rPr>
          <w:rStyle w:val="FootnoteReference"/>
          <w:szCs w:val="20"/>
        </w:rPr>
        <w:footnoteRef/>
      </w:r>
      <w:r w:rsidRPr="00651053">
        <w:rPr>
          <w:szCs w:val="20"/>
        </w:rPr>
        <w:t xml:space="preserve"> For more details, please view Agora’s annual reports: </w:t>
      </w:r>
      <w:hyperlink r:id="rId4" w:history="1">
        <w:r w:rsidRPr="00651053">
          <w:rPr>
            <w:rStyle w:val="Hyperlink"/>
            <w:szCs w:val="20"/>
          </w:rPr>
          <w:t>http://agorapartnerships.org/governance/</w:t>
        </w:r>
      </w:hyperlink>
      <w:r w:rsidRPr="00651053">
        <w:rPr>
          <w:szCs w:val="20"/>
        </w:rPr>
        <w:t>.</w:t>
      </w:r>
    </w:p>
  </w:footnote>
  <w:footnote w:id="9">
    <w:p w:rsidR="00715F6D" w:rsidRPr="00FE4729" w:rsidRDefault="00715F6D" w:rsidP="00651053">
      <w:pPr>
        <w:pStyle w:val="FootnoteText"/>
        <w:spacing w:after="0"/>
        <w:rPr>
          <w:sz w:val="16"/>
        </w:rPr>
      </w:pPr>
      <w:r w:rsidRPr="00651053">
        <w:rPr>
          <w:rStyle w:val="FootnoteReference"/>
          <w:szCs w:val="20"/>
        </w:rPr>
        <w:footnoteRef/>
      </w:r>
      <w:r w:rsidRPr="00651053">
        <w:rPr>
          <w:szCs w:val="20"/>
        </w:rPr>
        <w:t xml:space="preserve"> As a result of the Agora Accelerator, $2.6MM has been channeled into these basic services solutions.</w:t>
      </w:r>
    </w:p>
  </w:footnote>
  <w:footnote w:id="10">
    <w:p w:rsidR="00715F6D" w:rsidRPr="00651053" w:rsidRDefault="00715F6D" w:rsidP="0056573D">
      <w:pPr>
        <w:pStyle w:val="FootnoteText"/>
        <w:spacing w:after="0"/>
        <w:ind w:left="0" w:firstLine="0"/>
        <w:rPr>
          <w:szCs w:val="20"/>
        </w:rPr>
      </w:pPr>
      <w:r w:rsidRPr="00651053">
        <w:rPr>
          <w:rStyle w:val="FootnoteReference"/>
          <w:szCs w:val="20"/>
        </w:rPr>
        <w:footnoteRef/>
      </w:r>
      <w:r w:rsidRPr="00651053">
        <w:rPr>
          <w:szCs w:val="20"/>
        </w:rPr>
        <w:t xml:space="preserve"> In March 2014, Agora conducted a market study to identify where the Agora Accelerator program is currently positioned in the accelerator landscape and to guide the creation of a monetization strategy for Agora’s overall business mode. To see the results, please review the “</w:t>
      </w:r>
      <w:hyperlink r:id="rId5" w:history="1">
        <w:r w:rsidRPr="00651053">
          <w:rPr>
            <w:rStyle w:val="Hyperlink"/>
            <w:szCs w:val="20"/>
          </w:rPr>
          <w:t>Accelerator Research Summary</w:t>
        </w:r>
      </w:hyperlink>
      <w:r w:rsidRPr="00651053">
        <w:rPr>
          <w:szCs w:val="20"/>
        </w:rPr>
        <w:t xml:space="preserve">” as well as the </w:t>
      </w:r>
      <w:hyperlink r:id="rId6" w:history="1">
        <w:r w:rsidRPr="00651053">
          <w:rPr>
            <w:rStyle w:val="Hyperlink"/>
            <w:szCs w:val="20"/>
          </w:rPr>
          <w:t>Accelerator Research Data</w:t>
        </w:r>
      </w:hyperlink>
      <w:r w:rsidRPr="00651053">
        <w:rPr>
          <w:szCs w:val="20"/>
        </w:rPr>
        <w:t>.</w:t>
      </w:r>
    </w:p>
  </w:footnote>
  <w:footnote w:id="11">
    <w:p w:rsidR="00715F6D" w:rsidRPr="00651053" w:rsidRDefault="00715F6D" w:rsidP="0056573D">
      <w:pPr>
        <w:pStyle w:val="FootnoteText"/>
        <w:spacing w:after="0"/>
        <w:ind w:left="0" w:firstLine="0"/>
        <w:rPr>
          <w:szCs w:val="20"/>
        </w:rPr>
      </w:pPr>
      <w:r w:rsidRPr="00651053">
        <w:rPr>
          <w:rStyle w:val="FootnoteReference"/>
          <w:szCs w:val="20"/>
        </w:rPr>
        <w:footnoteRef/>
      </w:r>
      <w:r w:rsidRPr="00651053">
        <w:rPr>
          <w:szCs w:val="20"/>
        </w:rPr>
        <w:t xml:space="preserve"> Agora currently has a </w:t>
      </w:r>
      <w:r w:rsidRPr="00651053">
        <w:rPr>
          <w:rFonts w:cs="Arial"/>
          <w:snapToGrid/>
          <w:color w:val="000000" w:themeColor="text1"/>
          <w:szCs w:val="20"/>
          <w:lang w:eastAsia="en-US"/>
        </w:rPr>
        <w:t>98% survival rate within its accelerator companies.</w:t>
      </w:r>
    </w:p>
  </w:footnote>
  <w:footnote w:id="12">
    <w:p w:rsidR="00715F6D" w:rsidRPr="00FE4729" w:rsidRDefault="00715F6D" w:rsidP="0056573D">
      <w:pPr>
        <w:pStyle w:val="FootnoteText"/>
        <w:spacing w:after="0"/>
        <w:ind w:left="0" w:firstLine="0"/>
        <w:rPr>
          <w:sz w:val="16"/>
        </w:rPr>
      </w:pPr>
      <w:r w:rsidRPr="00651053">
        <w:rPr>
          <w:rStyle w:val="FootnoteReference"/>
          <w:szCs w:val="20"/>
        </w:rPr>
        <w:footnoteRef/>
      </w:r>
      <w:r w:rsidRPr="00651053">
        <w:rPr>
          <w:szCs w:val="20"/>
        </w:rPr>
        <w:t xml:space="preserve"> Agora Partnerships was founded in 2005 with the purpose of providing entrepreneurs with the resources needed to grow their businesses. From 2005-2010, Agora served entrepreneurs with the Agora Venture Fund (AVF), a for-profit impact investing fund designed to and managed by Agora Partnerships. More details can be found in “</w:t>
      </w:r>
      <w:hyperlink r:id="rId7" w:history="1">
        <w:r w:rsidRPr="00651053">
          <w:rPr>
            <w:rStyle w:val="Hyperlink"/>
            <w:szCs w:val="20"/>
          </w:rPr>
          <w:t>History of Agora</w:t>
        </w:r>
      </w:hyperlink>
      <w:r w:rsidRPr="00651053">
        <w:rPr>
          <w:szCs w:val="20"/>
        </w:rPr>
        <w:t xml:space="preserve">”. A more in-depth history of the Agora business model prior to the Accelerator can be found in </w:t>
      </w:r>
      <w:hyperlink r:id="rId8" w:history="1">
        <w:r w:rsidRPr="00651053">
          <w:rPr>
            <w:rStyle w:val="Hyperlink"/>
            <w:szCs w:val="20"/>
          </w:rPr>
          <w:t>Agora’s 2006-2010 annual reports</w:t>
        </w:r>
      </w:hyperlink>
      <w:r w:rsidRPr="00651053">
        <w:rPr>
          <w:szCs w:val="20"/>
        </w:rPr>
        <w:t>.</w:t>
      </w:r>
    </w:p>
  </w:footnote>
  <w:footnote w:id="13">
    <w:p w:rsidR="00715F6D" w:rsidRPr="00651053" w:rsidRDefault="00715F6D" w:rsidP="0056573D">
      <w:pPr>
        <w:pStyle w:val="FootnoteText"/>
        <w:spacing w:after="0"/>
        <w:rPr>
          <w:szCs w:val="20"/>
        </w:rPr>
      </w:pPr>
      <w:r w:rsidRPr="00651053">
        <w:rPr>
          <w:rStyle w:val="FootnoteReference"/>
          <w:szCs w:val="20"/>
        </w:rPr>
        <w:footnoteRef/>
      </w:r>
      <w:r w:rsidRPr="00651053">
        <w:rPr>
          <w:szCs w:val="20"/>
        </w:rPr>
        <w:t xml:space="preserve"> </w:t>
      </w:r>
      <w:proofErr w:type="gramStart"/>
      <w:r w:rsidRPr="00651053">
        <w:rPr>
          <w:color w:val="000000" w:themeColor="text1"/>
          <w:szCs w:val="20"/>
        </w:rPr>
        <w:t>See short-listed candidates in project Annexes.</w:t>
      </w:r>
      <w:proofErr w:type="gramEnd"/>
    </w:p>
  </w:footnote>
  <w:footnote w:id="14">
    <w:p w:rsidR="00715F6D" w:rsidRPr="00FE4729" w:rsidRDefault="00715F6D" w:rsidP="0056573D">
      <w:pPr>
        <w:pStyle w:val="FootnoteText"/>
        <w:spacing w:after="0"/>
        <w:rPr>
          <w:sz w:val="16"/>
        </w:rPr>
      </w:pPr>
      <w:r w:rsidRPr="00651053">
        <w:rPr>
          <w:rStyle w:val="FootnoteReference"/>
          <w:szCs w:val="20"/>
        </w:rPr>
        <w:footnoteRef/>
      </w:r>
      <w:r w:rsidRPr="00651053">
        <w:rPr>
          <w:szCs w:val="20"/>
        </w:rPr>
        <w:t xml:space="preserve"> </w:t>
      </w:r>
      <w:r w:rsidRPr="00651053">
        <w:rPr>
          <w:color w:val="000000" w:themeColor="text1"/>
          <w:szCs w:val="20"/>
        </w:rPr>
        <w:t>This amount can be at a loss, but targeting break-even within a few years.</w:t>
      </w:r>
    </w:p>
  </w:footnote>
  <w:footnote w:id="15">
    <w:p w:rsidR="00715F6D" w:rsidRPr="00715F6D" w:rsidRDefault="00715F6D" w:rsidP="00715F6D">
      <w:pPr>
        <w:pStyle w:val="FootnoteText"/>
        <w:spacing w:after="0"/>
      </w:pPr>
      <w:r>
        <w:rPr>
          <w:rStyle w:val="FootnoteReference"/>
        </w:rPr>
        <w:footnoteRef/>
      </w:r>
      <w:r>
        <w:t xml:space="preserve"> See Annex XII for a list of the most relevant investors in past years.</w:t>
      </w:r>
    </w:p>
  </w:footnote>
  <w:footnote w:id="16">
    <w:p w:rsidR="00715F6D" w:rsidRPr="00651053" w:rsidRDefault="00715F6D" w:rsidP="00715F6D">
      <w:pPr>
        <w:pStyle w:val="FootnoteText"/>
        <w:spacing w:after="0"/>
        <w:ind w:left="0" w:firstLine="0"/>
        <w:rPr>
          <w:szCs w:val="20"/>
        </w:rPr>
      </w:pPr>
      <w:r w:rsidRPr="00651053">
        <w:rPr>
          <w:rStyle w:val="FootnoteReference"/>
          <w:szCs w:val="20"/>
        </w:rPr>
        <w:footnoteRef/>
      </w:r>
      <w:r w:rsidRPr="00651053">
        <w:rPr>
          <w:szCs w:val="20"/>
        </w:rPr>
        <w:t xml:space="preserve"> The core of demand dividend is a cash-flow based repayment plan – payment obligations are determined based on free cash flow and recalculated in each payment period. Generally entrepreneurs are given a grace period of several years, which allows them to reinvest all available cash into growing the business. Payments continue until a pre-determined total return is reached, two to three times the original investment, ensuring a clear profit for investors without imposing a perpetual obligation on entrepreneurs. For more information see:</w:t>
      </w:r>
      <w:hyperlink r:id="rId9">
        <w:r w:rsidRPr="00651053">
          <w:rPr>
            <w:szCs w:val="20"/>
          </w:rPr>
          <w:t xml:space="preserve"> </w:t>
        </w:r>
      </w:hyperlink>
      <w:hyperlink r:id="rId10">
        <w:r w:rsidRPr="00651053">
          <w:rPr>
            <w:color w:val="1155CC"/>
            <w:szCs w:val="20"/>
            <w:u w:val="single"/>
          </w:rPr>
          <w:t>http://bioscibd.com/biofi/demand-dividend/</w:t>
        </w:r>
      </w:hyperlink>
    </w:p>
  </w:footnote>
  <w:footnote w:id="17">
    <w:p w:rsidR="00715F6D" w:rsidRPr="00651053" w:rsidRDefault="00715F6D" w:rsidP="00651053">
      <w:pPr>
        <w:pStyle w:val="FootnoteText"/>
        <w:spacing w:after="0"/>
        <w:ind w:left="0" w:firstLine="0"/>
        <w:rPr>
          <w:szCs w:val="20"/>
        </w:rPr>
      </w:pPr>
      <w:r w:rsidRPr="00651053">
        <w:rPr>
          <w:rStyle w:val="FootnoteReference"/>
          <w:szCs w:val="20"/>
        </w:rPr>
        <w:footnoteRef/>
      </w:r>
      <w:r w:rsidRPr="00651053">
        <w:rPr>
          <w:szCs w:val="20"/>
        </w:rPr>
        <w:t xml:space="preserve"> More details on the </w:t>
      </w:r>
      <w:hyperlink r:id="rId11" w:history="1">
        <w:r w:rsidRPr="00651053">
          <w:rPr>
            <w:rStyle w:val="Hyperlink"/>
            <w:szCs w:val="20"/>
          </w:rPr>
          <w:t>Agora-</w:t>
        </w:r>
        <w:proofErr w:type="spellStart"/>
        <w:r w:rsidRPr="00651053">
          <w:rPr>
            <w:rStyle w:val="Hyperlink"/>
            <w:szCs w:val="20"/>
          </w:rPr>
          <w:t>Eleos</w:t>
        </w:r>
        <w:proofErr w:type="spellEnd"/>
        <w:r w:rsidRPr="00651053">
          <w:rPr>
            <w:rStyle w:val="Hyperlink"/>
            <w:szCs w:val="20"/>
          </w:rPr>
          <w:t xml:space="preserve"> Latin American Women’s Fund</w:t>
        </w:r>
      </w:hyperlink>
    </w:p>
  </w:footnote>
  <w:footnote w:id="18">
    <w:p w:rsidR="00715F6D" w:rsidRPr="00651053" w:rsidRDefault="00715F6D" w:rsidP="00651053">
      <w:pPr>
        <w:pStyle w:val="FootnoteText"/>
        <w:spacing w:after="0"/>
        <w:ind w:left="0" w:firstLine="0"/>
        <w:rPr>
          <w:szCs w:val="20"/>
        </w:rPr>
      </w:pPr>
      <w:r w:rsidRPr="00651053">
        <w:rPr>
          <w:rStyle w:val="FootnoteReference"/>
          <w:szCs w:val="20"/>
        </w:rPr>
        <w:footnoteRef/>
      </w:r>
      <w:r w:rsidRPr="00651053">
        <w:rPr>
          <w:szCs w:val="20"/>
        </w:rPr>
        <w:t xml:space="preserve"> Definitions of the income levels that are considered “</w:t>
      </w:r>
      <w:proofErr w:type="spellStart"/>
      <w:r w:rsidRPr="00651053">
        <w:rPr>
          <w:szCs w:val="20"/>
        </w:rPr>
        <w:t>BoP</w:t>
      </w:r>
      <w:proofErr w:type="spellEnd"/>
      <w:r w:rsidRPr="00651053">
        <w:rPr>
          <w:szCs w:val="20"/>
        </w:rPr>
        <w:t xml:space="preserve">” vary based on country. </w:t>
      </w:r>
      <w:hyperlink r:id="rId12" w:history="1">
        <w:r w:rsidRPr="00651053">
          <w:rPr>
            <w:rStyle w:val="Hyperlink"/>
            <w:szCs w:val="20"/>
          </w:rPr>
          <w:t>This report</w:t>
        </w:r>
      </w:hyperlink>
      <w:r w:rsidRPr="00651053">
        <w:rPr>
          <w:szCs w:val="20"/>
        </w:rPr>
        <w:t xml:space="preserve"> will be used to determine the income levels for each country.</w:t>
      </w:r>
    </w:p>
  </w:footnote>
  <w:footnote w:id="19">
    <w:p w:rsidR="00715F6D" w:rsidRPr="00ED08CA" w:rsidRDefault="00715F6D" w:rsidP="00651053">
      <w:pPr>
        <w:pStyle w:val="FootnoteText"/>
        <w:spacing w:after="0"/>
        <w:ind w:left="0" w:firstLine="0"/>
        <w:rPr>
          <w:sz w:val="16"/>
        </w:rPr>
      </w:pPr>
      <w:r w:rsidRPr="00651053">
        <w:rPr>
          <w:rStyle w:val="FootnoteReference"/>
          <w:szCs w:val="20"/>
        </w:rPr>
        <w:footnoteRef/>
      </w:r>
      <w:r w:rsidRPr="00651053">
        <w:rPr>
          <w:szCs w:val="20"/>
        </w:rPr>
        <w:t xml:space="preserve"> Companies may server higher income clients in order to make their businesses financially sustainable as long as at least 40% of their clients are in the </w:t>
      </w:r>
      <w:proofErr w:type="spellStart"/>
      <w:r w:rsidRPr="00651053">
        <w:rPr>
          <w:szCs w:val="20"/>
        </w:rPr>
        <w:t>BoP</w:t>
      </w:r>
      <w:proofErr w:type="spellEnd"/>
      <w:r w:rsidRPr="00651053">
        <w:rPr>
          <w:szCs w:val="20"/>
        </w:rPr>
        <w:t>.</w:t>
      </w:r>
    </w:p>
  </w:footnote>
  <w:footnote w:id="20">
    <w:p w:rsidR="00715F6D" w:rsidRPr="00651053" w:rsidRDefault="00715F6D" w:rsidP="00651053">
      <w:pPr>
        <w:pStyle w:val="FootnoteText"/>
        <w:spacing w:after="0"/>
        <w:rPr>
          <w:szCs w:val="20"/>
        </w:rPr>
      </w:pPr>
      <w:r w:rsidRPr="00651053">
        <w:rPr>
          <w:rStyle w:val="FootnoteReference"/>
          <w:szCs w:val="20"/>
        </w:rPr>
        <w:footnoteRef/>
      </w:r>
      <w:r w:rsidRPr="00651053">
        <w:rPr>
          <w:szCs w:val="20"/>
        </w:rPr>
        <w:t xml:space="preserve"> Explanation of the </w:t>
      </w:r>
      <w:hyperlink r:id="rId13" w:history="1">
        <w:r w:rsidRPr="00651053">
          <w:rPr>
            <w:rStyle w:val="Hyperlink"/>
            <w:szCs w:val="20"/>
          </w:rPr>
          <w:t>Consulting Methodology</w:t>
        </w:r>
      </w:hyperlink>
    </w:p>
  </w:footnote>
  <w:footnote w:id="21">
    <w:p w:rsidR="00715F6D" w:rsidRPr="00FE4729" w:rsidRDefault="00715F6D" w:rsidP="00651053">
      <w:pPr>
        <w:pStyle w:val="FootnoteText"/>
        <w:spacing w:after="0"/>
        <w:rPr>
          <w:sz w:val="16"/>
        </w:rPr>
      </w:pPr>
      <w:r w:rsidRPr="00651053">
        <w:rPr>
          <w:rStyle w:val="FootnoteReference"/>
          <w:szCs w:val="20"/>
        </w:rPr>
        <w:footnoteRef/>
      </w:r>
      <w:r w:rsidRPr="00651053">
        <w:rPr>
          <w:szCs w:val="20"/>
        </w:rPr>
        <w:t xml:space="preserve"> </w:t>
      </w:r>
      <w:proofErr w:type="gramStart"/>
      <w:r w:rsidRPr="00651053">
        <w:rPr>
          <w:szCs w:val="20"/>
        </w:rPr>
        <w:t xml:space="preserve">Full explanation of the </w:t>
      </w:r>
      <w:hyperlink r:id="rId14" w:history="1">
        <w:r w:rsidRPr="00651053">
          <w:rPr>
            <w:rStyle w:val="Hyperlink"/>
            <w:szCs w:val="20"/>
          </w:rPr>
          <w:t>Agora Accelerator</w:t>
        </w:r>
      </w:hyperlink>
      <w:r w:rsidRPr="00651053">
        <w:rPr>
          <w:szCs w:val="20"/>
        </w:rPr>
        <w:t xml:space="preserve"> and </w:t>
      </w:r>
      <w:hyperlink r:id="rId15" w:anchor="howitworks" w:history="1">
        <w:r w:rsidRPr="00651053">
          <w:rPr>
            <w:rStyle w:val="Hyperlink"/>
            <w:szCs w:val="20"/>
          </w:rPr>
          <w:t>details on each stage of the Accelerator process</w:t>
        </w:r>
      </w:hyperlink>
      <w:r w:rsidRPr="00651053">
        <w:rPr>
          <w:szCs w:val="20"/>
        </w:rPr>
        <w:t>.</w:t>
      </w:r>
      <w:proofErr w:type="gramEnd"/>
    </w:p>
  </w:footnote>
  <w:footnote w:id="22">
    <w:p w:rsidR="00715F6D" w:rsidRPr="00651053" w:rsidRDefault="00715F6D">
      <w:pPr>
        <w:pStyle w:val="FootnoteText"/>
        <w:rPr>
          <w:szCs w:val="20"/>
        </w:rPr>
      </w:pPr>
      <w:r w:rsidRPr="00651053">
        <w:rPr>
          <w:snapToGrid/>
          <w:color w:val="000000" w:themeColor="text1"/>
          <w:szCs w:val="20"/>
          <w:lang w:eastAsia="en-US"/>
        </w:rPr>
        <w:footnoteRef/>
      </w:r>
      <w:r w:rsidRPr="00651053">
        <w:rPr>
          <w:snapToGrid/>
          <w:color w:val="000000" w:themeColor="text1"/>
          <w:szCs w:val="20"/>
          <w:lang w:eastAsia="en-US"/>
        </w:rPr>
        <w:t xml:space="preserve"> https://www.startgrid.com/</w:t>
      </w:r>
    </w:p>
  </w:footnote>
  <w:footnote w:id="23">
    <w:p w:rsidR="00715F6D" w:rsidRPr="00715F6D" w:rsidRDefault="00715F6D" w:rsidP="00715F6D">
      <w:pPr>
        <w:pStyle w:val="FootnoteText"/>
        <w:ind w:left="0" w:firstLine="0"/>
      </w:pPr>
      <w:r>
        <w:rPr>
          <w:rStyle w:val="FootnoteReference"/>
        </w:rPr>
        <w:footnoteRef/>
      </w:r>
      <w:r>
        <w:t xml:space="preserve"> </w:t>
      </w:r>
      <w:r w:rsidRPr="00715F6D">
        <w:t>The selection process will be a joint effort between Agora-MIF-OMJ. It w</w:t>
      </w:r>
      <w:r>
        <w:t>ill be based on the eligibility criteria</w:t>
      </w:r>
      <w:r w:rsidRPr="00715F6D">
        <w:t xml:space="preserve"> established for the MIF /OMJ Accelerator</w:t>
      </w:r>
      <w:r>
        <w:t xml:space="preserve">. </w:t>
      </w:r>
      <w:r w:rsidRPr="00715F6D">
        <w:t>The recruited companies must be beyond proof of concept and have positive rev</w:t>
      </w:r>
      <w:r>
        <w:t>enues anywhere between 100k and</w:t>
      </w:r>
      <w:r w:rsidRPr="00715F6D">
        <w:t xml:space="preserve"> 2 million. They will be at a stage where they have the potential for expansion serving the base of the pyramid and potent</w:t>
      </w:r>
      <w:r>
        <w:t>ial to access and manage credit</w:t>
      </w:r>
      <w:r w:rsidRPr="00715F6D">
        <w:t xml:space="preserve"> from OMJ or other source of finance following the successful completion of the acceleration program.</w:t>
      </w:r>
    </w:p>
  </w:footnote>
  <w:footnote w:id="24">
    <w:p w:rsidR="00715F6D" w:rsidRPr="00651053" w:rsidRDefault="00715F6D" w:rsidP="00651053">
      <w:pPr>
        <w:pStyle w:val="FootnoteText"/>
        <w:spacing w:after="0"/>
        <w:ind w:left="0" w:firstLine="0"/>
        <w:rPr>
          <w:szCs w:val="20"/>
        </w:rPr>
      </w:pPr>
      <w:r w:rsidRPr="00651053">
        <w:rPr>
          <w:rStyle w:val="FootnoteReference"/>
          <w:szCs w:val="20"/>
        </w:rPr>
        <w:footnoteRef/>
      </w:r>
      <w:r w:rsidRPr="00651053">
        <w:rPr>
          <w:szCs w:val="20"/>
        </w:rPr>
        <w:t xml:space="preserve"> </w:t>
      </w:r>
      <w:r w:rsidRPr="00651053">
        <w:rPr>
          <w:snapToGrid/>
          <w:color w:val="000000" w:themeColor="text1"/>
          <w:szCs w:val="20"/>
          <w:lang w:eastAsia="en-US"/>
        </w:rPr>
        <w:t xml:space="preserve">During the entire process, Agora </w:t>
      </w:r>
      <w:proofErr w:type="gramStart"/>
      <w:r w:rsidRPr="00651053">
        <w:rPr>
          <w:snapToGrid/>
          <w:color w:val="000000" w:themeColor="text1"/>
          <w:szCs w:val="20"/>
          <w:lang w:eastAsia="en-US"/>
        </w:rPr>
        <w:t>make</w:t>
      </w:r>
      <w:proofErr w:type="gramEnd"/>
      <w:r w:rsidRPr="00651053">
        <w:rPr>
          <w:snapToGrid/>
          <w:color w:val="000000" w:themeColor="text1"/>
          <w:szCs w:val="20"/>
          <w:lang w:eastAsia="en-US"/>
        </w:rPr>
        <w:t xml:space="preserve"> sure to maintain a diverse class so that it brings in access to basic services entrepreneurs solving a range of problems.</w:t>
      </w:r>
    </w:p>
  </w:footnote>
  <w:footnote w:id="25">
    <w:p w:rsidR="00715F6D" w:rsidRPr="00651053" w:rsidRDefault="00715F6D" w:rsidP="00651053">
      <w:pPr>
        <w:pStyle w:val="FootnoteText"/>
        <w:ind w:left="0" w:firstLine="0"/>
      </w:pPr>
      <w:r>
        <w:rPr>
          <w:rStyle w:val="FootnoteReference"/>
        </w:rPr>
        <w:footnoteRef/>
      </w:r>
      <w:r>
        <w:t xml:space="preserve"> </w:t>
      </w:r>
      <w:r w:rsidRPr="00651053">
        <w:rPr>
          <w:spacing w:val="0"/>
          <w:szCs w:val="20"/>
        </w:rPr>
        <w:t xml:space="preserve">The Entrepreneur Retreat takes place in Nicaragua for five days and serves to kick off the Accelerator each year. It is attended by the current class of entrepreneurs, Agora Staff, select Agora Alumni entrepreneurs as well as invited investors, funders, and speakers. </w:t>
      </w:r>
      <w:hyperlink r:id="rId16" w:anchor="howitworks" w:history="1">
        <w:r w:rsidRPr="00651053">
          <w:rPr>
            <w:rStyle w:val="Hyperlink"/>
            <w:spacing w:val="0"/>
            <w:szCs w:val="20"/>
          </w:rPr>
          <w:t>View more details on the Entrepreneur Retreat.</w:t>
        </w:r>
      </w:hyperlink>
    </w:p>
  </w:footnote>
  <w:footnote w:id="26">
    <w:p w:rsidR="00715F6D" w:rsidRPr="00D87E7A" w:rsidRDefault="00715F6D" w:rsidP="00651053">
      <w:pPr>
        <w:rPr>
          <w:rFonts w:ascii="Times" w:hAnsi="Times"/>
          <w:snapToGrid/>
          <w:sz w:val="16"/>
          <w:szCs w:val="20"/>
          <w:lang w:eastAsia="en-US"/>
        </w:rPr>
      </w:pPr>
      <w:r w:rsidRPr="00651053">
        <w:rPr>
          <w:rStyle w:val="FootnoteReference"/>
          <w:sz w:val="20"/>
          <w:szCs w:val="20"/>
        </w:rPr>
        <w:footnoteRef/>
      </w:r>
      <w:r w:rsidRPr="00651053">
        <w:rPr>
          <w:sz w:val="20"/>
          <w:szCs w:val="20"/>
        </w:rPr>
        <w:t xml:space="preserve"> </w:t>
      </w:r>
      <w:hyperlink r:id="rId17" w:history="1">
        <w:r w:rsidRPr="00651053">
          <w:rPr>
            <w:rStyle w:val="Hyperlink"/>
            <w:sz w:val="20"/>
            <w:szCs w:val="20"/>
          </w:rPr>
          <w:t>GIIRS</w:t>
        </w:r>
      </w:hyperlink>
      <w:r w:rsidRPr="00651053">
        <w:rPr>
          <w:sz w:val="20"/>
          <w:szCs w:val="20"/>
        </w:rPr>
        <w:t xml:space="preserve"> (which stands for the Global Impact Investing Ratings System) is a comprehensive and transparent system for assessing the social and environmental impact of companies and funds with a ratings and analytics approach analogous to Morningstar investment rankings and Capital IQ financial analytics. GIIRS is powered by </w:t>
      </w:r>
      <w:hyperlink r:id="rId18" w:history="1">
        <w:r w:rsidRPr="00651053">
          <w:rPr>
            <w:rStyle w:val="Hyperlink"/>
            <w:sz w:val="20"/>
            <w:szCs w:val="20"/>
          </w:rPr>
          <w:t>B Lab</w:t>
        </w:r>
      </w:hyperlink>
      <w:r w:rsidRPr="00651053">
        <w:rPr>
          <w:sz w:val="20"/>
          <w:szCs w:val="20"/>
        </w:rPr>
        <w:t>, a non-profit that serves entrepreneurs through three interrelated initiatives.</w:t>
      </w:r>
      <w:r w:rsidRPr="00266375">
        <w:rPr>
          <w:sz w:val="16"/>
        </w:rPr>
        <w:t xml:space="preserve"> </w:t>
      </w:r>
    </w:p>
  </w:footnote>
  <w:footnote w:id="27">
    <w:p w:rsidR="00715F6D" w:rsidRPr="00A37C86" w:rsidRDefault="00715F6D">
      <w:pPr>
        <w:pStyle w:val="FootnoteText"/>
      </w:pPr>
      <w:r>
        <w:rPr>
          <w:rStyle w:val="FootnoteReference"/>
        </w:rPr>
        <w:footnoteRef/>
      </w:r>
      <w:r>
        <w:t xml:space="preserve"> 8 Modules: C</w:t>
      </w:r>
      <w:r w:rsidRPr="00A37C86">
        <w:t>ost and revenue streams, team, market, pitching, value chain, growth strategy, management</w:t>
      </w:r>
    </w:p>
  </w:footnote>
  <w:footnote w:id="28">
    <w:p w:rsidR="00715F6D" w:rsidRPr="001A3860" w:rsidRDefault="00715F6D" w:rsidP="001A3860">
      <w:pPr>
        <w:pStyle w:val="FootnoteText"/>
        <w:spacing w:after="0"/>
        <w:rPr>
          <w:szCs w:val="20"/>
        </w:rPr>
      </w:pPr>
      <w:r w:rsidRPr="001A3860">
        <w:rPr>
          <w:rStyle w:val="FootnoteReference"/>
          <w:szCs w:val="20"/>
        </w:rPr>
        <w:footnoteRef/>
      </w:r>
      <w:r w:rsidRPr="001A3860">
        <w:rPr>
          <w:szCs w:val="20"/>
        </w:rPr>
        <w:t xml:space="preserve"> GLG: </w:t>
      </w:r>
      <w:hyperlink r:id="rId19" w:history="1">
        <w:r w:rsidRPr="001A3860">
          <w:rPr>
            <w:rStyle w:val="Hyperlink"/>
            <w:szCs w:val="20"/>
          </w:rPr>
          <w:t>http://glg.it/</w:t>
        </w:r>
      </w:hyperlink>
      <w:r w:rsidRPr="001A3860">
        <w:rPr>
          <w:szCs w:val="20"/>
        </w:rPr>
        <w:t xml:space="preserve"> ; GLG Social Impact Fellowship: </w:t>
      </w:r>
      <w:hyperlink r:id="rId20" w:history="1">
        <w:r w:rsidRPr="001A3860">
          <w:rPr>
            <w:rStyle w:val="Hyperlink"/>
            <w:szCs w:val="20"/>
          </w:rPr>
          <w:t>http://www.glgsocialimpact.com/</w:t>
        </w:r>
      </w:hyperlink>
      <w:r w:rsidRPr="001A3860">
        <w:rPr>
          <w:szCs w:val="20"/>
        </w:rPr>
        <w:t xml:space="preserve"> </w:t>
      </w:r>
    </w:p>
  </w:footnote>
  <w:footnote w:id="29">
    <w:p w:rsidR="00715F6D" w:rsidRPr="001A3860" w:rsidRDefault="00715F6D" w:rsidP="001A3860">
      <w:pPr>
        <w:pStyle w:val="FootnoteText"/>
        <w:spacing w:after="0"/>
        <w:rPr>
          <w:szCs w:val="20"/>
        </w:rPr>
      </w:pPr>
      <w:r w:rsidRPr="001A3860">
        <w:rPr>
          <w:rStyle w:val="FootnoteReference"/>
          <w:szCs w:val="20"/>
        </w:rPr>
        <w:footnoteRef/>
      </w:r>
      <w:r w:rsidRPr="001A3860">
        <w:rPr>
          <w:szCs w:val="20"/>
        </w:rPr>
        <w:t xml:space="preserve"> Mentor Capital Network: </w:t>
      </w:r>
      <w:hyperlink r:id="rId21" w:history="1">
        <w:r w:rsidRPr="001A3860">
          <w:rPr>
            <w:rStyle w:val="Hyperlink"/>
            <w:szCs w:val="20"/>
          </w:rPr>
          <w:t>http://www.williamjamesfoundation.org/index.cfm?nodeID=17</w:t>
        </w:r>
      </w:hyperlink>
      <w:r w:rsidRPr="001A3860">
        <w:rPr>
          <w:szCs w:val="20"/>
        </w:rPr>
        <w:t xml:space="preserve"> </w:t>
      </w:r>
    </w:p>
  </w:footnote>
  <w:footnote w:id="30">
    <w:p w:rsidR="00715F6D" w:rsidRDefault="00715F6D" w:rsidP="001A3860">
      <w:pPr>
        <w:pStyle w:val="FootnoteText"/>
        <w:spacing w:after="0"/>
        <w:ind w:left="0" w:firstLine="0"/>
      </w:pPr>
      <w:r w:rsidRPr="001A3860">
        <w:rPr>
          <w:rStyle w:val="FootnoteReference"/>
          <w:szCs w:val="20"/>
        </w:rPr>
        <w:footnoteRef/>
      </w:r>
      <w:r w:rsidRPr="001A3860">
        <w:rPr>
          <w:szCs w:val="20"/>
        </w:rPr>
        <w:t xml:space="preserve"> Companies will be expected to pay for flights to two international events (Entrepreneur Retreat in Nicaragua, March 16-21; Investor Conference – location and date TBD). They will also be required to pay a $500 program fee.</w:t>
      </w:r>
    </w:p>
  </w:footnote>
  <w:footnote w:id="31">
    <w:p w:rsidR="00715F6D" w:rsidRPr="00C355AD" w:rsidRDefault="00715F6D" w:rsidP="00C355AD">
      <w:pPr>
        <w:rPr>
          <w:rFonts w:ascii="Times" w:hAnsi="Times"/>
          <w:snapToGrid/>
          <w:sz w:val="20"/>
          <w:szCs w:val="20"/>
          <w:lang w:eastAsia="en-US"/>
        </w:rPr>
      </w:pPr>
      <w:r>
        <w:rPr>
          <w:rStyle w:val="FootnoteReference"/>
        </w:rPr>
        <w:footnoteRef/>
      </w:r>
      <w:r>
        <w:t xml:space="preserve"> </w:t>
      </w:r>
      <w:r w:rsidRPr="00C355AD">
        <w:rPr>
          <w:spacing w:val="-3"/>
          <w:sz w:val="20"/>
        </w:rPr>
        <w:t>PULSE is a numeric metric data collection and reporting tool. </w:t>
      </w:r>
    </w:p>
  </w:footnote>
  <w:footnote w:id="32">
    <w:p w:rsidR="00715F6D" w:rsidRDefault="00715F6D" w:rsidP="00C355AD">
      <w:pPr>
        <w:pStyle w:val="FootnoteText"/>
        <w:spacing w:after="0"/>
      </w:pPr>
      <w:r>
        <w:rPr>
          <w:rStyle w:val="FootnoteReference"/>
        </w:rPr>
        <w:footnoteRef/>
      </w:r>
      <w:r>
        <w:t xml:space="preserve"> You can view aggregate metrics here: </w:t>
      </w:r>
      <w:hyperlink r:id="rId22" w:history="1">
        <w:r w:rsidRPr="00C67DAA">
          <w:rPr>
            <w:rStyle w:val="Hyperlink"/>
          </w:rPr>
          <w:t>http://agorapartnerships.org/impact/</w:t>
        </w:r>
      </w:hyperlink>
      <w:r>
        <w:t xml:space="preserve">. </w:t>
      </w:r>
    </w:p>
  </w:footnote>
  <w:footnote w:id="33">
    <w:p w:rsidR="00715F6D" w:rsidRPr="00C355AD" w:rsidRDefault="00715F6D" w:rsidP="00C355AD">
      <w:pPr>
        <w:rPr>
          <w:rFonts w:ascii="Times" w:hAnsi="Times"/>
          <w:snapToGrid/>
          <w:sz w:val="20"/>
          <w:szCs w:val="20"/>
          <w:lang w:eastAsia="en-US"/>
        </w:rPr>
      </w:pPr>
      <w:r>
        <w:rPr>
          <w:rStyle w:val="FootnoteReference"/>
        </w:rPr>
        <w:footnoteRef/>
      </w:r>
      <w:r>
        <w:t xml:space="preserve"> </w:t>
      </w:r>
      <w:proofErr w:type="spellStart"/>
      <w:r w:rsidRPr="00C355AD">
        <w:rPr>
          <w:spacing w:val="-3"/>
          <w:sz w:val="20"/>
        </w:rPr>
        <w:t>SurveyGizmo</w:t>
      </w:r>
      <w:proofErr w:type="spellEnd"/>
      <w:r w:rsidRPr="00C355AD">
        <w:rPr>
          <w:spacing w:val="-3"/>
          <w:sz w:val="20"/>
        </w:rPr>
        <w:t> is an exceptionally powerful survey tool designed to make even the most advanced survey projects fun, easy &amp; affordable.</w:t>
      </w:r>
    </w:p>
  </w:footnote>
  <w:footnote w:id="34">
    <w:p w:rsidR="00715F6D" w:rsidRPr="00C355AD" w:rsidRDefault="00715F6D" w:rsidP="00C355AD">
      <w:pPr>
        <w:rPr>
          <w:spacing w:val="-3"/>
          <w:sz w:val="20"/>
        </w:rPr>
      </w:pPr>
      <w:r>
        <w:rPr>
          <w:rStyle w:val="FootnoteReference"/>
        </w:rPr>
        <w:footnoteRef/>
      </w:r>
      <w:r>
        <w:t xml:space="preserve"> </w:t>
      </w:r>
      <w:proofErr w:type="spellStart"/>
      <w:proofErr w:type="gramStart"/>
      <w:r w:rsidRPr="00C355AD">
        <w:rPr>
          <w:spacing w:val="-3"/>
          <w:sz w:val="20"/>
        </w:rPr>
        <w:t>iContact</w:t>
      </w:r>
      <w:proofErr w:type="spellEnd"/>
      <w:proofErr w:type="gramEnd"/>
      <w:r w:rsidRPr="00C355AD">
        <w:rPr>
          <w:spacing w:val="-3"/>
          <w:sz w:val="20"/>
        </w:rPr>
        <w:t xml:space="preserve"> for Salesforce is full</w:t>
      </w:r>
      <w:r>
        <w:rPr>
          <w:spacing w:val="-3"/>
          <w:sz w:val="20"/>
        </w:rPr>
        <w:t>y integrated into Salesforce and</w:t>
      </w:r>
      <w:r w:rsidRPr="00C355AD">
        <w:rPr>
          <w:spacing w:val="-3"/>
          <w:sz w:val="20"/>
        </w:rPr>
        <w:t xml:space="preserve"> provides detailed open, click, bounce, unsubscribe, and complaint tracking at the Lead level (and Contact level).</w:t>
      </w:r>
    </w:p>
    <w:p w:rsidR="00715F6D" w:rsidRDefault="00715F6D" w:rsidP="00C355AD">
      <w:pPr>
        <w:pStyle w:val="FootnoteText"/>
        <w:ind w:left="0" w:firstLine="0"/>
      </w:pPr>
    </w:p>
  </w:footnote>
  <w:footnote w:id="35">
    <w:p w:rsidR="00715F6D" w:rsidRDefault="00715F6D" w:rsidP="00A83AE9">
      <w:pPr>
        <w:pStyle w:val="FootnoteText"/>
        <w:ind w:left="0" w:firstLine="0"/>
      </w:pPr>
      <w:r>
        <w:rPr>
          <w:rStyle w:val="FootnoteReference"/>
        </w:rPr>
        <w:footnoteRef/>
      </w:r>
      <w:r>
        <w:t xml:space="preserve"> </w:t>
      </w:r>
      <w:hyperlink r:id="rId23" w:history="1">
        <w:r w:rsidRPr="00CB6256">
          <w:rPr>
            <w:rStyle w:val="Hyperlink"/>
          </w:rPr>
          <w:t>GOSPA</w:t>
        </w:r>
      </w:hyperlink>
      <w:r>
        <w:t xml:space="preserve"> is a corporate performance management process that produces measurable and tangible results. GOSPA represents Goals, Objectives, Strategies, Plans and Actions. Using the GOSPA process improves communication, control, morale, measurement and performance through a set of simple, easy to implement steps. GOSPA gives management a structure for business planning, change, restructuring, measurement and consistent communication. </w:t>
      </w:r>
      <w:hyperlink r:id="rId24" w:history="1">
        <w:proofErr w:type="gramStart"/>
        <w:r w:rsidRPr="00DE6A3C">
          <w:rPr>
            <w:rStyle w:val="Hyperlink"/>
          </w:rPr>
          <w:t>More Details</w:t>
        </w:r>
      </w:hyperlink>
      <w: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F6D" w:rsidRDefault="00715F6D">
    <w:pPr>
      <w:pStyle w:val="Header"/>
      <w:framePr w:wrap="around" w:vAnchor="text" w:hAnchor="page" w:x="5662" w:y="15"/>
      <w:jc w:val="center"/>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412F44">
      <w:rPr>
        <w:rStyle w:val="PageNumber"/>
        <w:noProof/>
      </w:rPr>
      <w:t>10</w:t>
    </w:r>
    <w:r>
      <w:rPr>
        <w:rStyle w:val="PageNumber"/>
      </w:rPr>
      <w:fldChar w:fldCharType="end"/>
    </w:r>
    <w:r>
      <w:rPr>
        <w:rStyle w:val="PageNumber"/>
      </w:rPr>
      <w:t xml:space="preserve"> -</w:t>
    </w:r>
  </w:p>
  <w:p w:rsidR="00715F6D" w:rsidRDefault="00715F6D">
    <w:pPr>
      <w:pStyle w:val="Header"/>
      <w:ind w:right="360"/>
      <w:jc w:val="center"/>
    </w:pPr>
  </w:p>
  <w:p w:rsidR="00715F6D" w:rsidRDefault="00715F6D">
    <w:pPr>
      <w:pStyle w:val="Header"/>
      <w:ind w:right="36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F6D" w:rsidRDefault="00715F6D">
    <w:pPr>
      <w:pStyle w:val="Header"/>
      <w:framePr w:wrap="around" w:vAnchor="text" w:hAnchor="margin" w:xAlign="center" w:y="1"/>
      <w:rPr>
        <w:rStyle w:val="PageNumber"/>
      </w:rPr>
    </w:pPr>
  </w:p>
  <w:p w:rsidR="00715F6D" w:rsidRDefault="00715F6D">
    <w:pPr>
      <w:pStyle w:val="Header"/>
      <w:ind w:right="360"/>
      <w:jc w:val="center"/>
    </w:pPr>
    <w:r>
      <w:t xml:space="preserve">- </w:t>
    </w:r>
    <w:r>
      <w:fldChar w:fldCharType="begin"/>
    </w:r>
    <w:r>
      <w:instrText xml:space="preserve"> PAGE </w:instrText>
    </w:r>
    <w:r>
      <w:fldChar w:fldCharType="separate"/>
    </w:r>
    <w:r w:rsidR="00412F44">
      <w:rPr>
        <w:noProof/>
      </w:rPr>
      <w:t>27</w:t>
    </w:r>
    <w:r>
      <w:rPr>
        <w:noProof/>
      </w:rPr>
      <w:fldChar w:fldCharType="end"/>
    </w:r>
    <w:r>
      <w:t xml:space="preserve"> - </w:t>
    </w:r>
  </w:p>
  <w:p w:rsidR="00715F6D" w:rsidRDefault="00715F6D">
    <w:pPr>
      <w:pStyle w:val="Header"/>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F6D" w:rsidRDefault="00715F6D" w:rsidP="00532E22">
    <w:pPr>
      <w:pStyle w:val="Header"/>
      <w:jc w:val="center"/>
      <w:rPr>
        <w:rStyle w:val="PageNumber"/>
      </w:rPr>
    </w:pPr>
  </w:p>
  <w:p w:rsidR="00715F6D" w:rsidRDefault="00715F6D" w:rsidP="00532E22">
    <w:pPr>
      <w:pStyle w:val="Header"/>
      <w:tabs>
        <w:tab w:val="clear" w:pos="4320"/>
        <w:tab w:val="clear" w:pos="8640"/>
        <w:tab w:val="center" w:pos="4770"/>
      </w:tabs>
    </w:pPr>
    <w:r>
      <w:rPr>
        <w:rStyle w:val="PageNumber"/>
      </w:rPr>
      <w:tab/>
    </w:r>
    <w:r>
      <w:t xml:space="preserve"> </w:t>
    </w:r>
  </w:p>
  <w:p w:rsidR="00715F6D" w:rsidRDefault="00715F6D">
    <w:pPr>
      <w:pStyle w:val="Header"/>
    </w:pPr>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A"/>
    <w:multiLevelType w:val="multilevel"/>
    <w:tmpl w:val="0000001A"/>
    <w:name w:val="WW8Num30"/>
    <w:lvl w:ilvl="0">
      <w:start w:val="1"/>
      <w:numFmt w:val="lowerRoman"/>
      <w:lvlText w:val="(%1)"/>
      <w:lvlJc w:val="left"/>
      <w:pPr>
        <w:tabs>
          <w:tab w:val="num" w:pos="2224"/>
        </w:tabs>
        <w:ind w:left="2224" w:hanging="720"/>
      </w:pPr>
      <w:rPr>
        <w:rFonts w:cs="Times New Roman"/>
      </w:rPr>
    </w:lvl>
    <w:lvl w:ilvl="1">
      <w:start w:val="1"/>
      <w:numFmt w:val="lowerRoman"/>
      <w:lvlText w:val="(%2)"/>
      <w:lvlJc w:val="left"/>
      <w:pPr>
        <w:tabs>
          <w:tab w:val="num" w:pos="1800"/>
        </w:tabs>
        <w:ind w:left="1800" w:hanging="72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0DD5823"/>
    <w:multiLevelType w:val="hybridMultilevel"/>
    <w:tmpl w:val="9F981E70"/>
    <w:lvl w:ilvl="0" w:tplc="121E86AC">
      <w:start w:val="1"/>
      <w:numFmt w:val="decimal"/>
      <w:lvlText w:val="%1.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00FC7C6D"/>
    <w:multiLevelType w:val="multilevel"/>
    <w:tmpl w:val="8358316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56636BF"/>
    <w:multiLevelType w:val="multilevel"/>
    <w:tmpl w:val="EC007CF4"/>
    <w:lvl w:ilvl="0">
      <w:start w:val="1"/>
      <w:numFmt w:val="bullet"/>
      <w:lvlText w:val="●"/>
      <w:lvlJc w:val="left"/>
      <w:pPr>
        <w:ind w:left="1079" w:firstLine="360"/>
      </w:pPr>
      <w:rPr>
        <w:u w:val="none"/>
      </w:rPr>
    </w:lvl>
    <w:lvl w:ilvl="1">
      <w:start w:val="1"/>
      <w:numFmt w:val="bullet"/>
      <w:lvlText w:val="○"/>
      <w:lvlJc w:val="left"/>
      <w:pPr>
        <w:ind w:left="1799" w:firstLine="1080"/>
      </w:pPr>
      <w:rPr>
        <w:u w:val="none"/>
      </w:rPr>
    </w:lvl>
    <w:lvl w:ilvl="2">
      <w:start w:val="1"/>
      <w:numFmt w:val="bullet"/>
      <w:lvlText w:val="■"/>
      <w:lvlJc w:val="left"/>
      <w:pPr>
        <w:ind w:left="2519" w:firstLine="1800"/>
      </w:pPr>
      <w:rPr>
        <w:u w:val="none"/>
      </w:rPr>
    </w:lvl>
    <w:lvl w:ilvl="3">
      <w:start w:val="1"/>
      <w:numFmt w:val="bullet"/>
      <w:lvlText w:val="●"/>
      <w:lvlJc w:val="left"/>
      <w:pPr>
        <w:ind w:left="3239" w:firstLine="2520"/>
      </w:pPr>
      <w:rPr>
        <w:u w:val="none"/>
      </w:rPr>
    </w:lvl>
    <w:lvl w:ilvl="4">
      <w:start w:val="1"/>
      <w:numFmt w:val="bullet"/>
      <w:lvlText w:val="○"/>
      <w:lvlJc w:val="left"/>
      <w:pPr>
        <w:ind w:left="3959" w:firstLine="3240"/>
      </w:pPr>
      <w:rPr>
        <w:u w:val="none"/>
      </w:rPr>
    </w:lvl>
    <w:lvl w:ilvl="5">
      <w:start w:val="1"/>
      <w:numFmt w:val="bullet"/>
      <w:lvlText w:val="■"/>
      <w:lvlJc w:val="left"/>
      <w:pPr>
        <w:ind w:left="4679" w:firstLine="3960"/>
      </w:pPr>
      <w:rPr>
        <w:u w:val="none"/>
      </w:rPr>
    </w:lvl>
    <w:lvl w:ilvl="6">
      <w:start w:val="1"/>
      <w:numFmt w:val="bullet"/>
      <w:lvlText w:val="●"/>
      <w:lvlJc w:val="left"/>
      <w:pPr>
        <w:ind w:left="5399" w:firstLine="4680"/>
      </w:pPr>
      <w:rPr>
        <w:u w:val="none"/>
      </w:rPr>
    </w:lvl>
    <w:lvl w:ilvl="7">
      <w:start w:val="1"/>
      <w:numFmt w:val="bullet"/>
      <w:lvlText w:val="○"/>
      <w:lvlJc w:val="left"/>
      <w:pPr>
        <w:ind w:left="6119" w:firstLine="5400"/>
      </w:pPr>
      <w:rPr>
        <w:u w:val="none"/>
      </w:rPr>
    </w:lvl>
    <w:lvl w:ilvl="8">
      <w:start w:val="1"/>
      <w:numFmt w:val="bullet"/>
      <w:lvlText w:val="■"/>
      <w:lvlJc w:val="left"/>
      <w:pPr>
        <w:ind w:left="6839" w:firstLine="6120"/>
      </w:pPr>
      <w:rPr>
        <w:u w:val="none"/>
      </w:rPr>
    </w:lvl>
  </w:abstractNum>
  <w:abstractNum w:abstractNumId="4">
    <w:nsid w:val="070151DE"/>
    <w:multiLevelType w:val="hybridMultilevel"/>
    <w:tmpl w:val="D5269012"/>
    <w:lvl w:ilvl="0" w:tplc="121E86AC">
      <w:start w:val="1"/>
      <w:numFmt w:val="decimal"/>
      <w:lvlText w:val="%1.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0DAB7FC9"/>
    <w:multiLevelType w:val="multilevel"/>
    <w:tmpl w:val="4D309148"/>
    <w:lvl w:ilvl="0">
      <w:start w:val="1"/>
      <w:numFmt w:val="decimal"/>
      <w:lvlText w:val="%1."/>
      <w:lvlJc w:val="left"/>
      <w:pPr>
        <w:ind w:left="360" w:hanging="360"/>
      </w:pPr>
      <w:rPr>
        <w:b/>
        <w:i w:val="0"/>
      </w:rPr>
    </w:lvl>
    <w:lvl w:ilvl="1">
      <w:start w:val="1"/>
      <w:numFmt w:val="decimal"/>
      <w:lvlText w:val="%1.%2."/>
      <w:lvlJc w:val="left"/>
      <w:pPr>
        <w:ind w:left="702" w:hanging="432"/>
      </w:pPr>
      <w:rPr>
        <w:rFonts w:asciiTheme="minorHAnsi" w:hAnsiTheme="minorHAnsi" w:hint="default"/>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FA97CB8"/>
    <w:multiLevelType w:val="multilevel"/>
    <w:tmpl w:val="AA1CA810"/>
    <w:lvl w:ilvl="0">
      <w:start w:val="9"/>
      <w:numFmt w:val="decimal"/>
      <w:lvlText w:val="%1."/>
      <w:lvlJc w:val="left"/>
      <w:pPr>
        <w:ind w:left="360" w:hanging="360"/>
      </w:pPr>
      <w:rPr>
        <w:rFonts w:hint="default"/>
        <w:b/>
        <w:i w:val="0"/>
      </w:rPr>
    </w:lvl>
    <w:lvl w:ilvl="1">
      <w:start w:val="10"/>
      <w:numFmt w:val="decimal"/>
      <w:lvlText w:val="%1.%2."/>
      <w:lvlJc w:val="left"/>
      <w:pPr>
        <w:ind w:left="702" w:hanging="432"/>
      </w:pPr>
      <w:rPr>
        <w:rFonts w:asciiTheme="minorHAnsi" w:hAnsiTheme="minorHAnsi"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5504E84"/>
    <w:multiLevelType w:val="hybridMultilevel"/>
    <w:tmpl w:val="D5269012"/>
    <w:lvl w:ilvl="0" w:tplc="121E86AC">
      <w:start w:val="1"/>
      <w:numFmt w:val="decimal"/>
      <w:lvlText w:val="%1.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1D40532E"/>
    <w:multiLevelType w:val="hybridMultilevel"/>
    <w:tmpl w:val="5956C21C"/>
    <w:lvl w:ilvl="0" w:tplc="A336D6B4">
      <w:start w:val="1"/>
      <w:numFmt w:val="upperLetter"/>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256A1E73"/>
    <w:multiLevelType w:val="hybridMultilevel"/>
    <w:tmpl w:val="D4B82582"/>
    <w:lvl w:ilvl="0" w:tplc="121E86AC">
      <w:start w:val="1"/>
      <w:numFmt w:val="decimal"/>
      <w:lvlText w:val="%1.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1A1C5C"/>
    <w:multiLevelType w:val="singleLevel"/>
    <w:tmpl w:val="0C5ED7B2"/>
    <w:lvl w:ilvl="0">
      <w:start w:val="1"/>
      <w:numFmt w:val="lowerLetter"/>
      <w:pStyle w:val="Paragrapha"/>
      <w:lvlText w:val="%1."/>
      <w:lvlJc w:val="left"/>
      <w:pPr>
        <w:tabs>
          <w:tab w:val="num" w:pos="1080"/>
        </w:tabs>
        <w:ind w:left="1080" w:hanging="360"/>
      </w:pPr>
      <w:rPr>
        <w:rFonts w:ascii="Times New Roman" w:hAnsi="Times New Roman" w:cs="Times New Roman" w:hint="default"/>
        <w:b w:val="0"/>
        <w:i w:val="0"/>
        <w:sz w:val="24"/>
      </w:rPr>
    </w:lvl>
  </w:abstractNum>
  <w:abstractNum w:abstractNumId="11">
    <w:nsid w:val="3B282AD9"/>
    <w:multiLevelType w:val="multilevel"/>
    <w:tmpl w:val="1B085FB4"/>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Theme="minorHAnsi" w:hAnsiTheme="minorHAnsi"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47AB302B"/>
    <w:multiLevelType w:val="hybridMultilevel"/>
    <w:tmpl w:val="5BD2EB2C"/>
    <w:lvl w:ilvl="0" w:tplc="9F366ACE">
      <w:start w:val="1"/>
      <w:numFmt w:val="bullet"/>
      <w:lvlText w:val=""/>
      <w:lvlJc w:val="left"/>
      <w:pPr>
        <w:ind w:left="4320" w:hanging="360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F5835FE"/>
    <w:multiLevelType w:val="hybridMultilevel"/>
    <w:tmpl w:val="919A41D6"/>
    <w:lvl w:ilvl="0" w:tplc="B4AA6C44">
      <w:start w:val="2"/>
      <w:numFmt w:val="bullet"/>
      <w:lvlText w:val="-"/>
      <w:lvlJc w:val="left"/>
      <w:pPr>
        <w:ind w:left="2160" w:hanging="360"/>
      </w:pPr>
      <w:rPr>
        <w:rFonts w:ascii="Calibri" w:eastAsia="Times New Roman" w:hAnsi="Calibri" w:cs="Times New Roman" w:hint="default"/>
      </w:rPr>
    </w:lvl>
    <w:lvl w:ilvl="1" w:tplc="040A0003" w:tentative="1">
      <w:start w:val="1"/>
      <w:numFmt w:val="bullet"/>
      <w:lvlText w:val="o"/>
      <w:lvlJc w:val="left"/>
      <w:pPr>
        <w:ind w:left="2880" w:hanging="360"/>
      </w:pPr>
      <w:rPr>
        <w:rFonts w:ascii="Courier New" w:hAnsi="Courier New" w:cs="Symbol" w:hint="default"/>
      </w:rPr>
    </w:lvl>
    <w:lvl w:ilvl="2" w:tplc="040A0005" w:tentative="1">
      <w:start w:val="1"/>
      <w:numFmt w:val="bullet"/>
      <w:lvlText w:val=""/>
      <w:lvlJc w:val="left"/>
      <w:pPr>
        <w:ind w:left="3600" w:hanging="360"/>
      </w:pPr>
      <w:rPr>
        <w:rFonts w:ascii="Wingdings" w:hAnsi="Wingdings" w:hint="default"/>
      </w:rPr>
    </w:lvl>
    <w:lvl w:ilvl="3" w:tplc="040A0001" w:tentative="1">
      <w:start w:val="1"/>
      <w:numFmt w:val="bullet"/>
      <w:lvlText w:val=""/>
      <w:lvlJc w:val="left"/>
      <w:pPr>
        <w:ind w:left="4320" w:hanging="360"/>
      </w:pPr>
      <w:rPr>
        <w:rFonts w:ascii="Symbol" w:hAnsi="Symbol" w:hint="default"/>
      </w:rPr>
    </w:lvl>
    <w:lvl w:ilvl="4" w:tplc="040A0003" w:tentative="1">
      <w:start w:val="1"/>
      <w:numFmt w:val="bullet"/>
      <w:lvlText w:val="o"/>
      <w:lvlJc w:val="left"/>
      <w:pPr>
        <w:ind w:left="5040" w:hanging="360"/>
      </w:pPr>
      <w:rPr>
        <w:rFonts w:ascii="Courier New" w:hAnsi="Courier New" w:cs="Symbol" w:hint="default"/>
      </w:rPr>
    </w:lvl>
    <w:lvl w:ilvl="5" w:tplc="040A0005" w:tentative="1">
      <w:start w:val="1"/>
      <w:numFmt w:val="bullet"/>
      <w:lvlText w:val=""/>
      <w:lvlJc w:val="left"/>
      <w:pPr>
        <w:ind w:left="5760" w:hanging="360"/>
      </w:pPr>
      <w:rPr>
        <w:rFonts w:ascii="Wingdings" w:hAnsi="Wingdings" w:hint="default"/>
      </w:rPr>
    </w:lvl>
    <w:lvl w:ilvl="6" w:tplc="040A0001" w:tentative="1">
      <w:start w:val="1"/>
      <w:numFmt w:val="bullet"/>
      <w:lvlText w:val=""/>
      <w:lvlJc w:val="left"/>
      <w:pPr>
        <w:ind w:left="6480" w:hanging="360"/>
      </w:pPr>
      <w:rPr>
        <w:rFonts w:ascii="Symbol" w:hAnsi="Symbol" w:hint="default"/>
      </w:rPr>
    </w:lvl>
    <w:lvl w:ilvl="7" w:tplc="040A0003" w:tentative="1">
      <w:start w:val="1"/>
      <w:numFmt w:val="bullet"/>
      <w:lvlText w:val="o"/>
      <w:lvlJc w:val="left"/>
      <w:pPr>
        <w:ind w:left="7200" w:hanging="360"/>
      </w:pPr>
      <w:rPr>
        <w:rFonts w:ascii="Courier New" w:hAnsi="Courier New" w:cs="Symbol" w:hint="default"/>
      </w:rPr>
    </w:lvl>
    <w:lvl w:ilvl="8" w:tplc="040A0005" w:tentative="1">
      <w:start w:val="1"/>
      <w:numFmt w:val="bullet"/>
      <w:lvlText w:val=""/>
      <w:lvlJc w:val="left"/>
      <w:pPr>
        <w:ind w:left="7920" w:hanging="360"/>
      </w:pPr>
      <w:rPr>
        <w:rFonts w:ascii="Wingdings" w:hAnsi="Wingdings" w:hint="default"/>
      </w:rPr>
    </w:lvl>
  </w:abstractNum>
  <w:abstractNum w:abstractNumId="14">
    <w:nsid w:val="4FDB512D"/>
    <w:multiLevelType w:val="multilevel"/>
    <w:tmpl w:val="048E05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5C0A3FCC"/>
    <w:multiLevelType w:val="hybridMultilevel"/>
    <w:tmpl w:val="19A2C6E8"/>
    <w:lvl w:ilvl="0" w:tplc="9328C932">
      <w:start w:val="8"/>
      <w:numFmt w:val="bullet"/>
      <w:lvlText w:val="-"/>
      <w:lvlJc w:val="left"/>
      <w:pPr>
        <w:ind w:left="1062" w:hanging="360"/>
      </w:pPr>
      <w:rPr>
        <w:rFonts w:ascii="Calibri" w:eastAsia="Times New Roman" w:hAnsi="Calibri" w:cs="Times New Roman" w:hint="default"/>
        <w:b/>
      </w:rPr>
    </w:lvl>
    <w:lvl w:ilvl="1" w:tplc="04090003" w:tentative="1">
      <w:start w:val="1"/>
      <w:numFmt w:val="bullet"/>
      <w:lvlText w:val="o"/>
      <w:lvlJc w:val="left"/>
      <w:pPr>
        <w:ind w:left="1782" w:hanging="360"/>
      </w:pPr>
      <w:rPr>
        <w:rFonts w:ascii="Courier New" w:hAnsi="Courier New" w:cs="Symbol"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Symbol"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Symbol" w:hint="default"/>
      </w:rPr>
    </w:lvl>
    <w:lvl w:ilvl="8" w:tplc="04090005" w:tentative="1">
      <w:start w:val="1"/>
      <w:numFmt w:val="bullet"/>
      <w:lvlText w:val=""/>
      <w:lvlJc w:val="left"/>
      <w:pPr>
        <w:ind w:left="6822" w:hanging="360"/>
      </w:pPr>
      <w:rPr>
        <w:rFonts w:ascii="Wingdings" w:hAnsi="Wingdings" w:hint="default"/>
      </w:rPr>
    </w:lvl>
  </w:abstractNum>
  <w:abstractNum w:abstractNumId="16">
    <w:nsid w:val="5DAE323B"/>
    <w:multiLevelType w:val="multilevel"/>
    <w:tmpl w:val="8F48437E"/>
    <w:lvl w:ilvl="0">
      <w:start w:val="1"/>
      <w:numFmt w:val="bullet"/>
      <w:lvlText w:val="●"/>
      <w:lvlJc w:val="left"/>
      <w:pPr>
        <w:ind w:left="2160" w:firstLine="360"/>
      </w:pPr>
      <w:rPr>
        <w:u w:val="none"/>
      </w:rPr>
    </w:lvl>
    <w:lvl w:ilvl="1">
      <w:start w:val="1"/>
      <w:numFmt w:val="bullet"/>
      <w:lvlText w:val="○"/>
      <w:lvlJc w:val="left"/>
      <w:pPr>
        <w:ind w:left="2880" w:firstLine="1080"/>
      </w:pPr>
      <w:rPr>
        <w:u w:val="none"/>
      </w:rPr>
    </w:lvl>
    <w:lvl w:ilvl="2">
      <w:start w:val="1"/>
      <w:numFmt w:val="bullet"/>
      <w:lvlText w:val="■"/>
      <w:lvlJc w:val="left"/>
      <w:pPr>
        <w:ind w:left="3600" w:firstLine="1800"/>
      </w:pPr>
      <w:rPr>
        <w:u w:val="none"/>
      </w:rPr>
    </w:lvl>
    <w:lvl w:ilvl="3">
      <w:start w:val="1"/>
      <w:numFmt w:val="bullet"/>
      <w:lvlText w:val="●"/>
      <w:lvlJc w:val="left"/>
      <w:pPr>
        <w:ind w:left="4320" w:firstLine="2520"/>
      </w:pPr>
      <w:rPr>
        <w:u w:val="none"/>
      </w:rPr>
    </w:lvl>
    <w:lvl w:ilvl="4">
      <w:start w:val="1"/>
      <w:numFmt w:val="bullet"/>
      <w:lvlText w:val="○"/>
      <w:lvlJc w:val="left"/>
      <w:pPr>
        <w:ind w:left="5040" w:firstLine="3240"/>
      </w:pPr>
      <w:rPr>
        <w:u w:val="none"/>
      </w:rPr>
    </w:lvl>
    <w:lvl w:ilvl="5">
      <w:start w:val="1"/>
      <w:numFmt w:val="bullet"/>
      <w:lvlText w:val="■"/>
      <w:lvlJc w:val="left"/>
      <w:pPr>
        <w:ind w:left="5760" w:firstLine="3960"/>
      </w:pPr>
      <w:rPr>
        <w:u w:val="none"/>
      </w:rPr>
    </w:lvl>
    <w:lvl w:ilvl="6">
      <w:start w:val="1"/>
      <w:numFmt w:val="bullet"/>
      <w:lvlText w:val="●"/>
      <w:lvlJc w:val="left"/>
      <w:pPr>
        <w:ind w:left="6480" w:firstLine="4680"/>
      </w:pPr>
      <w:rPr>
        <w:u w:val="none"/>
      </w:rPr>
    </w:lvl>
    <w:lvl w:ilvl="7">
      <w:start w:val="1"/>
      <w:numFmt w:val="bullet"/>
      <w:lvlText w:val="○"/>
      <w:lvlJc w:val="left"/>
      <w:pPr>
        <w:ind w:left="7200" w:firstLine="5400"/>
      </w:pPr>
      <w:rPr>
        <w:u w:val="none"/>
      </w:rPr>
    </w:lvl>
    <w:lvl w:ilvl="8">
      <w:start w:val="1"/>
      <w:numFmt w:val="bullet"/>
      <w:lvlText w:val="■"/>
      <w:lvlJc w:val="left"/>
      <w:pPr>
        <w:ind w:left="7920" w:firstLine="6120"/>
      </w:pPr>
      <w:rPr>
        <w:u w:val="none"/>
      </w:rPr>
    </w:lvl>
  </w:abstractNum>
  <w:abstractNum w:abstractNumId="17">
    <w:nsid w:val="7104704B"/>
    <w:multiLevelType w:val="hybridMultilevel"/>
    <w:tmpl w:val="54C22620"/>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4C74592"/>
    <w:multiLevelType w:val="multilevel"/>
    <w:tmpl w:val="151E851A"/>
    <w:lvl w:ilvl="0">
      <w:start w:val="1"/>
      <w:numFmt w:val="upperRoman"/>
      <w:pStyle w:val="Heading1"/>
      <w:lvlText w:val="%1."/>
      <w:lvlJc w:val="left"/>
      <w:pPr>
        <w:tabs>
          <w:tab w:val="num" w:pos="360"/>
        </w:tabs>
      </w:pPr>
      <w:rPr>
        <w:rFonts w:cs="Times New Roman"/>
      </w:rPr>
    </w:lvl>
    <w:lvl w:ilvl="1">
      <w:start w:val="1"/>
      <w:numFmt w:val="upperLetter"/>
      <w:pStyle w:val="Heading2"/>
      <w:lvlText w:val="%2."/>
      <w:lvlJc w:val="left"/>
      <w:pPr>
        <w:tabs>
          <w:tab w:val="num" w:pos="1080"/>
        </w:tabs>
        <w:ind w:left="720"/>
      </w:pPr>
      <w:rPr>
        <w:rFonts w:cs="Times New Roman"/>
      </w:rPr>
    </w:lvl>
    <w:lvl w:ilvl="2">
      <w:start w:val="1"/>
      <w:numFmt w:val="decimal"/>
      <w:pStyle w:val="Heading3"/>
      <w:lvlText w:val="%3."/>
      <w:lvlJc w:val="left"/>
      <w:pPr>
        <w:tabs>
          <w:tab w:val="num" w:pos="1800"/>
        </w:tabs>
        <w:ind w:left="1440"/>
      </w:pPr>
      <w:rPr>
        <w:rFonts w:cs="Times New Roman"/>
      </w:rPr>
    </w:lvl>
    <w:lvl w:ilvl="3">
      <w:start w:val="1"/>
      <w:numFmt w:val="lowerLetter"/>
      <w:pStyle w:val="Heading4"/>
      <w:lvlText w:val="%4)"/>
      <w:lvlJc w:val="left"/>
      <w:pPr>
        <w:tabs>
          <w:tab w:val="num" w:pos="2520"/>
        </w:tabs>
        <w:ind w:left="2160"/>
      </w:pPr>
      <w:rPr>
        <w:rFonts w:cs="Times New Roman"/>
      </w:rPr>
    </w:lvl>
    <w:lvl w:ilvl="4">
      <w:start w:val="1"/>
      <w:numFmt w:val="decimal"/>
      <w:pStyle w:val="Heading5"/>
      <w:lvlText w:val="(%5)"/>
      <w:lvlJc w:val="left"/>
      <w:pPr>
        <w:tabs>
          <w:tab w:val="num" w:pos="3240"/>
        </w:tabs>
        <w:ind w:left="2880"/>
      </w:pPr>
      <w:rPr>
        <w:rFonts w:cs="Times New Roman"/>
      </w:rPr>
    </w:lvl>
    <w:lvl w:ilvl="5">
      <w:start w:val="1"/>
      <w:numFmt w:val="lowerLetter"/>
      <w:pStyle w:val="Heading6"/>
      <w:lvlText w:val="(%6)"/>
      <w:lvlJc w:val="left"/>
      <w:pPr>
        <w:tabs>
          <w:tab w:val="num" w:pos="3960"/>
        </w:tabs>
        <w:ind w:left="3600"/>
      </w:pPr>
      <w:rPr>
        <w:rFonts w:cs="Times New Roman"/>
      </w:rPr>
    </w:lvl>
    <w:lvl w:ilvl="6">
      <w:start w:val="1"/>
      <w:numFmt w:val="lowerRoman"/>
      <w:pStyle w:val="Heading7"/>
      <w:lvlText w:val="(%7)"/>
      <w:lvlJc w:val="left"/>
      <w:pPr>
        <w:tabs>
          <w:tab w:val="num" w:pos="468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num w:numId="1">
    <w:abstractNumId w:val="5"/>
  </w:num>
  <w:num w:numId="2">
    <w:abstractNumId w:val="18"/>
  </w:num>
  <w:num w:numId="3">
    <w:abstractNumId w:val="18"/>
  </w:num>
  <w:num w:numId="4">
    <w:abstractNumId w:val="18"/>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0"/>
  </w:num>
  <w:num w:numId="12">
    <w:abstractNumId w:val="17"/>
  </w:num>
  <w:num w:numId="13">
    <w:abstractNumId w:val="15"/>
  </w:num>
  <w:num w:numId="14">
    <w:abstractNumId w:val="11"/>
  </w:num>
  <w:num w:numId="15">
    <w:abstractNumId w:val="16"/>
  </w:num>
  <w:num w:numId="16">
    <w:abstractNumId w:val="14"/>
  </w:num>
  <w:num w:numId="17">
    <w:abstractNumId w:val="3"/>
  </w:num>
  <w:num w:numId="18">
    <w:abstractNumId w:val="13"/>
  </w:num>
  <w:num w:numId="19">
    <w:abstractNumId w:val="12"/>
  </w:num>
  <w:num w:numId="20">
    <w:abstractNumId w:val="2"/>
  </w:num>
  <w:num w:numId="21">
    <w:abstractNumId w:val="7"/>
  </w:num>
  <w:num w:numId="22">
    <w:abstractNumId w:val="1"/>
  </w:num>
  <w:num w:numId="23">
    <w:abstractNumId w:val="9"/>
  </w:num>
  <w:num w:numId="24">
    <w:abstractNumId w:val="4"/>
  </w:num>
  <w:num w:numId="25">
    <w:abstractNumId w:val="8"/>
  </w:num>
  <w:num w:numId="26">
    <w:abstractNumId w:val="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YPE" w:val="PR"/>
    <w:docVar w:name="LANG" w:val="SP"/>
  </w:docVars>
  <w:rsids>
    <w:rsidRoot w:val="00041F65"/>
    <w:rsid w:val="00000DEC"/>
    <w:rsid w:val="000011B2"/>
    <w:rsid w:val="0000237B"/>
    <w:rsid w:val="00002EC8"/>
    <w:rsid w:val="00004581"/>
    <w:rsid w:val="00004D47"/>
    <w:rsid w:val="00005215"/>
    <w:rsid w:val="0000534C"/>
    <w:rsid w:val="00006D89"/>
    <w:rsid w:val="00006FC3"/>
    <w:rsid w:val="0000799B"/>
    <w:rsid w:val="00007E22"/>
    <w:rsid w:val="00010AF3"/>
    <w:rsid w:val="00012177"/>
    <w:rsid w:val="00012D96"/>
    <w:rsid w:val="00014065"/>
    <w:rsid w:val="0001523A"/>
    <w:rsid w:val="00016070"/>
    <w:rsid w:val="00016134"/>
    <w:rsid w:val="00021F8B"/>
    <w:rsid w:val="00022272"/>
    <w:rsid w:val="000222C3"/>
    <w:rsid w:val="00022BD7"/>
    <w:rsid w:val="00026035"/>
    <w:rsid w:val="00026124"/>
    <w:rsid w:val="000266AD"/>
    <w:rsid w:val="0002691A"/>
    <w:rsid w:val="00027BC1"/>
    <w:rsid w:val="00027DEE"/>
    <w:rsid w:val="000320BD"/>
    <w:rsid w:val="00032906"/>
    <w:rsid w:val="000329AA"/>
    <w:rsid w:val="00032D5A"/>
    <w:rsid w:val="0003635F"/>
    <w:rsid w:val="00036CC3"/>
    <w:rsid w:val="00040B44"/>
    <w:rsid w:val="00040C88"/>
    <w:rsid w:val="00041C4E"/>
    <w:rsid w:val="00041F65"/>
    <w:rsid w:val="00043062"/>
    <w:rsid w:val="000443C9"/>
    <w:rsid w:val="00045248"/>
    <w:rsid w:val="00045A40"/>
    <w:rsid w:val="00046022"/>
    <w:rsid w:val="000470FB"/>
    <w:rsid w:val="0004725D"/>
    <w:rsid w:val="00050708"/>
    <w:rsid w:val="00051BF4"/>
    <w:rsid w:val="00052A0A"/>
    <w:rsid w:val="00054220"/>
    <w:rsid w:val="0005445D"/>
    <w:rsid w:val="00054917"/>
    <w:rsid w:val="00055723"/>
    <w:rsid w:val="00056267"/>
    <w:rsid w:val="00056939"/>
    <w:rsid w:val="00057970"/>
    <w:rsid w:val="00057CA7"/>
    <w:rsid w:val="00057D3E"/>
    <w:rsid w:val="00057EA0"/>
    <w:rsid w:val="000601CC"/>
    <w:rsid w:val="00062B83"/>
    <w:rsid w:val="00062F00"/>
    <w:rsid w:val="00063AD8"/>
    <w:rsid w:val="00064FA6"/>
    <w:rsid w:val="0006541C"/>
    <w:rsid w:val="000661CA"/>
    <w:rsid w:val="00066ECE"/>
    <w:rsid w:val="000704D4"/>
    <w:rsid w:val="00070E04"/>
    <w:rsid w:val="00072538"/>
    <w:rsid w:val="00073FCF"/>
    <w:rsid w:val="000748A4"/>
    <w:rsid w:val="0007490E"/>
    <w:rsid w:val="00075BC0"/>
    <w:rsid w:val="00076AD3"/>
    <w:rsid w:val="0008028C"/>
    <w:rsid w:val="000806E3"/>
    <w:rsid w:val="0008129A"/>
    <w:rsid w:val="00081AC8"/>
    <w:rsid w:val="000831EB"/>
    <w:rsid w:val="0008324A"/>
    <w:rsid w:val="000852AF"/>
    <w:rsid w:val="0008543D"/>
    <w:rsid w:val="000858D6"/>
    <w:rsid w:val="00085EB1"/>
    <w:rsid w:val="00085FF0"/>
    <w:rsid w:val="000870AF"/>
    <w:rsid w:val="00090987"/>
    <w:rsid w:val="00090F80"/>
    <w:rsid w:val="000919E7"/>
    <w:rsid w:val="00092C3A"/>
    <w:rsid w:val="0009395D"/>
    <w:rsid w:val="00094B8F"/>
    <w:rsid w:val="00095568"/>
    <w:rsid w:val="000971B4"/>
    <w:rsid w:val="000973C6"/>
    <w:rsid w:val="0009756D"/>
    <w:rsid w:val="00097669"/>
    <w:rsid w:val="000A04D1"/>
    <w:rsid w:val="000A0BCC"/>
    <w:rsid w:val="000A13A3"/>
    <w:rsid w:val="000A4011"/>
    <w:rsid w:val="000A5808"/>
    <w:rsid w:val="000A74DB"/>
    <w:rsid w:val="000A786A"/>
    <w:rsid w:val="000B0FF3"/>
    <w:rsid w:val="000B1111"/>
    <w:rsid w:val="000B162A"/>
    <w:rsid w:val="000B1C88"/>
    <w:rsid w:val="000B37D4"/>
    <w:rsid w:val="000B4DF0"/>
    <w:rsid w:val="000B5016"/>
    <w:rsid w:val="000B515F"/>
    <w:rsid w:val="000B6E80"/>
    <w:rsid w:val="000B7981"/>
    <w:rsid w:val="000B7FDA"/>
    <w:rsid w:val="000C003E"/>
    <w:rsid w:val="000C04C0"/>
    <w:rsid w:val="000C0530"/>
    <w:rsid w:val="000C08F1"/>
    <w:rsid w:val="000C1663"/>
    <w:rsid w:val="000C35C5"/>
    <w:rsid w:val="000C4FCF"/>
    <w:rsid w:val="000C54B5"/>
    <w:rsid w:val="000C6E3F"/>
    <w:rsid w:val="000C7936"/>
    <w:rsid w:val="000D0E6B"/>
    <w:rsid w:val="000D3BB9"/>
    <w:rsid w:val="000D463D"/>
    <w:rsid w:val="000D5AE2"/>
    <w:rsid w:val="000D6653"/>
    <w:rsid w:val="000D6C49"/>
    <w:rsid w:val="000D751F"/>
    <w:rsid w:val="000E139A"/>
    <w:rsid w:val="000E333C"/>
    <w:rsid w:val="000E5945"/>
    <w:rsid w:val="000E5B79"/>
    <w:rsid w:val="000E5EB3"/>
    <w:rsid w:val="000E7C67"/>
    <w:rsid w:val="000E7DE7"/>
    <w:rsid w:val="000E7FE6"/>
    <w:rsid w:val="000F16F7"/>
    <w:rsid w:val="000F2666"/>
    <w:rsid w:val="000F560F"/>
    <w:rsid w:val="000F62BA"/>
    <w:rsid w:val="000F6939"/>
    <w:rsid w:val="000F7FA3"/>
    <w:rsid w:val="001010A0"/>
    <w:rsid w:val="001030CB"/>
    <w:rsid w:val="001030EB"/>
    <w:rsid w:val="00104E2A"/>
    <w:rsid w:val="00105030"/>
    <w:rsid w:val="00105FE1"/>
    <w:rsid w:val="00106DC3"/>
    <w:rsid w:val="00110073"/>
    <w:rsid w:val="001109FB"/>
    <w:rsid w:val="00110F2A"/>
    <w:rsid w:val="00111322"/>
    <w:rsid w:val="00111692"/>
    <w:rsid w:val="00111C90"/>
    <w:rsid w:val="00112895"/>
    <w:rsid w:val="001130D9"/>
    <w:rsid w:val="001136E7"/>
    <w:rsid w:val="00113CEE"/>
    <w:rsid w:val="001150CD"/>
    <w:rsid w:val="00115412"/>
    <w:rsid w:val="00116245"/>
    <w:rsid w:val="00117C2E"/>
    <w:rsid w:val="00117FF0"/>
    <w:rsid w:val="0012427B"/>
    <w:rsid w:val="00125051"/>
    <w:rsid w:val="0012601A"/>
    <w:rsid w:val="00126132"/>
    <w:rsid w:val="00126C5F"/>
    <w:rsid w:val="00126DC1"/>
    <w:rsid w:val="00127983"/>
    <w:rsid w:val="00127A33"/>
    <w:rsid w:val="00127AB1"/>
    <w:rsid w:val="00127BAF"/>
    <w:rsid w:val="001314AD"/>
    <w:rsid w:val="001323A3"/>
    <w:rsid w:val="00133005"/>
    <w:rsid w:val="001334DC"/>
    <w:rsid w:val="00137059"/>
    <w:rsid w:val="0013705E"/>
    <w:rsid w:val="0013725A"/>
    <w:rsid w:val="00137400"/>
    <w:rsid w:val="00137D66"/>
    <w:rsid w:val="00140998"/>
    <w:rsid w:val="001423FE"/>
    <w:rsid w:val="00142967"/>
    <w:rsid w:val="0014454B"/>
    <w:rsid w:val="00145C14"/>
    <w:rsid w:val="0015076D"/>
    <w:rsid w:val="00150FB4"/>
    <w:rsid w:val="001514F9"/>
    <w:rsid w:val="00152ED8"/>
    <w:rsid w:val="00153113"/>
    <w:rsid w:val="00153FC0"/>
    <w:rsid w:val="00156727"/>
    <w:rsid w:val="00156D95"/>
    <w:rsid w:val="00157599"/>
    <w:rsid w:val="001614ED"/>
    <w:rsid w:val="00161731"/>
    <w:rsid w:val="00164533"/>
    <w:rsid w:val="00164C3F"/>
    <w:rsid w:val="001650BC"/>
    <w:rsid w:val="00165819"/>
    <w:rsid w:val="00165DBF"/>
    <w:rsid w:val="001660FB"/>
    <w:rsid w:val="00166C8C"/>
    <w:rsid w:val="00172F69"/>
    <w:rsid w:val="0017459C"/>
    <w:rsid w:val="00174930"/>
    <w:rsid w:val="00175E64"/>
    <w:rsid w:val="00176286"/>
    <w:rsid w:val="001767F3"/>
    <w:rsid w:val="00176FD3"/>
    <w:rsid w:val="00177B6B"/>
    <w:rsid w:val="00180049"/>
    <w:rsid w:val="001808CD"/>
    <w:rsid w:val="00182990"/>
    <w:rsid w:val="00183037"/>
    <w:rsid w:val="00183058"/>
    <w:rsid w:val="00183172"/>
    <w:rsid w:val="00184436"/>
    <w:rsid w:val="001857CC"/>
    <w:rsid w:val="00185E83"/>
    <w:rsid w:val="00185FC6"/>
    <w:rsid w:val="00186074"/>
    <w:rsid w:val="00191FE1"/>
    <w:rsid w:val="00192308"/>
    <w:rsid w:val="0019320E"/>
    <w:rsid w:val="00193731"/>
    <w:rsid w:val="001955FD"/>
    <w:rsid w:val="00196A13"/>
    <w:rsid w:val="001A0067"/>
    <w:rsid w:val="001A1A56"/>
    <w:rsid w:val="001A2275"/>
    <w:rsid w:val="001A3308"/>
    <w:rsid w:val="001A3860"/>
    <w:rsid w:val="001A392A"/>
    <w:rsid w:val="001A3E3C"/>
    <w:rsid w:val="001A40BE"/>
    <w:rsid w:val="001A4F32"/>
    <w:rsid w:val="001A4FF3"/>
    <w:rsid w:val="001A59C3"/>
    <w:rsid w:val="001A6258"/>
    <w:rsid w:val="001A6EE6"/>
    <w:rsid w:val="001B13F0"/>
    <w:rsid w:val="001B1448"/>
    <w:rsid w:val="001B2355"/>
    <w:rsid w:val="001B2F76"/>
    <w:rsid w:val="001B3F75"/>
    <w:rsid w:val="001B78E6"/>
    <w:rsid w:val="001C1F40"/>
    <w:rsid w:val="001C281E"/>
    <w:rsid w:val="001C4219"/>
    <w:rsid w:val="001C6D58"/>
    <w:rsid w:val="001C6E67"/>
    <w:rsid w:val="001D0DCC"/>
    <w:rsid w:val="001D1955"/>
    <w:rsid w:val="001D1F1B"/>
    <w:rsid w:val="001D3738"/>
    <w:rsid w:val="001D3B58"/>
    <w:rsid w:val="001D41DF"/>
    <w:rsid w:val="001D4928"/>
    <w:rsid w:val="001D6796"/>
    <w:rsid w:val="001E0215"/>
    <w:rsid w:val="001E03B2"/>
    <w:rsid w:val="001E0A3D"/>
    <w:rsid w:val="001E1305"/>
    <w:rsid w:val="001E1519"/>
    <w:rsid w:val="001E195B"/>
    <w:rsid w:val="001E35B3"/>
    <w:rsid w:val="001E49F0"/>
    <w:rsid w:val="001E5F30"/>
    <w:rsid w:val="001E63B0"/>
    <w:rsid w:val="001E7819"/>
    <w:rsid w:val="001F0AD7"/>
    <w:rsid w:val="001F1313"/>
    <w:rsid w:val="001F2345"/>
    <w:rsid w:val="001F24F0"/>
    <w:rsid w:val="001F45E4"/>
    <w:rsid w:val="001F4CE5"/>
    <w:rsid w:val="001F5857"/>
    <w:rsid w:val="001F5AE4"/>
    <w:rsid w:val="001F5E45"/>
    <w:rsid w:val="00200191"/>
    <w:rsid w:val="00200D40"/>
    <w:rsid w:val="00201152"/>
    <w:rsid w:val="002012FA"/>
    <w:rsid w:val="00204626"/>
    <w:rsid w:val="00205690"/>
    <w:rsid w:val="00205C8E"/>
    <w:rsid w:val="00207D84"/>
    <w:rsid w:val="0021058E"/>
    <w:rsid w:val="00210B24"/>
    <w:rsid w:val="00210DCF"/>
    <w:rsid w:val="00211776"/>
    <w:rsid w:val="002120F3"/>
    <w:rsid w:val="002121BE"/>
    <w:rsid w:val="0021279D"/>
    <w:rsid w:val="0021393E"/>
    <w:rsid w:val="00214FB8"/>
    <w:rsid w:val="00215B61"/>
    <w:rsid w:val="00215D8A"/>
    <w:rsid w:val="00216BDA"/>
    <w:rsid w:val="00216EFF"/>
    <w:rsid w:val="00217023"/>
    <w:rsid w:val="00220790"/>
    <w:rsid w:val="00221B50"/>
    <w:rsid w:val="00221DF7"/>
    <w:rsid w:val="00222EA0"/>
    <w:rsid w:val="0022455E"/>
    <w:rsid w:val="00225BDE"/>
    <w:rsid w:val="002266E4"/>
    <w:rsid w:val="00227616"/>
    <w:rsid w:val="00227EAC"/>
    <w:rsid w:val="0023048C"/>
    <w:rsid w:val="002309C6"/>
    <w:rsid w:val="00231345"/>
    <w:rsid w:val="00231D88"/>
    <w:rsid w:val="002323DF"/>
    <w:rsid w:val="00233D6F"/>
    <w:rsid w:val="0023528C"/>
    <w:rsid w:val="00235357"/>
    <w:rsid w:val="00235715"/>
    <w:rsid w:val="00235820"/>
    <w:rsid w:val="00240DB7"/>
    <w:rsid w:val="0024125E"/>
    <w:rsid w:val="00242E35"/>
    <w:rsid w:val="00244029"/>
    <w:rsid w:val="00244E60"/>
    <w:rsid w:val="002458CF"/>
    <w:rsid w:val="00245C64"/>
    <w:rsid w:val="00245CF7"/>
    <w:rsid w:val="0024654D"/>
    <w:rsid w:val="002505D8"/>
    <w:rsid w:val="00250AB1"/>
    <w:rsid w:val="00250B2A"/>
    <w:rsid w:val="00250BF2"/>
    <w:rsid w:val="0025174F"/>
    <w:rsid w:val="00253962"/>
    <w:rsid w:val="00262452"/>
    <w:rsid w:val="00262B3E"/>
    <w:rsid w:val="00262EF6"/>
    <w:rsid w:val="002644DF"/>
    <w:rsid w:val="00266375"/>
    <w:rsid w:val="00267DC8"/>
    <w:rsid w:val="002700B9"/>
    <w:rsid w:val="002703F5"/>
    <w:rsid w:val="00270B53"/>
    <w:rsid w:val="00271C7D"/>
    <w:rsid w:val="002745AC"/>
    <w:rsid w:val="00274CCE"/>
    <w:rsid w:val="002759AC"/>
    <w:rsid w:val="00276BA1"/>
    <w:rsid w:val="002774F7"/>
    <w:rsid w:val="002777A3"/>
    <w:rsid w:val="00280769"/>
    <w:rsid w:val="00280C21"/>
    <w:rsid w:val="002814FF"/>
    <w:rsid w:val="00283FD8"/>
    <w:rsid w:val="00284ABB"/>
    <w:rsid w:val="002852F8"/>
    <w:rsid w:val="00285799"/>
    <w:rsid w:val="0029064B"/>
    <w:rsid w:val="00290744"/>
    <w:rsid w:val="00293839"/>
    <w:rsid w:val="002961B9"/>
    <w:rsid w:val="002A122D"/>
    <w:rsid w:val="002A1BB6"/>
    <w:rsid w:val="002A2AEF"/>
    <w:rsid w:val="002A312C"/>
    <w:rsid w:val="002A3667"/>
    <w:rsid w:val="002A4F3D"/>
    <w:rsid w:val="002A58A6"/>
    <w:rsid w:val="002A7E86"/>
    <w:rsid w:val="002B0A49"/>
    <w:rsid w:val="002B0B69"/>
    <w:rsid w:val="002B2A3F"/>
    <w:rsid w:val="002B37E1"/>
    <w:rsid w:val="002B3E4E"/>
    <w:rsid w:val="002B639D"/>
    <w:rsid w:val="002C07BA"/>
    <w:rsid w:val="002C0EBB"/>
    <w:rsid w:val="002C14F9"/>
    <w:rsid w:val="002C4FEF"/>
    <w:rsid w:val="002C527C"/>
    <w:rsid w:val="002C5539"/>
    <w:rsid w:val="002C5E8D"/>
    <w:rsid w:val="002C6292"/>
    <w:rsid w:val="002C683E"/>
    <w:rsid w:val="002D2F6D"/>
    <w:rsid w:val="002D5B61"/>
    <w:rsid w:val="002D793C"/>
    <w:rsid w:val="002E0A67"/>
    <w:rsid w:val="002E3DF5"/>
    <w:rsid w:val="002E3E7C"/>
    <w:rsid w:val="002E3FD9"/>
    <w:rsid w:val="002E4E50"/>
    <w:rsid w:val="002E55E1"/>
    <w:rsid w:val="002E5C46"/>
    <w:rsid w:val="002E655F"/>
    <w:rsid w:val="002E7614"/>
    <w:rsid w:val="002E7B53"/>
    <w:rsid w:val="002F150D"/>
    <w:rsid w:val="002F1AA5"/>
    <w:rsid w:val="002F2AF1"/>
    <w:rsid w:val="002F2C98"/>
    <w:rsid w:val="002F2F84"/>
    <w:rsid w:val="002F474B"/>
    <w:rsid w:val="002F53D2"/>
    <w:rsid w:val="003008AA"/>
    <w:rsid w:val="003014AA"/>
    <w:rsid w:val="00302AAB"/>
    <w:rsid w:val="00303E32"/>
    <w:rsid w:val="00304834"/>
    <w:rsid w:val="00304DC3"/>
    <w:rsid w:val="00305915"/>
    <w:rsid w:val="0030657D"/>
    <w:rsid w:val="003108EA"/>
    <w:rsid w:val="003114C5"/>
    <w:rsid w:val="00312200"/>
    <w:rsid w:val="003138C0"/>
    <w:rsid w:val="00313CDE"/>
    <w:rsid w:val="003154D3"/>
    <w:rsid w:val="00317AAF"/>
    <w:rsid w:val="00321417"/>
    <w:rsid w:val="0032265D"/>
    <w:rsid w:val="003241EE"/>
    <w:rsid w:val="00325C44"/>
    <w:rsid w:val="00326B5C"/>
    <w:rsid w:val="00326C51"/>
    <w:rsid w:val="003274E8"/>
    <w:rsid w:val="003276F1"/>
    <w:rsid w:val="00327CF3"/>
    <w:rsid w:val="00330C76"/>
    <w:rsid w:val="00330D78"/>
    <w:rsid w:val="00331E6E"/>
    <w:rsid w:val="003326BD"/>
    <w:rsid w:val="00332A1C"/>
    <w:rsid w:val="003333DC"/>
    <w:rsid w:val="00333E3B"/>
    <w:rsid w:val="00334187"/>
    <w:rsid w:val="00334D99"/>
    <w:rsid w:val="00335209"/>
    <w:rsid w:val="00336B9B"/>
    <w:rsid w:val="00336E7C"/>
    <w:rsid w:val="00337065"/>
    <w:rsid w:val="00337414"/>
    <w:rsid w:val="00340814"/>
    <w:rsid w:val="003429B2"/>
    <w:rsid w:val="00342D6E"/>
    <w:rsid w:val="00342FAD"/>
    <w:rsid w:val="00346D30"/>
    <w:rsid w:val="00347170"/>
    <w:rsid w:val="00347405"/>
    <w:rsid w:val="003501E0"/>
    <w:rsid w:val="003509AB"/>
    <w:rsid w:val="00352649"/>
    <w:rsid w:val="00352BD1"/>
    <w:rsid w:val="00353EC7"/>
    <w:rsid w:val="003547D2"/>
    <w:rsid w:val="00354D95"/>
    <w:rsid w:val="00356FD7"/>
    <w:rsid w:val="003577C4"/>
    <w:rsid w:val="0036003C"/>
    <w:rsid w:val="00361ED5"/>
    <w:rsid w:val="00362864"/>
    <w:rsid w:val="003631DE"/>
    <w:rsid w:val="0036332A"/>
    <w:rsid w:val="00363B6E"/>
    <w:rsid w:val="00363C15"/>
    <w:rsid w:val="00363C45"/>
    <w:rsid w:val="00363D88"/>
    <w:rsid w:val="00364190"/>
    <w:rsid w:val="00364C07"/>
    <w:rsid w:val="00365B82"/>
    <w:rsid w:val="00366F17"/>
    <w:rsid w:val="0037098C"/>
    <w:rsid w:val="00370A3F"/>
    <w:rsid w:val="00371DB2"/>
    <w:rsid w:val="00376111"/>
    <w:rsid w:val="00376B77"/>
    <w:rsid w:val="003771D7"/>
    <w:rsid w:val="00377406"/>
    <w:rsid w:val="0037770E"/>
    <w:rsid w:val="0038075C"/>
    <w:rsid w:val="00380F63"/>
    <w:rsid w:val="00382623"/>
    <w:rsid w:val="0038444C"/>
    <w:rsid w:val="00386705"/>
    <w:rsid w:val="003904A7"/>
    <w:rsid w:val="00390718"/>
    <w:rsid w:val="00390CC3"/>
    <w:rsid w:val="0039212C"/>
    <w:rsid w:val="00392705"/>
    <w:rsid w:val="0039277F"/>
    <w:rsid w:val="00392EB5"/>
    <w:rsid w:val="0039378C"/>
    <w:rsid w:val="00393A45"/>
    <w:rsid w:val="00394D48"/>
    <w:rsid w:val="00396595"/>
    <w:rsid w:val="00396ED6"/>
    <w:rsid w:val="00397404"/>
    <w:rsid w:val="003A056C"/>
    <w:rsid w:val="003A1314"/>
    <w:rsid w:val="003A2A81"/>
    <w:rsid w:val="003A2BAE"/>
    <w:rsid w:val="003A2ECB"/>
    <w:rsid w:val="003A325B"/>
    <w:rsid w:val="003A5307"/>
    <w:rsid w:val="003A56CB"/>
    <w:rsid w:val="003A5C98"/>
    <w:rsid w:val="003A669D"/>
    <w:rsid w:val="003A669E"/>
    <w:rsid w:val="003B0218"/>
    <w:rsid w:val="003B0FB2"/>
    <w:rsid w:val="003B136A"/>
    <w:rsid w:val="003B1D3F"/>
    <w:rsid w:val="003B2FDF"/>
    <w:rsid w:val="003B5E8B"/>
    <w:rsid w:val="003B5F2A"/>
    <w:rsid w:val="003B6A9F"/>
    <w:rsid w:val="003B775A"/>
    <w:rsid w:val="003C2E19"/>
    <w:rsid w:val="003C311F"/>
    <w:rsid w:val="003C32B1"/>
    <w:rsid w:val="003C48F5"/>
    <w:rsid w:val="003C6FB6"/>
    <w:rsid w:val="003D1872"/>
    <w:rsid w:val="003D25E8"/>
    <w:rsid w:val="003D3582"/>
    <w:rsid w:val="003D35CD"/>
    <w:rsid w:val="003D452C"/>
    <w:rsid w:val="003D47C6"/>
    <w:rsid w:val="003D677F"/>
    <w:rsid w:val="003D6FF7"/>
    <w:rsid w:val="003E10A5"/>
    <w:rsid w:val="003E14A2"/>
    <w:rsid w:val="003E3606"/>
    <w:rsid w:val="003E3CAA"/>
    <w:rsid w:val="003E76D6"/>
    <w:rsid w:val="003F262B"/>
    <w:rsid w:val="003F2EB5"/>
    <w:rsid w:val="003F5BE6"/>
    <w:rsid w:val="003F6F45"/>
    <w:rsid w:val="003F7AB7"/>
    <w:rsid w:val="003F7BF7"/>
    <w:rsid w:val="00400406"/>
    <w:rsid w:val="00400E4B"/>
    <w:rsid w:val="00401A03"/>
    <w:rsid w:val="00401D85"/>
    <w:rsid w:val="00402368"/>
    <w:rsid w:val="00402CAF"/>
    <w:rsid w:val="0040367E"/>
    <w:rsid w:val="00405108"/>
    <w:rsid w:val="00406CBE"/>
    <w:rsid w:val="00407A84"/>
    <w:rsid w:val="00407DD4"/>
    <w:rsid w:val="00407E32"/>
    <w:rsid w:val="00407E82"/>
    <w:rsid w:val="004107EE"/>
    <w:rsid w:val="0041178D"/>
    <w:rsid w:val="00412102"/>
    <w:rsid w:val="00412F44"/>
    <w:rsid w:val="00414734"/>
    <w:rsid w:val="00415AB4"/>
    <w:rsid w:val="004170BF"/>
    <w:rsid w:val="00417784"/>
    <w:rsid w:val="00420577"/>
    <w:rsid w:val="00421DBC"/>
    <w:rsid w:val="00422ED0"/>
    <w:rsid w:val="0042364D"/>
    <w:rsid w:val="00423B3C"/>
    <w:rsid w:val="00425FDE"/>
    <w:rsid w:val="00426667"/>
    <w:rsid w:val="00432E8F"/>
    <w:rsid w:val="00433BDA"/>
    <w:rsid w:val="00440035"/>
    <w:rsid w:val="004400C0"/>
    <w:rsid w:val="00440A3B"/>
    <w:rsid w:val="00440AE2"/>
    <w:rsid w:val="0044161F"/>
    <w:rsid w:val="004421AB"/>
    <w:rsid w:val="004423EA"/>
    <w:rsid w:val="00442568"/>
    <w:rsid w:val="00442B2F"/>
    <w:rsid w:val="00442F9A"/>
    <w:rsid w:val="00445825"/>
    <w:rsid w:val="00445BB4"/>
    <w:rsid w:val="00446167"/>
    <w:rsid w:val="00450C71"/>
    <w:rsid w:val="004512E7"/>
    <w:rsid w:val="00451713"/>
    <w:rsid w:val="0045306B"/>
    <w:rsid w:val="00455A4F"/>
    <w:rsid w:val="00456298"/>
    <w:rsid w:val="004566B1"/>
    <w:rsid w:val="00461BC7"/>
    <w:rsid w:val="00462CF9"/>
    <w:rsid w:val="00466768"/>
    <w:rsid w:val="00466DAC"/>
    <w:rsid w:val="00467873"/>
    <w:rsid w:val="004712EE"/>
    <w:rsid w:val="0047184E"/>
    <w:rsid w:val="00472073"/>
    <w:rsid w:val="00474F10"/>
    <w:rsid w:val="00476BC5"/>
    <w:rsid w:val="00482DD6"/>
    <w:rsid w:val="00483140"/>
    <w:rsid w:val="0048569A"/>
    <w:rsid w:val="0049043F"/>
    <w:rsid w:val="00490849"/>
    <w:rsid w:val="004909E8"/>
    <w:rsid w:val="0049196D"/>
    <w:rsid w:val="00491E42"/>
    <w:rsid w:val="004934E8"/>
    <w:rsid w:val="004957B9"/>
    <w:rsid w:val="00496AC8"/>
    <w:rsid w:val="00497BFC"/>
    <w:rsid w:val="004A0383"/>
    <w:rsid w:val="004A144F"/>
    <w:rsid w:val="004A171B"/>
    <w:rsid w:val="004A217A"/>
    <w:rsid w:val="004A6386"/>
    <w:rsid w:val="004A6EC6"/>
    <w:rsid w:val="004B052E"/>
    <w:rsid w:val="004B124A"/>
    <w:rsid w:val="004B12BC"/>
    <w:rsid w:val="004B12FF"/>
    <w:rsid w:val="004B2C17"/>
    <w:rsid w:val="004B5657"/>
    <w:rsid w:val="004B74F0"/>
    <w:rsid w:val="004C0027"/>
    <w:rsid w:val="004C00A8"/>
    <w:rsid w:val="004C0B19"/>
    <w:rsid w:val="004C134C"/>
    <w:rsid w:val="004C25F0"/>
    <w:rsid w:val="004C27B8"/>
    <w:rsid w:val="004C3981"/>
    <w:rsid w:val="004C6A3E"/>
    <w:rsid w:val="004C6AFB"/>
    <w:rsid w:val="004C74DF"/>
    <w:rsid w:val="004C7CD0"/>
    <w:rsid w:val="004D2716"/>
    <w:rsid w:val="004D2D0C"/>
    <w:rsid w:val="004D30AE"/>
    <w:rsid w:val="004D346C"/>
    <w:rsid w:val="004D3ADD"/>
    <w:rsid w:val="004D7CB2"/>
    <w:rsid w:val="004D7DFD"/>
    <w:rsid w:val="004E060C"/>
    <w:rsid w:val="004E10AF"/>
    <w:rsid w:val="004E2176"/>
    <w:rsid w:val="004E2796"/>
    <w:rsid w:val="004E3035"/>
    <w:rsid w:val="004E36C3"/>
    <w:rsid w:val="004E4569"/>
    <w:rsid w:val="004E47CD"/>
    <w:rsid w:val="004E4A2C"/>
    <w:rsid w:val="004E524E"/>
    <w:rsid w:val="004E7836"/>
    <w:rsid w:val="004F0B7E"/>
    <w:rsid w:val="004F13E1"/>
    <w:rsid w:val="004F1AEE"/>
    <w:rsid w:val="005002CF"/>
    <w:rsid w:val="00500C57"/>
    <w:rsid w:val="005011BE"/>
    <w:rsid w:val="005015A7"/>
    <w:rsid w:val="00501E8E"/>
    <w:rsid w:val="00501F99"/>
    <w:rsid w:val="00502566"/>
    <w:rsid w:val="005040FA"/>
    <w:rsid w:val="0050565B"/>
    <w:rsid w:val="00506345"/>
    <w:rsid w:val="0050693F"/>
    <w:rsid w:val="00510558"/>
    <w:rsid w:val="005106BA"/>
    <w:rsid w:val="00511B90"/>
    <w:rsid w:val="00511F6E"/>
    <w:rsid w:val="0051391F"/>
    <w:rsid w:val="00514225"/>
    <w:rsid w:val="00514539"/>
    <w:rsid w:val="00514F20"/>
    <w:rsid w:val="00515C6E"/>
    <w:rsid w:val="00516065"/>
    <w:rsid w:val="00517528"/>
    <w:rsid w:val="005178A8"/>
    <w:rsid w:val="00517D54"/>
    <w:rsid w:val="005221ED"/>
    <w:rsid w:val="0052392D"/>
    <w:rsid w:val="00525096"/>
    <w:rsid w:val="005260CB"/>
    <w:rsid w:val="0052677D"/>
    <w:rsid w:val="0052694A"/>
    <w:rsid w:val="00526C90"/>
    <w:rsid w:val="005303CE"/>
    <w:rsid w:val="00530D27"/>
    <w:rsid w:val="00531278"/>
    <w:rsid w:val="0053164B"/>
    <w:rsid w:val="0053190A"/>
    <w:rsid w:val="00531AD2"/>
    <w:rsid w:val="00532E22"/>
    <w:rsid w:val="005337D0"/>
    <w:rsid w:val="00534D01"/>
    <w:rsid w:val="0053587B"/>
    <w:rsid w:val="00536481"/>
    <w:rsid w:val="0054037E"/>
    <w:rsid w:val="0054076B"/>
    <w:rsid w:val="005419FF"/>
    <w:rsid w:val="00542B09"/>
    <w:rsid w:val="0054398D"/>
    <w:rsid w:val="00544A23"/>
    <w:rsid w:val="005478DE"/>
    <w:rsid w:val="00547AC4"/>
    <w:rsid w:val="0055032E"/>
    <w:rsid w:val="00552021"/>
    <w:rsid w:val="00552C0A"/>
    <w:rsid w:val="005541BA"/>
    <w:rsid w:val="00554E14"/>
    <w:rsid w:val="00557094"/>
    <w:rsid w:val="005574CE"/>
    <w:rsid w:val="00557CED"/>
    <w:rsid w:val="00560564"/>
    <w:rsid w:val="00560D53"/>
    <w:rsid w:val="00560DD2"/>
    <w:rsid w:val="0056424C"/>
    <w:rsid w:val="00565049"/>
    <w:rsid w:val="005655B1"/>
    <w:rsid w:val="0056573D"/>
    <w:rsid w:val="00565CFE"/>
    <w:rsid w:val="00565EA4"/>
    <w:rsid w:val="00567494"/>
    <w:rsid w:val="005676A5"/>
    <w:rsid w:val="005705FA"/>
    <w:rsid w:val="005707BB"/>
    <w:rsid w:val="005713CF"/>
    <w:rsid w:val="00572DE5"/>
    <w:rsid w:val="00573193"/>
    <w:rsid w:val="0057655A"/>
    <w:rsid w:val="00577703"/>
    <w:rsid w:val="005800EB"/>
    <w:rsid w:val="00581226"/>
    <w:rsid w:val="0058170B"/>
    <w:rsid w:val="0058173D"/>
    <w:rsid w:val="00581962"/>
    <w:rsid w:val="00582841"/>
    <w:rsid w:val="005838D8"/>
    <w:rsid w:val="00585387"/>
    <w:rsid w:val="005868EA"/>
    <w:rsid w:val="00590174"/>
    <w:rsid w:val="00590B80"/>
    <w:rsid w:val="00591CE6"/>
    <w:rsid w:val="00592BD8"/>
    <w:rsid w:val="00592E7C"/>
    <w:rsid w:val="005941DE"/>
    <w:rsid w:val="00594A51"/>
    <w:rsid w:val="00594F4E"/>
    <w:rsid w:val="00597698"/>
    <w:rsid w:val="005A0A19"/>
    <w:rsid w:val="005A10BC"/>
    <w:rsid w:val="005A19EC"/>
    <w:rsid w:val="005A35FB"/>
    <w:rsid w:val="005A3944"/>
    <w:rsid w:val="005A3E7C"/>
    <w:rsid w:val="005A456F"/>
    <w:rsid w:val="005A4DC4"/>
    <w:rsid w:val="005A5DE8"/>
    <w:rsid w:val="005A651E"/>
    <w:rsid w:val="005A6666"/>
    <w:rsid w:val="005A685D"/>
    <w:rsid w:val="005B01CC"/>
    <w:rsid w:val="005B0BD6"/>
    <w:rsid w:val="005B1168"/>
    <w:rsid w:val="005B127A"/>
    <w:rsid w:val="005B250F"/>
    <w:rsid w:val="005B5418"/>
    <w:rsid w:val="005B7B8D"/>
    <w:rsid w:val="005C4221"/>
    <w:rsid w:val="005C4A06"/>
    <w:rsid w:val="005C5B7D"/>
    <w:rsid w:val="005C686F"/>
    <w:rsid w:val="005C6A54"/>
    <w:rsid w:val="005C6FF1"/>
    <w:rsid w:val="005C75CE"/>
    <w:rsid w:val="005C7DFB"/>
    <w:rsid w:val="005D15C0"/>
    <w:rsid w:val="005D242A"/>
    <w:rsid w:val="005D25C9"/>
    <w:rsid w:val="005D39CC"/>
    <w:rsid w:val="005D3BAC"/>
    <w:rsid w:val="005D523E"/>
    <w:rsid w:val="005D56BC"/>
    <w:rsid w:val="005D64EB"/>
    <w:rsid w:val="005D678A"/>
    <w:rsid w:val="005E1C6E"/>
    <w:rsid w:val="005E3409"/>
    <w:rsid w:val="005E3BFF"/>
    <w:rsid w:val="005E3EC4"/>
    <w:rsid w:val="005F08C6"/>
    <w:rsid w:val="005F153B"/>
    <w:rsid w:val="005F1751"/>
    <w:rsid w:val="005F1EDD"/>
    <w:rsid w:val="005F2106"/>
    <w:rsid w:val="005F2579"/>
    <w:rsid w:val="005F25AD"/>
    <w:rsid w:val="005F3168"/>
    <w:rsid w:val="005F3A6F"/>
    <w:rsid w:val="005F3B68"/>
    <w:rsid w:val="005F60EA"/>
    <w:rsid w:val="005F751C"/>
    <w:rsid w:val="005F7D58"/>
    <w:rsid w:val="00602B82"/>
    <w:rsid w:val="00604943"/>
    <w:rsid w:val="00604B05"/>
    <w:rsid w:val="00605A10"/>
    <w:rsid w:val="00605A1A"/>
    <w:rsid w:val="00605FB4"/>
    <w:rsid w:val="006066BB"/>
    <w:rsid w:val="00606B58"/>
    <w:rsid w:val="006102D6"/>
    <w:rsid w:val="006109B0"/>
    <w:rsid w:val="00612553"/>
    <w:rsid w:val="006132B6"/>
    <w:rsid w:val="006133D5"/>
    <w:rsid w:val="00614E4D"/>
    <w:rsid w:val="0061692F"/>
    <w:rsid w:val="00620D21"/>
    <w:rsid w:val="00620FF6"/>
    <w:rsid w:val="006213D3"/>
    <w:rsid w:val="00624342"/>
    <w:rsid w:val="00624359"/>
    <w:rsid w:val="00624871"/>
    <w:rsid w:val="00624F95"/>
    <w:rsid w:val="00625770"/>
    <w:rsid w:val="00626C72"/>
    <w:rsid w:val="00626D85"/>
    <w:rsid w:val="00627944"/>
    <w:rsid w:val="00630C90"/>
    <w:rsid w:val="00630F9D"/>
    <w:rsid w:val="00631AF5"/>
    <w:rsid w:val="00632220"/>
    <w:rsid w:val="006322C0"/>
    <w:rsid w:val="00632C65"/>
    <w:rsid w:val="0063453E"/>
    <w:rsid w:val="00634706"/>
    <w:rsid w:val="00641509"/>
    <w:rsid w:val="00641B43"/>
    <w:rsid w:val="00642301"/>
    <w:rsid w:val="00644D04"/>
    <w:rsid w:val="006451C1"/>
    <w:rsid w:val="006467CC"/>
    <w:rsid w:val="00651053"/>
    <w:rsid w:val="00651707"/>
    <w:rsid w:val="00652660"/>
    <w:rsid w:val="00653A6A"/>
    <w:rsid w:val="00653B40"/>
    <w:rsid w:val="00655AA0"/>
    <w:rsid w:val="006563E1"/>
    <w:rsid w:val="006603B6"/>
    <w:rsid w:val="00662C0D"/>
    <w:rsid w:val="006635D9"/>
    <w:rsid w:val="00663BFF"/>
    <w:rsid w:val="006641CE"/>
    <w:rsid w:val="0066521B"/>
    <w:rsid w:val="00665B64"/>
    <w:rsid w:val="00665F0C"/>
    <w:rsid w:val="00667F7B"/>
    <w:rsid w:val="006700E0"/>
    <w:rsid w:val="00670538"/>
    <w:rsid w:val="00670A4E"/>
    <w:rsid w:val="0067186D"/>
    <w:rsid w:val="00673E04"/>
    <w:rsid w:val="0067456D"/>
    <w:rsid w:val="006752E3"/>
    <w:rsid w:val="00676061"/>
    <w:rsid w:val="00676BF2"/>
    <w:rsid w:val="006778DC"/>
    <w:rsid w:val="006805BC"/>
    <w:rsid w:val="00680B2D"/>
    <w:rsid w:val="00682AA8"/>
    <w:rsid w:val="00683159"/>
    <w:rsid w:val="006849EF"/>
    <w:rsid w:val="00684EEF"/>
    <w:rsid w:val="00685CB6"/>
    <w:rsid w:val="00685DF7"/>
    <w:rsid w:val="00687C69"/>
    <w:rsid w:val="00692944"/>
    <w:rsid w:val="00693C5B"/>
    <w:rsid w:val="00694A85"/>
    <w:rsid w:val="00695015"/>
    <w:rsid w:val="00696BDB"/>
    <w:rsid w:val="006A037E"/>
    <w:rsid w:val="006A082E"/>
    <w:rsid w:val="006A0D64"/>
    <w:rsid w:val="006A2E21"/>
    <w:rsid w:val="006A32C6"/>
    <w:rsid w:val="006A372E"/>
    <w:rsid w:val="006A3A14"/>
    <w:rsid w:val="006A3B89"/>
    <w:rsid w:val="006A3C3F"/>
    <w:rsid w:val="006A3D62"/>
    <w:rsid w:val="006A406F"/>
    <w:rsid w:val="006A471D"/>
    <w:rsid w:val="006A55D6"/>
    <w:rsid w:val="006A6706"/>
    <w:rsid w:val="006A7286"/>
    <w:rsid w:val="006A7776"/>
    <w:rsid w:val="006A78EE"/>
    <w:rsid w:val="006A7923"/>
    <w:rsid w:val="006A7C8B"/>
    <w:rsid w:val="006A7EA3"/>
    <w:rsid w:val="006B0919"/>
    <w:rsid w:val="006B1E4C"/>
    <w:rsid w:val="006B1F9D"/>
    <w:rsid w:val="006B3262"/>
    <w:rsid w:val="006B4207"/>
    <w:rsid w:val="006B56AB"/>
    <w:rsid w:val="006B5977"/>
    <w:rsid w:val="006B5CA6"/>
    <w:rsid w:val="006B6516"/>
    <w:rsid w:val="006B7503"/>
    <w:rsid w:val="006B7594"/>
    <w:rsid w:val="006B7735"/>
    <w:rsid w:val="006C08B0"/>
    <w:rsid w:val="006C2B6C"/>
    <w:rsid w:val="006C4D3F"/>
    <w:rsid w:val="006C5A3F"/>
    <w:rsid w:val="006D0EFF"/>
    <w:rsid w:val="006D1DDC"/>
    <w:rsid w:val="006D4A82"/>
    <w:rsid w:val="006D52A6"/>
    <w:rsid w:val="006D5678"/>
    <w:rsid w:val="006D6439"/>
    <w:rsid w:val="006D75C1"/>
    <w:rsid w:val="006E091A"/>
    <w:rsid w:val="006E13EB"/>
    <w:rsid w:val="006E1767"/>
    <w:rsid w:val="006E260C"/>
    <w:rsid w:val="006E2972"/>
    <w:rsid w:val="006E3627"/>
    <w:rsid w:val="006E4359"/>
    <w:rsid w:val="006E59B3"/>
    <w:rsid w:val="006E68AA"/>
    <w:rsid w:val="006F4125"/>
    <w:rsid w:val="006F419B"/>
    <w:rsid w:val="006F5BD2"/>
    <w:rsid w:val="006F72F7"/>
    <w:rsid w:val="007000DB"/>
    <w:rsid w:val="00701DEE"/>
    <w:rsid w:val="007034A4"/>
    <w:rsid w:val="0070393B"/>
    <w:rsid w:val="007047CF"/>
    <w:rsid w:val="00704E69"/>
    <w:rsid w:val="007115CA"/>
    <w:rsid w:val="00711848"/>
    <w:rsid w:val="00711C8D"/>
    <w:rsid w:val="0071425B"/>
    <w:rsid w:val="00714752"/>
    <w:rsid w:val="00714A3D"/>
    <w:rsid w:val="00714A8E"/>
    <w:rsid w:val="00715F6D"/>
    <w:rsid w:val="007178AC"/>
    <w:rsid w:val="0072137B"/>
    <w:rsid w:val="0072185C"/>
    <w:rsid w:val="0072402E"/>
    <w:rsid w:val="007243D4"/>
    <w:rsid w:val="0072641B"/>
    <w:rsid w:val="0072699E"/>
    <w:rsid w:val="00727468"/>
    <w:rsid w:val="00727A7E"/>
    <w:rsid w:val="00731D4C"/>
    <w:rsid w:val="00731E66"/>
    <w:rsid w:val="0073294C"/>
    <w:rsid w:val="00734E81"/>
    <w:rsid w:val="00736DB3"/>
    <w:rsid w:val="00740D66"/>
    <w:rsid w:val="0074166B"/>
    <w:rsid w:val="00741AB3"/>
    <w:rsid w:val="00741CB2"/>
    <w:rsid w:val="007433C1"/>
    <w:rsid w:val="00743B93"/>
    <w:rsid w:val="0074426B"/>
    <w:rsid w:val="007445A9"/>
    <w:rsid w:val="00744A56"/>
    <w:rsid w:val="007455A1"/>
    <w:rsid w:val="00746B10"/>
    <w:rsid w:val="00751B50"/>
    <w:rsid w:val="007533DE"/>
    <w:rsid w:val="00755219"/>
    <w:rsid w:val="00760633"/>
    <w:rsid w:val="0076270C"/>
    <w:rsid w:val="007640BC"/>
    <w:rsid w:val="0076452E"/>
    <w:rsid w:val="007645C8"/>
    <w:rsid w:val="007661F8"/>
    <w:rsid w:val="00766671"/>
    <w:rsid w:val="00773122"/>
    <w:rsid w:val="00773F29"/>
    <w:rsid w:val="007758DB"/>
    <w:rsid w:val="00775A23"/>
    <w:rsid w:val="0077652B"/>
    <w:rsid w:val="00777D03"/>
    <w:rsid w:val="00777E6E"/>
    <w:rsid w:val="00777EDE"/>
    <w:rsid w:val="00780D4D"/>
    <w:rsid w:val="00782899"/>
    <w:rsid w:val="00782A87"/>
    <w:rsid w:val="007841C9"/>
    <w:rsid w:val="0078423E"/>
    <w:rsid w:val="00785E69"/>
    <w:rsid w:val="007878CA"/>
    <w:rsid w:val="00790F97"/>
    <w:rsid w:val="00791674"/>
    <w:rsid w:val="007919A0"/>
    <w:rsid w:val="00792723"/>
    <w:rsid w:val="007934A5"/>
    <w:rsid w:val="00794345"/>
    <w:rsid w:val="00795A3E"/>
    <w:rsid w:val="00795E32"/>
    <w:rsid w:val="007A02EA"/>
    <w:rsid w:val="007A0A8A"/>
    <w:rsid w:val="007A1DAE"/>
    <w:rsid w:val="007A5984"/>
    <w:rsid w:val="007A5C33"/>
    <w:rsid w:val="007A763A"/>
    <w:rsid w:val="007B066E"/>
    <w:rsid w:val="007B0AC8"/>
    <w:rsid w:val="007B16DD"/>
    <w:rsid w:val="007B23FA"/>
    <w:rsid w:val="007B2C13"/>
    <w:rsid w:val="007B2FF2"/>
    <w:rsid w:val="007B3432"/>
    <w:rsid w:val="007B374D"/>
    <w:rsid w:val="007B38AA"/>
    <w:rsid w:val="007B701B"/>
    <w:rsid w:val="007C0002"/>
    <w:rsid w:val="007C1749"/>
    <w:rsid w:val="007C346D"/>
    <w:rsid w:val="007C3A79"/>
    <w:rsid w:val="007C3C5B"/>
    <w:rsid w:val="007C41E1"/>
    <w:rsid w:val="007C445B"/>
    <w:rsid w:val="007C4586"/>
    <w:rsid w:val="007C4832"/>
    <w:rsid w:val="007C7EF0"/>
    <w:rsid w:val="007D0AE1"/>
    <w:rsid w:val="007D282E"/>
    <w:rsid w:val="007D3D93"/>
    <w:rsid w:val="007E1176"/>
    <w:rsid w:val="007E1856"/>
    <w:rsid w:val="007E2A19"/>
    <w:rsid w:val="007E3FED"/>
    <w:rsid w:val="007E4754"/>
    <w:rsid w:val="007E602F"/>
    <w:rsid w:val="007E6A01"/>
    <w:rsid w:val="007E7C60"/>
    <w:rsid w:val="007F0206"/>
    <w:rsid w:val="007F0515"/>
    <w:rsid w:val="007F1718"/>
    <w:rsid w:val="007F1DE1"/>
    <w:rsid w:val="007F1ED3"/>
    <w:rsid w:val="007F204C"/>
    <w:rsid w:val="007F4922"/>
    <w:rsid w:val="007F63B9"/>
    <w:rsid w:val="007F6701"/>
    <w:rsid w:val="007F6C39"/>
    <w:rsid w:val="007F7878"/>
    <w:rsid w:val="00800911"/>
    <w:rsid w:val="00801540"/>
    <w:rsid w:val="008017A0"/>
    <w:rsid w:val="0080264F"/>
    <w:rsid w:val="00804FD2"/>
    <w:rsid w:val="008102AB"/>
    <w:rsid w:val="0081091A"/>
    <w:rsid w:val="00810AE5"/>
    <w:rsid w:val="008117D5"/>
    <w:rsid w:val="0081204A"/>
    <w:rsid w:val="00812346"/>
    <w:rsid w:val="008134CB"/>
    <w:rsid w:val="0081458C"/>
    <w:rsid w:val="008160A4"/>
    <w:rsid w:val="00816727"/>
    <w:rsid w:val="00816924"/>
    <w:rsid w:val="00817874"/>
    <w:rsid w:val="0082087A"/>
    <w:rsid w:val="00820F88"/>
    <w:rsid w:val="00822EE2"/>
    <w:rsid w:val="00823096"/>
    <w:rsid w:val="008233A7"/>
    <w:rsid w:val="008236B5"/>
    <w:rsid w:val="00824125"/>
    <w:rsid w:val="00824442"/>
    <w:rsid w:val="00827289"/>
    <w:rsid w:val="008272DC"/>
    <w:rsid w:val="00827E50"/>
    <w:rsid w:val="00830A31"/>
    <w:rsid w:val="008320A9"/>
    <w:rsid w:val="00832E36"/>
    <w:rsid w:val="00833057"/>
    <w:rsid w:val="0083603F"/>
    <w:rsid w:val="0084224A"/>
    <w:rsid w:val="00842C01"/>
    <w:rsid w:val="00844C56"/>
    <w:rsid w:val="008454C1"/>
    <w:rsid w:val="00846991"/>
    <w:rsid w:val="00850D8B"/>
    <w:rsid w:val="008514F9"/>
    <w:rsid w:val="008518DE"/>
    <w:rsid w:val="0085311E"/>
    <w:rsid w:val="00853368"/>
    <w:rsid w:val="00854704"/>
    <w:rsid w:val="00854BBD"/>
    <w:rsid w:val="008557AE"/>
    <w:rsid w:val="0085602E"/>
    <w:rsid w:val="00857896"/>
    <w:rsid w:val="008579C9"/>
    <w:rsid w:val="008601AE"/>
    <w:rsid w:val="0086229A"/>
    <w:rsid w:val="00862638"/>
    <w:rsid w:val="00863F6D"/>
    <w:rsid w:val="00865582"/>
    <w:rsid w:val="0086582E"/>
    <w:rsid w:val="00865E6F"/>
    <w:rsid w:val="00870C6E"/>
    <w:rsid w:val="00871273"/>
    <w:rsid w:val="00871A7C"/>
    <w:rsid w:val="00874297"/>
    <w:rsid w:val="00874CCC"/>
    <w:rsid w:val="00875F4C"/>
    <w:rsid w:val="008775F0"/>
    <w:rsid w:val="00880A60"/>
    <w:rsid w:val="00882950"/>
    <w:rsid w:val="00882BF2"/>
    <w:rsid w:val="0088304B"/>
    <w:rsid w:val="0088494C"/>
    <w:rsid w:val="00885368"/>
    <w:rsid w:val="00886E03"/>
    <w:rsid w:val="00887AA2"/>
    <w:rsid w:val="008914D7"/>
    <w:rsid w:val="0089437E"/>
    <w:rsid w:val="008943FA"/>
    <w:rsid w:val="0089774F"/>
    <w:rsid w:val="008A0EF8"/>
    <w:rsid w:val="008A1350"/>
    <w:rsid w:val="008A2590"/>
    <w:rsid w:val="008A3519"/>
    <w:rsid w:val="008A4AD8"/>
    <w:rsid w:val="008A4EE3"/>
    <w:rsid w:val="008A5F42"/>
    <w:rsid w:val="008A7079"/>
    <w:rsid w:val="008A73A3"/>
    <w:rsid w:val="008B031A"/>
    <w:rsid w:val="008B07AD"/>
    <w:rsid w:val="008B0952"/>
    <w:rsid w:val="008B098E"/>
    <w:rsid w:val="008B157B"/>
    <w:rsid w:val="008B32CD"/>
    <w:rsid w:val="008B44F4"/>
    <w:rsid w:val="008B66DB"/>
    <w:rsid w:val="008B66E9"/>
    <w:rsid w:val="008B738B"/>
    <w:rsid w:val="008C15EB"/>
    <w:rsid w:val="008C2E78"/>
    <w:rsid w:val="008C320A"/>
    <w:rsid w:val="008C3421"/>
    <w:rsid w:val="008C35E4"/>
    <w:rsid w:val="008C431B"/>
    <w:rsid w:val="008C47C4"/>
    <w:rsid w:val="008C4C58"/>
    <w:rsid w:val="008C5A41"/>
    <w:rsid w:val="008C5A4B"/>
    <w:rsid w:val="008C657E"/>
    <w:rsid w:val="008C6DEC"/>
    <w:rsid w:val="008C6F6D"/>
    <w:rsid w:val="008D0B82"/>
    <w:rsid w:val="008D0BD1"/>
    <w:rsid w:val="008D2A16"/>
    <w:rsid w:val="008D2F62"/>
    <w:rsid w:val="008D4F59"/>
    <w:rsid w:val="008D6864"/>
    <w:rsid w:val="008E026D"/>
    <w:rsid w:val="008E1B55"/>
    <w:rsid w:val="008E1CBC"/>
    <w:rsid w:val="008E240B"/>
    <w:rsid w:val="008E6511"/>
    <w:rsid w:val="008E6A37"/>
    <w:rsid w:val="008F02A3"/>
    <w:rsid w:val="008F0457"/>
    <w:rsid w:val="008F20F6"/>
    <w:rsid w:val="008F49A5"/>
    <w:rsid w:val="008F5AFC"/>
    <w:rsid w:val="008F5C44"/>
    <w:rsid w:val="008F6A03"/>
    <w:rsid w:val="008F77F3"/>
    <w:rsid w:val="00900D8A"/>
    <w:rsid w:val="009013D3"/>
    <w:rsid w:val="009039AE"/>
    <w:rsid w:val="00903DDE"/>
    <w:rsid w:val="0090439B"/>
    <w:rsid w:val="0090546D"/>
    <w:rsid w:val="00906271"/>
    <w:rsid w:val="009068BC"/>
    <w:rsid w:val="00911360"/>
    <w:rsid w:val="009113E4"/>
    <w:rsid w:val="009120A5"/>
    <w:rsid w:val="009121F3"/>
    <w:rsid w:val="0091256B"/>
    <w:rsid w:val="00913FBA"/>
    <w:rsid w:val="00914048"/>
    <w:rsid w:val="00914084"/>
    <w:rsid w:val="00915111"/>
    <w:rsid w:val="00915203"/>
    <w:rsid w:val="0091552E"/>
    <w:rsid w:val="00916E01"/>
    <w:rsid w:val="009176F3"/>
    <w:rsid w:val="00917FDD"/>
    <w:rsid w:val="00921003"/>
    <w:rsid w:val="009219AF"/>
    <w:rsid w:val="00923C93"/>
    <w:rsid w:val="00924E3B"/>
    <w:rsid w:val="00924EA3"/>
    <w:rsid w:val="00925498"/>
    <w:rsid w:val="00926339"/>
    <w:rsid w:val="00926FA0"/>
    <w:rsid w:val="009274BF"/>
    <w:rsid w:val="009333E6"/>
    <w:rsid w:val="00935BFB"/>
    <w:rsid w:val="009372F6"/>
    <w:rsid w:val="00940327"/>
    <w:rsid w:val="00940AD7"/>
    <w:rsid w:val="00941FE3"/>
    <w:rsid w:val="00941FED"/>
    <w:rsid w:val="00942C30"/>
    <w:rsid w:val="00943530"/>
    <w:rsid w:val="00943EB7"/>
    <w:rsid w:val="00943F17"/>
    <w:rsid w:val="00944170"/>
    <w:rsid w:val="00944E7F"/>
    <w:rsid w:val="009468C1"/>
    <w:rsid w:val="00950A3F"/>
    <w:rsid w:val="00951FC5"/>
    <w:rsid w:val="00954EBB"/>
    <w:rsid w:val="0095579E"/>
    <w:rsid w:val="009562B2"/>
    <w:rsid w:val="00957F65"/>
    <w:rsid w:val="0096008D"/>
    <w:rsid w:val="009607BA"/>
    <w:rsid w:val="009615CC"/>
    <w:rsid w:val="00961F16"/>
    <w:rsid w:val="009625C5"/>
    <w:rsid w:val="00962A16"/>
    <w:rsid w:val="00962F0A"/>
    <w:rsid w:val="009648B2"/>
    <w:rsid w:val="00965595"/>
    <w:rsid w:val="00965983"/>
    <w:rsid w:val="009661C2"/>
    <w:rsid w:val="00966983"/>
    <w:rsid w:val="0097022B"/>
    <w:rsid w:val="00970533"/>
    <w:rsid w:val="00970F45"/>
    <w:rsid w:val="009711FC"/>
    <w:rsid w:val="00972867"/>
    <w:rsid w:val="00973969"/>
    <w:rsid w:val="00974D02"/>
    <w:rsid w:val="00974D28"/>
    <w:rsid w:val="00975027"/>
    <w:rsid w:val="0097514B"/>
    <w:rsid w:val="0097594D"/>
    <w:rsid w:val="00977CB5"/>
    <w:rsid w:val="00981254"/>
    <w:rsid w:val="009820A6"/>
    <w:rsid w:val="00983CE9"/>
    <w:rsid w:val="00987DF1"/>
    <w:rsid w:val="009929EA"/>
    <w:rsid w:val="009937EB"/>
    <w:rsid w:val="009947EB"/>
    <w:rsid w:val="00994B26"/>
    <w:rsid w:val="00995AA1"/>
    <w:rsid w:val="00996688"/>
    <w:rsid w:val="009A04F0"/>
    <w:rsid w:val="009A1157"/>
    <w:rsid w:val="009A2147"/>
    <w:rsid w:val="009A2408"/>
    <w:rsid w:val="009A26E4"/>
    <w:rsid w:val="009A2DDE"/>
    <w:rsid w:val="009A40CC"/>
    <w:rsid w:val="009A43BF"/>
    <w:rsid w:val="009A4B8A"/>
    <w:rsid w:val="009A4D70"/>
    <w:rsid w:val="009A51AD"/>
    <w:rsid w:val="009A6F0E"/>
    <w:rsid w:val="009A7177"/>
    <w:rsid w:val="009A7807"/>
    <w:rsid w:val="009B0731"/>
    <w:rsid w:val="009B14CA"/>
    <w:rsid w:val="009B1D8D"/>
    <w:rsid w:val="009B4B94"/>
    <w:rsid w:val="009B6E61"/>
    <w:rsid w:val="009B718F"/>
    <w:rsid w:val="009B7216"/>
    <w:rsid w:val="009B7319"/>
    <w:rsid w:val="009B762E"/>
    <w:rsid w:val="009B76FC"/>
    <w:rsid w:val="009C08B2"/>
    <w:rsid w:val="009C1CF7"/>
    <w:rsid w:val="009C4FD8"/>
    <w:rsid w:val="009C5F83"/>
    <w:rsid w:val="009C7055"/>
    <w:rsid w:val="009C7086"/>
    <w:rsid w:val="009D03BF"/>
    <w:rsid w:val="009D0DCA"/>
    <w:rsid w:val="009D1906"/>
    <w:rsid w:val="009D25EE"/>
    <w:rsid w:val="009D276E"/>
    <w:rsid w:val="009D33F3"/>
    <w:rsid w:val="009D389B"/>
    <w:rsid w:val="009D59FE"/>
    <w:rsid w:val="009D6E63"/>
    <w:rsid w:val="009D7EBA"/>
    <w:rsid w:val="009E066B"/>
    <w:rsid w:val="009E1003"/>
    <w:rsid w:val="009E2E72"/>
    <w:rsid w:val="009E4109"/>
    <w:rsid w:val="009E605C"/>
    <w:rsid w:val="009E77ED"/>
    <w:rsid w:val="009E7EBD"/>
    <w:rsid w:val="009F1470"/>
    <w:rsid w:val="009F35FD"/>
    <w:rsid w:val="009F39C6"/>
    <w:rsid w:val="009F3DD0"/>
    <w:rsid w:val="009F445E"/>
    <w:rsid w:val="009F495E"/>
    <w:rsid w:val="009F5390"/>
    <w:rsid w:val="009F54D1"/>
    <w:rsid w:val="009F5656"/>
    <w:rsid w:val="009F5A76"/>
    <w:rsid w:val="009F69F0"/>
    <w:rsid w:val="009F772B"/>
    <w:rsid w:val="00A012DC"/>
    <w:rsid w:val="00A02195"/>
    <w:rsid w:val="00A023C3"/>
    <w:rsid w:val="00A02CB8"/>
    <w:rsid w:val="00A06C04"/>
    <w:rsid w:val="00A06E03"/>
    <w:rsid w:val="00A07349"/>
    <w:rsid w:val="00A10F4B"/>
    <w:rsid w:val="00A1134B"/>
    <w:rsid w:val="00A12128"/>
    <w:rsid w:val="00A136C7"/>
    <w:rsid w:val="00A141F1"/>
    <w:rsid w:val="00A16929"/>
    <w:rsid w:val="00A16BB2"/>
    <w:rsid w:val="00A20742"/>
    <w:rsid w:val="00A21103"/>
    <w:rsid w:val="00A21CAE"/>
    <w:rsid w:val="00A23193"/>
    <w:rsid w:val="00A241FC"/>
    <w:rsid w:val="00A252E0"/>
    <w:rsid w:val="00A30B6C"/>
    <w:rsid w:val="00A3221C"/>
    <w:rsid w:val="00A3287E"/>
    <w:rsid w:val="00A32F17"/>
    <w:rsid w:val="00A33078"/>
    <w:rsid w:val="00A332E3"/>
    <w:rsid w:val="00A33E41"/>
    <w:rsid w:val="00A35DD0"/>
    <w:rsid w:val="00A37C86"/>
    <w:rsid w:val="00A40324"/>
    <w:rsid w:val="00A404F0"/>
    <w:rsid w:val="00A413D7"/>
    <w:rsid w:val="00A42D37"/>
    <w:rsid w:val="00A42E64"/>
    <w:rsid w:val="00A42F63"/>
    <w:rsid w:val="00A43260"/>
    <w:rsid w:val="00A443D2"/>
    <w:rsid w:val="00A452C4"/>
    <w:rsid w:val="00A4577D"/>
    <w:rsid w:val="00A459D6"/>
    <w:rsid w:val="00A5052D"/>
    <w:rsid w:val="00A52222"/>
    <w:rsid w:val="00A526EE"/>
    <w:rsid w:val="00A5279A"/>
    <w:rsid w:val="00A52AD0"/>
    <w:rsid w:val="00A52CCF"/>
    <w:rsid w:val="00A54FAB"/>
    <w:rsid w:val="00A55128"/>
    <w:rsid w:val="00A561A4"/>
    <w:rsid w:val="00A5697C"/>
    <w:rsid w:val="00A56CD0"/>
    <w:rsid w:val="00A60E18"/>
    <w:rsid w:val="00A617F6"/>
    <w:rsid w:val="00A62CFA"/>
    <w:rsid w:val="00A669B4"/>
    <w:rsid w:val="00A66DA3"/>
    <w:rsid w:val="00A71B8B"/>
    <w:rsid w:val="00A72FD6"/>
    <w:rsid w:val="00A738A4"/>
    <w:rsid w:val="00A73B07"/>
    <w:rsid w:val="00A73C27"/>
    <w:rsid w:val="00A73DF9"/>
    <w:rsid w:val="00A743E2"/>
    <w:rsid w:val="00A744BA"/>
    <w:rsid w:val="00A74528"/>
    <w:rsid w:val="00A773A3"/>
    <w:rsid w:val="00A77539"/>
    <w:rsid w:val="00A80E1B"/>
    <w:rsid w:val="00A82FA5"/>
    <w:rsid w:val="00A83475"/>
    <w:rsid w:val="00A83846"/>
    <w:rsid w:val="00A83AE9"/>
    <w:rsid w:val="00A8402C"/>
    <w:rsid w:val="00A842EB"/>
    <w:rsid w:val="00A84887"/>
    <w:rsid w:val="00A8516A"/>
    <w:rsid w:val="00A90F57"/>
    <w:rsid w:val="00A92A5C"/>
    <w:rsid w:val="00A94134"/>
    <w:rsid w:val="00A95BF3"/>
    <w:rsid w:val="00A969B8"/>
    <w:rsid w:val="00A96DA1"/>
    <w:rsid w:val="00AA026A"/>
    <w:rsid w:val="00AA04C0"/>
    <w:rsid w:val="00AA29FF"/>
    <w:rsid w:val="00AA3690"/>
    <w:rsid w:val="00AA448B"/>
    <w:rsid w:val="00AA46AA"/>
    <w:rsid w:val="00AA4758"/>
    <w:rsid w:val="00AA5560"/>
    <w:rsid w:val="00AA75C1"/>
    <w:rsid w:val="00AB03EB"/>
    <w:rsid w:val="00AB105D"/>
    <w:rsid w:val="00AB17EA"/>
    <w:rsid w:val="00AB298D"/>
    <w:rsid w:val="00AB29ED"/>
    <w:rsid w:val="00AB33E5"/>
    <w:rsid w:val="00AB4184"/>
    <w:rsid w:val="00AB517D"/>
    <w:rsid w:val="00AB55D0"/>
    <w:rsid w:val="00AB62FD"/>
    <w:rsid w:val="00AC079A"/>
    <w:rsid w:val="00AC13E4"/>
    <w:rsid w:val="00AC1D32"/>
    <w:rsid w:val="00AC2880"/>
    <w:rsid w:val="00AC28D3"/>
    <w:rsid w:val="00AC4545"/>
    <w:rsid w:val="00AC48CB"/>
    <w:rsid w:val="00AC4E48"/>
    <w:rsid w:val="00AC6385"/>
    <w:rsid w:val="00AC6B73"/>
    <w:rsid w:val="00AC714C"/>
    <w:rsid w:val="00AC7EEF"/>
    <w:rsid w:val="00AD0004"/>
    <w:rsid w:val="00AD0CB9"/>
    <w:rsid w:val="00AD24EA"/>
    <w:rsid w:val="00AD54AB"/>
    <w:rsid w:val="00AD6276"/>
    <w:rsid w:val="00AD6BCA"/>
    <w:rsid w:val="00AD7B06"/>
    <w:rsid w:val="00AE03CF"/>
    <w:rsid w:val="00AE0E53"/>
    <w:rsid w:val="00AE1808"/>
    <w:rsid w:val="00AE18CE"/>
    <w:rsid w:val="00AE2A6A"/>
    <w:rsid w:val="00AE3E21"/>
    <w:rsid w:val="00AE40C5"/>
    <w:rsid w:val="00AE79A2"/>
    <w:rsid w:val="00AF1E64"/>
    <w:rsid w:val="00AF2165"/>
    <w:rsid w:val="00AF3F55"/>
    <w:rsid w:val="00AF53FD"/>
    <w:rsid w:val="00AF65B5"/>
    <w:rsid w:val="00B02633"/>
    <w:rsid w:val="00B02C62"/>
    <w:rsid w:val="00B03509"/>
    <w:rsid w:val="00B037A6"/>
    <w:rsid w:val="00B04264"/>
    <w:rsid w:val="00B04271"/>
    <w:rsid w:val="00B04847"/>
    <w:rsid w:val="00B04AA8"/>
    <w:rsid w:val="00B06640"/>
    <w:rsid w:val="00B112AC"/>
    <w:rsid w:val="00B12367"/>
    <w:rsid w:val="00B13246"/>
    <w:rsid w:val="00B135F3"/>
    <w:rsid w:val="00B13726"/>
    <w:rsid w:val="00B15AE0"/>
    <w:rsid w:val="00B15C8A"/>
    <w:rsid w:val="00B1703C"/>
    <w:rsid w:val="00B177F7"/>
    <w:rsid w:val="00B17DC3"/>
    <w:rsid w:val="00B22956"/>
    <w:rsid w:val="00B22A4B"/>
    <w:rsid w:val="00B23C8D"/>
    <w:rsid w:val="00B247B1"/>
    <w:rsid w:val="00B2631B"/>
    <w:rsid w:val="00B2699B"/>
    <w:rsid w:val="00B26B97"/>
    <w:rsid w:val="00B30C30"/>
    <w:rsid w:val="00B31804"/>
    <w:rsid w:val="00B31FDF"/>
    <w:rsid w:val="00B32310"/>
    <w:rsid w:val="00B33D11"/>
    <w:rsid w:val="00B3580B"/>
    <w:rsid w:val="00B36FBE"/>
    <w:rsid w:val="00B373E8"/>
    <w:rsid w:val="00B374B4"/>
    <w:rsid w:val="00B37716"/>
    <w:rsid w:val="00B40530"/>
    <w:rsid w:val="00B42772"/>
    <w:rsid w:val="00B4327E"/>
    <w:rsid w:val="00B4384C"/>
    <w:rsid w:val="00B44270"/>
    <w:rsid w:val="00B4593D"/>
    <w:rsid w:val="00B4602E"/>
    <w:rsid w:val="00B468FA"/>
    <w:rsid w:val="00B4744D"/>
    <w:rsid w:val="00B50068"/>
    <w:rsid w:val="00B509F3"/>
    <w:rsid w:val="00B52519"/>
    <w:rsid w:val="00B52A31"/>
    <w:rsid w:val="00B54397"/>
    <w:rsid w:val="00B548D9"/>
    <w:rsid w:val="00B54B95"/>
    <w:rsid w:val="00B55101"/>
    <w:rsid w:val="00B56120"/>
    <w:rsid w:val="00B56899"/>
    <w:rsid w:val="00B61852"/>
    <w:rsid w:val="00B65033"/>
    <w:rsid w:val="00B65441"/>
    <w:rsid w:val="00B65609"/>
    <w:rsid w:val="00B65E54"/>
    <w:rsid w:val="00B6687A"/>
    <w:rsid w:val="00B66D85"/>
    <w:rsid w:val="00B67704"/>
    <w:rsid w:val="00B716D0"/>
    <w:rsid w:val="00B73964"/>
    <w:rsid w:val="00B74B01"/>
    <w:rsid w:val="00B7519D"/>
    <w:rsid w:val="00B829F4"/>
    <w:rsid w:val="00B82F41"/>
    <w:rsid w:val="00B84D5C"/>
    <w:rsid w:val="00B85583"/>
    <w:rsid w:val="00B85A41"/>
    <w:rsid w:val="00B85C94"/>
    <w:rsid w:val="00B864B4"/>
    <w:rsid w:val="00B8717A"/>
    <w:rsid w:val="00B87352"/>
    <w:rsid w:val="00B91751"/>
    <w:rsid w:val="00B924A8"/>
    <w:rsid w:val="00B92A41"/>
    <w:rsid w:val="00B92B32"/>
    <w:rsid w:val="00B95834"/>
    <w:rsid w:val="00B97A2B"/>
    <w:rsid w:val="00BA02F5"/>
    <w:rsid w:val="00BA10FD"/>
    <w:rsid w:val="00BA26EE"/>
    <w:rsid w:val="00BA3B30"/>
    <w:rsid w:val="00BA6031"/>
    <w:rsid w:val="00BA618C"/>
    <w:rsid w:val="00BA6DF4"/>
    <w:rsid w:val="00BB09ED"/>
    <w:rsid w:val="00BB2F39"/>
    <w:rsid w:val="00BB3710"/>
    <w:rsid w:val="00BB43FA"/>
    <w:rsid w:val="00BB5B97"/>
    <w:rsid w:val="00BB6EC3"/>
    <w:rsid w:val="00BC1690"/>
    <w:rsid w:val="00BC2081"/>
    <w:rsid w:val="00BC2393"/>
    <w:rsid w:val="00BC2C1A"/>
    <w:rsid w:val="00BC3A45"/>
    <w:rsid w:val="00BC57A1"/>
    <w:rsid w:val="00BC5BCE"/>
    <w:rsid w:val="00BD082C"/>
    <w:rsid w:val="00BD1124"/>
    <w:rsid w:val="00BD2A57"/>
    <w:rsid w:val="00BD5141"/>
    <w:rsid w:val="00BD78D7"/>
    <w:rsid w:val="00BE0C67"/>
    <w:rsid w:val="00BE273F"/>
    <w:rsid w:val="00BE2993"/>
    <w:rsid w:val="00BE4F96"/>
    <w:rsid w:val="00BE5464"/>
    <w:rsid w:val="00BE561A"/>
    <w:rsid w:val="00BE60E2"/>
    <w:rsid w:val="00BE7502"/>
    <w:rsid w:val="00BF40D8"/>
    <w:rsid w:val="00BF5A23"/>
    <w:rsid w:val="00BF5AE3"/>
    <w:rsid w:val="00BF6AD3"/>
    <w:rsid w:val="00BF7C8C"/>
    <w:rsid w:val="00C029B4"/>
    <w:rsid w:val="00C0387B"/>
    <w:rsid w:val="00C041AC"/>
    <w:rsid w:val="00C0446E"/>
    <w:rsid w:val="00C07CEA"/>
    <w:rsid w:val="00C103F9"/>
    <w:rsid w:val="00C10D14"/>
    <w:rsid w:val="00C12811"/>
    <w:rsid w:val="00C14687"/>
    <w:rsid w:val="00C158C9"/>
    <w:rsid w:val="00C15980"/>
    <w:rsid w:val="00C202C4"/>
    <w:rsid w:val="00C219D2"/>
    <w:rsid w:val="00C230C5"/>
    <w:rsid w:val="00C23671"/>
    <w:rsid w:val="00C246B8"/>
    <w:rsid w:val="00C2520C"/>
    <w:rsid w:val="00C2750F"/>
    <w:rsid w:val="00C27977"/>
    <w:rsid w:val="00C27BA8"/>
    <w:rsid w:val="00C30616"/>
    <w:rsid w:val="00C3169A"/>
    <w:rsid w:val="00C334A8"/>
    <w:rsid w:val="00C34EED"/>
    <w:rsid w:val="00C355AD"/>
    <w:rsid w:val="00C35B8C"/>
    <w:rsid w:val="00C365C0"/>
    <w:rsid w:val="00C3737A"/>
    <w:rsid w:val="00C3746D"/>
    <w:rsid w:val="00C37A9F"/>
    <w:rsid w:val="00C37FF5"/>
    <w:rsid w:val="00C40276"/>
    <w:rsid w:val="00C413CA"/>
    <w:rsid w:val="00C44586"/>
    <w:rsid w:val="00C44C1A"/>
    <w:rsid w:val="00C451E4"/>
    <w:rsid w:val="00C45BB9"/>
    <w:rsid w:val="00C465F1"/>
    <w:rsid w:val="00C4673C"/>
    <w:rsid w:val="00C47173"/>
    <w:rsid w:val="00C476CC"/>
    <w:rsid w:val="00C47E88"/>
    <w:rsid w:val="00C50488"/>
    <w:rsid w:val="00C51C54"/>
    <w:rsid w:val="00C522FF"/>
    <w:rsid w:val="00C52810"/>
    <w:rsid w:val="00C5345E"/>
    <w:rsid w:val="00C5366C"/>
    <w:rsid w:val="00C53CAE"/>
    <w:rsid w:val="00C53F12"/>
    <w:rsid w:val="00C56AB8"/>
    <w:rsid w:val="00C64250"/>
    <w:rsid w:val="00C65D47"/>
    <w:rsid w:val="00C66D22"/>
    <w:rsid w:val="00C715D5"/>
    <w:rsid w:val="00C7465B"/>
    <w:rsid w:val="00C76068"/>
    <w:rsid w:val="00C7695A"/>
    <w:rsid w:val="00C76C81"/>
    <w:rsid w:val="00C80C8F"/>
    <w:rsid w:val="00C82206"/>
    <w:rsid w:val="00C835C4"/>
    <w:rsid w:val="00C850CD"/>
    <w:rsid w:val="00C85471"/>
    <w:rsid w:val="00C864C3"/>
    <w:rsid w:val="00C9017F"/>
    <w:rsid w:val="00C90A83"/>
    <w:rsid w:val="00C93EF2"/>
    <w:rsid w:val="00C95059"/>
    <w:rsid w:val="00C95071"/>
    <w:rsid w:val="00C955FC"/>
    <w:rsid w:val="00C95B25"/>
    <w:rsid w:val="00CA0C0A"/>
    <w:rsid w:val="00CA108F"/>
    <w:rsid w:val="00CA14F4"/>
    <w:rsid w:val="00CA262A"/>
    <w:rsid w:val="00CA31AC"/>
    <w:rsid w:val="00CA53B4"/>
    <w:rsid w:val="00CB10D6"/>
    <w:rsid w:val="00CB138D"/>
    <w:rsid w:val="00CB1EA1"/>
    <w:rsid w:val="00CB234E"/>
    <w:rsid w:val="00CB267B"/>
    <w:rsid w:val="00CB2768"/>
    <w:rsid w:val="00CB3713"/>
    <w:rsid w:val="00CB45FB"/>
    <w:rsid w:val="00CB59DF"/>
    <w:rsid w:val="00CB6256"/>
    <w:rsid w:val="00CB7F06"/>
    <w:rsid w:val="00CC14B2"/>
    <w:rsid w:val="00CC33E6"/>
    <w:rsid w:val="00CC39E9"/>
    <w:rsid w:val="00CC4B12"/>
    <w:rsid w:val="00CC55FF"/>
    <w:rsid w:val="00CD00C0"/>
    <w:rsid w:val="00CD14FE"/>
    <w:rsid w:val="00CD1B13"/>
    <w:rsid w:val="00CD1B87"/>
    <w:rsid w:val="00CD232D"/>
    <w:rsid w:val="00CD2D48"/>
    <w:rsid w:val="00CD3721"/>
    <w:rsid w:val="00CD41DC"/>
    <w:rsid w:val="00CD45E0"/>
    <w:rsid w:val="00CD546E"/>
    <w:rsid w:val="00CD57BF"/>
    <w:rsid w:val="00CD6E87"/>
    <w:rsid w:val="00CE0A08"/>
    <w:rsid w:val="00CE0D8D"/>
    <w:rsid w:val="00CE1957"/>
    <w:rsid w:val="00CE1D5B"/>
    <w:rsid w:val="00CE255D"/>
    <w:rsid w:val="00CE2B28"/>
    <w:rsid w:val="00CF0C2E"/>
    <w:rsid w:val="00CF1991"/>
    <w:rsid w:val="00CF4EB4"/>
    <w:rsid w:val="00CF6B74"/>
    <w:rsid w:val="00CF7196"/>
    <w:rsid w:val="00D0264F"/>
    <w:rsid w:val="00D02DFA"/>
    <w:rsid w:val="00D03CA2"/>
    <w:rsid w:val="00D0464D"/>
    <w:rsid w:val="00D06ED1"/>
    <w:rsid w:val="00D11C96"/>
    <w:rsid w:val="00D11EF3"/>
    <w:rsid w:val="00D1244D"/>
    <w:rsid w:val="00D13002"/>
    <w:rsid w:val="00D13122"/>
    <w:rsid w:val="00D1365A"/>
    <w:rsid w:val="00D16D33"/>
    <w:rsid w:val="00D170B2"/>
    <w:rsid w:val="00D17E8F"/>
    <w:rsid w:val="00D2079F"/>
    <w:rsid w:val="00D20E8B"/>
    <w:rsid w:val="00D22789"/>
    <w:rsid w:val="00D24832"/>
    <w:rsid w:val="00D24DE2"/>
    <w:rsid w:val="00D254D7"/>
    <w:rsid w:val="00D261A3"/>
    <w:rsid w:val="00D26BA3"/>
    <w:rsid w:val="00D26FF0"/>
    <w:rsid w:val="00D27709"/>
    <w:rsid w:val="00D27F0F"/>
    <w:rsid w:val="00D310F9"/>
    <w:rsid w:val="00D314DA"/>
    <w:rsid w:val="00D3529C"/>
    <w:rsid w:val="00D35459"/>
    <w:rsid w:val="00D35AE7"/>
    <w:rsid w:val="00D378C5"/>
    <w:rsid w:val="00D427DA"/>
    <w:rsid w:val="00D43D65"/>
    <w:rsid w:val="00D467BF"/>
    <w:rsid w:val="00D4689F"/>
    <w:rsid w:val="00D47368"/>
    <w:rsid w:val="00D5112C"/>
    <w:rsid w:val="00D51A5A"/>
    <w:rsid w:val="00D51ECE"/>
    <w:rsid w:val="00D52A5C"/>
    <w:rsid w:val="00D53B74"/>
    <w:rsid w:val="00D54961"/>
    <w:rsid w:val="00D54C61"/>
    <w:rsid w:val="00D5519A"/>
    <w:rsid w:val="00D5544D"/>
    <w:rsid w:val="00D56791"/>
    <w:rsid w:val="00D56D70"/>
    <w:rsid w:val="00D5705A"/>
    <w:rsid w:val="00D5773A"/>
    <w:rsid w:val="00D57A13"/>
    <w:rsid w:val="00D57D04"/>
    <w:rsid w:val="00D60BA4"/>
    <w:rsid w:val="00D61C7C"/>
    <w:rsid w:val="00D61CD9"/>
    <w:rsid w:val="00D6249D"/>
    <w:rsid w:val="00D652DB"/>
    <w:rsid w:val="00D65305"/>
    <w:rsid w:val="00D7276C"/>
    <w:rsid w:val="00D75621"/>
    <w:rsid w:val="00D75C5A"/>
    <w:rsid w:val="00D76680"/>
    <w:rsid w:val="00D7791D"/>
    <w:rsid w:val="00D8085E"/>
    <w:rsid w:val="00D80C29"/>
    <w:rsid w:val="00D82CD6"/>
    <w:rsid w:val="00D83101"/>
    <w:rsid w:val="00D84517"/>
    <w:rsid w:val="00D8540A"/>
    <w:rsid w:val="00D8581E"/>
    <w:rsid w:val="00D863B3"/>
    <w:rsid w:val="00D86676"/>
    <w:rsid w:val="00D87E7A"/>
    <w:rsid w:val="00D94C54"/>
    <w:rsid w:val="00D95258"/>
    <w:rsid w:val="00D95D9C"/>
    <w:rsid w:val="00D96B5D"/>
    <w:rsid w:val="00D979B8"/>
    <w:rsid w:val="00DA2238"/>
    <w:rsid w:val="00DA2509"/>
    <w:rsid w:val="00DA2722"/>
    <w:rsid w:val="00DA2826"/>
    <w:rsid w:val="00DA2B78"/>
    <w:rsid w:val="00DA2C3A"/>
    <w:rsid w:val="00DA2E26"/>
    <w:rsid w:val="00DA303A"/>
    <w:rsid w:val="00DA3416"/>
    <w:rsid w:val="00DA4464"/>
    <w:rsid w:val="00DA6CCC"/>
    <w:rsid w:val="00DA7731"/>
    <w:rsid w:val="00DA77DF"/>
    <w:rsid w:val="00DB0483"/>
    <w:rsid w:val="00DB0C03"/>
    <w:rsid w:val="00DB1AAC"/>
    <w:rsid w:val="00DB1EBC"/>
    <w:rsid w:val="00DB1FC6"/>
    <w:rsid w:val="00DB468E"/>
    <w:rsid w:val="00DB4810"/>
    <w:rsid w:val="00DB52A9"/>
    <w:rsid w:val="00DB5E95"/>
    <w:rsid w:val="00DB616E"/>
    <w:rsid w:val="00DB6A42"/>
    <w:rsid w:val="00DB6D0F"/>
    <w:rsid w:val="00DB7599"/>
    <w:rsid w:val="00DC27A9"/>
    <w:rsid w:val="00DC2D4D"/>
    <w:rsid w:val="00DC3538"/>
    <w:rsid w:val="00DC4032"/>
    <w:rsid w:val="00DC4A98"/>
    <w:rsid w:val="00DC5646"/>
    <w:rsid w:val="00DC6632"/>
    <w:rsid w:val="00DC693B"/>
    <w:rsid w:val="00DC7B2D"/>
    <w:rsid w:val="00DC7D87"/>
    <w:rsid w:val="00DC7DBD"/>
    <w:rsid w:val="00DD041B"/>
    <w:rsid w:val="00DD0CEB"/>
    <w:rsid w:val="00DD1D89"/>
    <w:rsid w:val="00DD48B5"/>
    <w:rsid w:val="00DD5DDF"/>
    <w:rsid w:val="00DD69F0"/>
    <w:rsid w:val="00DD6D98"/>
    <w:rsid w:val="00DD7558"/>
    <w:rsid w:val="00DD774B"/>
    <w:rsid w:val="00DD78A5"/>
    <w:rsid w:val="00DE0A14"/>
    <w:rsid w:val="00DE3C49"/>
    <w:rsid w:val="00DE61D1"/>
    <w:rsid w:val="00DE639E"/>
    <w:rsid w:val="00DE6A3C"/>
    <w:rsid w:val="00DE7259"/>
    <w:rsid w:val="00DE7912"/>
    <w:rsid w:val="00DE7CE0"/>
    <w:rsid w:val="00DF08EA"/>
    <w:rsid w:val="00DF196E"/>
    <w:rsid w:val="00DF2FE5"/>
    <w:rsid w:val="00DF4B09"/>
    <w:rsid w:val="00DF53D1"/>
    <w:rsid w:val="00DF6298"/>
    <w:rsid w:val="00DF735E"/>
    <w:rsid w:val="00DF7F4B"/>
    <w:rsid w:val="00E002DB"/>
    <w:rsid w:val="00E021CC"/>
    <w:rsid w:val="00E022BC"/>
    <w:rsid w:val="00E03712"/>
    <w:rsid w:val="00E05297"/>
    <w:rsid w:val="00E062F9"/>
    <w:rsid w:val="00E07372"/>
    <w:rsid w:val="00E120F2"/>
    <w:rsid w:val="00E132E8"/>
    <w:rsid w:val="00E13B9C"/>
    <w:rsid w:val="00E13E91"/>
    <w:rsid w:val="00E14022"/>
    <w:rsid w:val="00E14784"/>
    <w:rsid w:val="00E1524C"/>
    <w:rsid w:val="00E1552A"/>
    <w:rsid w:val="00E15639"/>
    <w:rsid w:val="00E15879"/>
    <w:rsid w:val="00E16E59"/>
    <w:rsid w:val="00E1795B"/>
    <w:rsid w:val="00E17EB6"/>
    <w:rsid w:val="00E209C8"/>
    <w:rsid w:val="00E20CDE"/>
    <w:rsid w:val="00E211BC"/>
    <w:rsid w:val="00E236DB"/>
    <w:rsid w:val="00E24898"/>
    <w:rsid w:val="00E24DE0"/>
    <w:rsid w:val="00E25481"/>
    <w:rsid w:val="00E25B29"/>
    <w:rsid w:val="00E260CF"/>
    <w:rsid w:val="00E306BC"/>
    <w:rsid w:val="00E30F70"/>
    <w:rsid w:val="00E311AE"/>
    <w:rsid w:val="00E318DD"/>
    <w:rsid w:val="00E31C8D"/>
    <w:rsid w:val="00E34D23"/>
    <w:rsid w:val="00E35623"/>
    <w:rsid w:val="00E36AC0"/>
    <w:rsid w:val="00E370E4"/>
    <w:rsid w:val="00E37AA8"/>
    <w:rsid w:val="00E402B8"/>
    <w:rsid w:val="00E40888"/>
    <w:rsid w:val="00E409A5"/>
    <w:rsid w:val="00E41C19"/>
    <w:rsid w:val="00E46CBD"/>
    <w:rsid w:val="00E504FB"/>
    <w:rsid w:val="00E506C1"/>
    <w:rsid w:val="00E5124B"/>
    <w:rsid w:val="00E51A21"/>
    <w:rsid w:val="00E54447"/>
    <w:rsid w:val="00E54616"/>
    <w:rsid w:val="00E57849"/>
    <w:rsid w:val="00E6084B"/>
    <w:rsid w:val="00E60979"/>
    <w:rsid w:val="00E620C1"/>
    <w:rsid w:val="00E633DF"/>
    <w:rsid w:val="00E63496"/>
    <w:rsid w:val="00E64970"/>
    <w:rsid w:val="00E67CF1"/>
    <w:rsid w:val="00E7064F"/>
    <w:rsid w:val="00E716D8"/>
    <w:rsid w:val="00E719EF"/>
    <w:rsid w:val="00E71F91"/>
    <w:rsid w:val="00E77A48"/>
    <w:rsid w:val="00E77C3B"/>
    <w:rsid w:val="00E801FE"/>
    <w:rsid w:val="00E809AD"/>
    <w:rsid w:val="00E8112F"/>
    <w:rsid w:val="00E814BA"/>
    <w:rsid w:val="00E824DA"/>
    <w:rsid w:val="00E84AE4"/>
    <w:rsid w:val="00E91B8E"/>
    <w:rsid w:val="00E9261C"/>
    <w:rsid w:val="00E934DA"/>
    <w:rsid w:val="00E94679"/>
    <w:rsid w:val="00E94B09"/>
    <w:rsid w:val="00E97019"/>
    <w:rsid w:val="00EA0038"/>
    <w:rsid w:val="00EA0ADE"/>
    <w:rsid w:val="00EA0B7A"/>
    <w:rsid w:val="00EA23D7"/>
    <w:rsid w:val="00EA26F7"/>
    <w:rsid w:val="00EA2C58"/>
    <w:rsid w:val="00EA3831"/>
    <w:rsid w:val="00EA3A11"/>
    <w:rsid w:val="00EA3BB9"/>
    <w:rsid w:val="00EA3F8C"/>
    <w:rsid w:val="00EA5AD6"/>
    <w:rsid w:val="00EB0976"/>
    <w:rsid w:val="00EB273F"/>
    <w:rsid w:val="00EB343D"/>
    <w:rsid w:val="00EB36DA"/>
    <w:rsid w:val="00EB4399"/>
    <w:rsid w:val="00EB519B"/>
    <w:rsid w:val="00EC04A1"/>
    <w:rsid w:val="00EC0A31"/>
    <w:rsid w:val="00EC18F9"/>
    <w:rsid w:val="00EC323A"/>
    <w:rsid w:val="00EC3653"/>
    <w:rsid w:val="00EC38B2"/>
    <w:rsid w:val="00EC3ADE"/>
    <w:rsid w:val="00EC467D"/>
    <w:rsid w:val="00EC4DAF"/>
    <w:rsid w:val="00EC5AA9"/>
    <w:rsid w:val="00EC5CCB"/>
    <w:rsid w:val="00EC5E20"/>
    <w:rsid w:val="00EC768D"/>
    <w:rsid w:val="00ED016F"/>
    <w:rsid w:val="00ED08CA"/>
    <w:rsid w:val="00ED1814"/>
    <w:rsid w:val="00ED1B5F"/>
    <w:rsid w:val="00ED2AC5"/>
    <w:rsid w:val="00ED3F20"/>
    <w:rsid w:val="00ED46E0"/>
    <w:rsid w:val="00ED68E1"/>
    <w:rsid w:val="00EE04F4"/>
    <w:rsid w:val="00EE0EB5"/>
    <w:rsid w:val="00EE1D8C"/>
    <w:rsid w:val="00EE2175"/>
    <w:rsid w:val="00EE2444"/>
    <w:rsid w:val="00EE2D45"/>
    <w:rsid w:val="00EE34E2"/>
    <w:rsid w:val="00EE69D7"/>
    <w:rsid w:val="00EF0AF0"/>
    <w:rsid w:val="00EF1911"/>
    <w:rsid w:val="00EF1F5C"/>
    <w:rsid w:val="00EF5E7D"/>
    <w:rsid w:val="00EF6873"/>
    <w:rsid w:val="00EF7A76"/>
    <w:rsid w:val="00F00BFA"/>
    <w:rsid w:val="00F01F86"/>
    <w:rsid w:val="00F02BC5"/>
    <w:rsid w:val="00F03634"/>
    <w:rsid w:val="00F043D5"/>
    <w:rsid w:val="00F04761"/>
    <w:rsid w:val="00F04B06"/>
    <w:rsid w:val="00F04E6B"/>
    <w:rsid w:val="00F13AD0"/>
    <w:rsid w:val="00F16D76"/>
    <w:rsid w:val="00F202AA"/>
    <w:rsid w:val="00F2450C"/>
    <w:rsid w:val="00F24803"/>
    <w:rsid w:val="00F257E0"/>
    <w:rsid w:val="00F2696E"/>
    <w:rsid w:val="00F27624"/>
    <w:rsid w:val="00F30BD2"/>
    <w:rsid w:val="00F318FB"/>
    <w:rsid w:val="00F31D9E"/>
    <w:rsid w:val="00F33794"/>
    <w:rsid w:val="00F34C5C"/>
    <w:rsid w:val="00F3609A"/>
    <w:rsid w:val="00F37AF4"/>
    <w:rsid w:val="00F40867"/>
    <w:rsid w:val="00F42781"/>
    <w:rsid w:val="00F42F02"/>
    <w:rsid w:val="00F46537"/>
    <w:rsid w:val="00F46548"/>
    <w:rsid w:val="00F47027"/>
    <w:rsid w:val="00F50026"/>
    <w:rsid w:val="00F51461"/>
    <w:rsid w:val="00F52E0A"/>
    <w:rsid w:val="00F52E68"/>
    <w:rsid w:val="00F54146"/>
    <w:rsid w:val="00F55356"/>
    <w:rsid w:val="00F5768F"/>
    <w:rsid w:val="00F603DE"/>
    <w:rsid w:val="00F60A58"/>
    <w:rsid w:val="00F63130"/>
    <w:rsid w:val="00F64669"/>
    <w:rsid w:val="00F65CD0"/>
    <w:rsid w:val="00F66733"/>
    <w:rsid w:val="00F66B7E"/>
    <w:rsid w:val="00F67198"/>
    <w:rsid w:val="00F67307"/>
    <w:rsid w:val="00F67A8D"/>
    <w:rsid w:val="00F702C9"/>
    <w:rsid w:val="00F73DF7"/>
    <w:rsid w:val="00F74D84"/>
    <w:rsid w:val="00F75D49"/>
    <w:rsid w:val="00F762E5"/>
    <w:rsid w:val="00F76855"/>
    <w:rsid w:val="00F772D3"/>
    <w:rsid w:val="00F77FC0"/>
    <w:rsid w:val="00F81667"/>
    <w:rsid w:val="00F81A9A"/>
    <w:rsid w:val="00F82087"/>
    <w:rsid w:val="00F82E7F"/>
    <w:rsid w:val="00F85684"/>
    <w:rsid w:val="00F876E1"/>
    <w:rsid w:val="00F87916"/>
    <w:rsid w:val="00F912E6"/>
    <w:rsid w:val="00F931B4"/>
    <w:rsid w:val="00F945BA"/>
    <w:rsid w:val="00F953A8"/>
    <w:rsid w:val="00FA3DEC"/>
    <w:rsid w:val="00FA5778"/>
    <w:rsid w:val="00FA59CF"/>
    <w:rsid w:val="00FA5CA2"/>
    <w:rsid w:val="00FB00F4"/>
    <w:rsid w:val="00FB0758"/>
    <w:rsid w:val="00FB18B3"/>
    <w:rsid w:val="00FB2A5C"/>
    <w:rsid w:val="00FB4234"/>
    <w:rsid w:val="00FB4508"/>
    <w:rsid w:val="00FB4BE9"/>
    <w:rsid w:val="00FB5AE5"/>
    <w:rsid w:val="00FB5E0A"/>
    <w:rsid w:val="00FB629D"/>
    <w:rsid w:val="00FB7ACC"/>
    <w:rsid w:val="00FC083A"/>
    <w:rsid w:val="00FC16E9"/>
    <w:rsid w:val="00FC2624"/>
    <w:rsid w:val="00FC3B53"/>
    <w:rsid w:val="00FC53A1"/>
    <w:rsid w:val="00FC7837"/>
    <w:rsid w:val="00FD00A8"/>
    <w:rsid w:val="00FD0282"/>
    <w:rsid w:val="00FD1058"/>
    <w:rsid w:val="00FD2FEC"/>
    <w:rsid w:val="00FD669B"/>
    <w:rsid w:val="00FD7ED4"/>
    <w:rsid w:val="00FE026F"/>
    <w:rsid w:val="00FE1C25"/>
    <w:rsid w:val="00FE33CC"/>
    <w:rsid w:val="00FE3D26"/>
    <w:rsid w:val="00FE3D76"/>
    <w:rsid w:val="00FE3DBC"/>
    <w:rsid w:val="00FE4242"/>
    <w:rsid w:val="00FE4729"/>
    <w:rsid w:val="00FE4F09"/>
    <w:rsid w:val="00FE79C7"/>
    <w:rsid w:val="00FF4A6E"/>
    <w:rsid w:val="00FF52BC"/>
    <w:rsid w:val="00FF54E6"/>
    <w:rsid w:val="00FF6E12"/>
  </w:rsids>
  <m:mathPr>
    <m:mathFont m:val="Cambria Math"/>
    <m:brkBin m:val="before"/>
    <m:brkBinSub m:val="--"/>
    <m:smallFrac/>
    <m:dispDef/>
    <m:lMargin m:val="0"/>
    <m:rMargin m:val="0"/>
    <m:defJc m:val="centerGroup"/>
    <m:wrapIndent m:val="1440"/>
    <m:intLim m:val="subSup"/>
    <m:naryLim m:val="undOvr"/>
  </m:mathPr>
  <w:attachedSchema w:val="http://schemas.microsoft.com/office/word/2003/wordm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Emphasis" w:uiPriority="20"/>
    <w:lsdException w:name="List Paragraph" w:uiPriority="34" w:qFormat="1"/>
  </w:latentStyles>
  <w:style w:type="paragraph" w:default="1" w:styleId="Normal">
    <w:name w:val="Normal"/>
    <w:link w:val="CarCar1"/>
    <w:qFormat/>
    <w:rsid w:val="008D6864"/>
    <w:rPr>
      <w:snapToGrid w:val="0"/>
      <w:lang w:eastAsia="es-ES"/>
    </w:rPr>
  </w:style>
  <w:style w:type="paragraph" w:styleId="Heading1">
    <w:name w:val="heading 1"/>
    <w:basedOn w:val="Normal"/>
    <w:next w:val="Normal"/>
    <w:link w:val="Heading1Char"/>
    <w:qFormat/>
    <w:rsid w:val="00004D47"/>
    <w:pPr>
      <w:keepNext/>
      <w:numPr>
        <w:numId w:val="2"/>
      </w:numPr>
      <w:spacing w:before="240" w:after="60"/>
      <w:outlineLvl w:val="0"/>
    </w:pPr>
    <w:rPr>
      <w:rFonts w:ascii="Arial" w:hAnsi="Arial"/>
      <w:b/>
      <w:kern w:val="28"/>
      <w:sz w:val="28"/>
    </w:rPr>
  </w:style>
  <w:style w:type="paragraph" w:styleId="Heading2">
    <w:name w:val="heading 2"/>
    <w:basedOn w:val="Normal"/>
    <w:next w:val="Normal"/>
    <w:qFormat/>
    <w:rsid w:val="00004D47"/>
    <w:pPr>
      <w:keepNext/>
      <w:numPr>
        <w:ilvl w:val="1"/>
        <w:numId w:val="3"/>
      </w:numPr>
      <w:spacing w:before="240" w:after="60"/>
      <w:outlineLvl w:val="1"/>
    </w:pPr>
    <w:rPr>
      <w:rFonts w:ascii="Arial" w:hAnsi="Arial"/>
      <w:b/>
      <w:i/>
    </w:rPr>
  </w:style>
  <w:style w:type="paragraph" w:styleId="Heading3">
    <w:name w:val="heading 3"/>
    <w:basedOn w:val="Normal"/>
    <w:next w:val="Normal"/>
    <w:qFormat/>
    <w:rsid w:val="00004D47"/>
    <w:pPr>
      <w:keepNext/>
      <w:numPr>
        <w:ilvl w:val="2"/>
        <w:numId w:val="4"/>
      </w:numPr>
      <w:spacing w:before="240" w:after="60"/>
      <w:outlineLvl w:val="2"/>
    </w:pPr>
    <w:rPr>
      <w:rFonts w:ascii="Arial" w:hAnsi="Arial"/>
    </w:rPr>
  </w:style>
  <w:style w:type="paragraph" w:styleId="Heading4">
    <w:name w:val="heading 4"/>
    <w:aliases w:val="H4"/>
    <w:basedOn w:val="Normal"/>
    <w:next w:val="Normal"/>
    <w:qFormat/>
    <w:rsid w:val="00004D47"/>
    <w:pPr>
      <w:keepNext/>
      <w:numPr>
        <w:ilvl w:val="3"/>
        <w:numId w:val="5"/>
      </w:numPr>
      <w:spacing w:before="240" w:after="60"/>
      <w:outlineLvl w:val="3"/>
    </w:pPr>
    <w:rPr>
      <w:rFonts w:ascii="Arial" w:hAnsi="Arial"/>
      <w:b/>
    </w:rPr>
  </w:style>
  <w:style w:type="paragraph" w:styleId="Heading5">
    <w:name w:val="heading 5"/>
    <w:basedOn w:val="Normal"/>
    <w:next w:val="Normal"/>
    <w:qFormat/>
    <w:rsid w:val="00004D47"/>
    <w:pPr>
      <w:numPr>
        <w:ilvl w:val="4"/>
        <w:numId w:val="6"/>
      </w:numPr>
      <w:spacing w:before="240" w:after="60"/>
      <w:outlineLvl w:val="4"/>
    </w:pPr>
    <w:rPr>
      <w:sz w:val="22"/>
    </w:rPr>
  </w:style>
  <w:style w:type="paragraph" w:styleId="Heading6">
    <w:name w:val="heading 6"/>
    <w:basedOn w:val="Normal"/>
    <w:next w:val="Normal"/>
    <w:link w:val="Heading6Char"/>
    <w:qFormat/>
    <w:rsid w:val="00004D47"/>
    <w:pPr>
      <w:numPr>
        <w:ilvl w:val="5"/>
        <w:numId w:val="7"/>
      </w:numPr>
      <w:spacing w:before="240" w:after="60"/>
      <w:outlineLvl w:val="5"/>
    </w:pPr>
    <w:rPr>
      <w:snapToGrid/>
      <w:lang w:val="es-ES"/>
    </w:rPr>
  </w:style>
  <w:style w:type="paragraph" w:styleId="Heading7">
    <w:name w:val="heading 7"/>
    <w:basedOn w:val="Normal"/>
    <w:next w:val="Normal"/>
    <w:qFormat/>
    <w:rsid w:val="00004D47"/>
    <w:pPr>
      <w:numPr>
        <w:ilvl w:val="6"/>
        <w:numId w:val="8"/>
      </w:numPr>
      <w:spacing w:before="240" w:after="60"/>
      <w:outlineLvl w:val="6"/>
    </w:pPr>
    <w:rPr>
      <w:rFonts w:ascii="Arial" w:hAnsi="Arial"/>
    </w:rPr>
  </w:style>
  <w:style w:type="paragraph" w:styleId="Heading8">
    <w:name w:val="heading 8"/>
    <w:basedOn w:val="Normal"/>
    <w:next w:val="Normal"/>
    <w:qFormat/>
    <w:rsid w:val="00004D47"/>
    <w:pPr>
      <w:numPr>
        <w:ilvl w:val="7"/>
        <w:numId w:val="9"/>
      </w:numPr>
      <w:spacing w:before="240" w:after="60"/>
      <w:outlineLvl w:val="7"/>
    </w:pPr>
    <w:rPr>
      <w:rFonts w:ascii="Arial" w:hAnsi="Arial"/>
      <w:i/>
    </w:rPr>
  </w:style>
  <w:style w:type="paragraph" w:styleId="Heading9">
    <w:name w:val="heading 9"/>
    <w:basedOn w:val="Normal"/>
    <w:next w:val="Normal"/>
    <w:qFormat/>
    <w:rsid w:val="00004D47"/>
    <w:pPr>
      <w:numPr>
        <w:ilvl w:val="8"/>
        <w:numId w:val="10"/>
      </w:num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004D47"/>
    <w:rPr>
      <w:sz w:val="16"/>
      <w:szCs w:val="16"/>
    </w:rPr>
  </w:style>
  <w:style w:type="character" w:customStyle="1" w:styleId="BalloonTextChar">
    <w:name w:val="Balloon Text Char"/>
    <w:basedOn w:val="DefaultParagraphFont"/>
    <w:uiPriority w:val="99"/>
    <w:semiHidden/>
    <w:rsid w:val="00177612"/>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56E93"/>
    <w:rPr>
      <w:rFonts w:ascii="Lucida Grande" w:hAnsi="Lucida Grande"/>
      <w:sz w:val="18"/>
      <w:szCs w:val="18"/>
    </w:rPr>
  </w:style>
  <w:style w:type="paragraph" w:customStyle="1" w:styleId="Annex">
    <w:name w:val="Annex"/>
    <w:basedOn w:val="Normal"/>
    <w:rsid w:val="00004D47"/>
    <w:rPr>
      <w:caps/>
      <w:lang w:val="es-ES_tradnl"/>
    </w:rPr>
  </w:style>
  <w:style w:type="paragraph" w:customStyle="1" w:styleId="ABBR">
    <w:name w:val="ABBR"/>
    <w:basedOn w:val="Annex"/>
    <w:rsid w:val="00004D47"/>
  </w:style>
  <w:style w:type="paragraph" w:customStyle="1" w:styleId="AbbrDesc">
    <w:name w:val="AbbrDesc"/>
    <w:basedOn w:val="Normal"/>
    <w:link w:val="AbbrDescChar"/>
    <w:rsid w:val="00004D47"/>
    <w:pPr>
      <w:tabs>
        <w:tab w:val="left" w:pos="3060"/>
      </w:tabs>
      <w:jc w:val="both"/>
    </w:pPr>
    <w:rPr>
      <w:lang w:val="es-ES_tradnl"/>
    </w:rPr>
  </w:style>
  <w:style w:type="paragraph" w:styleId="BodyText">
    <w:name w:val="Body Text"/>
    <w:basedOn w:val="Normal"/>
    <w:rsid w:val="00004D47"/>
    <w:pPr>
      <w:tabs>
        <w:tab w:val="left" w:pos="3060"/>
      </w:tabs>
      <w:jc w:val="center"/>
    </w:pPr>
  </w:style>
  <w:style w:type="paragraph" w:styleId="BodyTextIndent">
    <w:name w:val="Body Text Indent"/>
    <w:basedOn w:val="Normal"/>
    <w:rsid w:val="00004D47"/>
    <w:pPr>
      <w:spacing w:after="120"/>
      <w:ind w:left="360"/>
    </w:pPr>
  </w:style>
  <w:style w:type="paragraph" w:styleId="BodyTextIndent3">
    <w:name w:val="Body Text Indent 3"/>
    <w:basedOn w:val="Normal"/>
    <w:rsid w:val="00004D47"/>
    <w:pPr>
      <w:spacing w:after="120"/>
      <w:ind w:left="360"/>
    </w:pPr>
  </w:style>
  <w:style w:type="paragraph" w:customStyle="1" w:styleId="Chapter">
    <w:name w:val="Chapter"/>
    <w:basedOn w:val="Normal"/>
    <w:next w:val="Normal"/>
    <w:rsid w:val="00004D47"/>
    <w:pPr>
      <w:keepNext/>
      <w:tabs>
        <w:tab w:val="num" w:pos="648"/>
        <w:tab w:val="left" w:pos="1440"/>
      </w:tabs>
      <w:spacing w:before="240" w:after="240"/>
      <w:ind w:firstLine="288"/>
      <w:jc w:val="center"/>
    </w:pPr>
    <w:rPr>
      <w:b/>
      <w:smallCaps/>
      <w:lang w:val="es-ES"/>
    </w:rPr>
  </w:style>
  <w:style w:type="paragraph" w:styleId="DocumentMap">
    <w:name w:val="Document Map"/>
    <w:basedOn w:val="Normal"/>
    <w:semiHidden/>
    <w:rsid w:val="00004D47"/>
    <w:pPr>
      <w:shd w:val="clear" w:color="auto" w:fill="000080"/>
    </w:pPr>
  </w:style>
  <w:style w:type="paragraph" w:customStyle="1" w:styleId="FirstHeading">
    <w:name w:val="FirstHeading"/>
    <w:basedOn w:val="Normal"/>
    <w:next w:val="Normal"/>
    <w:rsid w:val="00BC57A1"/>
    <w:pPr>
      <w:keepNext/>
      <w:tabs>
        <w:tab w:val="left" w:pos="0"/>
        <w:tab w:val="left" w:pos="86"/>
      </w:tabs>
      <w:spacing w:before="120" w:after="120"/>
      <w:ind w:left="720" w:hanging="720"/>
    </w:pPr>
    <w:rPr>
      <w:b/>
      <w:lang w:val="es-ES"/>
    </w:rPr>
  </w:style>
  <w:style w:type="paragraph" w:styleId="Footer">
    <w:name w:val="footer"/>
    <w:basedOn w:val="Normal"/>
    <w:rsid w:val="00004D47"/>
    <w:pPr>
      <w:tabs>
        <w:tab w:val="center" w:pos="4320"/>
        <w:tab w:val="right" w:pos="8640"/>
      </w:tabs>
    </w:pPr>
  </w:style>
  <w:style w:type="paragraph" w:styleId="FootnoteText">
    <w:name w:val="footnote text"/>
    <w:basedOn w:val="Normal"/>
    <w:link w:val="FootnoteTextChar"/>
    <w:uiPriority w:val="99"/>
    <w:semiHidden/>
    <w:rsid w:val="00004D47"/>
    <w:pPr>
      <w:keepNext/>
      <w:keepLines/>
      <w:spacing w:after="120"/>
      <w:ind w:left="288" w:hanging="288"/>
      <w:jc w:val="both"/>
    </w:pPr>
    <w:rPr>
      <w:spacing w:val="-3"/>
      <w:sz w:val="20"/>
    </w:rPr>
  </w:style>
  <w:style w:type="paragraph" w:styleId="Header">
    <w:name w:val="header"/>
    <w:basedOn w:val="Normal"/>
    <w:rsid w:val="00004D47"/>
    <w:pPr>
      <w:tabs>
        <w:tab w:val="center" w:pos="4320"/>
        <w:tab w:val="right" w:pos="8640"/>
      </w:tabs>
    </w:pPr>
  </w:style>
  <w:style w:type="character" w:styleId="LineNumber">
    <w:name w:val="line number"/>
    <w:basedOn w:val="DefaultParagraphFont"/>
    <w:rsid w:val="00004D47"/>
    <w:rPr>
      <w:rFonts w:cs="Times New Roman"/>
    </w:rPr>
  </w:style>
  <w:style w:type="paragraph" w:customStyle="1" w:styleId="MasterSourceText">
    <w:name w:val="Master_SourceText"/>
    <w:basedOn w:val="Normal"/>
    <w:rsid w:val="00004D47"/>
    <w:pPr>
      <w:tabs>
        <w:tab w:val="left" w:pos="1440"/>
      </w:tabs>
      <w:ind w:left="1440" w:hanging="720"/>
      <w:jc w:val="both"/>
    </w:pPr>
    <w:rPr>
      <w:sz w:val="20"/>
      <w:lang w:val="es-ES_tradnl"/>
    </w:rPr>
  </w:style>
  <w:style w:type="paragraph" w:customStyle="1" w:styleId="Newpage">
    <w:name w:val="Newpage"/>
    <w:basedOn w:val="Chapter"/>
    <w:rsid w:val="00004D47"/>
    <w:pPr>
      <w:tabs>
        <w:tab w:val="clear" w:pos="1440"/>
        <w:tab w:val="left" w:pos="3060"/>
      </w:tabs>
      <w:spacing w:after="0"/>
    </w:pPr>
  </w:style>
  <w:style w:type="character" w:styleId="PageNumber">
    <w:name w:val="page number"/>
    <w:basedOn w:val="DefaultParagraphFont"/>
    <w:rsid w:val="00004D47"/>
    <w:rPr>
      <w:rFonts w:cs="Times New Roman"/>
    </w:rPr>
  </w:style>
  <w:style w:type="paragraph" w:customStyle="1" w:styleId="Paragraph">
    <w:name w:val="Paragraph"/>
    <w:aliases w:val="p,PARAGRAPH,PG,pa,at,paragraph"/>
    <w:basedOn w:val="BodyTextIndent"/>
    <w:link w:val="ParagraphChar"/>
    <w:rsid w:val="00004D47"/>
    <w:pPr>
      <w:tabs>
        <w:tab w:val="num" w:pos="720"/>
      </w:tabs>
      <w:spacing w:before="120"/>
      <w:ind w:left="720" w:hanging="720"/>
      <w:jc w:val="both"/>
      <w:outlineLvl w:val="1"/>
    </w:pPr>
    <w:rPr>
      <w:lang w:val="es-ES"/>
    </w:rPr>
  </w:style>
  <w:style w:type="paragraph" w:customStyle="1" w:styleId="RegheadTab">
    <w:name w:val="RegheadTab"/>
    <w:basedOn w:val="FirstHeading"/>
    <w:rsid w:val="00004D47"/>
    <w:pPr>
      <w:tabs>
        <w:tab w:val="num" w:pos="504"/>
      </w:tabs>
      <w:spacing w:after="0"/>
      <w:ind w:left="504" w:hanging="504"/>
      <w:jc w:val="center"/>
    </w:pPr>
  </w:style>
  <w:style w:type="paragraph" w:customStyle="1" w:styleId="SecHeading">
    <w:name w:val="SecHeading"/>
    <w:basedOn w:val="Normal"/>
    <w:next w:val="Paragraph"/>
    <w:rsid w:val="00BC57A1"/>
    <w:pPr>
      <w:keepNext/>
      <w:tabs>
        <w:tab w:val="num" w:pos="1296"/>
      </w:tabs>
      <w:spacing w:before="120" w:after="120"/>
      <w:ind w:left="1296" w:hanging="576"/>
    </w:pPr>
    <w:rPr>
      <w:b/>
      <w:lang w:val="es-ES_tradnl"/>
    </w:rPr>
  </w:style>
  <w:style w:type="paragraph" w:customStyle="1" w:styleId="SubHeading1">
    <w:name w:val="SubHeading1"/>
    <w:basedOn w:val="SecHeading"/>
    <w:rsid w:val="00004D47"/>
    <w:pPr>
      <w:numPr>
        <w:ilvl w:val="2"/>
      </w:numPr>
      <w:tabs>
        <w:tab w:val="num" w:pos="1296"/>
        <w:tab w:val="num" w:pos="1872"/>
      </w:tabs>
      <w:ind w:left="1872" w:hanging="576"/>
    </w:pPr>
  </w:style>
  <w:style w:type="paragraph" w:customStyle="1" w:styleId="Subheading2">
    <w:name w:val="Subheading2"/>
    <w:basedOn w:val="SecHeading"/>
    <w:rsid w:val="00004D47"/>
    <w:pPr>
      <w:numPr>
        <w:ilvl w:val="3"/>
      </w:numPr>
      <w:tabs>
        <w:tab w:val="num" w:pos="1296"/>
        <w:tab w:val="num" w:pos="2376"/>
      </w:tabs>
      <w:ind w:left="2376" w:hanging="288"/>
    </w:pPr>
  </w:style>
  <w:style w:type="paragraph" w:customStyle="1" w:styleId="subpar">
    <w:name w:val="subpar"/>
    <w:basedOn w:val="BodyTextIndent3"/>
    <w:rsid w:val="00004D47"/>
    <w:pPr>
      <w:tabs>
        <w:tab w:val="num" w:pos="1152"/>
      </w:tabs>
      <w:spacing w:before="120"/>
      <w:ind w:left="1152" w:hanging="432"/>
      <w:jc w:val="both"/>
      <w:outlineLvl w:val="2"/>
    </w:pPr>
    <w:rPr>
      <w:lang w:val="es-ES_tradnl"/>
    </w:rPr>
  </w:style>
  <w:style w:type="paragraph" w:customStyle="1" w:styleId="SubSubPar">
    <w:name w:val="SubSubPar"/>
    <w:basedOn w:val="subpar"/>
    <w:rsid w:val="00004D47"/>
    <w:pPr>
      <w:numPr>
        <w:ilvl w:val="3"/>
      </w:numPr>
      <w:tabs>
        <w:tab w:val="left" w:pos="0"/>
        <w:tab w:val="num" w:pos="1152"/>
        <w:tab w:val="num" w:pos="1296"/>
      </w:tabs>
      <w:ind w:left="1296" w:hanging="288"/>
    </w:pPr>
  </w:style>
  <w:style w:type="paragraph" w:styleId="Title">
    <w:name w:val="Title"/>
    <w:basedOn w:val="Normal"/>
    <w:qFormat/>
    <w:rsid w:val="00004D47"/>
    <w:pPr>
      <w:tabs>
        <w:tab w:val="left" w:pos="1440"/>
        <w:tab w:val="left" w:pos="3060"/>
      </w:tabs>
      <w:jc w:val="center"/>
      <w:outlineLvl w:val="0"/>
    </w:pPr>
  </w:style>
  <w:style w:type="paragraph" w:styleId="TOC1">
    <w:name w:val="toc 1"/>
    <w:basedOn w:val="Normal"/>
    <w:next w:val="Normal"/>
    <w:autoRedefine/>
    <w:rsid w:val="00004D47"/>
    <w:pPr>
      <w:tabs>
        <w:tab w:val="left" w:pos="540"/>
        <w:tab w:val="right" w:leader="dot" w:pos="8741"/>
      </w:tabs>
      <w:spacing w:before="240" w:after="240"/>
      <w:ind w:left="547" w:hanging="547"/>
    </w:pPr>
    <w:rPr>
      <w:smallCaps/>
      <w:noProof/>
      <w:lang w:val="es-ES"/>
    </w:rPr>
  </w:style>
  <w:style w:type="paragraph" w:styleId="TOC2">
    <w:name w:val="toc 2"/>
    <w:basedOn w:val="Normal"/>
    <w:next w:val="Normal"/>
    <w:autoRedefine/>
    <w:rsid w:val="00004D47"/>
    <w:pPr>
      <w:tabs>
        <w:tab w:val="left" w:pos="540"/>
        <w:tab w:val="left" w:pos="600"/>
        <w:tab w:val="left" w:pos="1152"/>
        <w:tab w:val="right" w:leader="dot" w:pos="8741"/>
      </w:tabs>
      <w:ind w:left="1167" w:hanging="605"/>
    </w:pPr>
    <w:rPr>
      <w:noProof/>
      <w:lang w:val="es-ES"/>
    </w:rPr>
  </w:style>
  <w:style w:type="paragraph" w:styleId="TOC3">
    <w:name w:val="toc 3"/>
    <w:basedOn w:val="Normal"/>
    <w:next w:val="Normal"/>
    <w:autoRedefine/>
    <w:rsid w:val="00004D47"/>
    <w:pPr>
      <w:tabs>
        <w:tab w:val="left" w:pos="1728"/>
      </w:tabs>
      <w:ind w:left="1714" w:hanging="562"/>
    </w:pPr>
    <w:rPr>
      <w:lang w:val="es-ES"/>
    </w:rPr>
  </w:style>
  <w:style w:type="paragraph" w:styleId="TOC4">
    <w:name w:val="toc 4"/>
    <w:basedOn w:val="Normal"/>
    <w:next w:val="Normal"/>
    <w:autoRedefine/>
    <w:semiHidden/>
    <w:rsid w:val="00004D47"/>
    <w:pPr>
      <w:ind w:left="400"/>
    </w:pPr>
  </w:style>
  <w:style w:type="paragraph" w:styleId="TOC5">
    <w:name w:val="toc 5"/>
    <w:basedOn w:val="Normal"/>
    <w:next w:val="Normal"/>
    <w:autoRedefine/>
    <w:semiHidden/>
    <w:rsid w:val="00004D47"/>
    <w:pPr>
      <w:ind w:left="600"/>
    </w:pPr>
  </w:style>
  <w:style w:type="paragraph" w:styleId="TOC6">
    <w:name w:val="toc 6"/>
    <w:basedOn w:val="Normal"/>
    <w:next w:val="Normal"/>
    <w:autoRedefine/>
    <w:semiHidden/>
    <w:rsid w:val="00004D47"/>
    <w:pPr>
      <w:ind w:left="800"/>
    </w:pPr>
  </w:style>
  <w:style w:type="paragraph" w:styleId="TOC7">
    <w:name w:val="toc 7"/>
    <w:basedOn w:val="Normal"/>
    <w:next w:val="Normal"/>
    <w:autoRedefine/>
    <w:semiHidden/>
    <w:rsid w:val="00004D47"/>
    <w:pPr>
      <w:ind w:left="1000"/>
    </w:pPr>
  </w:style>
  <w:style w:type="paragraph" w:styleId="TOC8">
    <w:name w:val="toc 8"/>
    <w:basedOn w:val="Normal"/>
    <w:next w:val="Normal"/>
    <w:autoRedefine/>
    <w:semiHidden/>
    <w:rsid w:val="00004D47"/>
    <w:pPr>
      <w:ind w:left="1200"/>
    </w:pPr>
  </w:style>
  <w:style w:type="paragraph" w:styleId="TOC9">
    <w:name w:val="toc 9"/>
    <w:basedOn w:val="Normal"/>
    <w:next w:val="Normal"/>
    <w:autoRedefine/>
    <w:semiHidden/>
    <w:rsid w:val="00004D47"/>
    <w:pPr>
      <w:ind w:left="1400"/>
    </w:pPr>
  </w:style>
  <w:style w:type="character" w:styleId="Hyperlink">
    <w:name w:val="Hyperlink"/>
    <w:basedOn w:val="DefaultParagraphFont"/>
    <w:rsid w:val="00004D47"/>
    <w:rPr>
      <w:rFonts w:cs="Times New Roman"/>
      <w:color w:val="0000FF"/>
      <w:u w:val="single"/>
    </w:rPr>
  </w:style>
  <w:style w:type="character" w:styleId="FollowedHyperlink">
    <w:name w:val="FollowedHyperlink"/>
    <w:basedOn w:val="DefaultParagraphFont"/>
    <w:rsid w:val="00004D47"/>
    <w:rPr>
      <w:rFonts w:cs="Times New Roman"/>
      <w:color w:val="800080"/>
      <w:u w:val="single"/>
    </w:rPr>
  </w:style>
  <w:style w:type="character" w:styleId="FootnoteReference">
    <w:name w:val="footnote reference"/>
    <w:basedOn w:val="DefaultParagraphFont"/>
    <w:uiPriority w:val="99"/>
    <w:semiHidden/>
    <w:rsid w:val="00004D47"/>
    <w:rPr>
      <w:rFonts w:cs="Times New Roman"/>
      <w:vertAlign w:val="superscript"/>
    </w:rPr>
  </w:style>
  <w:style w:type="character" w:customStyle="1" w:styleId="Subheading2Char">
    <w:name w:val="Subheading2 Char"/>
    <w:basedOn w:val="DefaultParagraphFont"/>
    <w:rsid w:val="00004D47"/>
    <w:rPr>
      <w:rFonts w:cs="Times New Roman"/>
      <w:b/>
      <w:sz w:val="24"/>
      <w:lang w:val="es-ES_tradnl" w:bidi="ar-SA"/>
    </w:rPr>
  </w:style>
  <w:style w:type="character" w:styleId="Strong">
    <w:name w:val="Strong"/>
    <w:basedOn w:val="DefaultParagraphFont"/>
    <w:qFormat/>
    <w:rsid w:val="00004D47"/>
    <w:rPr>
      <w:rFonts w:cs="Times New Roman"/>
      <w:b/>
      <w:bCs/>
    </w:rPr>
  </w:style>
  <w:style w:type="paragraph" w:customStyle="1" w:styleId="Textodebalo1">
    <w:name w:val="Texto de balão1"/>
    <w:basedOn w:val="Normal"/>
    <w:semiHidden/>
    <w:rsid w:val="00004D47"/>
    <w:rPr>
      <w:sz w:val="16"/>
      <w:szCs w:val="16"/>
    </w:rPr>
  </w:style>
  <w:style w:type="paragraph" w:customStyle="1" w:styleId="Textodeglobo1">
    <w:name w:val="Texto de globo1"/>
    <w:basedOn w:val="Normal"/>
    <w:semiHidden/>
    <w:rsid w:val="00004D47"/>
    <w:rPr>
      <w:sz w:val="16"/>
      <w:szCs w:val="16"/>
    </w:rPr>
  </w:style>
  <w:style w:type="paragraph" w:customStyle="1" w:styleId="Paragrapha">
    <w:name w:val="Paragraph a"/>
    <w:basedOn w:val="Normal"/>
    <w:rsid w:val="00004D47"/>
    <w:pPr>
      <w:numPr>
        <w:numId w:val="11"/>
      </w:numPr>
      <w:spacing w:before="120" w:after="120"/>
      <w:jc w:val="both"/>
    </w:pPr>
    <w:rPr>
      <w:spacing w:val="-3"/>
      <w:lang w:val="es-ES"/>
    </w:rPr>
  </w:style>
  <w:style w:type="paragraph" w:customStyle="1" w:styleId="Default">
    <w:name w:val="Default"/>
    <w:link w:val="ListParagraphChar"/>
    <w:rsid w:val="00004D47"/>
    <w:pPr>
      <w:autoSpaceDE w:val="0"/>
      <w:autoSpaceDN w:val="0"/>
      <w:adjustRightInd w:val="0"/>
    </w:pPr>
    <w:rPr>
      <w:snapToGrid w:val="0"/>
      <w:color w:val="000000"/>
      <w:lang w:eastAsia="es-ES"/>
    </w:rPr>
  </w:style>
  <w:style w:type="character" w:styleId="CommentReference">
    <w:name w:val="annotation reference"/>
    <w:basedOn w:val="DefaultParagraphFont"/>
    <w:semiHidden/>
    <w:rsid w:val="00004D47"/>
    <w:rPr>
      <w:rFonts w:cs="Times New Roman"/>
      <w:sz w:val="16"/>
      <w:szCs w:val="16"/>
    </w:rPr>
  </w:style>
  <w:style w:type="paragraph" w:styleId="CommentText">
    <w:name w:val="annotation text"/>
    <w:basedOn w:val="Normal"/>
    <w:link w:val="CommentTextChar"/>
    <w:semiHidden/>
    <w:rsid w:val="00004D47"/>
    <w:rPr>
      <w:sz w:val="20"/>
    </w:rPr>
  </w:style>
  <w:style w:type="paragraph" w:styleId="CommentSubject">
    <w:name w:val="annotation subject"/>
    <w:basedOn w:val="CommentText"/>
    <w:next w:val="CommentText"/>
    <w:semiHidden/>
    <w:rsid w:val="00004D47"/>
    <w:rPr>
      <w:b/>
      <w:bCs/>
    </w:rPr>
  </w:style>
  <w:style w:type="character" w:customStyle="1" w:styleId="bodycontent1">
    <w:name w:val="bodycontent1"/>
    <w:basedOn w:val="DefaultParagraphFont"/>
    <w:rsid w:val="00004D47"/>
    <w:rPr>
      <w:rFonts w:ascii="Times New Roman" w:hAnsi="Times New Roman" w:cs="Times New Roman"/>
      <w:color w:val="000000"/>
      <w:sz w:val="18"/>
    </w:rPr>
  </w:style>
  <w:style w:type="paragraph" w:styleId="BodyText2">
    <w:name w:val="Body Text 2"/>
    <w:basedOn w:val="Normal"/>
    <w:rsid w:val="00004D47"/>
    <w:pPr>
      <w:jc w:val="center"/>
    </w:pPr>
    <w:rPr>
      <w:sz w:val="16"/>
      <w:lang w:val="es-ES"/>
    </w:rPr>
  </w:style>
  <w:style w:type="paragraph" w:customStyle="1" w:styleId="abbrdesc0">
    <w:name w:val="abbrdesc"/>
    <w:basedOn w:val="Normal"/>
    <w:rsid w:val="00004D47"/>
    <w:pPr>
      <w:spacing w:before="100" w:beforeAutospacing="1" w:after="100" w:afterAutospacing="1"/>
    </w:pPr>
  </w:style>
  <w:style w:type="character" w:styleId="Emphasis">
    <w:name w:val="Emphasis"/>
    <w:basedOn w:val="DefaultParagraphFont"/>
    <w:uiPriority w:val="20"/>
    <w:qFormat/>
    <w:rsid w:val="00004D47"/>
    <w:rPr>
      <w:rFonts w:cs="Times New Roman"/>
      <w:b/>
      <w:bCs/>
    </w:rPr>
  </w:style>
  <w:style w:type="character" w:customStyle="1" w:styleId="CarCar1">
    <w:name w:val="Car Car1"/>
    <w:basedOn w:val="DefaultParagraphFont"/>
    <w:locked/>
    <w:rsid w:val="00004D47"/>
    <w:rPr>
      <w:rFonts w:cs="Times New Roman"/>
      <w:lang w:val="en-US" w:bidi="ar-SA"/>
    </w:rPr>
  </w:style>
  <w:style w:type="paragraph" w:customStyle="1" w:styleId="Regtable">
    <w:name w:val="Regtable"/>
    <w:basedOn w:val="Normal"/>
    <w:rsid w:val="00BC57A1"/>
    <w:pPr>
      <w:keepLines/>
      <w:framePr w:wrap="around" w:vAnchor="text" w:hAnchor="text" w:y="1"/>
      <w:spacing w:before="20" w:after="20"/>
    </w:pPr>
    <w:rPr>
      <w:sz w:val="20"/>
    </w:rPr>
  </w:style>
  <w:style w:type="character" w:customStyle="1" w:styleId="Heading1Char">
    <w:name w:val="Heading 1 Char"/>
    <w:basedOn w:val="DefaultParagraphFont"/>
    <w:link w:val="Heading1"/>
    <w:locked/>
    <w:rsid w:val="00004D47"/>
    <w:rPr>
      <w:rFonts w:ascii="Arial" w:hAnsi="Arial"/>
      <w:b/>
      <w:snapToGrid w:val="0"/>
      <w:kern w:val="28"/>
      <w:sz w:val="28"/>
      <w:lang w:eastAsia="es-ES"/>
    </w:rPr>
  </w:style>
  <w:style w:type="character" w:customStyle="1" w:styleId="Heading6Char">
    <w:name w:val="Heading 6 Char"/>
    <w:link w:val="Heading6"/>
    <w:locked/>
    <w:rsid w:val="00004D47"/>
    <w:rPr>
      <w:lang w:val="es-ES" w:eastAsia="es-ES"/>
    </w:rPr>
  </w:style>
  <w:style w:type="character" w:customStyle="1" w:styleId="longtext1">
    <w:name w:val="long_text1"/>
    <w:basedOn w:val="DefaultParagraphFont"/>
    <w:rsid w:val="00004D47"/>
    <w:rPr>
      <w:rFonts w:cs="Times New Roman"/>
      <w:sz w:val="20"/>
      <w:szCs w:val="20"/>
    </w:rPr>
  </w:style>
  <w:style w:type="table" w:styleId="TableGrid">
    <w:name w:val="Table Grid"/>
    <w:basedOn w:val="TableNormal"/>
    <w:rsid w:val="00004D47"/>
    <w:rPr>
      <w:snapToGrid w:val="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1"/>
    <w:uiPriority w:val="34"/>
    <w:qFormat/>
    <w:rsid w:val="00004D47"/>
    <w:pPr>
      <w:ind w:left="720"/>
      <w:contextualSpacing/>
    </w:pPr>
  </w:style>
  <w:style w:type="character" w:customStyle="1" w:styleId="hps">
    <w:name w:val="hps"/>
    <w:basedOn w:val="DefaultParagraphFont"/>
    <w:rsid w:val="00004D47"/>
    <w:rPr>
      <w:rFonts w:cs="Times New Roman"/>
    </w:rPr>
  </w:style>
  <w:style w:type="character" w:customStyle="1" w:styleId="ListParagraphChar">
    <w:name w:val="List Paragraph Char"/>
    <w:basedOn w:val="DefaultParagraphFont"/>
    <w:link w:val="Default"/>
    <w:locked/>
    <w:rsid w:val="00004D47"/>
    <w:rPr>
      <w:snapToGrid w:val="0"/>
      <w:color w:val="000000"/>
      <w:sz w:val="24"/>
      <w:szCs w:val="24"/>
      <w:lang w:val="en-US" w:eastAsia="es-ES" w:bidi="ar-SA"/>
    </w:rPr>
  </w:style>
  <w:style w:type="character" w:customStyle="1" w:styleId="tw4winMark">
    <w:name w:val="tw4winMark"/>
    <w:rsid w:val="00004D47"/>
    <w:rPr>
      <w:rFonts w:ascii="Courier New" w:hAnsi="Courier New"/>
      <w:vanish/>
      <w:color w:val="800080"/>
      <w:sz w:val="24"/>
      <w:vertAlign w:val="subscript"/>
    </w:rPr>
  </w:style>
  <w:style w:type="character" w:customStyle="1" w:styleId="tw4winError">
    <w:name w:val="tw4winError"/>
    <w:rsid w:val="00004D47"/>
    <w:rPr>
      <w:rFonts w:ascii="Courier New" w:hAnsi="Courier New"/>
      <w:color w:val="00FF00"/>
      <w:sz w:val="40"/>
    </w:rPr>
  </w:style>
  <w:style w:type="character" w:customStyle="1" w:styleId="tw4winTerm">
    <w:name w:val="tw4winTerm"/>
    <w:rsid w:val="00004D47"/>
    <w:rPr>
      <w:color w:val="0000FF"/>
    </w:rPr>
  </w:style>
  <w:style w:type="character" w:customStyle="1" w:styleId="tw4winPopup">
    <w:name w:val="tw4winPopup"/>
    <w:rsid w:val="00004D47"/>
    <w:rPr>
      <w:rFonts w:ascii="Courier New" w:hAnsi="Courier New"/>
      <w:noProof/>
      <w:color w:val="008000"/>
    </w:rPr>
  </w:style>
  <w:style w:type="character" w:customStyle="1" w:styleId="tw4winJump">
    <w:name w:val="tw4winJump"/>
    <w:rsid w:val="00004D47"/>
    <w:rPr>
      <w:rFonts w:ascii="Courier New" w:hAnsi="Courier New"/>
      <w:noProof/>
      <w:color w:val="008080"/>
    </w:rPr>
  </w:style>
  <w:style w:type="character" w:customStyle="1" w:styleId="tw4winExternal">
    <w:name w:val="tw4winExternal"/>
    <w:rsid w:val="00004D47"/>
    <w:rPr>
      <w:rFonts w:ascii="Courier New" w:hAnsi="Courier New"/>
      <w:noProof/>
      <w:color w:val="808080"/>
    </w:rPr>
  </w:style>
  <w:style w:type="character" w:customStyle="1" w:styleId="tw4winInternal">
    <w:name w:val="tw4winInternal"/>
    <w:rsid w:val="00004D47"/>
    <w:rPr>
      <w:rFonts w:ascii="Courier New" w:hAnsi="Courier New"/>
      <w:noProof/>
      <w:color w:val="FF0000"/>
    </w:rPr>
  </w:style>
  <w:style w:type="character" w:customStyle="1" w:styleId="DONOTTRANSLATE">
    <w:name w:val="DO_NOT_TRANSLATE"/>
    <w:rsid w:val="00004D47"/>
    <w:rPr>
      <w:rFonts w:ascii="Courier New" w:hAnsi="Courier New"/>
      <w:noProof/>
      <w:color w:val="800000"/>
    </w:rPr>
  </w:style>
  <w:style w:type="paragraph" w:customStyle="1" w:styleId="TableTitle">
    <w:name w:val="TableTitle"/>
    <w:basedOn w:val="Normal"/>
    <w:link w:val="TableTitleChar"/>
    <w:rsid w:val="00BC57A1"/>
    <w:pPr>
      <w:keepNext/>
      <w:framePr w:wrap="around" w:vAnchor="text" w:hAnchor="text" w:y="1"/>
      <w:spacing w:before="20" w:after="20"/>
      <w:jc w:val="center"/>
    </w:pPr>
    <w:rPr>
      <w:rFonts w:ascii="Times New Roman Bold" w:hAnsi="Times New Roman Bold"/>
      <w:b/>
      <w:spacing w:val="-3"/>
      <w:sz w:val="20"/>
    </w:rPr>
  </w:style>
  <w:style w:type="character" w:customStyle="1" w:styleId="AbbrDescChar">
    <w:name w:val="AbbrDesc Char"/>
    <w:basedOn w:val="DefaultParagraphFont"/>
    <w:link w:val="AbbrDesc"/>
    <w:rsid w:val="00BC57A1"/>
    <w:rPr>
      <w:snapToGrid w:val="0"/>
      <w:sz w:val="24"/>
      <w:lang w:val="es-ES_tradnl" w:eastAsia="es-ES"/>
    </w:rPr>
  </w:style>
  <w:style w:type="character" w:customStyle="1" w:styleId="TableTitleChar">
    <w:name w:val="TableTitle Char"/>
    <w:basedOn w:val="AbbrDescChar"/>
    <w:link w:val="TableTitle"/>
    <w:rsid w:val="00BC57A1"/>
    <w:rPr>
      <w:rFonts w:ascii="Times New Roman Bold" w:hAnsi="Times New Roman Bold"/>
      <w:b/>
      <w:snapToGrid w:val="0"/>
      <w:spacing w:val="-3"/>
      <w:sz w:val="24"/>
      <w:szCs w:val="24"/>
      <w:lang w:val="es-ES_tradnl" w:eastAsia="es-ES"/>
    </w:rPr>
  </w:style>
  <w:style w:type="character" w:customStyle="1" w:styleId="FootnoteTextChar">
    <w:name w:val="Footnote Text Char"/>
    <w:basedOn w:val="DefaultParagraphFont"/>
    <w:link w:val="FootnoteText"/>
    <w:uiPriority w:val="99"/>
    <w:semiHidden/>
    <w:rsid w:val="00E35623"/>
    <w:rPr>
      <w:snapToGrid w:val="0"/>
      <w:spacing w:val="-3"/>
      <w:lang w:eastAsia="es-ES"/>
    </w:rPr>
  </w:style>
  <w:style w:type="character" w:customStyle="1" w:styleId="CommentTextChar">
    <w:name w:val="Comment Text Char"/>
    <w:basedOn w:val="DefaultParagraphFont"/>
    <w:link w:val="CommentText"/>
    <w:semiHidden/>
    <w:rsid w:val="00A20742"/>
    <w:rPr>
      <w:snapToGrid w:val="0"/>
      <w:lang w:eastAsia="es-ES"/>
    </w:rPr>
  </w:style>
  <w:style w:type="character" w:customStyle="1" w:styleId="ParagraphChar">
    <w:name w:val="Paragraph Char"/>
    <w:basedOn w:val="DefaultParagraphFont"/>
    <w:link w:val="Paragraph"/>
    <w:rsid w:val="00133005"/>
    <w:rPr>
      <w:snapToGrid w:val="0"/>
      <w:sz w:val="24"/>
      <w:lang w:val="es-ES" w:eastAsia="es-ES"/>
    </w:rPr>
  </w:style>
  <w:style w:type="character" w:customStyle="1" w:styleId="ListParagraphChar1">
    <w:name w:val="List Paragraph Char1"/>
    <w:basedOn w:val="DefaultParagraphFont"/>
    <w:link w:val="ListParagraph"/>
    <w:uiPriority w:val="34"/>
    <w:locked/>
    <w:rsid w:val="0037770E"/>
    <w:rPr>
      <w:snapToGrid w:val="0"/>
      <w:sz w:val="24"/>
      <w:lang w:eastAsia="es-ES"/>
    </w:rPr>
  </w:style>
  <w:style w:type="paragraph" w:styleId="EndnoteText">
    <w:name w:val="endnote text"/>
    <w:basedOn w:val="Normal"/>
    <w:link w:val="EndnoteTextChar"/>
    <w:uiPriority w:val="99"/>
    <w:rsid w:val="003B0FB2"/>
    <w:rPr>
      <w:sz w:val="20"/>
    </w:rPr>
  </w:style>
  <w:style w:type="character" w:customStyle="1" w:styleId="EndnoteTextChar">
    <w:name w:val="Endnote Text Char"/>
    <w:basedOn w:val="DefaultParagraphFont"/>
    <w:link w:val="EndnoteText"/>
    <w:uiPriority w:val="99"/>
    <w:rsid w:val="003B0FB2"/>
    <w:rPr>
      <w:snapToGrid w:val="0"/>
      <w:lang w:eastAsia="es-ES"/>
    </w:rPr>
  </w:style>
  <w:style w:type="character" w:styleId="EndnoteReference">
    <w:name w:val="endnote reference"/>
    <w:basedOn w:val="DefaultParagraphFont"/>
    <w:uiPriority w:val="99"/>
    <w:unhideWhenUsed/>
    <w:rsid w:val="003B0FB2"/>
    <w:rPr>
      <w:vertAlign w:val="superscript"/>
    </w:rPr>
  </w:style>
  <w:style w:type="paragraph" w:customStyle="1" w:styleId="Normal1">
    <w:name w:val="Normal1"/>
    <w:rsid w:val="008D0B82"/>
    <w:pPr>
      <w:spacing w:line="276" w:lineRule="auto"/>
    </w:pPr>
    <w:rPr>
      <w:rFonts w:ascii="Arial" w:eastAsia="Arial" w:hAnsi="Arial" w:cs="Arial"/>
      <w:color w:val="000000"/>
      <w:sz w:val="22"/>
    </w:rPr>
  </w:style>
  <w:style w:type="character" w:customStyle="1" w:styleId="apple-converted-space">
    <w:name w:val="apple-converted-space"/>
    <w:basedOn w:val="DefaultParagraphFont"/>
    <w:rsid w:val="002663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Emphasis" w:uiPriority="20"/>
    <w:lsdException w:name="List Paragraph" w:uiPriority="34" w:qFormat="1"/>
  </w:latentStyles>
  <w:style w:type="paragraph" w:default="1" w:styleId="Normal">
    <w:name w:val="Normal"/>
    <w:link w:val="CarCar1"/>
    <w:qFormat/>
    <w:rsid w:val="008D6864"/>
    <w:rPr>
      <w:snapToGrid w:val="0"/>
      <w:lang w:eastAsia="es-ES"/>
    </w:rPr>
  </w:style>
  <w:style w:type="paragraph" w:styleId="Heading1">
    <w:name w:val="heading 1"/>
    <w:basedOn w:val="Normal"/>
    <w:next w:val="Normal"/>
    <w:link w:val="Heading1Char"/>
    <w:qFormat/>
    <w:rsid w:val="00004D47"/>
    <w:pPr>
      <w:keepNext/>
      <w:numPr>
        <w:numId w:val="2"/>
      </w:numPr>
      <w:spacing w:before="240" w:after="60"/>
      <w:outlineLvl w:val="0"/>
    </w:pPr>
    <w:rPr>
      <w:rFonts w:ascii="Arial" w:hAnsi="Arial"/>
      <w:b/>
      <w:kern w:val="28"/>
      <w:sz w:val="28"/>
    </w:rPr>
  </w:style>
  <w:style w:type="paragraph" w:styleId="Heading2">
    <w:name w:val="heading 2"/>
    <w:basedOn w:val="Normal"/>
    <w:next w:val="Normal"/>
    <w:qFormat/>
    <w:rsid w:val="00004D47"/>
    <w:pPr>
      <w:keepNext/>
      <w:numPr>
        <w:ilvl w:val="1"/>
        <w:numId w:val="3"/>
      </w:numPr>
      <w:spacing w:before="240" w:after="60"/>
      <w:outlineLvl w:val="1"/>
    </w:pPr>
    <w:rPr>
      <w:rFonts w:ascii="Arial" w:hAnsi="Arial"/>
      <w:b/>
      <w:i/>
    </w:rPr>
  </w:style>
  <w:style w:type="paragraph" w:styleId="Heading3">
    <w:name w:val="heading 3"/>
    <w:basedOn w:val="Normal"/>
    <w:next w:val="Normal"/>
    <w:qFormat/>
    <w:rsid w:val="00004D47"/>
    <w:pPr>
      <w:keepNext/>
      <w:numPr>
        <w:ilvl w:val="2"/>
        <w:numId w:val="4"/>
      </w:numPr>
      <w:spacing w:before="240" w:after="60"/>
      <w:outlineLvl w:val="2"/>
    </w:pPr>
    <w:rPr>
      <w:rFonts w:ascii="Arial" w:hAnsi="Arial"/>
    </w:rPr>
  </w:style>
  <w:style w:type="paragraph" w:styleId="Heading4">
    <w:name w:val="heading 4"/>
    <w:aliases w:val="H4"/>
    <w:basedOn w:val="Normal"/>
    <w:next w:val="Normal"/>
    <w:qFormat/>
    <w:rsid w:val="00004D47"/>
    <w:pPr>
      <w:keepNext/>
      <w:numPr>
        <w:ilvl w:val="3"/>
        <w:numId w:val="5"/>
      </w:numPr>
      <w:spacing w:before="240" w:after="60"/>
      <w:outlineLvl w:val="3"/>
    </w:pPr>
    <w:rPr>
      <w:rFonts w:ascii="Arial" w:hAnsi="Arial"/>
      <w:b/>
    </w:rPr>
  </w:style>
  <w:style w:type="paragraph" w:styleId="Heading5">
    <w:name w:val="heading 5"/>
    <w:basedOn w:val="Normal"/>
    <w:next w:val="Normal"/>
    <w:qFormat/>
    <w:rsid w:val="00004D47"/>
    <w:pPr>
      <w:numPr>
        <w:ilvl w:val="4"/>
        <w:numId w:val="6"/>
      </w:numPr>
      <w:spacing w:before="240" w:after="60"/>
      <w:outlineLvl w:val="4"/>
    </w:pPr>
    <w:rPr>
      <w:sz w:val="22"/>
    </w:rPr>
  </w:style>
  <w:style w:type="paragraph" w:styleId="Heading6">
    <w:name w:val="heading 6"/>
    <w:basedOn w:val="Normal"/>
    <w:next w:val="Normal"/>
    <w:link w:val="Heading6Char"/>
    <w:qFormat/>
    <w:rsid w:val="00004D47"/>
    <w:pPr>
      <w:numPr>
        <w:ilvl w:val="5"/>
        <w:numId w:val="7"/>
      </w:numPr>
      <w:spacing w:before="240" w:after="60"/>
      <w:outlineLvl w:val="5"/>
    </w:pPr>
    <w:rPr>
      <w:snapToGrid/>
      <w:lang w:val="es-ES"/>
    </w:rPr>
  </w:style>
  <w:style w:type="paragraph" w:styleId="Heading7">
    <w:name w:val="heading 7"/>
    <w:basedOn w:val="Normal"/>
    <w:next w:val="Normal"/>
    <w:qFormat/>
    <w:rsid w:val="00004D47"/>
    <w:pPr>
      <w:numPr>
        <w:ilvl w:val="6"/>
        <w:numId w:val="8"/>
      </w:numPr>
      <w:spacing w:before="240" w:after="60"/>
      <w:outlineLvl w:val="6"/>
    </w:pPr>
    <w:rPr>
      <w:rFonts w:ascii="Arial" w:hAnsi="Arial"/>
    </w:rPr>
  </w:style>
  <w:style w:type="paragraph" w:styleId="Heading8">
    <w:name w:val="heading 8"/>
    <w:basedOn w:val="Normal"/>
    <w:next w:val="Normal"/>
    <w:qFormat/>
    <w:rsid w:val="00004D47"/>
    <w:pPr>
      <w:numPr>
        <w:ilvl w:val="7"/>
        <w:numId w:val="9"/>
      </w:numPr>
      <w:spacing w:before="240" w:after="60"/>
      <w:outlineLvl w:val="7"/>
    </w:pPr>
    <w:rPr>
      <w:rFonts w:ascii="Arial" w:hAnsi="Arial"/>
      <w:i/>
    </w:rPr>
  </w:style>
  <w:style w:type="paragraph" w:styleId="Heading9">
    <w:name w:val="heading 9"/>
    <w:basedOn w:val="Normal"/>
    <w:next w:val="Normal"/>
    <w:qFormat/>
    <w:rsid w:val="00004D47"/>
    <w:pPr>
      <w:numPr>
        <w:ilvl w:val="8"/>
        <w:numId w:val="10"/>
      </w:num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004D47"/>
    <w:rPr>
      <w:sz w:val="16"/>
      <w:szCs w:val="16"/>
    </w:rPr>
  </w:style>
  <w:style w:type="character" w:customStyle="1" w:styleId="BalloonTextChar">
    <w:name w:val="Balloon Text Char"/>
    <w:basedOn w:val="DefaultParagraphFont"/>
    <w:uiPriority w:val="99"/>
    <w:semiHidden/>
    <w:rsid w:val="00177612"/>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56E93"/>
    <w:rPr>
      <w:rFonts w:ascii="Lucida Grande" w:hAnsi="Lucida Grande"/>
      <w:sz w:val="18"/>
      <w:szCs w:val="18"/>
    </w:rPr>
  </w:style>
  <w:style w:type="paragraph" w:customStyle="1" w:styleId="Annex">
    <w:name w:val="Annex"/>
    <w:basedOn w:val="Normal"/>
    <w:rsid w:val="00004D47"/>
    <w:rPr>
      <w:caps/>
      <w:lang w:val="es-ES_tradnl"/>
    </w:rPr>
  </w:style>
  <w:style w:type="paragraph" w:customStyle="1" w:styleId="ABBR">
    <w:name w:val="ABBR"/>
    <w:basedOn w:val="Annex"/>
    <w:rsid w:val="00004D47"/>
  </w:style>
  <w:style w:type="paragraph" w:customStyle="1" w:styleId="AbbrDesc">
    <w:name w:val="AbbrDesc"/>
    <w:basedOn w:val="Normal"/>
    <w:link w:val="AbbrDescChar"/>
    <w:rsid w:val="00004D47"/>
    <w:pPr>
      <w:tabs>
        <w:tab w:val="left" w:pos="3060"/>
      </w:tabs>
      <w:jc w:val="both"/>
    </w:pPr>
    <w:rPr>
      <w:lang w:val="es-ES_tradnl"/>
    </w:rPr>
  </w:style>
  <w:style w:type="paragraph" w:styleId="BodyText">
    <w:name w:val="Body Text"/>
    <w:basedOn w:val="Normal"/>
    <w:rsid w:val="00004D47"/>
    <w:pPr>
      <w:tabs>
        <w:tab w:val="left" w:pos="3060"/>
      </w:tabs>
      <w:jc w:val="center"/>
    </w:pPr>
  </w:style>
  <w:style w:type="paragraph" w:styleId="BodyTextIndent">
    <w:name w:val="Body Text Indent"/>
    <w:basedOn w:val="Normal"/>
    <w:rsid w:val="00004D47"/>
    <w:pPr>
      <w:spacing w:after="120"/>
      <w:ind w:left="360"/>
    </w:pPr>
  </w:style>
  <w:style w:type="paragraph" w:styleId="BodyTextIndent3">
    <w:name w:val="Body Text Indent 3"/>
    <w:basedOn w:val="Normal"/>
    <w:rsid w:val="00004D47"/>
    <w:pPr>
      <w:spacing w:after="120"/>
      <w:ind w:left="360"/>
    </w:pPr>
  </w:style>
  <w:style w:type="paragraph" w:customStyle="1" w:styleId="Chapter">
    <w:name w:val="Chapter"/>
    <w:basedOn w:val="Normal"/>
    <w:next w:val="Normal"/>
    <w:rsid w:val="00004D47"/>
    <w:pPr>
      <w:keepNext/>
      <w:tabs>
        <w:tab w:val="num" w:pos="648"/>
        <w:tab w:val="left" w:pos="1440"/>
      </w:tabs>
      <w:spacing w:before="240" w:after="240"/>
      <w:ind w:firstLine="288"/>
      <w:jc w:val="center"/>
    </w:pPr>
    <w:rPr>
      <w:b/>
      <w:smallCaps/>
      <w:lang w:val="es-ES"/>
    </w:rPr>
  </w:style>
  <w:style w:type="paragraph" w:styleId="DocumentMap">
    <w:name w:val="Document Map"/>
    <w:basedOn w:val="Normal"/>
    <w:semiHidden/>
    <w:rsid w:val="00004D47"/>
    <w:pPr>
      <w:shd w:val="clear" w:color="auto" w:fill="000080"/>
    </w:pPr>
  </w:style>
  <w:style w:type="paragraph" w:customStyle="1" w:styleId="FirstHeading">
    <w:name w:val="FirstHeading"/>
    <w:basedOn w:val="Normal"/>
    <w:next w:val="Normal"/>
    <w:rsid w:val="00BC57A1"/>
    <w:pPr>
      <w:keepNext/>
      <w:tabs>
        <w:tab w:val="left" w:pos="0"/>
        <w:tab w:val="left" w:pos="86"/>
      </w:tabs>
      <w:spacing w:before="120" w:after="120"/>
      <w:ind w:left="720" w:hanging="720"/>
    </w:pPr>
    <w:rPr>
      <w:b/>
      <w:lang w:val="es-ES"/>
    </w:rPr>
  </w:style>
  <w:style w:type="paragraph" w:styleId="Footer">
    <w:name w:val="footer"/>
    <w:basedOn w:val="Normal"/>
    <w:rsid w:val="00004D47"/>
    <w:pPr>
      <w:tabs>
        <w:tab w:val="center" w:pos="4320"/>
        <w:tab w:val="right" w:pos="8640"/>
      </w:tabs>
    </w:pPr>
  </w:style>
  <w:style w:type="paragraph" w:styleId="FootnoteText">
    <w:name w:val="footnote text"/>
    <w:basedOn w:val="Normal"/>
    <w:link w:val="FootnoteTextChar"/>
    <w:uiPriority w:val="99"/>
    <w:semiHidden/>
    <w:rsid w:val="00004D47"/>
    <w:pPr>
      <w:keepNext/>
      <w:keepLines/>
      <w:spacing w:after="120"/>
      <w:ind w:left="288" w:hanging="288"/>
      <w:jc w:val="both"/>
    </w:pPr>
    <w:rPr>
      <w:spacing w:val="-3"/>
      <w:sz w:val="20"/>
    </w:rPr>
  </w:style>
  <w:style w:type="paragraph" w:styleId="Header">
    <w:name w:val="header"/>
    <w:basedOn w:val="Normal"/>
    <w:rsid w:val="00004D47"/>
    <w:pPr>
      <w:tabs>
        <w:tab w:val="center" w:pos="4320"/>
        <w:tab w:val="right" w:pos="8640"/>
      </w:tabs>
    </w:pPr>
  </w:style>
  <w:style w:type="character" w:styleId="LineNumber">
    <w:name w:val="line number"/>
    <w:basedOn w:val="DefaultParagraphFont"/>
    <w:rsid w:val="00004D47"/>
    <w:rPr>
      <w:rFonts w:cs="Times New Roman"/>
    </w:rPr>
  </w:style>
  <w:style w:type="paragraph" w:customStyle="1" w:styleId="MasterSourceText">
    <w:name w:val="Master_SourceText"/>
    <w:basedOn w:val="Normal"/>
    <w:rsid w:val="00004D47"/>
    <w:pPr>
      <w:tabs>
        <w:tab w:val="left" w:pos="1440"/>
      </w:tabs>
      <w:ind w:left="1440" w:hanging="720"/>
      <w:jc w:val="both"/>
    </w:pPr>
    <w:rPr>
      <w:sz w:val="20"/>
      <w:lang w:val="es-ES_tradnl"/>
    </w:rPr>
  </w:style>
  <w:style w:type="paragraph" w:customStyle="1" w:styleId="Newpage">
    <w:name w:val="Newpage"/>
    <w:basedOn w:val="Chapter"/>
    <w:rsid w:val="00004D47"/>
    <w:pPr>
      <w:tabs>
        <w:tab w:val="clear" w:pos="1440"/>
        <w:tab w:val="left" w:pos="3060"/>
      </w:tabs>
      <w:spacing w:after="0"/>
    </w:pPr>
  </w:style>
  <w:style w:type="character" w:styleId="PageNumber">
    <w:name w:val="page number"/>
    <w:basedOn w:val="DefaultParagraphFont"/>
    <w:rsid w:val="00004D47"/>
    <w:rPr>
      <w:rFonts w:cs="Times New Roman"/>
    </w:rPr>
  </w:style>
  <w:style w:type="paragraph" w:customStyle="1" w:styleId="Paragraph">
    <w:name w:val="Paragraph"/>
    <w:aliases w:val="p,PARAGRAPH,PG,pa,at,paragraph"/>
    <w:basedOn w:val="BodyTextIndent"/>
    <w:link w:val="ParagraphChar"/>
    <w:rsid w:val="00004D47"/>
    <w:pPr>
      <w:tabs>
        <w:tab w:val="num" w:pos="720"/>
      </w:tabs>
      <w:spacing w:before="120"/>
      <w:ind w:left="720" w:hanging="720"/>
      <w:jc w:val="both"/>
      <w:outlineLvl w:val="1"/>
    </w:pPr>
    <w:rPr>
      <w:lang w:val="es-ES"/>
    </w:rPr>
  </w:style>
  <w:style w:type="paragraph" w:customStyle="1" w:styleId="RegheadTab">
    <w:name w:val="RegheadTab"/>
    <w:basedOn w:val="FirstHeading"/>
    <w:rsid w:val="00004D47"/>
    <w:pPr>
      <w:tabs>
        <w:tab w:val="num" w:pos="504"/>
      </w:tabs>
      <w:spacing w:after="0"/>
      <w:ind w:left="504" w:hanging="504"/>
      <w:jc w:val="center"/>
    </w:pPr>
  </w:style>
  <w:style w:type="paragraph" w:customStyle="1" w:styleId="SecHeading">
    <w:name w:val="SecHeading"/>
    <w:basedOn w:val="Normal"/>
    <w:next w:val="Paragraph"/>
    <w:rsid w:val="00BC57A1"/>
    <w:pPr>
      <w:keepNext/>
      <w:tabs>
        <w:tab w:val="num" w:pos="1296"/>
      </w:tabs>
      <w:spacing w:before="120" w:after="120"/>
      <w:ind w:left="1296" w:hanging="576"/>
    </w:pPr>
    <w:rPr>
      <w:b/>
      <w:lang w:val="es-ES_tradnl"/>
    </w:rPr>
  </w:style>
  <w:style w:type="paragraph" w:customStyle="1" w:styleId="SubHeading1">
    <w:name w:val="SubHeading1"/>
    <w:basedOn w:val="SecHeading"/>
    <w:rsid w:val="00004D47"/>
    <w:pPr>
      <w:numPr>
        <w:ilvl w:val="2"/>
      </w:numPr>
      <w:tabs>
        <w:tab w:val="num" w:pos="1296"/>
        <w:tab w:val="num" w:pos="1872"/>
      </w:tabs>
      <w:ind w:left="1872" w:hanging="576"/>
    </w:pPr>
  </w:style>
  <w:style w:type="paragraph" w:customStyle="1" w:styleId="Subheading2">
    <w:name w:val="Subheading2"/>
    <w:basedOn w:val="SecHeading"/>
    <w:rsid w:val="00004D47"/>
    <w:pPr>
      <w:numPr>
        <w:ilvl w:val="3"/>
      </w:numPr>
      <w:tabs>
        <w:tab w:val="num" w:pos="1296"/>
        <w:tab w:val="num" w:pos="2376"/>
      </w:tabs>
      <w:ind w:left="2376" w:hanging="288"/>
    </w:pPr>
  </w:style>
  <w:style w:type="paragraph" w:customStyle="1" w:styleId="subpar">
    <w:name w:val="subpar"/>
    <w:basedOn w:val="BodyTextIndent3"/>
    <w:rsid w:val="00004D47"/>
    <w:pPr>
      <w:tabs>
        <w:tab w:val="num" w:pos="1152"/>
      </w:tabs>
      <w:spacing w:before="120"/>
      <w:ind w:left="1152" w:hanging="432"/>
      <w:jc w:val="both"/>
      <w:outlineLvl w:val="2"/>
    </w:pPr>
    <w:rPr>
      <w:lang w:val="es-ES_tradnl"/>
    </w:rPr>
  </w:style>
  <w:style w:type="paragraph" w:customStyle="1" w:styleId="SubSubPar">
    <w:name w:val="SubSubPar"/>
    <w:basedOn w:val="subpar"/>
    <w:rsid w:val="00004D47"/>
    <w:pPr>
      <w:numPr>
        <w:ilvl w:val="3"/>
      </w:numPr>
      <w:tabs>
        <w:tab w:val="left" w:pos="0"/>
        <w:tab w:val="num" w:pos="1152"/>
        <w:tab w:val="num" w:pos="1296"/>
      </w:tabs>
      <w:ind w:left="1296" w:hanging="288"/>
    </w:pPr>
  </w:style>
  <w:style w:type="paragraph" w:styleId="Title">
    <w:name w:val="Title"/>
    <w:basedOn w:val="Normal"/>
    <w:qFormat/>
    <w:rsid w:val="00004D47"/>
    <w:pPr>
      <w:tabs>
        <w:tab w:val="left" w:pos="1440"/>
        <w:tab w:val="left" w:pos="3060"/>
      </w:tabs>
      <w:jc w:val="center"/>
      <w:outlineLvl w:val="0"/>
    </w:pPr>
  </w:style>
  <w:style w:type="paragraph" w:styleId="TOC1">
    <w:name w:val="toc 1"/>
    <w:basedOn w:val="Normal"/>
    <w:next w:val="Normal"/>
    <w:autoRedefine/>
    <w:rsid w:val="00004D47"/>
    <w:pPr>
      <w:tabs>
        <w:tab w:val="left" w:pos="540"/>
        <w:tab w:val="right" w:leader="dot" w:pos="8741"/>
      </w:tabs>
      <w:spacing w:before="240" w:after="240"/>
      <w:ind w:left="547" w:hanging="547"/>
    </w:pPr>
    <w:rPr>
      <w:smallCaps/>
      <w:noProof/>
      <w:lang w:val="es-ES"/>
    </w:rPr>
  </w:style>
  <w:style w:type="paragraph" w:styleId="TOC2">
    <w:name w:val="toc 2"/>
    <w:basedOn w:val="Normal"/>
    <w:next w:val="Normal"/>
    <w:autoRedefine/>
    <w:rsid w:val="00004D47"/>
    <w:pPr>
      <w:tabs>
        <w:tab w:val="left" w:pos="540"/>
        <w:tab w:val="left" w:pos="600"/>
        <w:tab w:val="left" w:pos="1152"/>
        <w:tab w:val="right" w:leader="dot" w:pos="8741"/>
      </w:tabs>
      <w:ind w:left="1167" w:hanging="605"/>
    </w:pPr>
    <w:rPr>
      <w:noProof/>
      <w:lang w:val="es-ES"/>
    </w:rPr>
  </w:style>
  <w:style w:type="paragraph" w:styleId="TOC3">
    <w:name w:val="toc 3"/>
    <w:basedOn w:val="Normal"/>
    <w:next w:val="Normal"/>
    <w:autoRedefine/>
    <w:rsid w:val="00004D47"/>
    <w:pPr>
      <w:tabs>
        <w:tab w:val="left" w:pos="1728"/>
      </w:tabs>
      <w:ind w:left="1714" w:hanging="562"/>
    </w:pPr>
    <w:rPr>
      <w:lang w:val="es-ES"/>
    </w:rPr>
  </w:style>
  <w:style w:type="paragraph" w:styleId="TOC4">
    <w:name w:val="toc 4"/>
    <w:basedOn w:val="Normal"/>
    <w:next w:val="Normal"/>
    <w:autoRedefine/>
    <w:semiHidden/>
    <w:rsid w:val="00004D47"/>
    <w:pPr>
      <w:ind w:left="400"/>
    </w:pPr>
  </w:style>
  <w:style w:type="paragraph" w:styleId="TOC5">
    <w:name w:val="toc 5"/>
    <w:basedOn w:val="Normal"/>
    <w:next w:val="Normal"/>
    <w:autoRedefine/>
    <w:semiHidden/>
    <w:rsid w:val="00004D47"/>
    <w:pPr>
      <w:ind w:left="600"/>
    </w:pPr>
  </w:style>
  <w:style w:type="paragraph" w:styleId="TOC6">
    <w:name w:val="toc 6"/>
    <w:basedOn w:val="Normal"/>
    <w:next w:val="Normal"/>
    <w:autoRedefine/>
    <w:semiHidden/>
    <w:rsid w:val="00004D47"/>
    <w:pPr>
      <w:ind w:left="800"/>
    </w:pPr>
  </w:style>
  <w:style w:type="paragraph" w:styleId="TOC7">
    <w:name w:val="toc 7"/>
    <w:basedOn w:val="Normal"/>
    <w:next w:val="Normal"/>
    <w:autoRedefine/>
    <w:semiHidden/>
    <w:rsid w:val="00004D47"/>
    <w:pPr>
      <w:ind w:left="1000"/>
    </w:pPr>
  </w:style>
  <w:style w:type="paragraph" w:styleId="TOC8">
    <w:name w:val="toc 8"/>
    <w:basedOn w:val="Normal"/>
    <w:next w:val="Normal"/>
    <w:autoRedefine/>
    <w:semiHidden/>
    <w:rsid w:val="00004D47"/>
    <w:pPr>
      <w:ind w:left="1200"/>
    </w:pPr>
  </w:style>
  <w:style w:type="paragraph" w:styleId="TOC9">
    <w:name w:val="toc 9"/>
    <w:basedOn w:val="Normal"/>
    <w:next w:val="Normal"/>
    <w:autoRedefine/>
    <w:semiHidden/>
    <w:rsid w:val="00004D47"/>
    <w:pPr>
      <w:ind w:left="1400"/>
    </w:pPr>
  </w:style>
  <w:style w:type="character" w:styleId="Hyperlink">
    <w:name w:val="Hyperlink"/>
    <w:basedOn w:val="DefaultParagraphFont"/>
    <w:rsid w:val="00004D47"/>
    <w:rPr>
      <w:rFonts w:cs="Times New Roman"/>
      <w:color w:val="0000FF"/>
      <w:u w:val="single"/>
    </w:rPr>
  </w:style>
  <w:style w:type="character" w:styleId="FollowedHyperlink">
    <w:name w:val="FollowedHyperlink"/>
    <w:basedOn w:val="DefaultParagraphFont"/>
    <w:rsid w:val="00004D47"/>
    <w:rPr>
      <w:rFonts w:cs="Times New Roman"/>
      <w:color w:val="800080"/>
      <w:u w:val="single"/>
    </w:rPr>
  </w:style>
  <w:style w:type="character" w:styleId="FootnoteReference">
    <w:name w:val="footnote reference"/>
    <w:basedOn w:val="DefaultParagraphFont"/>
    <w:uiPriority w:val="99"/>
    <w:semiHidden/>
    <w:rsid w:val="00004D47"/>
    <w:rPr>
      <w:rFonts w:cs="Times New Roman"/>
      <w:vertAlign w:val="superscript"/>
    </w:rPr>
  </w:style>
  <w:style w:type="character" w:customStyle="1" w:styleId="Subheading2Char">
    <w:name w:val="Subheading2 Char"/>
    <w:basedOn w:val="DefaultParagraphFont"/>
    <w:rsid w:val="00004D47"/>
    <w:rPr>
      <w:rFonts w:cs="Times New Roman"/>
      <w:b/>
      <w:sz w:val="24"/>
      <w:lang w:val="es-ES_tradnl" w:bidi="ar-SA"/>
    </w:rPr>
  </w:style>
  <w:style w:type="character" w:styleId="Strong">
    <w:name w:val="Strong"/>
    <w:basedOn w:val="DefaultParagraphFont"/>
    <w:qFormat/>
    <w:rsid w:val="00004D47"/>
    <w:rPr>
      <w:rFonts w:cs="Times New Roman"/>
      <w:b/>
      <w:bCs/>
    </w:rPr>
  </w:style>
  <w:style w:type="paragraph" w:customStyle="1" w:styleId="Textodebalo1">
    <w:name w:val="Texto de balão1"/>
    <w:basedOn w:val="Normal"/>
    <w:semiHidden/>
    <w:rsid w:val="00004D47"/>
    <w:rPr>
      <w:sz w:val="16"/>
      <w:szCs w:val="16"/>
    </w:rPr>
  </w:style>
  <w:style w:type="paragraph" w:customStyle="1" w:styleId="Textodeglobo1">
    <w:name w:val="Texto de globo1"/>
    <w:basedOn w:val="Normal"/>
    <w:semiHidden/>
    <w:rsid w:val="00004D47"/>
    <w:rPr>
      <w:sz w:val="16"/>
      <w:szCs w:val="16"/>
    </w:rPr>
  </w:style>
  <w:style w:type="paragraph" w:customStyle="1" w:styleId="Paragrapha">
    <w:name w:val="Paragraph a"/>
    <w:basedOn w:val="Normal"/>
    <w:rsid w:val="00004D47"/>
    <w:pPr>
      <w:numPr>
        <w:numId w:val="11"/>
      </w:numPr>
      <w:spacing w:before="120" w:after="120"/>
      <w:jc w:val="both"/>
    </w:pPr>
    <w:rPr>
      <w:spacing w:val="-3"/>
      <w:lang w:val="es-ES"/>
    </w:rPr>
  </w:style>
  <w:style w:type="paragraph" w:customStyle="1" w:styleId="Default">
    <w:name w:val="Default"/>
    <w:link w:val="ListParagraphChar"/>
    <w:rsid w:val="00004D47"/>
    <w:pPr>
      <w:autoSpaceDE w:val="0"/>
      <w:autoSpaceDN w:val="0"/>
      <w:adjustRightInd w:val="0"/>
    </w:pPr>
    <w:rPr>
      <w:snapToGrid w:val="0"/>
      <w:color w:val="000000"/>
      <w:lang w:eastAsia="es-ES"/>
    </w:rPr>
  </w:style>
  <w:style w:type="character" w:styleId="CommentReference">
    <w:name w:val="annotation reference"/>
    <w:basedOn w:val="DefaultParagraphFont"/>
    <w:semiHidden/>
    <w:rsid w:val="00004D47"/>
    <w:rPr>
      <w:rFonts w:cs="Times New Roman"/>
      <w:sz w:val="16"/>
      <w:szCs w:val="16"/>
    </w:rPr>
  </w:style>
  <w:style w:type="paragraph" w:styleId="CommentText">
    <w:name w:val="annotation text"/>
    <w:basedOn w:val="Normal"/>
    <w:link w:val="CommentTextChar"/>
    <w:semiHidden/>
    <w:rsid w:val="00004D47"/>
    <w:rPr>
      <w:sz w:val="20"/>
    </w:rPr>
  </w:style>
  <w:style w:type="paragraph" w:styleId="CommentSubject">
    <w:name w:val="annotation subject"/>
    <w:basedOn w:val="CommentText"/>
    <w:next w:val="CommentText"/>
    <w:semiHidden/>
    <w:rsid w:val="00004D47"/>
    <w:rPr>
      <w:b/>
      <w:bCs/>
    </w:rPr>
  </w:style>
  <w:style w:type="character" w:customStyle="1" w:styleId="bodycontent1">
    <w:name w:val="bodycontent1"/>
    <w:basedOn w:val="DefaultParagraphFont"/>
    <w:rsid w:val="00004D47"/>
    <w:rPr>
      <w:rFonts w:ascii="Times New Roman" w:hAnsi="Times New Roman" w:cs="Times New Roman"/>
      <w:color w:val="000000"/>
      <w:sz w:val="18"/>
    </w:rPr>
  </w:style>
  <w:style w:type="paragraph" w:styleId="BodyText2">
    <w:name w:val="Body Text 2"/>
    <w:basedOn w:val="Normal"/>
    <w:rsid w:val="00004D47"/>
    <w:pPr>
      <w:jc w:val="center"/>
    </w:pPr>
    <w:rPr>
      <w:sz w:val="16"/>
      <w:lang w:val="es-ES"/>
    </w:rPr>
  </w:style>
  <w:style w:type="paragraph" w:customStyle="1" w:styleId="abbrdesc0">
    <w:name w:val="abbrdesc"/>
    <w:basedOn w:val="Normal"/>
    <w:rsid w:val="00004D47"/>
    <w:pPr>
      <w:spacing w:before="100" w:beforeAutospacing="1" w:after="100" w:afterAutospacing="1"/>
    </w:pPr>
  </w:style>
  <w:style w:type="character" w:styleId="Emphasis">
    <w:name w:val="Emphasis"/>
    <w:basedOn w:val="DefaultParagraphFont"/>
    <w:uiPriority w:val="20"/>
    <w:qFormat/>
    <w:rsid w:val="00004D47"/>
    <w:rPr>
      <w:rFonts w:cs="Times New Roman"/>
      <w:b/>
      <w:bCs/>
    </w:rPr>
  </w:style>
  <w:style w:type="character" w:customStyle="1" w:styleId="CarCar1">
    <w:name w:val="Car Car1"/>
    <w:basedOn w:val="DefaultParagraphFont"/>
    <w:locked/>
    <w:rsid w:val="00004D47"/>
    <w:rPr>
      <w:rFonts w:cs="Times New Roman"/>
      <w:lang w:val="en-US" w:bidi="ar-SA"/>
    </w:rPr>
  </w:style>
  <w:style w:type="paragraph" w:customStyle="1" w:styleId="Regtable">
    <w:name w:val="Regtable"/>
    <w:basedOn w:val="Normal"/>
    <w:rsid w:val="00BC57A1"/>
    <w:pPr>
      <w:keepLines/>
      <w:framePr w:wrap="around" w:vAnchor="text" w:hAnchor="text" w:y="1"/>
      <w:spacing w:before="20" w:after="20"/>
    </w:pPr>
    <w:rPr>
      <w:sz w:val="20"/>
    </w:rPr>
  </w:style>
  <w:style w:type="character" w:customStyle="1" w:styleId="Heading1Char">
    <w:name w:val="Heading 1 Char"/>
    <w:basedOn w:val="DefaultParagraphFont"/>
    <w:link w:val="Heading1"/>
    <w:locked/>
    <w:rsid w:val="00004D47"/>
    <w:rPr>
      <w:rFonts w:ascii="Arial" w:hAnsi="Arial"/>
      <w:b/>
      <w:snapToGrid w:val="0"/>
      <w:kern w:val="28"/>
      <w:sz w:val="28"/>
      <w:lang w:eastAsia="es-ES"/>
    </w:rPr>
  </w:style>
  <w:style w:type="character" w:customStyle="1" w:styleId="Heading6Char">
    <w:name w:val="Heading 6 Char"/>
    <w:link w:val="Heading6"/>
    <w:locked/>
    <w:rsid w:val="00004D47"/>
    <w:rPr>
      <w:lang w:val="es-ES" w:eastAsia="es-ES"/>
    </w:rPr>
  </w:style>
  <w:style w:type="character" w:customStyle="1" w:styleId="longtext1">
    <w:name w:val="long_text1"/>
    <w:basedOn w:val="DefaultParagraphFont"/>
    <w:rsid w:val="00004D47"/>
    <w:rPr>
      <w:rFonts w:cs="Times New Roman"/>
      <w:sz w:val="20"/>
      <w:szCs w:val="20"/>
    </w:rPr>
  </w:style>
  <w:style w:type="table" w:styleId="TableGrid">
    <w:name w:val="Table Grid"/>
    <w:basedOn w:val="TableNormal"/>
    <w:rsid w:val="00004D47"/>
    <w:rPr>
      <w:snapToGrid w:val="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1"/>
    <w:uiPriority w:val="34"/>
    <w:qFormat/>
    <w:rsid w:val="00004D47"/>
    <w:pPr>
      <w:ind w:left="720"/>
      <w:contextualSpacing/>
    </w:pPr>
  </w:style>
  <w:style w:type="character" w:customStyle="1" w:styleId="hps">
    <w:name w:val="hps"/>
    <w:basedOn w:val="DefaultParagraphFont"/>
    <w:rsid w:val="00004D47"/>
    <w:rPr>
      <w:rFonts w:cs="Times New Roman"/>
    </w:rPr>
  </w:style>
  <w:style w:type="character" w:customStyle="1" w:styleId="ListParagraphChar">
    <w:name w:val="List Paragraph Char"/>
    <w:basedOn w:val="DefaultParagraphFont"/>
    <w:link w:val="Default"/>
    <w:locked/>
    <w:rsid w:val="00004D47"/>
    <w:rPr>
      <w:snapToGrid w:val="0"/>
      <w:color w:val="000000"/>
      <w:sz w:val="24"/>
      <w:szCs w:val="24"/>
      <w:lang w:val="en-US" w:eastAsia="es-ES" w:bidi="ar-SA"/>
    </w:rPr>
  </w:style>
  <w:style w:type="character" w:customStyle="1" w:styleId="tw4winMark">
    <w:name w:val="tw4winMark"/>
    <w:rsid w:val="00004D47"/>
    <w:rPr>
      <w:rFonts w:ascii="Courier New" w:hAnsi="Courier New"/>
      <w:vanish/>
      <w:color w:val="800080"/>
      <w:sz w:val="24"/>
      <w:vertAlign w:val="subscript"/>
    </w:rPr>
  </w:style>
  <w:style w:type="character" w:customStyle="1" w:styleId="tw4winError">
    <w:name w:val="tw4winError"/>
    <w:rsid w:val="00004D47"/>
    <w:rPr>
      <w:rFonts w:ascii="Courier New" w:hAnsi="Courier New"/>
      <w:color w:val="00FF00"/>
      <w:sz w:val="40"/>
    </w:rPr>
  </w:style>
  <w:style w:type="character" w:customStyle="1" w:styleId="tw4winTerm">
    <w:name w:val="tw4winTerm"/>
    <w:rsid w:val="00004D47"/>
    <w:rPr>
      <w:color w:val="0000FF"/>
    </w:rPr>
  </w:style>
  <w:style w:type="character" w:customStyle="1" w:styleId="tw4winPopup">
    <w:name w:val="tw4winPopup"/>
    <w:rsid w:val="00004D47"/>
    <w:rPr>
      <w:rFonts w:ascii="Courier New" w:hAnsi="Courier New"/>
      <w:noProof/>
      <w:color w:val="008000"/>
    </w:rPr>
  </w:style>
  <w:style w:type="character" w:customStyle="1" w:styleId="tw4winJump">
    <w:name w:val="tw4winJump"/>
    <w:rsid w:val="00004D47"/>
    <w:rPr>
      <w:rFonts w:ascii="Courier New" w:hAnsi="Courier New"/>
      <w:noProof/>
      <w:color w:val="008080"/>
    </w:rPr>
  </w:style>
  <w:style w:type="character" w:customStyle="1" w:styleId="tw4winExternal">
    <w:name w:val="tw4winExternal"/>
    <w:rsid w:val="00004D47"/>
    <w:rPr>
      <w:rFonts w:ascii="Courier New" w:hAnsi="Courier New"/>
      <w:noProof/>
      <w:color w:val="808080"/>
    </w:rPr>
  </w:style>
  <w:style w:type="character" w:customStyle="1" w:styleId="tw4winInternal">
    <w:name w:val="tw4winInternal"/>
    <w:rsid w:val="00004D47"/>
    <w:rPr>
      <w:rFonts w:ascii="Courier New" w:hAnsi="Courier New"/>
      <w:noProof/>
      <w:color w:val="FF0000"/>
    </w:rPr>
  </w:style>
  <w:style w:type="character" w:customStyle="1" w:styleId="DONOTTRANSLATE">
    <w:name w:val="DO_NOT_TRANSLATE"/>
    <w:rsid w:val="00004D47"/>
    <w:rPr>
      <w:rFonts w:ascii="Courier New" w:hAnsi="Courier New"/>
      <w:noProof/>
      <w:color w:val="800000"/>
    </w:rPr>
  </w:style>
  <w:style w:type="paragraph" w:customStyle="1" w:styleId="TableTitle">
    <w:name w:val="TableTitle"/>
    <w:basedOn w:val="Normal"/>
    <w:link w:val="TableTitleChar"/>
    <w:rsid w:val="00BC57A1"/>
    <w:pPr>
      <w:keepNext/>
      <w:framePr w:wrap="around" w:vAnchor="text" w:hAnchor="text" w:y="1"/>
      <w:spacing w:before="20" w:after="20"/>
      <w:jc w:val="center"/>
    </w:pPr>
    <w:rPr>
      <w:rFonts w:ascii="Times New Roman Bold" w:hAnsi="Times New Roman Bold"/>
      <w:b/>
      <w:spacing w:val="-3"/>
      <w:sz w:val="20"/>
    </w:rPr>
  </w:style>
  <w:style w:type="character" w:customStyle="1" w:styleId="AbbrDescChar">
    <w:name w:val="AbbrDesc Char"/>
    <w:basedOn w:val="DefaultParagraphFont"/>
    <w:link w:val="AbbrDesc"/>
    <w:rsid w:val="00BC57A1"/>
    <w:rPr>
      <w:snapToGrid w:val="0"/>
      <w:sz w:val="24"/>
      <w:lang w:val="es-ES_tradnl" w:eastAsia="es-ES"/>
    </w:rPr>
  </w:style>
  <w:style w:type="character" w:customStyle="1" w:styleId="TableTitleChar">
    <w:name w:val="TableTitle Char"/>
    <w:basedOn w:val="AbbrDescChar"/>
    <w:link w:val="TableTitle"/>
    <w:rsid w:val="00BC57A1"/>
    <w:rPr>
      <w:rFonts w:ascii="Times New Roman Bold" w:hAnsi="Times New Roman Bold"/>
      <w:b/>
      <w:snapToGrid w:val="0"/>
      <w:spacing w:val="-3"/>
      <w:sz w:val="24"/>
      <w:szCs w:val="24"/>
      <w:lang w:val="es-ES_tradnl" w:eastAsia="es-ES"/>
    </w:rPr>
  </w:style>
  <w:style w:type="character" w:customStyle="1" w:styleId="FootnoteTextChar">
    <w:name w:val="Footnote Text Char"/>
    <w:basedOn w:val="DefaultParagraphFont"/>
    <w:link w:val="FootnoteText"/>
    <w:uiPriority w:val="99"/>
    <w:semiHidden/>
    <w:rsid w:val="00E35623"/>
    <w:rPr>
      <w:snapToGrid w:val="0"/>
      <w:spacing w:val="-3"/>
      <w:lang w:eastAsia="es-ES"/>
    </w:rPr>
  </w:style>
  <w:style w:type="character" w:customStyle="1" w:styleId="CommentTextChar">
    <w:name w:val="Comment Text Char"/>
    <w:basedOn w:val="DefaultParagraphFont"/>
    <w:link w:val="CommentText"/>
    <w:semiHidden/>
    <w:rsid w:val="00A20742"/>
    <w:rPr>
      <w:snapToGrid w:val="0"/>
      <w:lang w:eastAsia="es-ES"/>
    </w:rPr>
  </w:style>
  <w:style w:type="character" w:customStyle="1" w:styleId="ParagraphChar">
    <w:name w:val="Paragraph Char"/>
    <w:basedOn w:val="DefaultParagraphFont"/>
    <w:link w:val="Paragraph"/>
    <w:rsid w:val="00133005"/>
    <w:rPr>
      <w:snapToGrid w:val="0"/>
      <w:sz w:val="24"/>
      <w:lang w:val="es-ES" w:eastAsia="es-ES"/>
    </w:rPr>
  </w:style>
  <w:style w:type="character" w:customStyle="1" w:styleId="ListParagraphChar1">
    <w:name w:val="List Paragraph Char1"/>
    <w:basedOn w:val="DefaultParagraphFont"/>
    <w:link w:val="ListParagraph"/>
    <w:uiPriority w:val="34"/>
    <w:locked/>
    <w:rsid w:val="0037770E"/>
    <w:rPr>
      <w:snapToGrid w:val="0"/>
      <w:sz w:val="24"/>
      <w:lang w:eastAsia="es-ES"/>
    </w:rPr>
  </w:style>
  <w:style w:type="paragraph" w:styleId="EndnoteText">
    <w:name w:val="endnote text"/>
    <w:basedOn w:val="Normal"/>
    <w:link w:val="EndnoteTextChar"/>
    <w:uiPriority w:val="99"/>
    <w:rsid w:val="003B0FB2"/>
    <w:rPr>
      <w:sz w:val="20"/>
    </w:rPr>
  </w:style>
  <w:style w:type="character" w:customStyle="1" w:styleId="EndnoteTextChar">
    <w:name w:val="Endnote Text Char"/>
    <w:basedOn w:val="DefaultParagraphFont"/>
    <w:link w:val="EndnoteText"/>
    <w:uiPriority w:val="99"/>
    <w:rsid w:val="003B0FB2"/>
    <w:rPr>
      <w:snapToGrid w:val="0"/>
      <w:lang w:eastAsia="es-ES"/>
    </w:rPr>
  </w:style>
  <w:style w:type="character" w:styleId="EndnoteReference">
    <w:name w:val="endnote reference"/>
    <w:basedOn w:val="DefaultParagraphFont"/>
    <w:uiPriority w:val="99"/>
    <w:unhideWhenUsed/>
    <w:rsid w:val="003B0FB2"/>
    <w:rPr>
      <w:vertAlign w:val="superscript"/>
    </w:rPr>
  </w:style>
  <w:style w:type="paragraph" w:customStyle="1" w:styleId="Normal1">
    <w:name w:val="Normal1"/>
    <w:rsid w:val="008D0B82"/>
    <w:pPr>
      <w:spacing w:line="276" w:lineRule="auto"/>
    </w:pPr>
    <w:rPr>
      <w:rFonts w:ascii="Arial" w:eastAsia="Arial" w:hAnsi="Arial" w:cs="Arial"/>
      <w:color w:val="000000"/>
      <w:sz w:val="22"/>
    </w:rPr>
  </w:style>
  <w:style w:type="character" w:customStyle="1" w:styleId="apple-converted-space">
    <w:name w:val="apple-converted-space"/>
    <w:basedOn w:val="DefaultParagraphFont"/>
    <w:rsid w:val="00266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20597361">
      <w:bodyDiv w:val="1"/>
      <w:marLeft w:val="0"/>
      <w:marRight w:val="0"/>
      <w:marTop w:val="0"/>
      <w:marBottom w:val="0"/>
      <w:divBdr>
        <w:top w:val="none" w:sz="0" w:space="0" w:color="auto"/>
        <w:left w:val="none" w:sz="0" w:space="0" w:color="auto"/>
        <w:bottom w:val="none" w:sz="0" w:space="0" w:color="auto"/>
        <w:right w:val="none" w:sz="0" w:space="0" w:color="auto"/>
      </w:divBdr>
    </w:div>
    <w:div w:id="76171904">
      <w:bodyDiv w:val="1"/>
      <w:marLeft w:val="0"/>
      <w:marRight w:val="0"/>
      <w:marTop w:val="0"/>
      <w:marBottom w:val="0"/>
      <w:divBdr>
        <w:top w:val="none" w:sz="0" w:space="0" w:color="auto"/>
        <w:left w:val="none" w:sz="0" w:space="0" w:color="auto"/>
        <w:bottom w:val="none" w:sz="0" w:space="0" w:color="auto"/>
        <w:right w:val="none" w:sz="0" w:space="0" w:color="auto"/>
      </w:divBdr>
    </w:div>
    <w:div w:id="168255501">
      <w:bodyDiv w:val="1"/>
      <w:marLeft w:val="0"/>
      <w:marRight w:val="0"/>
      <w:marTop w:val="0"/>
      <w:marBottom w:val="0"/>
      <w:divBdr>
        <w:top w:val="none" w:sz="0" w:space="0" w:color="auto"/>
        <w:left w:val="none" w:sz="0" w:space="0" w:color="auto"/>
        <w:bottom w:val="none" w:sz="0" w:space="0" w:color="auto"/>
        <w:right w:val="none" w:sz="0" w:space="0" w:color="auto"/>
      </w:divBdr>
    </w:div>
    <w:div w:id="267740312">
      <w:bodyDiv w:val="1"/>
      <w:marLeft w:val="0"/>
      <w:marRight w:val="0"/>
      <w:marTop w:val="0"/>
      <w:marBottom w:val="0"/>
      <w:divBdr>
        <w:top w:val="none" w:sz="0" w:space="0" w:color="auto"/>
        <w:left w:val="none" w:sz="0" w:space="0" w:color="auto"/>
        <w:bottom w:val="none" w:sz="0" w:space="0" w:color="auto"/>
        <w:right w:val="none" w:sz="0" w:space="0" w:color="auto"/>
      </w:divBdr>
    </w:div>
    <w:div w:id="412554845">
      <w:bodyDiv w:val="1"/>
      <w:marLeft w:val="0"/>
      <w:marRight w:val="0"/>
      <w:marTop w:val="0"/>
      <w:marBottom w:val="0"/>
      <w:divBdr>
        <w:top w:val="none" w:sz="0" w:space="0" w:color="auto"/>
        <w:left w:val="none" w:sz="0" w:space="0" w:color="auto"/>
        <w:bottom w:val="none" w:sz="0" w:space="0" w:color="auto"/>
        <w:right w:val="none" w:sz="0" w:space="0" w:color="auto"/>
      </w:divBdr>
      <w:divsChild>
        <w:div w:id="436952457">
          <w:marLeft w:val="0"/>
          <w:marRight w:val="0"/>
          <w:marTop w:val="0"/>
          <w:marBottom w:val="0"/>
          <w:divBdr>
            <w:top w:val="none" w:sz="0" w:space="0" w:color="auto"/>
            <w:left w:val="none" w:sz="0" w:space="0" w:color="auto"/>
            <w:bottom w:val="none" w:sz="0" w:space="0" w:color="auto"/>
            <w:right w:val="none" w:sz="0" w:space="0" w:color="auto"/>
          </w:divBdr>
        </w:div>
        <w:div w:id="544561192">
          <w:marLeft w:val="0"/>
          <w:marRight w:val="0"/>
          <w:marTop w:val="0"/>
          <w:marBottom w:val="0"/>
          <w:divBdr>
            <w:top w:val="none" w:sz="0" w:space="0" w:color="auto"/>
            <w:left w:val="none" w:sz="0" w:space="0" w:color="auto"/>
            <w:bottom w:val="none" w:sz="0" w:space="0" w:color="auto"/>
            <w:right w:val="none" w:sz="0" w:space="0" w:color="auto"/>
          </w:divBdr>
        </w:div>
        <w:div w:id="1633052490">
          <w:marLeft w:val="0"/>
          <w:marRight w:val="0"/>
          <w:marTop w:val="0"/>
          <w:marBottom w:val="0"/>
          <w:divBdr>
            <w:top w:val="none" w:sz="0" w:space="0" w:color="auto"/>
            <w:left w:val="none" w:sz="0" w:space="0" w:color="auto"/>
            <w:bottom w:val="none" w:sz="0" w:space="0" w:color="auto"/>
            <w:right w:val="none" w:sz="0" w:space="0" w:color="auto"/>
          </w:divBdr>
        </w:div>
        <w:div w:id="1688407439">
          <w:marLeft w:val="0"/>
          <w:marRight w:val="0"/>
          <w:marTop w:val="0"/>
          <w:marBottom w:val="0"/>
          <w:divBdr>
            <w:top w:val="none" w:sz="0" w:space="0" w:color="auto"/>
            <w:left w:val="none" w:sz="0" w:space="0" w:color="auto"/>
            <w:bottom w:val="none" w:sz="0" w:space="0" w:color="auto"/>
            <w:right w:val="none" w:sz="0" w:space="0" w:color="auto"/>
          </w:divBdr>
        </w:div>
      </w:divsChild>
    </w:div>
    <w:div w:id="769814764">
      <w:bodyDiv w:val="1"/>
      <w:marLeft w:val="0"/>
      <w:marRight w:val="0"/>
      <w:marTop w:val="0"/>
      <w:marBottom w:val="0"/>
      <w:divBdr>
        <w:top w:val="none" w:sz="0" w:space="0" w:color="auto"/>
        <w:left w:val="none" w:sz="0" w:space="0" w:color="auto"/>
        <w:bottom w:val="none" w:sz="0" w:space="0" w:color="auto"/>
        <w:right w:val="none" w:sz="0" w:space="0" w:color="auto"/>
      </w:divBdr>
    </w:div>
    <w:div w:id="827987422">
      <w:bodyDiv w:val="1"/>
      <w:marLeft w:val="0"/>
      <w:marRight w:val="0"/>
      <w:marTop w:val="0"/>
      <w:marBottom w:val="0"/>
      <w:divBdr>
        <w:top w:val="none" w:sz="0" w:space="0" w:color="auto"/>
        <w:left w:val="none" w:sz="0" w:space="0" w:color="auto"/>
        <w:bottom w:val="none" w:sz="0" w:space="0" w:color="auto"/>
        <w:right w:val="none" w:sz="0" w:space="0" w:color="auto"/>
      </w:divBdr>
    </w:div>
    <w:div w:id="885873815">
      <w:bodyDiv w:val="1"/>
      <w:marLeft w:val="0"/>
      <w:marRight w:val="0"/>
      <w:marTop w:val="0"/>
      <w:marBottom w:val="0"/>
      <w:divBdr>
        <w:top w:val="none" w:sz="0" w:space="0" w:color="auto"/>
        <w:left w:val="none" w:sz="0" w:space="0" w:color="auto"/>
        <w:bottom w:val="none" w:sz="0" w:space="0" w:color="auto"/>
        <w:right w:val="none" w:sz="0" w:space="0" w:color="auto"/>
      </w:divBdr>
    </w:div>
    <w:div w:id="909846531">
      <w:bodyDiv w:val="1"/>
      <w:marLeft w:val="0"/>
      <w:marRight w:val="0"/>
      <w:marTop w:val="0"/>
      <w:marBottom w:val="0"/>
      <w:divBdr>
        <w:top w:val="none" w:sz="0" w:space="0" w:color="auto"/>
        <w:left w:val="none" w:sz="0" w:space="0" w:color="auto"/>
        <w:bottom w:val="none" w:sz="0" w:space="0" w:color="auto"/>
        <w:right w:val="none" w:sz="0" w:space="0" w:color="auto"/>
      </w:divBdr>
    </w:div>
    <w:div w:id="1036390512">
      <w:bodyDiv w:val="1"/>
      <w:marLeft w:val="0"/>
      <w:marRight w:val="0"/>
      <w:marTop w:val="0"/>
      <w:marBottom w:val="0"/>
      <w:divBdr>
        <w:top w:val="none" w:sz="0" w:space="0" w:color="auto"/>
        <w:left w:val="none" w:sz="0" w:space="0" w:color="auto"/>
        <w:bottom w:val="none" w:sz="0" w:space="0" w:color="auto"/>
        <w:right w:val="none" w:sz="0" w:space="0" w:color="auto"/>
      </w:divBdr>
    </w:div>
    <w:div w:id="1206865952">
      <w:bodyDiv w:val="1"/>
      <w:marLeft w:val="0"/>
      <w:marRight w:val="0"/>
      <w:marTop w:val="0"/>
      <w:marBottom w:val="0"/>
      <w:divBdr>
        <w:top w:val="none" w:sz="0" w:space="0" w:color="auto"/>
        <w:left w:val="none" w:sz="0" w:space="0" w:color="auto"/>
        <w:bottom w:val="none" w:sz="0" w:space="0" w:color="auto"/>
        <w:right w:val="none" w:sz="0" w:space="0" w:color="auto"/>
      </w:divBdr>
    </w:div>
    <w:div w:id="1301156213">
      <w:bodyDiv w:val="1"/>
      <w:marLeft w:val="0"/>
      <w:marRight w:val="0"/>
      <w:marTop w:val="0"/>
      <w:marBottom w:val="0"/>
      <w:divBdr>
        <w:top w:val="none" w:sz="0" w:space="0" w:color="auto"/>
        <w:left w:val="none" w:sz="0" w:space="0" w:color="auto"/>
        <w:bottom w:val="none" w:sz="0" w:space="0" w:color="auto"/>
        <w:right w:val="none" w:sz="0" w:space="0" w:color="auto"/>
      </w:divBdr>
    </w:div>
    <w:div w:id="1571423516">
      <w:bodyDiv w:val="1"/>
      <w:marLeft w:val="0"/>
      <w:marRight w:val="0"/>
      <w:marTop w:val="0"/>
      <w:marBottom w:val="0"/>
      <w:divBdr>
        <w:top w:val="none" w:sz="0" w:space="0" w:color="auto"/>
        <w:left w:val="none" w:sz="0" w:space="0" w:color="auto"/>
        <w:bottom w:val="none" w:sz="0" w:space="0" w:color="auto"/>
        <w:right w:val="none" w:sz="0" w:space="0" w:color="auto"/>
      </w:divBdr>
    </w:div>
    <w:div w:id="1798058652">
      <w:bodyDiv w:val="1"/>
      <w:marLeft w:val="0"/>
      <w:marRight w:val="0"/>
      <w:marTop w:val="0"/>
      <w:marBottom w:val="0"/>
      <w:divBdr>
        <w:top w:val="none" w:sz="0" w:space="0" w:color="auto"/>
        <w:left w:val="none" w:sz="0" w:space="0" w:color="auto"/>
        <w:bottom w:val="none" w:sz="0" w:space="0" w:color="auto"/>
        <w:right w:val="none" w:sz="0" w:space="0" w:color="auto"/>
      </w:divBdr>
    </w:div>
    <w:div w:id="1835220152">
      <w:bodyDiv w:val="1"/>
      <w:marLeft w:val="0"/>
      <w:marRight w:val="0"/>
      <w:marTop w:val="0"/>
      <w:marBottom w:val="0"/>
      <w:divBdr>
        <w:top w:val="none" w:sz="0" w:space="0" w:color="auto"/>
        <w:left w:val="none" w:sz="0" w:space="0" w:color="auto"/>
        <w:bottom w:val="none" w:sz="0" w:space="0" w:color="auto"/>
        <w:right w:val="none" w:sz="0" w:space="0" w:color="auto"/>
      </w:divBdr>
    </w:div>
    <w:div w:id="2027436488">
      <w:bodyDiv w:val="1"/>
      <w:marLeft w:val="0"/>
      <w:marRight w:val="0"/>
      <w:marTop w:val="0"/>
      <w:marBottom w:val="0"/>
      <w:divBdr>
        <w:top w:val="none" w:sz="0" w:space="0" w:color="auto"/>
        <w:left w:val="none" w:sz="0" w:space="0" w:color="auto"/>
        <w:bottom w:val="none" w:sz="0" w:space="0" w:color="auto"/>
        <w:right w:val="none" w:sz="0" w:space="0" w:color="auto"/>
      </w:divBdr>
    </w:div>
    <w:div w:id="213675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agorapartnerships.org/governance/" TargetMode="External"/><Relationship Id="rId13" Type="http://schemas.openxmlformats.org/officeDocument/2006/relationships/hyperlink" Target="https://agorapartnerships.box.com/s/wecxdfa4tkntuwed5onu" TargetMode="External"/><Relationship Id="rId18" Type="http://schemas.openxmlformats.org/officeDocument/2006/relationships/hyperlink" Target="https://www.bcorporation.net/what-are-b-corps/the-non-profit-behind-b-corps" TargetMode="External"/><Relationship Id="rId3" Type="http://schemas.openxmlformats.org/officeDocument/2006/relationships/hyperlink" Target="Http://www.mim.monitor.com/downloads/Blueprint_To_Scale/From%20Blueprint%20to%20Scale%20-%20Case%20for%20Philanthropy%20in%20Impact%20Investing_Full%20report.pdf" TargetMode="External"/><Relationship Id="rId21" Type="http://schemas.openxmlformats.org/officeDocument/2006/relationships/hyperlink" Target="http://www.williamjamesfoundation.org/index.cfm?nodeID=17" TargetMode="External"/><Relationship Id="rId7" Type="http://schemas.openxmlformats.org/officeDocument/2006/relationships/hyperlink" Target="http://agorapartnerships.org/about-history/" TargetMode="External"/><Relationship Id="rId12" Type="http://schemas.openxmlformats.org/officeDocument/2006/relationships/hyperlink" Target="https://agorapartnerships.box.com/s/v49f5yepx3wi7e1q3sgb" TargetMode="External"/><Relationship Id="rId17" Type="http://schemas.openxmlformats.org/officeDocument/2006/relationships/hyperlink" Target="http://giirs.org/" TargetMode="External"/><Relationship Id="rId2" Type="http://schemas.openxmlformats.org/officeDocument/2006/relationships/hyperlink" Target="http://agorapartnerships.org/measuring-impact/" TargetMode="External"/><Relationship Id="rId16" Type="http://schemas.openxmlformats.org/officeDocument/2006/relationships/hyperlink" Target="http://agorapartnerships.org/accelerator/" TargetMode="External"/><Relationship Id="rId20" Type="http://schemas.openxmlformats.org/officeDocument/2006/relationships/hyperlink" Target="http://www.glgsocialimpact.com/" TargetMode="External"/><Relationship Id="rId1" Type="http://schemas.openxmlformats.org/officeDocument/2006/relationships/hyperlink" Target="http://agorapartnerships.org/accelerator/" TargetMode="External"/><Relationship Id="rId6" Type="http://schemas.openxmlformats.org/officeDocument/2006/relationships/hyperlink" Target="https://agorapartnerships.box.com/s/h1lqmros9cw3qm83phq4" TargetMode="External"/><Relationship Id="rId11" Type="http://schemas.openxmlformats.org/officeDocument/2006/relationships/hyperlink" Target="https://agorapartnerships.box.com/s/iy2ea83uvtehh3tlbr3b" TargetMode="External"/><Relationship Id="rId24" Type="http://schemas.openxmlformats.org/officeDocument/2006/relationships/hyperlink" Target="https://agorapartnerships.box.com/s/yuz9xhnci5v5abng28ua" TargetMode="External"/><Relationship Id="rId5" Type="http://schemas.openxmlformats.org/officeDocument/2006/relationships/hyperlink" Target="https://agorapartnerships.box.com/s/3m80wg53n89o9l0dfpre" TargetMode="External"/><Relationship Id="rId15" Type="http://schemas.openxmlformats.org/officeDocument/2006/relationships/hyperlink" Target="http://agorapartnerships.org/accelerator/" TargetMode="External"/><Relationship Id="rId23" Type="http://schemas.openxmlformats.org/officeDocument/2006/relationships/hyperlink" Target="https://agorapartnerships.box.com/s/hcocykn1c28hm9qxlfyh" TargetMode="External"/><Relationship Id="rId10" Type="http://schemas.openxmlformats.org/officeDocument/2006/relationships/hyperlink" Target="http://bioscibd.com/biofi/demand-dividend/" TargetMode="External"/><Relationship Id="rId19" Type="http://schemas.openxmlformats.org/officeDocument/2006/relationships/hyperlink" Target="http://glg.it/" TargetMode="External"/><Relationship Id="rId4" Type="http://schemas.openxmlformats.org/officeDocument/2006/relationships/hyperlink" Target="http://agorapartnerships.org/governance/" TargetMode="External"/><Relationship Id="rId9" Type="http://schemas.openxmlformats.org/officeDocument/2006/relationships/hyperlink" Target="http://bioscibd.com/biofi/demand-dividend/" TargetMode="External"/><Relationship Id="rId14" Type="http://schemas.openxmlformats.org/officeDocument/2006/relationships/hyperlink" Target="http://agorapartnerships.org/accelerator/" TargetMode="External"/><Relationship Id="rId22" Type="http://schemas.openxmlformats.org/officeDocument/2006/relationships/hyperlink" Target="http://agorapartnerships.org/impac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oan%20Document\INVs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100B3-56B6-4B7D-9936-5CCE11A51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INVsp.dot</Template>
  <TotalTime>194</TotalTime>
  <Pages>27</Pages>
  <Words>9305</Words>
  <Characters>51182</Characters>
  <Application>Microsoft Office Word</Application>
  <DocSecurity>0</DocSecurity>
  <Lines>426</Lines>
  <Paragraphs>120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DOCUMENT OF THE INTER-AMERICAN DEVELOPMENT BANK</vt:lpstr>
      <vt:lpstr>DOCUMENT OF THE INTER-AMERICAN DEVELOPMENT BANK</vt:lpstr>
    </vt:vector>
  </TitlesOfParts>
  <Company>InterAmerican Development Bank</Company>
  <LinksUpToDate>false</LinksUpToDate>
  <CharactersWithSpaces>60367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OF THE INTER-AMERICAN DEVELOPMENT BANK</dc:title>
  <dc:creator>ELIZABETTAG</dc:creator>
  <cp:lastModifiedBy>Test</cp:lastModifiedBy>
  <cp:revision>6</cp:revision>
  <cp:lastPrinted>2014-10-25T00:07:00Z</cp:lastPrinted>
  <dcterms:created xsi:type="dcterms:W3CDTF">2014-10-21T19:27:00Z</dcterms:created>
  <dcterms:modified xsi:type="dcterms:W3CDTF">2014-10-25T00:11:00Z</dcterms:modified>
</cp:coreProperties>
</file>