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FA" w:rsidRPr="00E24321" w:rsidRDefault="00E24321" w:rsidP="009940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Technical </w:t>
      </w:r>
      <w:r w:rsidR="003623FA" w:rsidRPr="00E24321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ooperation</w:t>
      </w:r>
      <w:r w:rsidR="003623FA" w:rsidRPr="00E24321">
        <w:rPr>
          <w:rFonts w:ascii="Times New Roman" w:hAnsi="Times New Roman"/>
          <w:b/>
        </w:rPr>
        <w:t xml:space="preserve"> </w:t>
      </w:r>
      <w:r w:rsidRPr="00E24321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bstract</w:t>
      </w:r>
    </w:p>
    <w:p w:rsidR="003623FA" w:rsidRPr="00E24321" w:rsidRDefault="003623FA" w:rsidP="009940F8">
      <w:pPr>
        <w:jc w:val="center"/>
        <w:rPr>
          <w:rFonts w:ascii="Times New Roman" w:hAnsi="Times New Roman"/>
          <w:b/>
        </w:rPr>
      </w:pPr>
    </w:p>
    <w:p w:rsidR="003623FA" w:rsidRPr="00E24321" w:rsidRDefault="003623FA" w:rsidP="009940F8">
      <w:pPr>
        <w:pStyle w:val="Heading1"/>
        <w:rPr>
          <w:rFonts w:ascii="Times New Roman" w:hAnsi="Times New Roman"/>
        </w:rPr>
      </w:pPr>
      <w:r w:rsidRPr="00E24321">
        <w:rPr>
          <w:rFonts w:ascii="Times New Roman" w:hAnsi="Times New Roman"/>
        </w:rPr>
        <w:t>Basic project data</w:t>
      </w:r>
    </w:p>
    <w:tbl>
      <w:tblPr>
        <w:tblStyle w:val="Tablacon"/>
        <w:tblW w:w="9261" w:type="dxa"/>
        <w:tblInd w:w="4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118"/>
        <w:gridCol w:w="5143"/>
      </w:tblGrid>
      <w:tr w:rsidR="003623FA" w:rsidRPr="00E24321" w:rsidTr="00A75757">
        <w:trPr>
          <w:trHeight w:val="620"/>
        </w:trPr>
        <w:tc>
          <w:tcPr>
            <w:tcW w:w="4118" w:type="dxa"/>
          </w:tcPr>
          <w:p w:rsidR="003623FA" w:rsidRPr="00E24321" w:rsidRDefault="003623FA" w:rsidP="00A806A3">
            <w:pPr>
              <w:pStyle w:val="ListParagraph"/>
              <w:numPr>
                <w:ilvl w:val="0"/>
                <w:numId w:val="2"/>
              </w:numPr>
              <w:ind w:left="162" w:hanging="16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Country/Region:</w:t>
            </w:r>
          </w:p>
        </w:tc>
        <w:tc>
          <w:tcPr>
            <w:tcW w:w="5143" w:type="dxa"/>
          </w:tcPr>
          <w:p w:rsidR="003623FA" w:rsidRPr="00E24321" w:rsidRDefault="003623FA" w:rsidP="00846401">
            <w:pPr>
              <w:ind w:left="7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 xml:space="preserve">Caribbean Continental Countries (Guyana, </w:t>
            </w:r>
            <w:r w:rsidR="002B03A1">
              <w:rPr>
                <w:rFonts w:ascii="Times New Roman" w:hAnsi="Times New Roman"/>
              </w:rPr>
              <w:t>French Guiana</w:t>
            </w:r>
            <w:r w:rsidRPr="00E24321">
              <w:rPr>
                <w:rFonts w:ascii="Times New Roman" w:hAnsi="Times New Roman"/>
              </w:rPr>
              <w:t xml:space="preserve"> and Surinam) and Brazil.</w:t>
            </w:r>
          </w:p>
        </w:tc>
      </w:tr>
      <w:tr w:rsidR="003623FA" w:rsidRPr="00E24321">
        <w:trPr>
          <w:trHeight w:val="534"/>
        </w:trPr>
        <w:tc>
          <w:tcPr>
            <w:tcW w:w="4118" w:type="dxa"/>
          </w:tcPr>
          <w:p w:rsidR="003623FA" w:rsidRPr="00E24321" w:rsidRDefault="003623FA" w:rsidP="00A806A3">
            <w:pPr>
              <w:pStyle w:val="ListParagraph"/>
              <w:numPr>
                <w:ilvl w:val="0"/>
                <w:numId w:val="2"/>
              </w:numPr>
              <w:ind w:left="162" w:hanging="16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TC Name:</w:t>
            </w:r>
          </w:p>
        </w:tc>
        <w:tc>
          <w:tcPr>
            <w:tcW w:w="5143" w:type="dxa"/>
          </w:tcPr>
          <w:p w:rsidR="003623FA" w:rsidRPr="00E24321" w:rsidRDefault="003623FA" w:rsidP="00846401">
            <w:pPr>
              <w:ind w:left="7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Pre-Feasibility Study for the Northern Arc</w:t>
            </w:r>
            <w:r w:rsidR="00C6195F">
              <w:rPr>
                <w:rFonts w:ascii="Times New Roman" w:hAnsi="Times New Roman"/>
              </w:rPr>
              <w:t>h</w:t>
            </w:r>
            <w:r w:rsidRPr="00E24321">
              <w:rPr>
                <w:rFonts w:ascii="Times New Roman" w:hAnsi="Times New Roman"/>
              </w:rPr>
              <w:t xml:space="preserve"> Interconnection Project.</w:t>
            </w:r>
          </w:p>
        </w:tc>
      </w:tr>
      <w:tr w:rsidR="003623FA" w:rsidRPr="00E24321">
        <w:trPr>
          <w:trHeight w:val="259"/>
        </w:trPr>
        <w:tc>
          <w:tcPr>
            <w:tcW w:w="4118" w:type="dxa"/>
          </w:tcPr>
          <w:p w:rsidR="003623FA" w:rsidRPr="00E24321" w:rsidRDefault="003623FA" w:rsidP="00A806A3">
            <w:pPr>
              <w:pStyle w:val="ListParagraph"/>
              <w:numPr>
                <w:ilvl w:val="0"/>
                <w:numId w:val="2"/>
              </w:numPr>
              <w:ind w:left="162" w:hanging="16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TC Number:</w:t>
            </w:r>
          </w:p>
        </w:tc>
        <w:tc>
          <w:tcPr>
            <w:tcW w:w="5143" w:type="dxa"/>
          </w:tcPr>
          <w:p w:rsidR="003623FA" w:rsidRPr="00E24321" w:rsidRDefault="003623FA" w:rsidP="00A806A3">
            <w:pPr>
              <w:ind w:left="72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RG-T2257</w:t>
            </w:r>
          </w:p>
        </w:tc>
      </w:tr>
      <w:tr w:rsidR="003623FA" w:rsidRPr="00E24321">
        <w:trPr>
          <w:trHeight w:val="1861"/>
        </w:trPr>
        <w:tc>
          <w:tcPr>
            <w:tcW w:w="4118" w:type="dxa"/>
          </w:tcPr>
          <w:p w:rsidR="003623FA" w:rsidRPr="00E24321" w:rsidRDefault="003623FA" w:rsidP="00A806A3">
            <w:pPr>
              <w:pStyle w:val="ListParagraph"/>
              <w:numPr>
                <w:ilvl w:val="0"/>
                <w:numId w:val="2"/>
              </w:numPr>
              <w:ind w:left="162" w:hanging="16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Team Leader/Members:</w:t>
            </w:r>
          </w:p>
        </w:tc>
        <w:tc>
          <w:tcPr>
            <w:tcW w:w="5143" w:type="dxa"/>
          </w:tcPr>
          <w:p w:rsidR="003623FA" w:rsidRPr="00E24321" w:rsidRDefault="003623FA" w:rsidP="00023459">
            <w:pPr>
              <w:ind w:left="72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Sylvia Larrea (INE/ENE), Team Leader; Jesus Tejeda (INE/ENE</w:t>
            </w:r>
            <w:r w:rsidR="00E24321" w:rsidRPr="00E24321">
              <w:rPr>
                <w:rFonts w:ascii="Times New Roman" w:hAnsi="Times New Roman"/>
              </w:rPr>
              <w:t>)</w:t>
            </w:r>
            <w:r w:rsidR="00E24321">
              <w:rPr>
                <w:rFonts w:ascii="Times New Roman" w:hAnsi="Times New Roman"/>
              </w:rPr>
              <w:t>;</w:t>
            </w:r>
            <w:r w:rsidR="00E24321" w:rsidRPr="00E24321">
              <w:rPr>
                <w:rFonts w:ascii="Times New Roman" w:hAnsi="Times New Roman"/>
              </w:rPr>
              <w:t xml:space="preserve"> </w:t>
            </w:r>
            <w:r w:rsidRPr="00E24321">
              <w:rPr>
                <w:rFonts w:ascii="Times New Roman" w:hAnsi="Times New Roman"/>
              </w:rPr>
              <w:t>Alejandro Melandri (INE/ENE</w:t>
            </w:r>
            <w:r w:rsidR="00E24321" w:rsidRPr="00E24321">
              <w:rPr>
                <w:rFonts w:ascii="Times New Roman" w:hAnsi="Times New Roman"/>
              </w:rPr>
              <w:t>)</w:t>
            </w:r>
            <w:r w:rsidR="00E24321">
              <w:rPr>
                <w:rFonts w:ascii="Times New Roman" w:hAnsi="Times New Roman"/>
              </w:rPr>
              <w:t>;</w:t>
            </w:r>
            <w:r w:rsidR="00E24321" w:rsidRPr="00E24321">
              <w:rPr>
                <w:rFonts w:ascii="Times New Roman" w:hAnsi="Times New Roman"/>
              </w:rPr>
              <w:t xml:space="preserve"> </w:t>
            </w:r>
            <w:r w:rsidRPr="00E24321">
              <w:rPr>
                <w:rFonts w:ascii="Times New Roman" w:hAnsi="Times New Roman"/>
              </w:rPr>
              <w:t>Christiaan Gischler (INE/ENE</w:t>
            </w:r>
            <w:r w:rsidR="00E24321" w:rsidRPr="00E24321">
              <w:rPr>
                <w:rFonts w:ascii="Times New Roman" w:hAnsi="Times New Roman"/>
              </w:rPr>
              <w:t>)</w:t>
            </w:r>
            <w:r w:rsidR="00E24321">
              <w:rPr>
                <w:rFonts w:ascii="Times New Roman" w:hAnsi="Times New Roman"/>
              </w:rPr>
              <w:t>;</w:t>
            </w:r>
            <w:r w:rsidR="00E24321" w:rsidRPr="00E24321">
              <w:rPr>
                <w:rFonts w:ascii="Times New Roman" w:hAnsi="Times New Roman"/>
              </w:rPr>
              <w:t xml:space="preserve"> </w:t>
            </w:r>
            <w:r w:rsidRPr="00E24321">
              <w:rPr>
                <w:rFonts w:ascii="Times New Roman" w:hAnsi="Times New Roman"/>
              </w:rPr>
              <w:t>Malaika Culverwell (INE/ENE</w:t>
            </w:r>
            <w:r w:rsidR="00E24321" w:rsidRPr="00E24321">
              <w:rPr>
                <w:rFonts w:ascii="Times New Roman" w:hAnsi="Times New Roman"/>
              </w:rPr>
              <w:t>)</w:t>
            </w:r>
            <w:r w:rsidR="00E24321">
              <w:rPr>
                <w:rFonts w:ascii="Times New Roman" w:hAnsi="Times New Roman"/>
              </w:rPr>
              <w:t>;</w:t>
            </w:r>
            <w:r w:rsidR="00E24321" w:rsidRPr="00E24321">
              <w:rPr>
                <w:rFonts w:ascii="Times New Roman" w:hAnsi="Times New Roman"/>
              </w:rPr>
              <w:t xml:space="preserve"> </w:t>
            </w:r>
            <w:r w:rsidRPr="00E24321">
              <w:rPr>
                <w:rFonts w:ascii="Times New Roman" w:hAnsi="Times New Roman"/>
              </w:rPr>
              <w:t>Marco Aurelio Castro (INE/ENE</w:t>
            </w:r>
            <w:r w:rsidR="00E24321" w:rsidRPr="00E24321">
              <w:rPr>
                <w:rFonts w:ascii="Times New Roman" w:hAnsi="Times New Roman"/>
              </w:rPr>
              <w:t>)</w:t>
            </w:r>
            <w:r w:rsidR="00E24321">
              <w:rPr>
                <w:rFonts w:ascii="Times New Roman" w:hAnsi="Times New Roman"/>
              </w:rPr>
              <w:t>;</w:t>
            </w:r>
            <w:r w:rsidR="00E24321" w:rsidRPr="00E24321">
              <w:rPr>
                <w:rFonts w:ascii="Times New Roman" w:hAnsi="Times New Roman"/>
              </w:rPr>
              <w:t xml:space="preserve"> </w:t>
            </w:r>
            <w:r w:rsidRPr="00E24321">
              <w:rPr>
                <w:rFonts w:ascii="Times New Roman" w:hAnsi="Times New Roman"/>
              </w:rPr>
              <w:t>Olga Morales (INE/ENE</w:t>
            </w:r>
            <w:r w:rsidR="00E24321" w:rsidRPr="00E24321">
              <w:rPr>
                <w:rFonts w:ascii="Times New Roman" w:hAnsi="Times New Roman"/>
              </w:rPr>
              <w:t>)</w:t>
            </w:r>
            <w:r w:rsidR="00E24321">
              <w:rPr>
                <w:rFonts w:ascii="Times New Roman" w:hAnsi="Times New Roman"/>
              </w:rPr>
              <w:t>;</w:t>
            </w:r>
            <w:r w:rsidR="00E24321" w:rsidRPr="00E24321">
              <w:rPr>
                <w:rFonts w:ascii="Times New Roman" w:hAnsi="Times New Roman"/>
              </w:rPr>
              <w:t xml:space="preserve"> </w:t>
            </w:r>
            <w:r w:rsidRPr="00E24321">
              <w:rPr>
                <w:rFonts w:ascii="Times New Roman" w:hAnsi="Times New Roman"/>
              </w:rPr>
              <w:t>Laura Rojas (INE/ENE</w:t>
            </w:r>
            <w:r w:rsidR="00E24321" w:rsidRPr="00E24321">
              <w:rPr>
                <w:rFonts w:ascii="Times New Roman" w:hAnsi="Times New Roman"/>
              </w:rPr>
              <w:t>)</w:t>
            </w:r>
            <w:r w:rsidR="00E24321">
              <w:rPr>
                <w:rFonts w:ascii="Times New Roman" w:hAnsi="Times New Roman"/>
              </w:rPr>
              <w:t>;</w:t>
            </w:r>
            <w:r w:rsidR="00E24321" w:rsidRPr="00E24321">
              <w:rPr>
                <w:rFonts w:ascii="Times New Roman" w:hAnsi="Times New Roman"/>
              </w:rPr>
              <w:t xml:space="preserve"> </w:t>
            </w:r>
            <w:r w:rsidRPr="00E24321">
              <w:rPr>
                <w:rFonts w:ascii="Times New Roman" w:hAnsi="Times New Roman"/>
              </w:rPr>
              <w:t>Chris Sewell (INE/ENE</w:t>
            </w:r>
            <w:r w:rsidR="00E24321" w:rsidRPr="00E24321">
              <w:rPr>
                <w:rFonts w:ascii="Times New Roman" w:hAnsi="Times New Roman"/>
              </w:rPr>
              <w:t>)</w:t>
            </w:r>
            <w:r w:rsidR="00E24321">
              <w:rPr>
                <w:rFonts w:ascii="Times New Roman" w:hAnsi="Times New Roman"/>
              </w:rPr>
              <w:t>;</w:t>
            </w:r>
            <w:r w:rsidR="00E24321" w:rsidRPr="00E24321">
              <w:rPr>
                <w:rFonts w:ascii="Times New Roman" w:hAnsi="Times New Roman"/>
              </w:rPr>
              <w:t xml:space="preserve"> </w:t>
            </w:r>
            <w:r w:rsidRPr="00E24321">
              <w:rPr>
                <w:rFonts w:ascii="Times New Roman" w:hAnsi="Times New Roman"/>
              </w:rPr>
              <w:t>Yolanda Valle (INE/ENE</w:t>
            </w:r>
            <w:r w:rsidR="00E24321" w:rsidRPr="00E24321">
              <w:rPr>
                <w:rFonts w:ascii="Times New Roman" w:hAnsi="Times New Roman"/>
              </w:rPr>
              <w:t>)</w:t>
            </w:r>
            <w:r w:rsidR="00E24321">
              <w:rPr>
                <w:rFonts w:ascii="Times New Roman" w:hAnsi="Times New Roman"/>
              </w:rPr>
              <w:t>;</w:t>
            </w:r>
            <w:r w:rsidR="00023459">
              <w:rPr>
                <w:rFonts w:ascii="Times New Roman" w:hAnsi="Times New Roman"/>
              </w:rPr>
              <w:t xml:space="preserve"> </w:t>
            </w:r>
            <w:r w:rsidR="00023459" w:rsidRPr="00023459">
              <w:rPr>
                <w:rFonts w:ascii="Times New Roman" w:hAnsi="Times New Roman"/>
              </w:rPr>
              <w:t xml:space="preserve">Matthew Shearer (INT/INT), </w:t>
            </w:r>
            <w:r w:rsidRPr="00E24321">
              <w:rPr>
                <w:rFonts w:ascii="Times New Roman" w:hAnsi="Times New Roman"/>
              </w:rPr>
              <w:t>Javier Jiménez (LEG/SGO); under the supervision of Leandro Alves, Chief (INE/ENE).</w:t>
            </w:r>
          </w:p>
        </w:tc>
      </w:tr>
      <w:tr w:rsidR="003623FA" w:rsidRPr="00E24321">
        <w:trPr>
          <w:trHeight w:val="534"/>
        </w:trPr>
        <w:tc>
          <w:tcPr>
            <w:tcW w:w="4118" w:type="dxa"/>
          </w:tcPr>
          <w:p w:rsidR="003623FA" w:rsidRPr="00E24321" w:rsidRDefault="003623FA" w:rsidP="00A806A3">
            <w:pPr>
              <w:pStyle w:val="ListParagraph"/>
              <w:numPr>
                <w:ilvl w:val="0"/>
                <w:numId w:val="2"/>
              </w:numPr>
              <w:ind w:left="162" w:hanging="16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Indicate if: Operational Support, Client Support, or Research &amp; Dissemination.</w:t>
            </w:r>
          </w:p>
        </w:tc>
        <w:tc>
          <w:tcPr>
            <w:tcW w:w="5143" w:type="dxa"/>
          </w:tcPr>
          <w:p w:rsidR="003623FA" w:rsidRPr="00E24321" w:rsidRDefault="003623FA" w:rsidP="00A806A3">
            <w:pPr>
              <w:ind w:left="72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Client Support</w:t>
            </w:r>
          </w:p>
        </w:tc>
      </w:tr>
      <w:tr w:rsidR="003623FA" w:rsidRPr="00E24321" w:rsidTr="006622EE">
        <w:trPr>
          <w:trHeight w:val="863"/>
        </w:trPr>
        <w:tc>
          <w:tcPr>
            <w:tcW w:w="4118" w:type="dxa"/>
          </w:tcPr>
          <w:p w:rsidR="003623FA" w:rsidRPr="00E24321" w:rsidRDefault="003623FA" w:rsidP="00A806A3">
            <w:pPr>
              <w:pStyle w:val="ListParagraph"/>
              <w:numPr>
                <w:ilvl w:val="0"/>
                <w:numId w:val="2"/>
              </w:numPr>
              <w:ind w:left="162" w:hanging="16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If Operational Support TC, give number and name of Operation Supported by the TC:</w:t>
            </w:r>
          </w:p>
        </w:tc>
        <w:tc>
          <w:tcPr>
            <w:tcW w:w="5143" w:type="dxa"/>
          </w:tcPr>
          <w:p w:rsidR="003623FA" w:rsidRPr="00E24321" w:rsidRDefault="003623FA" w:rsidP="00A806A3">
            <w:pPr>
              <w:ind w:left="72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n/a</w:t>
            </w:r>
          </w:p>
        </w:tc>
      </w:tr>
      <w:tr w:rsidR="003623FA" w:rsidRPr="00E24321">
        <w:trPr>
          <w:trHeight w:val="340"/>
        </w:trPr>
        <w:tc>
          <w:tcPr>
            <w:tcW w:w="4118" w:type="dxa"/>
          </w:tcPr>
          <w:p w:rsidR="003623FA" w:rsidRPr="00E24321" w:rsidRDefault="003623FA" w:rsidP="00A806A3">
            <w:pPr>
              <w:pStyle w:val="ListParagraph"/>
              <w:numPr>
                <w:ilvl w:val="0"/>
                <w:numId w:val="2"/>
              </w:numPr>
              <w:ind w:left="162" w:hanging="16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Reference to Request</w:t>
            </w:r>
            <w:r w:rsidRPr="00E24321">
              <w:rPr>
                <w:rStyle w:val="Refdenotaalpi"/>
                <w:rFonts w:ascii="Times New Roman" w:hAnsi="Times New Roman"/>
              </w:rPr>
              <w:footnoteReference w:id="1"/>
            </w:r>
            <w:r w:rsidRPr="00E24321">
              <w:rPr>
                <w:rFonts w:ascii="Times New Roman" w:hAnsi="Times New Roman"/>
              </w:rPr>
              <w:t>: (IDB docs #)</w:t>
            </w:r>
          </w:p>
        </w:tc>
        <w:tc>
          <w:tcPr>
            <w:tcW w:w="5143" w:type="dxa"/>
          </w:tcPr>
          <w:p w:rsidR="003623FA" w:rsidRPr="00E24321" w:rsidRDefault="003623FA" w:rsidP="00A806A3">
            <w:pPr>
              <w:ind w:left="72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n/a</w:t>
            </w:r>
          </w:p>
        </w:tc>
      </w:tr>
      <w:tr w:rsidR="003623FA" w:rsidRPr="00E24321">
        <w:trPr>
          <w:trHeight w:val="259"/>
        </w:trPr>
        <w:tc>
          <w:tcPr>
            <w:tcW w:w="4118" w:type="dxa"/>
          </w:tcPr>
          <w:p w:rsidR="003623FA" w:rsidRPr="00E24321" w:rsidRDefault="003623FA" w:rsidP="00A806A3">
            <w:pPr>
              <w:pStyle w:val="ListParagraph"/>
              <w:numPr>
                <w:ilvl w:val="0"/>
                <w:numId w:val="2"/>
              </w:numPr>
              <w:ind w:left="162" w:hanging="16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Date of TC Abstract:</w:t>
            </w:r>
          </w:p>
        </w:tc>
        <w:tc>
          <w:tcPr>
            <w:tcW w:w="5143" w:type="dxa"/>
          </w:tcPr>
          <w:p w:rsidR="003623FA" w:rsidRPr="00E24321" w:rsidRDefault="003623FA" w:rsidP="00A806A3">
            <w:pPr>
              <w:ind w:left="72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November, 2012</w:t>
            </w:r>
          </w:p>
        </w:tc>
      </w:tr>
      <w:tr w:rsidR="003623FA" w:rsidRPr="00E24321">
        <w:trPr>
          <w:trHeight w:val="534"/>
        </w:trPr>
        <w:tc>
          <w:tcPr>
            <w:tcW w:w="4118" w:type="dxa"/>
          </w:tcPr>
          <w:p w:rsidR="003623FA" w:rsidRPr="00E24321" w:rsidRDefault="003623FA" w:rsidP="00A806A3">
            <w:pPr>
              <w:pStyle w:val="ListParagraph"/>
              <w:numPr>
                <w:ilvl w:val="0"/>
                <w:numId w:val="2"/>
              </w:numPr>
              <w:ind w:left="162" w:hanging="16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Beneficiary (countries or entities which are the recipient of the technical assistance):</w:t>
            </w:r>
          </w:p>
        </w:tc>
        <w:tc>
          <w:tcPr>
            <w:tcW w:w="5143" w:type="dxa"/>
          </w:tcPr>
          <w:p w:rsidR="003623FA" w:rsidRPr="00E24321" w:rsidRDefault="003623FA" w:rsidP="00846401">
            <w:pPr>
              <w:ind w:left="7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Caribbean Continental Countries and the Northern Brazil Region.</w:t>
            </w:r>
          </w:p>
        </w:tc>
      </w:tr>
      <w:tr w:rsidR="003623FA" w:rsidRPr="00E24321" w:rsidTr="006622EE">
        <w:trPr>
          <w:trHeight w:val="440"/>
        </w:trPr>
        <w:tc>
          <w:tcPr>
            <w:tcW w:w="4118" w:type="dxa"/>
          </w:tcPr>
          <w:p w:rsidR="003623FA" w:rsidRPr="00E24321" w:rsidRDefault="003623FA" w:rsidP="006622EE">
            <w:pPr>
              <w:pStyle w:val="ListParagraph"/>
              <w:numPr>
                <w:ilvl w:val="0"/>
                <w:numId w:val="2"/>
              </w:numPr>
              <w:ind w:left="162" w:hanging="16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 xml:space="preserve">Executing Agency and contact name </w:t>
            </w:r>
          </w:p>
        </w:tc>
        <w:tc>
          <w:tcPr>
            <w:tcW w:w="5143" w:type="dxa"/>
          </w:tcPr>
          <w:p w:rsidR="003623FA" w:rsidRPr="00E24321" w:rsidRDefault="003623FA" w:rsidP="00846401">
            <w:pPr>
              <w:ind w:left="7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 xml:space="preserve">Inter-American Development Bank </w:t>
            </w:r>
            <w:r w:rsidR="00E24321">
              <w:rPr>
                <w:rFonts w:ascii="Times New Roman" w:hAnsi="Times New Roman"/>
              </w:rPr>
              <w:t xml:space="preserve">(IDB) </w:t>
            </w:r>
            <w:r w:rsidRPr="00E24321">
              <w:rPr>
                <w:rFonts w:ascii="Times New Roman" w:hAnsi="Times New Roman"/>
              </w:rPr>
              <w:t>through its Energy Division</w:t>
            </w:r>
            <w:r w:rsidR="00E24321">
              <w:rPr>
                <w:rFonts w:ascii="Times New Roman" w:hAnsi="Times New Roman"/>
              </w:rPr>
              <w:t xml:space="preserve"> (INE/ENE)</w:t>
            </w:r>
          </w:p>
        </w:tc>
      </w:tr>
      <w:tr w:rsidR="003623FA" w:rsidRPr="00E24321">
        <w:trPr>
          <w:trHeight w:val="259"/>
        </w:trPr>
        <w:tc>
          <w:tcPr>
            <w:tcW w:w="4118" w:type="dxa"/>
          </w:tcPr>
          <w:p w:rsidR="003623FA" w:rsidRPr="00E24321" w:rsidRDefault="003623FA" w:rsidP="00A806A3">
            <w:pPr>
              <w:pStyle w:val="ListParagraph"/>
              <w:numPr>
                <w:ilvl w:val="0"/>
                <w:numId w:val="2"/>
              </w:numPr>
              <w:ind w:left="162" w:hanging="16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IDB Funding Requested:</w:t>
            </w:r>
          </w:p>
        </w:tc>
        <w:tc>
          <w:tcPr>
            <w:tcW w:w="5143" w:type="dxa"/>
          </w:tcPr>
          <w:p w:rsidR="003623FA" w:rsidRPr="00E24321" w:rsidRDefault="003623FA" w:rsidP="00D07017">
            <w:pPr>
              <w:ind w:left="72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US$1,900,000</w:t>
            </w:r>
          </w:p>
        </w:tc>
      </w:tr>
      <w:tr w:rsidR="003623FA" w:rsidRPr="00E24321">
        <w:trPr>
          <w:trHeight w:val="259"/>
        </w:trPr>
        <w:tc>
          <w:tcPr>
            <w:tcW w:w="4118" w:type="dxa"/>
          </w:tcPr>
          <w:p w:rsidR="003623FA" w:rsidRPr="00E24321" w:rsidRDefault="003623FA" w:rsidP="00A806A3">
            <w:pPr>
              <w:pStyle w:val="ListParagraph"/>
              <w:numPr>
                <w:ilvl w:val="0"/>
                <w:numId w:val="2"/>
              </w:numPr>
              <w:ind w:left="162" w:hanging="16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Local counterpart funding, if any:</w:t>
            </w:r>
          </w:p>
        </w:tc>
        <w:tc>
          <w:tcPr>
            <w:tcW w:w="5143" w:type="dxa"/>
          </w:tcPr>
          <w:p w:rsidR="003623FA" w:rsidRPr="00E24321" w:rsidRDefault="003623FA" w:rsidP="00D07017">
            <w:pPr>
              <w:ind w:left="72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US$1,100,000</w:t>
            </w:r>
          </w:p>
        </w:tc>
      </w:tr>
      <w:tr w:rsidR="003623FA" w:rsidRPr="00E24321" w:rsidTr="006622EE">
        <w:trPr>
          <w:trHeight w:val="323"/>
        </w:trPr>
        <w:tc>
          <w:tcPr>
            <w:tcW w:w="4118" w:type="dxa"/>
          </w:tcPr>
          <w:p w:rsidR="003623FA" w:rsidRPr="00E24321" w:rsidRDefault="006622EE" w:rsidP="006622EE">
            <w:pPr>
              <w:pStyle w:val="ListParagraph"/>
              <w:numPr>
                <w:ilvl w:val="0"/>
                <w:numId w:val="2"/>
              </w:numPr>
              <w:ind w:left="162" w:hanging="16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Disbursement period:</w:t>
            </w:r>
          </w:p>
        </w:tc>
        <w:tc>
          <w:tcPr>
            <w:tcW w:w="5143" w:type="dxa"/>
          </w:tcPr>
          <w:p w:rsidR="003623FA" w:rsidRPr="00E24321" w:rsidRDefault="003623FA" w:rsidP="00A806A3">
            <w:pPr>
              <w:ind w:left="72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36 months</w:t>
            </w:r>
          </w:p>
        </w:tc>
      </w:tr>
      <w:tr w:rsidR="003623FA" w:rsidRPr="00E24321">
        <w:trPr>
          <w:trHeight w:val="259"/>
        </w:trPr>
        <w:tc>
          <w:tcPr>
            <w:tcW w:w="4118" w:type="dxa"/>
          </w:tcPr>
          <w:p w:rsidR="003623FA" w:rsidRPr="00E24321" w:rsidRDefault="003623FA" w:rsidP="00A806A3">
            <w:pPr>
              <w:pStyle w:val="ListParagraph"/>
              <w:numPr>
                <w:ilvl w:val="0"/>
                <w:numId w:val="2"/>
              </w:numPr>
              <w:ind w:left="162" w:hanging="16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Required start date:</w:t>
            </w:r>
          </w:p>
        </w:tc>
        <w:tc>
          <w:tcPr>
            <w:tcW w:w="5143" w:type="dxa"/>
          </w:tcPr>
          <w:p w:rsidR="003623FA" w:rsidRPr="00E24321" w:rsidRDefault="003623FA" w:rsidP="00A806A3">
            <w:pPr>
              <w:ind w:left="72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January, 2013</w:t>
            </w:r>
          </w:p>
        </w:tc>
      </w:tr>
      <w:tr w:rsidR="003623FA" w:rsidRPr="00E24321">
        <w:trPr>
          <w:trHeight w:val="251"/>
        </w:trPr>
        <w:tc>
          <w:tcPr>
            <w:tcW w:w="4118" w:type="dxa"/>
          </w:tcPr>
          <w:p w:rsidR="003623FA" w:rsidRPr="00E24321" w:rsidRDefault="003623FA" w:rsidP="00A806A3">
            <w:pPr>
              <w:pStyle w:val="ListParagraph"/>
              <w:numPr>
                <w:ilvl w:val="0"/>
                <w:numId w:val="2"/>
              </w:numPr>
              <w:ind w:left="162" w:hanging="16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Types of consultants:</w:t>
            </w:r>
          </w:p>
        </w:tc>
        <w:tc>
          <w:tcPr>
            <w:tcW w:w="5143" w:type="dxa"/>
          </w:tcPr>
          <w:p w:rsidR="003623FA" w:rsidRPr="00E24321" w:rsidRDefault="003623FA" w:rsidP="00A806A3">
            <w:pPr>
              <w:ind w:left="72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Firm and/or Individual Consultants</w:t>
            </w:r>
          </w:p>
        </w:tc>
      </w:tr>
      <w:tr w:rsidR="003623FA" w:rsidRPr="00E24321">
        <w:trPr>
          <w:trHeight w:val="259"/>
        </w:trPr>
        <w:tc>
          <w:tcPr>
            <w:tcW w:w="4118" w:type="dxa"/>
          </w:tcPr>
          <w:p w:rsidR="003623FA" w:rsidRPr="00E24321" w:rsidRDefault="003623FA" w:rsidP="00A806A3">
            <w:pPr>
              <w:pStyle w:val="ListParagraph"/>
              <w:numPr>
                <w:ilvl w:val="0"/>
                <w:numId w:val="2"/>
              </w:numPr>
              <w:ind w:left="162" w:hanging="16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Prepared by Unit:</w:t>
            </w:r>
          </w:p>
        </w:tc>
        <w:tc>
          <w:tcPr>
            <w:tcW w:w="5143" w:type="dxa"/>
          </w:tcPr>
          <w:p w:rsidR="003623FA" w:rsidRPr="00E24321" w:rsidRDefault="003623FA" w:rsidP="00A806A3">
            <w:pPr>
              <w:ind w:left="72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INE/ENE</w:t>
            </w:r>
          </w:p>
        </w:tc>
      </w:tr>
      <w:tr w:rsidR="003623FA" w:rsidRPr="00E24321">
        <w:trPr>
          <w:trHeight w:val="259"/>
        </w:trPr>
        <w:tc>
          <w:tcPr>
            <w:tcW w:w="4118" w:type="dxa"/>
          </w:tcPr>
          <w:p w:rsidR="003623FA" w:rsidRPr="00E24321" w:rsidRDefault="003623FA" w:rsidP="00A806A3">
            <w:pPr>
              <w:pStyle w:val="ListParagraph"/>
              <w:numPr>
                <w:ilvl w:val="0"/>
                <w:numId w:val="2"/>
              </w:numPr>
              <w:ind w:left="162" w:hanging="16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Unit of Disbursement Responsibility:</w:t>
            </w:r>
          </w:p>
        </w:tc>
        <w:tc>
          <w:tcPr>
            <w:tcW w:w="5143" w:type="dxa"/>
          </w:tcPr>
          <w:p w:rsidR="003623FA" w:rsidRPr="00E24321" w:rsidRDefault="003623FA" w:rsidP="00A806A3">
            <w:pPr>
              <w:ind w:left="72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INE</w:t>
            </w:r>
          </w:p>
        </w:tc>
      </w:tr>
      <w:tr w:rsidR="003623FA" w:rsidRPr="00E24321">
        <w:trPr>
          <w:trHeight w:val="534"/>
        </w:trPr>
        <w:tc>
          <w:tcPr>
            <w:tcW w:w="4118" w:type="dxa"/>
          </w:tcPr>
          <w:p w:rsidR="003623FA" w:rsidRPr="00E24321" w:rsidRDefault="003623FA" w:rsidP="00A806A3">
            <w:pPr>
              <w:pStyle w:val="ListParagraph"/>
              <w:numPr>
                <w:ilvl w:val="0"/>
                <w:numId w:val="2"/>
              </w:numPr>
              <w:ind w:left="162" w:hanging="16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Included in Country Strategy (y/n);</w:t>
            </w:r>
          </w:p>
          <w:p w:rsidR="003623FA" w:rsidRPr="00E24321" w:rsidRDefault="003623FA" w:rsidP="00A806A3">
            <w:pPr>
              <w:pStyle w:val="ListParagraph"/>
              <w:numPr>
                <w:ilvl w:val="0"/>
                <w:numId w:val="2"/>
              </w:numPr>
              <w:ind w:left="162" w:hanging="16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TC included in CPD (y/n):</w:t>
            </w:r>
          </w:p>
        </w:tc>
        <w:tc>
          <w:tcPr>
            <w:tcW w:w="5143" w:type="dxa"/>
          </w:tcPr>
          <w:p w:rsidR="003623FA" w:rsidRPr="00E24321" w:rsidRDefault="00E7072A" w:rsidP="00A806A3">
            <w:pPr>
              <w:ind w:left="72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No</w:t>
            </w:r>
          </w:p>
          <w:p w:rsidR="00EE259A" w:rsidRPr="00E24321" w:rsidRDefault="00EE259A" w:rsidP="00A806A3">
            <w:pPr>
              <w:ind w:left="72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No</w:t>
            </w:r>
          </w:p>
        </w:tc>
      </w:tr>
      <w:tr w:rsidR="003623FA" w:rsidRPr="00E24321">
        <w:trPr>
          <w:trHeight w:val="170"/>
        </w:trPr>
        <w:tc>
          <w:tcPr>
            <w:tcW w:w="4118" w:type="dxa"/>
          </w:tcPr>
          <w:p w:rsidR="003623FA" w:rsidRPr="00E24321" w:rsidRDefault="003623FA" w:rsidP="00A806A3">
            <w:pPr>
              <w:pStyle w:val="ListParagraph"/>
              <w:numPr>
                <w:ilvl w:val="0"/>
                <w:numId w:val="2"/>
              </w:numPr>
              <w:ind w:left="162" w:hanging="16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>GCI-9 Sector Priority:</w:t>
            </w:r>
          </w:p>
        </w:tc>
        <w:tc>
          <w:tcPr>
            <w:tcW w:w="5143" w:type="dxa"/>
          </w:tcPr>
          <w:p w:rsidR="003623FA" w:rsidRPr="00E24321" w:rsidRDefault="003623FA" w:rsidP="00846401">
            <w:pPr>
              <w:ind w:left="72"/>
              <w:jc w:val="left"/>
              <w:rPr>
                <w:rFonts w:ascii="Times New Roman" w:hAnsi="Times New Roman"/>
              </w:rPr>
            </w:pPr>
            <w:r w:rsidRPr="00E24321">
              <w:rPr>
                <w:rFonts w:ascii="Times New Roman" w:hAnsi="Times New Roman"/>
              </w:rPr>
              <w:t xml:space="preserve">(i) </w:t>
            </w:r>
            <w:r w:rsidR="00EE259A" w:rsidRPr="00E24321">
              <w:rPr>
                <w:rFonts w:ascii="Times New Roman" w:hAnsi="Times New Roman"/>
              </w:rPr>
              <w:t xml:space="preserve">Social policy for equity and productivity (priority area 1); (ii) Infrastructure for competitiveness and social welfare (priority area 2); (iii) </w:t>
            </w:r>
            <w:r w:rsidRPr="00E24321">
              <w:rPr>
                <w:rFonts w:ascii="Times New Roman" w:hAnsi="Times New Roman"/>
              </w:rPr>
              <w:t>Competitive regional and global international integration (priority area 4); and (i</w:t>
            </w:r>
            <w:r w:rsidR="00EE259A" w:rsidRPr="00E24321">
              <w:rPr>
                <w:rFonts w:ascii="Times New Roman" w:hAnsi="Times New Roman"/>
              </w:rPr>
              <w:t>v</w:t>
            </w:r>
            <w:r w:rsidRPr="00E24321">
              <w:rPr>
                <w:rFonts w:ascii="Times New Roman" w:hAnsi="Times New Roman"/>
              </w:rPr>
              <w:t>) Protecting the environment, responding to climate change, renewable energy, and enhancing food security respectively (priority area 5)</w:t>
            </w:r>
            <w:r w:rsidR="00E24321">
              <w:rPr>
                <w:rFonts w:ascii="Times New Roman" w:hAnsi="Times New Roman"/>
              </w:rPr>
              <w:t>.</w:t>
            </w:r>
          </w:p>
        </w:tc>
      </w:tr>
    </w:tbl>
    <w:p w:rsidR="003623FA" w:rsidRPr="00E24321" w:rsidRDefault="003623FA" w:rsidP="009940F8">
      <w:pPr>
        <w:pStyle w:val="Heading1"/>
        <w:rPr>
          <w:rFonts w:ascii="Times New Roman" w:hAnsi="Times New Roman"/>
        </w:rPr>
      </w:pPr>
      <w:r w:rsidRPr="00E24321">
        <w:rPr>
          <w:rFonts w:ascii="Times New Roman" w:hAnsi="Times New Roman"/>
        </w:rPr>
        <w:lastRenderedPageBreak/>
        <w:t xml:space="preserve">Objective and Justification </w:t>
      </w:r>
    </w:p>
    <w:p w:rsidR="003623FA" w:rsidRPr="00E24321" w:rsidRDefault="003623FA" w:rsidP="00AC42F5">
      <w:pPr>
        <w:rPr>
          <w:rFonts w:ascii="Times New Roman" w:hAnsi="Times New Roman"/>
        </w:rPr>
      </w:pPr>
    </w:p>
    <w:p w:rsidR="00846401" w:rsidRDefault="003623FA" w:rsidP="009940F8">
      <w:pPr>
        <w:rPr>
          <w:rFonts w:ascii="Times New Roman" w:hAnsi="Times New Roman"/>
        </w:rPr>
      </w:pPr>
      <w:r w:rsidRPr="00E24321">
        <w:rPr>
          <w:rFonts w:ascii="Times New Roman" w:hAnsi="Times New Roman"/>
        </w:rPr>
        <w:t xml:space="preserve">The </w:t>
      </w:r>
      <w:r w:rsidRPr="00E24321">
        <w:rPr>
          <w:rFonts w:ascii="Times New Roman" w:hAnsi="Times New Roman"/>
          <w:b/>
        </w:rPr>
        <w:t>general objective</w:t>
      </w:r>
      <w:r w:rsidRPr="00E24321">
        <w:rPr>
          <w:rFonts w:ascii="Times New Roman" w:hAnsi="Times New Roman"/>
        </w:rPr>
        <w:t xml:space="preserve"> of the </w:t>
      </w:r>
      <w:r w:rsidR="00846401">
        <w:rPr>
          <w:rFonts w:ascii="Times New Roman" w:hAnsi="Times New Roman"/>
        </w:rPr>
        <w:t>Project</w:t>
      </w:r>
      <w:r w:rsidR="006B5F56">
        <w:rPr>
          <w:rFonts w:ascii="Times New Roman" w:hAnsi="Times New Roman"/>
        </w:rPr>
        <w:t xml:space="preserve"> </w:t>
      </w:r>
      <w:r w:rsidRPr="00E24321">
        <w:rPr>
          <w:rFonts w:ascii="Times New Roman" w:hAnsi="Times New Roman"/>
        </w:rPr>
        <w:t>“Pre-Feasibility Study for the Northern Arc</w:t>
      </w:r>
      <w:r w:rsidR="00C6195F">
        <w:rPr>
          <w:rFonts w:ascii="Times New Roman" w:hAnsi="Times New Roman"/>
        </w:rPr>
        <w:t>h</w:t>
      </w:r>
      <w:r w:rsidRPr="00E24321">
        <w:rPr>
          <w:rFonts w:ascii="Times New Roman" w:hAnsi="Times New Roman"/>
        </w:rPr>
        <w:t xml:space="preserve"> Interconnection Project” </w:t>
      </w:r>
      <w:r w:rsidR="00E24321">
        <w:rPr>
          <w:rFonts w:ascii="Times New Roman" w:hAnsi="Times New Roman"/>
        </w:rPr>
        <w:t>(</w:t>
      </w:r>
      <w:r w:rsidR="00846401">
        <w:rPr>
          <w:rFonts w:ascii="Times New Roman" w:hAnsi="Times New Roman"/>
        </w:rPr>
        <w:t xml:space="preserve">the </w:t>
      </w:r>
      <w:r w:rsidR="00E24321">
        <w:rPr>
          <w:rFonts w:ascii="Times New Roman" w:hAnsi="Times New Roman"/>
        </w:rPr>
        <w:t>Pro</w:t>
      </w:r>
      <w:r w:rsidR="00846401">
        <w:rPr>
          <w:rFonts w:ascii="Times New Roman" w:hAnsi="Times New Roman"/>
        </w:rPr>
        <w:t>ject</w:t>
      </w:r>
      <w:r w:rsidR="002542B6">
        <w:rPr>
          <w:rFonts w:ascii="Times New Roman" w:hAnsi="Times New Roman"/>
        </w:rPr>
        <w:t xml:space="preserve"> or the Northern Arch Project</w:t>
      </w:r>
      <w:r w:rsidR="00E24321">
        <w:rPr>
          <w:rFonts w:ascii="Times New Roman" w:hAnsi="Times New Roman"/>
        </w:rPr>
        <w:t xml:space="preserve">) </w:t>
      </w:r>
      <w:r w:rsidRPr="00E24321">
        <w:rPr>
          <w:rFonts w:ascii="Times New Roman" w:hAnsi="Times New Roman"/>
        </w:rPr>
        <w:t xml:space="preserve">is to determine the feasibility, alternatives, risks and mitigation measures of </w:t>
      </w:r>
      <w:r w:rsidR="008C2225">
        <w:rPr>
          <w:rFonts w:ascii="Times New Roman" w:hAnsi="Times New Roman"/>
        </w:rPr>
        <w:t xml:space="preserve">hydroelectric </w:t>
      </w:r>
      <w:r w:rsidRPr="00E24321">
        <w:rPr>
          <w:rFonts w:ascii="Times New Roman" w:hAnsi="Times New Roman"/>
        </w:rPr>
        <w:t xml:space="preserve">energy </w:t>
      </w:r>
      <w:r w:rsidR="00E24321">
        <w:rPr>
          <w:rFonts w:ascii="Times New Roman" w:hAnsi="Times New Roman"/>
        </w:rPr>
        <w:t>generation and electricity</w:t>
      </w:r>
      <w:r w:rsidR="00E24321" w:rsidRPr="00E24321">
        <w:rPr>
          <w:rFonts w:ascii="Times New Roman" w:hAnsi="Times New Roman"/>
        </w:rPr>
        <w:t xml:space="preserve"> </w:t>
      </w:r>
      <w:r w:rsidRPr="00E24321">
        <w:rPr>
          <w:rFonts w:ascii="Times New Roman" w:hAnsi="Times New Roman"/>
        </w:rPr>
        <w:t>transmission interconnection arc</w:t>
      </w:r>
      <w:r w:rsidR="00C6195F">
        <w:rPr>
          <w:rFonts w:ascii="Times New Roman" w:hAnsi="Times New Roman"/>
        </w:rPr>
        <w:t>h</w:t>
      </w:r>
      <w:r w:rsidRPr="00E24321">
        <w:rPr>
          <w:rFonts w:ascii="Times New Roman" w:hAnsi="Times New Roman"/>
        </w:rPr>
        <w:t xml:space="preserve"> interconnecting </w:t>
      </w:r>
      <w:r w:rsidR="00846401">
        <w:rPr>
          <w:rFonts w:ascii="Times New Roman" w:hAnsi="Times New Roman"/>
        </w:rPr>
        <w:t xml:space="preserve">the </w:t>
      </w:r>
      <w:r w:rsidRPr="00E24321">
        <w:rPr>
          <w:rFonts w:ascii="Times New Roman" w:hAnsi="Times New Roman"/>
        </w:rPr>
        <w:t xml:space="preserve">Caribbean Continental countries </w:t>
      </w:r>
      <w:r w:rsidR="008C2225">
        <w:rPr>
          <w:rFonts w:ascii="Times New Roman" w:hAnsi="Times New Roman"/>
        </w:rPr>
        <w:t xml:space="preserve">of </w:t>
      </w:r>
      <w:r w:rsidRPr="00E24321">
        <w:rPr>
          <w:rFonts w:ascii="Times New Roman" w:hAnsi="Times New Roman"/>
        </w:rPr>
        <w:t>Guyana</w:t>
      </w:r>
      <w:r w:rsidR="008C2225">
        <w:rPr>
          <w:rFonts w:ascii="Times New Roman" w:hAnsi="Times New Roman"/>
        </w:rPr>
        <w:t xml:space="preserve">, </w:t>
      </w:r>
      <w:r w:rsidRPr="00E24321">
        <w:rPr>
          <w:rFonts w:ascii="Times New Roman" w:hAnsi="Times New Roman"/>
        </w:rPr>
        <w:t>Surinam</w:t>
      </w:r>
      <w:r w:rsidR="008C2225">
        <w:rPr>
          <w:rFonts w:ascii="Times New Roman" w:hAnsi="Times New Roman"/>
        </w:rPr>
        <w:t xml:space="preserve">, and </w:t>
      </w:r>
      <w:r w:rsidR="002B03A1">
        <w:rPr>
          <w:rFonts w:ascii="Times New Roman" w:hAnsi="Times New Roman"/>
        </w:rPr>
        <w:t>French Guiana</w:t>
      </w:r>
      <w:r w:rsidR="008C2225">
        <w:rPr>
          <w:rFonts w:ascii="Times New Roman" w:hAnsi="Times New Roman"/>
        </w:rPr>
        <w:t xml:space="preserve"> </w:t>
      </w:r>
      <w:r w:rsidRPr="00E24321">
        <w:rPr>
          <w:rFonts w:ascii="Times New Roman" w:hAnsi="Times New Roman"/>
        </w:rPr>
        <w:t xml:space="preserve">and the Brazilian cities of </w:t>
      </w:r>
      <w:r w:rsidRPr="00846401">
        <w:rPr>
          <w:rFonts w:ascii="Times New Roman" w:hAnsi="Times New Roman"/>
          <w:i/>
        </w:rPr>
        <w:t>Boa Vista</w:t>
      </w:r>
      <w:r w:rsidRPr="00E24321">
        <w:rPr>
          <w:rFonts w:ascii="Times New Roman" w:hAnsi="Times New Roman"/>
        </w:rPr>
        <w:t xml:space="preserve"> (State of </w:t>
      </w:r>
      <w:r w:rsidRPr="00846401">
        <w:rPr>
          <w:rFonts w:ascii="Times New Roman" w:hAnsi="Times New Roman"/>
          <w:i/>
        </w:rPr>
        <w:t>Roraima</w:t>
      </w:r>
      <w:r w:rsidRPr="00E24321">
        <w:rPr>
          <w:rFonts w:ascii="Times New Roman" w:hAnsi="Times New Roman"/>
        </w:rPr>
        <w:t xml:space="preserve">) and </w:t>
      </w:r>
      <w:r w:rsidRPr="00846401">
        <w:rPr>
          <w:rFonts w:ascii="Times New Roman" w:hAnsi="Times New Roman"/>
          <w:i/>
        </w:rPr>
        <w:t>Macapá</w:t>
      </w:r>
      <w:r w:rsidRPr="00E24321">
        <w:rPr>
          <w:rFonts w:ascii="Times New Roman" w:hAnsi="Times New Roman"/>
        </w:rPr>
        <w:t xml:space="preserve"> (State of </w:t>
      </w:r>
      <w:r w:rsidRPr="00846401">
        <w:rPr>
          <w:rFonts w:ascii="Times New Roman" w:hAnsi="Times New Roman"/>
          <w:i/>
        </w:rPr>
        <w:t>Amapa</w:t>
      </w:r>
      <w:r w:rsidRPr="00E24321">
        <w:rPr>
          <w:rFonts w:ascii="Times New Roman" w:hAnsi="Times New Roman"/>
        </w:rPr>
        <w:t>)</w:t>
      </w:r>
      <w:r w:rsidR="00846401">
        <w:rPr>
          <w:rFonts w:ascii="Times New Roman" w:hAnsi="Times New Roman"/>
        </w:rPr>
        <w:t xml:space="preserve"> (</w:t>
      </w:r>
      <w:r w:rsidR="002542B6">
        <w:rPr>
          <w:rFonts w:ascii="Times New Roman" w:hAnsi="Times New Roman"/>
        </w:rPr>
        <w:t>the Northern Arch Countries</w:t>
      </w:r>
      <w:r w:rsidR="00846401">
        <w:rPr>
          <w:rFonts w:ascii="Times New Roman" w:hAnsi="Times New Roman"/>
        </w:rPr>
        <w:t>)</w:t>
      </w:r>
      <w:r w:rsidRPr="00E24321">
        <w:rPr>
          <w:rFonts w:ascii="Times New Roman" w:hAnsi="Times New Roman"/>
        </w:rPr>
        <w:t xml:space="preserve">. </w:t>
      </w:r>
    </w:p>
    <w:p w:rsidR="00846401" w:rsidRDefault="00846401" w:rsidP="009940F8">
      <w:pPr>
        <w:rPr>
          <w:rFonts w:ascii="Times New Roman" w:hAnsi="Times New Roman"/>
        </w:rPr>
      </w:pPr>
    </w:p>
    <w:p w:rsidR="00846401" w:rsidRDefault="003623FA" w:rsidP="009940F8">
      <w:pPr>
        <w:rPr>
          <w:rFonts w:ascii="Times New Roman" w:hAnsi="Times New Roman"/>
        </w:rPr>
      </w:pPr>
      <w:r w:rsidRPr="00E24321">
        <w:rPr>
          <w:rFonts w:ascii="Times New Roman" w:hAnsi="Times New Roman"/>
        </w:rPr>
        <w:t xml:space="preserve">The </w:t>
      </w:r>
      <w:r w:rsidR="00846401">
        <w:rPr>
          <w:rFonts w:ascii="Times New Roman" w:hAnsi="Times New Roman"/>
        </w:rPr>
        <w:t>Project</w:t>
      </w:r>
      <w:r w:rsidRPr="00E24321">
        <w:rPr>
          <w:rFonts w:ascii="Times New Roman" w:hAnsi="Times New Roman"/>
        </w:rPr>
        <w:t xml:space="preserve"> will </w:t>
      </w:r>
      <w:r w:rsidR="00846401">
        <w:rPr>
          <w:rFonts w:ascii="Times New Roman" w:hAnsi="Times New Roman"/>
        </w:rPr>
        <w:t>assess the hydroelectric potential of Guyana and Suriname and</w:t>
      </w:r>
      <w:r w:rsidR="00846401" w:rsidRPr="00E24321">
        <w:rPr>
          <w:rFonts w:ascii="Times New Roman" w:hAnsi="Times New Roman"/>
        </w:rPr>
        <w:t xml:space="preserve"> </w:t>
      </w:r>
      <w:r w:rsidRPr="00E24321">
        <w:rPr>
          <w:rFonts w:ascii="Times New Roman" w:hAnsi="Times New Roman"/>
        </w:rPr>
        <w:t>finance the technical, regulatory, economic and environmental pre-feasibility studies for the Northern Arc</w:t>
      </w:r>
      <w:r w:rsidR="00C6195F">
        <w:rPr>
          <w:rFonts w:ascii="Times New Roman" w:hAnsi="Times New Roman"/>
        </w:rPr>
        <w:t>h</w:t>
      </w:r>
      <w:r w:rsidRPr="00E24321">
        <w:rPr>
          <w:rFonts w:ascii="Times New Roman" w:hAnsi="Times New Roman"/>
        </w:rPr>
        <w:t xml:space="preserve"> </w:t>
      </w:r>
      <w:r w:rsidR="00E24321">
        <w:rPr>
          <w:rFonts w:ascii="Times New Roman" w:hAnsi="Times New Roman"/>
        </w:rPr>
        <w:t xml:space="preserve">electricity </w:t>
      </w:r>
      <w:r w:rsidRPr="00E24321">
        <w:rPr>
          <w:rFonts w:ascii="Times New Roman" w:hAnsi="Times New Roman"/>
        </w:rPr>
        <w:t xml:space="preserve">interconnection </w:t>
      </w:r>
      <w:r w:rsidR="00E24321">
        <w:rPr>
          <w:rFonts w:ascii="Times New Roman" w:hAnsi="Times New Roman"/>
        </w:rPr>
        <w:t xml:space="preserve">, </w:t>
      </w:r>
      <w:r w:rsidRPr="00E24321">
        <w:rPr>
          <w:rFonts w:ascii="Times New Roman" w:hAnsi="Times New Roman"/>
        </w:rPr>
        <w:t xml:space="preserve">seeking to increase the reliability of electricity supply to the region, </w:t>
      </w:r>
      <w:r w:rsidR="00846401">
        <w:rPr>
          <w:rFonts w:ascii="Times New Roman" w:hAnsi="Times New Roman"/>
        </w:rPr>
        <w:t xml:space="preserve">to </w:t>
      </w:r>
      <w:r w:rsidRPr="00E24321">
        <w:rPr>
          <w:rFonts w:ascii="Times New Roman" w:hAnsi="Times New Roman"/>
        </w:rPr>
        <w:t xml:space="preserve">support economic growth, and </w:t>
      </w:r>
      <w:r w:rsidR="00846401">
        <w:rPr>
          <w:rFonts w:ascii="Times New Roman" w:hAnsi="Times New Roman"/>
        </w:rPr>
        <w:t xml:space="preserve">to </w:t>
      </w:r>
      <w:r w:rsidRPr="00E24321">
        <w:rPr>
          <w:rFonts w:ascii="Times New Roman" w:hAnsi="Times New Roman"/>
        </w:rPr>
        <w:t xml:space="preserve">reduce dependence on thermal generation from </w:t>
      </w:r>
      <w:r w:rsidR="00E24321" w:rsidRPr="00E24321">
        <w:rPr>
          <w:rFonts w:ascii="Times New Roman" w:hAnsi="Times New Roman"/>
        </w:rPr>
        <w:t>fossil</w:t>
      </w:r>
      <w:r w:rsidR="00E24321">
        <w:rPr>
          <w:rFonts w:ascii="Times New Roman" w:hAnsi="Times New Roman"/>
        </w:rPr>
        <w:t>-</w:t>
      </w:r>
      <w:r w:rsidRPr="00E24321">
        <w:rPr>
          <w:rFonts w:ascii="Times New Roman" w:hAnsi="Times New Roman"/>
        </w:rPr>
        <w:t>fuels all while reducing CO</w:t>
      </w:r>
      <w:r w:rsidRPr="00E24321">
        <w:rPr>
          <w:rFonts w:ascii="Times New Roman" w:hAnsi="Times New Roman"/>
          <w:vertAlign w:val="superscript"/>
        </w:rPr>
        <w:t>2</w:t>
      </w:r>
      <w:r w:rsidRPr="00E24321">
        <w:rPr>
          <w:rFonts w:ascii="Times New Roman" w:hAnsi="Times New Roman"/>
        </w:rPr>
        <w:t xml:space="preserve"> emissions.</w:t>
      </w:r>
    </w:p>
    <w:p w:rsidR="00846401" w:rsidRDefault="00846401" w:rsidP="009940F8">
      <w:pPr>
        <w:rPr>
          <w:rFonts w:ascii="Times New Roman" w:hAnsi="Times New Roman"/>
        </w:rPr>
      </w:pPr>
    </w:p>
    <w:p w:rsidR="003623FA" w:rsidRPr="00E24321" w:rsidRDefault="003623FA" w:rsidP="009940F8">
      <w:pPr>
        <w:rPr>
          <w:rFonts w:ascii="Times New Roman" w:hAnsi="Times New Roman"/>
        </w:rPr>
      </w:pPr>
      <w:r w:rsidRPr="00E24321">
        <w:rPr>
          <w:rFonts w:ascii="Times New Roman" w:hAnsi="Times New Roman"/>
        </w:rPr>
        <w:t xml:space="preserve">The </w:t>
      </w:r>
      <w:r w:rsidRPr="00E24321">
        <w:rPr>
          <w:rFonts w:ascii="Times New Roman" w:hAnsi="Times New Roman"/>
          <w:b/>
        </w:rPr>
        <w:t>specific objectives</w:t>
      </w:r>
      <w:r w:rsidRPr="00E24321">
        <w:rPr>
          <w:rFonts w:ascii="Times New Roman" w:hAnsi="Times New Roman"/>
        </w:rPr>
        <w:t xml:space="preserve"> of the </w:t>
      </w:r>
      <w:r w:rsidR="00846401">
        <w:rPr>
          <w:rFonts w:ascii="Times New Roman" w:hAnsi="Times New Roman"/>
        </w:rPr>
        <w:t>Project</w:t>
      </w:r>
      <w:r w:rsidRPr="00E24321">
        <w:rPr>
          <w:rFonts w:ascii="Times New Roman" w:hAnsi="Times New Roman"/>
        </w:rPr>
        <w:t xml:space="preserve"> are: (i) </w:t>
      </w:r>
      <w:r w:rsidR="00E24321">
        <w:rPr>
          <w:rFonts w:ascii="Times New Roman" w:hAnsi="Times New Roman"/>
        </w:rPr>
        <w:t>t</w:t>
      </w:r>
      <w:r w:rsidRPr="00E24321">
        <w:rPr>
          <w:rFonts w:ascii="Times New Roman" w:hAnsi="Times New Roman"/>
        </w:rPr>
        <w:t xml:space="preserve">o identify and evaluate </w:t>
      </w:r>
      <w:r w:rsidR="00E24321">
        <w:rPr>
          <w:rFonts w:ascii="Times New Roman" w:hAnsi="Times New Roman"/>
        </w:rPr>
        <w:t xml:space="preserve">hydroelectric potential of Guyana and Suriname (focusing on run-of-the-river technologies), and </w:t>
      </w:r>
      <w:r w:rsidRPr="00E24321">
        <w:rPr>
          <w:rFonts w:ascii="Times New Roman" w:hAnsi="Times New Roman"/>
        </w:rPr>
        <w:t xml:space="preserve">sustainable alternatives of the electrical interconnection of </w:t>
      </w:r>
      <w:r w:rsidR="008C2225">
        <w:rPr>
          <w:rFonts w:ascii="Times New Roman" w:hAnsi="Times New Roman"/>
        </w:rPr>
        <w:t>the Northern Arc</w:t>
      </w:r>
      <w:r w:rsidR="00C6195F">
        <w:rPr>
          <w:rFonts w:ascii="Times New Roman" w:hAnsi="Times New Roman"/>
        </w:rPr>
        <w:t>h</w:t>
      </w:r>
      <w:r w:rsidR="008C2225">
        <w:rPr>
          <w:rFonts w:ascii="Times New Roman" w:hAnsi="Times New Roman"/>
        </w:rPr>
        <w:t xml:space="preserve"> Countries</w:t>
      </w:r>
      <w:r w:rsidRPr="00E24321">
        <w:rPr>
          <w:rFonts w:ascii="Times New Roman" w:hAnsi="Times New Roman"/>
        </w:rPr>
        <w:t xml:space="preserve"> and Northern Brazil, the Northern Arc</w:t>
      </w:r>
      <w:r w:rsidR="00C6195F">
        <w:rPr>
          <w:rFonts w:ascii="Times New Roman" w:hAnsi="Times New Roman"/>
        </w:rPr>
        <w:t>h</w:t>
      </w:r>
      <w:r w:rsidRPr="00E24321">
        <w:rPr>
          <w:rFonts w:ascii="Times New Roman" w:hAnsi="Times New Roman"/>
        </w:rPr>
        <w:t xml:space="preserve"> Project, taking into account possible </w:t>
      </w:r>
      <w:r w:rsidR="00846401" w:rsidRPr="00E24321">
        <w:rPr>
          <w:rFonts w:ascii="Times New Roman" w:hAnsi="Times New Roman"/>
        </w:rPr>
        <w:t xml:space="preserve">environmental and social </w:t>
      </w:r>
      <w:r w:rsidRPr="00E24321">
        <w:rPr>
          <w:rFonts w:ascii="Times New Roman" w:hAnsi="Times New Roman"/>
        </w:rPr>
        <w:t xml:space="preserve">impacts </w:t>
      </w:r>
      <w:r w:rsidR="00846401">
        <w:rPr>
          <w:rFonts w:ascii="Times New Roman" w:hAnsi="Times New Roman"/>
        </w:rPr>
        <w:t>and</w:t>
      </w:r>
      <w:r w:rsidRPr="00E24321">
        <w:rPr>
          <w:rFonts w:ascii="Times New Roman" w:hAnsi="Times New Roman"/>
        </w:rPr>
        <w:t xml:space="preserve"> constraints</w:t>
      </w:r>
      <w:r w:rsidR="00E24321">
        <w:rPr>
          <w:rFonts w:ascii="Times New Roman" w:hAnsi="Times New Roman"/>
        </w:rPr>
        <w:t>;</w:t>
      </w:r>
      <w:r w:rsidR="00E24321" w:rsidRPr="00E24321">
        <w:rPr>
          <w:rFonts w:ascii="Times New Roman" w:hAnsi="Times New Roman"/>
        </w:rPr>
        <w:t xml:space="preserve"> </w:t>
      </w:r>
      <w:r w:rsidRPr="00E24321">
        <w:rPr>
          <w:rFonts w:ascii="Times New Roman" w:hAnsi="Times New Roman"/>
        </w:rPr>
        <w:t xml:space="preserve">(ii) </w:t>
      </w:r>
      <w:r w:rsidR="00E24321">
        <w:rPr>
          <w:rFonts w:ascii="Times New Roman" w:hAnsi="Times New Roman"/>
        </w:rPr>
        <w:t>t</w:t>
      </w:r>
      <w:r w:rsidRPr="00E24321">
        <w:rPr>
          <w:rFonts w:ascii="Times New Roman" w:hAnsi="Times New Roman"/>
        </w:rPr>
        <w:t xml:space="preserve">o suggest and identify various </w:t>
      </w:r>
      <w:r w:rsidR="00E24321">
        <w:rPr>
          <w:rFonts w:ascii="Times New Roman" w:hAnsi="Times New Roman"/>
        </w:rPr>
        <w:t xml:space="preserve">electricity generation and transmission line </w:t>
      </w:r>
      <w:r w:rsidRPr="00E24321">
        <w:rPr>
          <w:rFonts w:ascii="Times New Roman" w:hAnsi="Times New Roman"/>
        </w:rPr>
        <w:t>options and justify one of them to be developed towards the pre-feasibility study</w:t>
      </w:r>
      <w:r w:rsidR="00E24321">
        <w:rPr>
          <w:rFonts w:ascii="Times New Roman" w:hAnsi="Times New Roman"/>
        </w:rPr>
        <w:t>;</w:t>
      </w:r>
      <w:r w:rsidR="00E24321" w:rsidRPr="00E24321">
        <w:rPr>
          <w:rFonts w:ascii="Times New Roman" w:hAnsi="Times New Roman"/>
        </w:rPr>
        <w:t xml:space="preserve"> </w:t>
      </w:r>
      <w:r w:rsidRPr="00E24321">
        <w:rPr>
          <w:rFonts w:ascii="Times New Roman" w:hAnsi="Times New Roman"/>
        </w:rPr>
        <w:t xml:space="preserve">and (iii) </w:t>
      </w:r>
      <w:r w:rsidR="00E24321">
        <w:rPr>
          <w:rFonts w:ascii="Times New Roman" w:hAnsi="Times New Roman"/>
        </w:rPr>
        <w:t>t</w:t>
      </w:r>
      <w:r w:rsidRPr="00E24321">
        <w:rPr>
          <w:rFonts w:ascii="Times New Roman" w:hAnsi="Times New Roman"/>
        </w:rPr>
        <w:t xml:space="preserve">o present the scope of the pre-feasibility study for the suggested alternative.  </w:t>
      </w:r>
    </w:p>
    <w:p w:rsidR="003623FA" w:rsidRPr="00E24321" w:rsidRDefault="003623FA" w:rsidP="009940F8">
      <w:pPr>
        <w:rPr>
          <w:rFonts w:ascii="Times New Roman" w:hAnsi="Times New Roman"/>
        </w:rPr>
      </w:pPr>
    </w:p>
    <w:p w:rsidR="003623FA" w:rsidRPr="00E24321" w:rsidRDefault="003623FA" w:rsidP="009940F8">
      <w:pPr>
        <w:rPr>
          <w:rFonts w:ascii="Times New Roman" w:hAnsi="Times New Roman"/>
          <w:b/>
        </w:rPr>
      </w:pPr>
      <w:r w:rsidRPr="00E24321">
        <w:rPr>
          <w:rFonts w:ascii="Times New Roman" w:hAnsi="Times New Roman"/>
          <w:b/>
        </w:rPr>
        <w:t>Justification</w:t>
      </w:r>
    </w:p>
    <w:p w:rsidR="003623FA" w:rsidRPr="00E24321" w:rsidRDefault="003623FA" w:rsidP="009940F8">
      <w:pPr>
        <w:rPr>
          <w:rFonts w:ascii="Times New Roman" w:hAnsi="Times New Roman"/>
          <w:b/>
        </w:rPr>
      </w:pPr>
    </w:p>
    <w:p w:rsidR="003623FA" w:rsidRPr="00E24321" w:rsidRDefault="003623FA" w:rsidP="007A59B6">
      <w:pPr>
        <w:rPr>
          <w:rFonts w:ascii="Times New Roman" w:hAnsi="Times New Roman"/>
        </w:rPr>
      </w:pPr>
      <w:r w:rsidRPr="00E24321">
        <w:rPr>
          <w:rFonts w:ascii="Times New Roman" w:hAnsi="Times New Roman"/>
        </w:rPr>
        <w:t>The electricity supply systems in the Northern Arc</w:t>
      </w:r>
      <w:r w:rsidR="00C6195F">
        <w:rPr>
          <w:rFonts w:ascii="Times New Roman" w:hAnsi="Times New Roman"/>
        </w:rPr>
        <w:t>h</w:t>
      </w:r>
      <w:r w:rsidRPr="00E24321">
        <w:rPr>
          <w:rFonts w:ascii="Times New Roman" w:hAnsi="Times New Roman"/>
        </w:rPr>
        <w:t xml:space="preserve"> </w:t>
      </w:r>
      <w:r w:rsidR="008C2225">
        <w:rPr>
          <w:rFonts w:ascii="Times New Roman" w:hAnsi="Times New Roman"/>
        </w:rPr>
        <w:t>Countries</w:t>
      </w:r>
      <w:r w:rsidRPr="00E24321">
        <w:rPr>
          <w:rFonts w:ascii="Times New Roman" w:hAnsi="Times New Roman"/>
        </w:rPr>
        <w:t xml:space="preserve"> are isolated from each other and have several challenges in providing clean generation and reliable service. </w:t>
      </w:r>
      <w:r w:rsidR="008C2225">
        <w:rPr>
          <w:rFonts w:ascii="Times New Roman" w:hAnsi="Times New Roman"/>
        </w:rPr>
        <w:t xml:space="preserve"> </w:t>
      </w:r>
      <w:r w:rsidRPr="00E24321">
        <w:rPr>
          <w:rFonts w:ascii="Times New Roman" w:hAnsi="Times New Roman"/>
        </w:rPr>
        <w:t xml:space="preserve">For instance, Guyana relies on imported fossil-fuels for electricity generation with old and costly thermal-based plants, and although the majority of Suriname’s electricity is delivered by </w:t>
      </w:r>
      <w:r w:rsidRPr="00846401">
        <w:rPr>
          <w:rFonts w:ascii="Times New Roman" w:hAnsi="Times New Roman"/>
          <w:i/>
        </w:rPr>
        <w:t>Afobaka</w:t>
      </w:r>
      <w:r w:rsidRPr="00E24321">
        <w:rPr>
          <w:rFonts w:ascii="Times New Roman" w:hAnsi="Times New Roman"/>
        </w:rPr>
        <w:t xml:space="preserve"> Hydro</w:t>
      </w:r>
      <w:r w:rsidR="008C2225">
        <w:rPr>
          <w:rFonts w:ascii="Times New Roman" w:hAnsi="Times New Roman"/>
        </w:rPr>
        <w:t>electric</w:t>
      </w:r>
      <w:r w:rsidRPr="00E24321">
        <w:rPr>
          <w:rFonts w:ascii="Times New Roman" w:hAnsi="Times New Roman"/>
        </w:rPr>
        <w:t xml:space="preserve"> Power plant, Suriname still relies on thermal-based plants during dry seasons. </w:t>
      </w:r>
      <w:r w:rsidR="008C2225">
        <w:rPr>
          <w:rFonts w:ascii="Times New Roman" w:hAnsi="Times New Roman"/>
        </w:rPr>
        <w:t xml:space="preserve"> </w:t>
      </w:r>
      <w:r w:rsidRPr="00E24321">
        <w:rPr>
          <w:rFonts w:ascii="Times New Roman" w:hAnsi="Times New Roman"/>
        </w:rPr>
        <w:t>However, there is a significant potential for hydroelectric development in the Northern Arc</w:t>
      </w:r>
      <w:r w:rsidR="00C6195F">
        <w:rPr>
          <w:rFonts w:ascii="Times New Roman" w:hAnsi="Times New Roman"/>
        </w:rPr>
        <w:t>h</w:t>
      </w:r>
      <w:r w:rsidRPr="00E24321">
        <w:rPr>
          <w:rFonts w:ascii="Times New Roman" w:hAnsi="Times New Roman"/>
        </w:rPr>
        <w:t xml:space="preserve"> </w:t>
      </w:r>
      <w:r w:rsidR="008C2225">
        <w:rPr>
          <w:rFonts w:ascii="Times New Roman" w:hAnsi="Times New Roman"/>
        </w:rPr>
        <w:t>C</w:t>
      </w:r>
      <w:r w:rsidRPr="00E24321">
        <w:rPr>
          <w:rFonts w:ascii="Times New Roman" w:hAnsi="Times New Roman"/>
        </w:rPr>
        <w:t xml:space="preserve">ountries, which if interconnected, could improve the reliability of the systems, the economic development of the region, and reduce their dependence to </w:t>
      </w:r>
      <w:r w:rsidR="008C2225" w:rsidRPr="00E24321">
        <w:rPr>
          <w:rFonts w:ascii="Times New Roman" w:hAnsi="Times New Roman"/>
        </w:rPr>
        <w:t>fossil</w:t>
      </w:r>
      <w:r w:rsidR="008C2225">
        <w:rPr>
          <w:rFonts w:ascii="Times New Roman" w:hAnsi="Times New Roman"/>
        </w:rPr>
        <w:t>-</w:t>
      </w:r>
      <w:r w:rsidRPr="00E24321">
        <w:rPr>
          <w:rFonts w:ascii="Times New Roman" w:hAnsi="Times New Roman"/>
        </w:rPr>
        <w:t xml:space="preserve">fuels for electricity generation. </w:t>
      </w:r>
    </w:p>
    <w:p w:rsidR="003623FA" w:rsidRPr="00E24321" w:rsidRDefault="003623FA" w:rsidP="00C50782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</w:rPr>
      </w:pPr>
    </w:p>
    <w:p w:rsidR="003623FA" w:rsidRPr="00E24321" w:rsidRDefault="003623FA" w:rsidP="00441F5A">
      <w:pPr>
        <w:rPr>
          <w:rFonts w:ascii="Times New Roman" w:hAnsi="Times New Roman"/>
        </w:rPr>
      </w:pPr>
      <w:r w:rsidRPr="00E24321">
        <w:rPr>
          <w:rFonts w:ascii="Times New Roman" w:hAnsi="Times New Roman"/>
        </w:rPr>
        <w:t xml:space="preserve">The </w:t>
      </w:r>
      <w:r w:rsidR="00846401">
        <w:rPr>
          <w:rFonts w:ascii="Times New Roman" w:hAnsi="Times New Roman"/>
        </w:rPr>
        <w:t>Project</w:t>
      </w:r>
      <w:r w:rsidRPr="00E24321">
        <w:rPr>
          <w:rFonts w:ascii="Times New Roman" w:hAnsi="Times New Roman"/>
        </w:rPr>
        <w:t xml:space="preserve"> is aligned with the IDB’s institutional priorities as outlined in the Ninth General Capital Increase in Resources for the </w:t>
      </w:r>
      <w:r w:rsidR="008C2225">
        <w:rPr>
          <w:rFonts w:ascii="Times New Roman" w:hAnsi="Times New Roman"/>
        </w:rPr>
        <w:t>IDB</w:t>
      </w:r>
      <w:r w:rsidRPr="00E24321">
        <w:rPr>
          <w:rFonts w:ascii="Times New Roman" w:hAnsi="Times New Roman"/>
        </w:rPr>
        <w:t xml:space="preserve"> Report (GCI-9) </w:t>
      </w:r>
      <w:r w:rsidR="00453B1E" w:rsidRPr="00E24321">
        <w:rPr>
          <w:rFonts w:ascii="Times New Roman" w:hAnsi="Times New Roman"/>
        </w:rPr>
        <w:t xml:space="preserve">which considers regional integration as a priority sector and consequently assigns a target funding for 2015 of 15%. </w:t>
      </w:r>
      <w:r w:rsidR="008C2225">
        <w:rPr>
          <w:rFonts w:ascii="Times New Roman" w:hAnsi="Times New Roman"/>
        </w:rPr>
        <w:t xml:space="preserve"> </w:t>
      </w:r>
      <w:r w:rsidR="002542B6">
        <w:rPr>
          <w:rFonts w:ascii="Times New Roman" w:hAnsi="Times New Roman"/>
        </w:rPr>
        <w:t>T</w:t>
      </w:r>
      <w:r w:rsidR="00453B1E" w:rsidRPr="00E24321">
        <w:rPr>
          <w:rFonts w:ascii="Times New Roman" w:hAnsi="Times New Roman"/>
        </w:rPr>
        <w:t xml:space="preserve">he </w:t>
      </w:r>
      <w:r w:rsidR="00846401">
        <w:rPr>
          <w:rFonts w:ascii="Times New Roman" w:hAnsi="Times New Roman"/>
        </w:rPr>
        <w:t>Project</w:t>
      </w:r>
      <w:r w:rsidRPr="00E24321">
        <w:rPr>
          <w:rFonts w:ascii="Times New Roman" w:hAnsi="Times New Roman"/>
          <w:sz w:val="24"/>
        </w:rPr>
        <w:t xml:space="preserve"> </w:t>
      </w:r>
      <w:r w:rsidRPr="00E24321">
        <w:rPr>
          <w:rFonts w:ascii="Times New Roman" w:hAnsi="Times New Roman"/>
        </w:rPr>
        <w:t>contributes</w:t>
      </w:r>
      <w:r w:rsidR="00DC08A9" w:rsidRPr="00E24321">
        <w:rPr>
          <w:rFonts w:ascii="Times New Roman" w:hAnsi="Times New Roman"/>
        </w:rPr>
        <w:t xml:space="preserve"> </w:t>
      </w:r>
      <w:r w:rsidRPr="00E24321">
        <w:rPr>
          <w:rFonts w:ascii="Times New Roman" w:hAnsi="Times New Roman"/>
        </w:rPr>
        <w:t xml:space="preserve">to </w:t>
      </w:r>
      <w:r w:rsidR="00DC08A9" w:rsidRPr="00E24321">
        <w:rPr>
          <w:rFonts w:ascii="Times New Roman" w:hAnsi="Times New Roman"/>
        </w:rPr>
        <w:t xml:space="preserve">4 of the 5 </w:t>
      </w:r>
      <w:r w:rsidR="00DC08A9" w:rsidRPr="00E24321">
        <w:rPr>
          <w:rFonts w:ascii="Times New Roman" w:hAnsi="Times New Roman"/>
          <w:bCs/>
        </w:rPr>
        <w:t>strategic priorities areas</w:t>
      </w:r>
      <w:r w:rsidR="00846401">
        <w:rPr>
          <w:rFonts w:ascii="Times New Roman" w:hAnsi="Times New Roman"/>
          <w:bCs/>
        </w:rPr>
        <w:t xml:space="preserve">: (i) </w:t>
      </w:r>
      <w:r w:rsidR="00DC08A9" w:rsidRPr="00E24321">
        <w:rPr>
          <w:rFonts w:ascii="Times New Roman" w:hAnsi="Times New Roman"/>
          <w:bCs/>
        </w:rPr>
        <w:t xml:space="preserve">social policy for equity and productivity is enhanced by </w:t>
      </w:r>
      <w:r w:rsidR="0031234F">
        <w:rPr>
          <w:rFonts w:ascii="Times New Roman" w:hAnsi="Times New Roman"/>
          <w:bCs/>
        </w:rPr>
        <w:t xml:space="preserve">assessing the potential </w:t>
      </w:r>
      <w:r w:rsidR="00DC08A9" w:rsidRPr="00E24321">
        <w:rPr>
          <w:rFonts w:ascii="Times New Roman" w:hAnsi="Times New Roman"/>
          <w:bCs/>
        </w:rPr>
        <w:t>expan</w:t>
      </w:r>
      <w:r w:rsidR="0031234F">
        <w:rPr>
          <w:rFonts w:ascii="Times New Roman" w:hAnsi="Times New Roman"/>
          <w:bCs/>
        </w:rPr>
        <w:t xml:space="preserve">sion </w:t>
      </w:r>
      <w:r w:rsidR="00DC08A9" w:rsidRPr="00E24321">
        <w:rPr>
          <w:rFonts w:ascii="Times New Roman" w:hAnsi="Times New Roman"/>
          <w:bCs/>
        </w:rPr>
        <w:t xml:space="preserve"> of basic services and social safety nets to all members of the communities</w:t>
      </w:r>
      <w:r w:rsidR="00846401">
        <w:rPr>
          <w:rFonts w:ascii="Times New Roman" w:hAnsi="Times New Roman"/>
          <w:bCs/>
        </w:rPr>
        <w:t>; (ii)</w:t>
      </w:r>
      <w:r w:rsidR="00DC08A9" w:rsidRPr="00E24321">
        <w:rPr>
          <w:rFonts w:ascii="Times New Roman" w:hAnsi="Times New Roman"/>
          <w:bCs/>
        </w:rPr>
        <w:t xml:space="preserve"> infrastructure for competitiveness and social welfare</w:t>
      </w:r>
      <w:r w:rsidR="002542B6">
        <w:rPr>
          <w:rFonts w:ascii="Times New Roman" w:hAnsi="Times New Roman"/>
          <w:bCs/>
        </w:rPr>
        <w:t xml:space="preserve">, as the </w:t>
      </w:r>
      <w:r w:rsidR="00DC08A9" w:rsidRPr="00E24321">
        <w:rPr>
          <w:rFonts w:ascii="Times New Roman" w:hAnsi="Times New Roman"/>
          <w:bCs/>
        </w:rPr>
        <w:t xml:space="preserve"> </w:t>
      </w:r>
      <w:r w:rsidR="00846401">
        <w:rPr>
          <w:rFonts w:ascii="Times New Roman" w:hAnsi="Times New Roman"/>
          <w:bCs/>
        </w:rPr>
        <w:t>Project</w:t>
      </w:r>
      <w:r w:rsidR="00DC08A9" w:rsidRPr="00E24321">
        <w:rPr>
          <w:rFonts w:ascii="Times New Roman" w:hAnsi="Times New Roman"/>
          <w:bCs/>
        </w:rPr>
        <w:t xml:space="preserve"> seeks to </w:t>
      </w:r>
      <w:r w:rsidR="002542B6">
        <w:rPr>
          <w:rFonts w:ascii="Times New Roman" w:hAnsi="Times New Roman"/>
          <w:bCs/>
        </w:rPr>
        <w:t>assess</w:t>
      </w:r>
      <w:r w:rsidR="002542B6" w:rsidRPr="00E24321">
        <w:rPr>
          <w:rFonts w:ascii="Times New Roman" w:hAnsi="Times New Roman"/>
          <w:bCs/>
        </w:rPr>
        <w:t xml:space="preserve"> </w:t>
      </w:r>
      <w:r w:rsidR="00DC08A9" w:rsidRPr="00E24321">
        <w:rPr>
          <w:rFonts w:ascii="Times New Roman" w:hAnsi="Times New Roman"/>
          <w:bCs/>
        </w:rPr>
        <w:t xml:space="preserve">the </w:t>
      </w:r>
      <w:r w:rsidR="0031234F">
        <w:rPr>
          <w:rFonts w:ascii="Times New Roman" w:hAnsi="Times New Roman"/>
          <w:bCs/>
        </w:rPr>
        <w:t xml:space="preserve">benefits and </w:t>
      </w:r>
      <w:r w:rsidR="002542B6">
        <w:rPr>
          <w:rFonts w:ascii="Times New Roman" w:hAnsi="Times New Roman"/>
          <w:bCs/>
        </w:rPr>
        <w:t xml:space="preserve">necessary </w:t>
      </w:r>
      <w:r w:rsidR="00DC08A9" w:rsidRPr="00E24321">
        <w:rPr>
          <w:rFonts w:ascii="Times New Roman" w:hAnsi="Times New Roman"/>
          <w:bCs/>
        </w:rPr>
        <w:t>energy infrastructure of the Northern Arc</w:t>
      </w:r>
      <w:r w:rsidR="00C6195F">
        <w:rPr>
          <w:rFonts w:ascii="Times New Roman" w:hAnsi="Times New Roman"/>
          <w:bCs/>
        </w:rPr>
        <w:t>h</w:t>
      </w:r>
      <w:r w:rsidR="00DC08A9" w:rsidRPr="00E24321">
        <w:rPr>
          <w:rFonts w:ascii="Times New Roman" w:hAnsi="Times New Roman"/>
          <w:bCs/>
        </w:rPr>
        <w:t xml:space="preserve"> </w:t>
      </w:r>
      <w:r w:rsidR="008C2225">
        <w:rPr>
          <w:rFonts w:ascii="Times New Roman" w:hAnsi="Times New Roman"/>
          <w:bCs/>
        </w:rPr>
        <w:t>Countries</w:t>
      </w:r>
      <w:r w:rsidR="00846401">
        <w:rPr>
          <w:rFonts w:ascii="Times New Roman" w:hAnsi="Times New Roman"/>
          <w:bCs/>
        </w:rPr>
        <w:t xml:space="preserve">; (iii) </w:t>
      </w:r>
      <w:r w:rsidRPr="00E24321">
        <w:rPr>
          <w:rFonts w:ascii="Times New Roman" w:hAnsi="Times New Roman"/>
        </w:rPr>
        <w:t>competitive regional and global international integration</w:t>
      </w:r>
      <w:r w:rsidR="002542B6">
        <w:rPr>
          <w:rFonts w:ascii="Times New Roman" w:hAnsi="Times New Roman"/>
        </w:rPr>
        <w:t xml:space="preserve"> is enhanced by the </w:t>
      </w:r>
      <w:r w:rsidR="0031234F">
        <w:rPr>
          <w:rFonts w:ascii="Times New Roman" w:hAnsi="Times New Roman"/>
        </w:rPr>
        <w:t xml:space="preserve">potential development of the </w:t>
      </w:r>
      <w:r w:rsidR="002542B6">
        <w:rPr>
          <w:rFonts w:ascii="Times New Roman" w:hAnsi="Times New Roman"/>
        </w:rPr>
        <w:t>Northern Arch Project</w:t>
      </w:r>
      <w:r w:rsidR="00846401">
        <w:rPr>
          <w:rFonts w:ascii="Times New Roman" w:hAnsi="Times New Roman"/>
        </w:rPr>
        <w:t xml:space="preserve">; </w:t>
      </w:r>
      <w:r w:rsidRPr="00E24321">
        <w:rPr>
          <w:rFonts w:ascii="Times New Roman" w:hAnsi="Times New Roman"/>
        </w:rPr>
        <w:t xml:space="preserve">and </w:t>
      </w:r>
      <w:r w:rsidR="00846401">
        <w:rPr>
          <w:rFonts w:ascii="Times New Roman" w:hAnsi="Times New Roman"/>
        </w:rPr>
        <w:t xml:space="preserve">(iv) </w:t>
      </w:r>
      <w:r w:rsidRPr="00E24321">
        <w:rPr>
          <w:rFonts w:ascii="Times New Roman" w:hAnsi="Times New Roman"/>
        </w:rPr>
        <w:t>protecting the environment, responding to climate change, renewable energy, and enhancing food security</w:t>
      </w:r>
      <w:r w:rsidR="0031234F">
        <w:rPr>
          <w:rFonts w:ascii="Times New Roman" w:hAnsi="Times New Roman"/>
        </w:rPr>
        <w:t xml:space="preserve"> by promoting development of the electricity sector through renewable energy.</w:t>
      </w:r>
    </w:p>
    <w:p w:rsidR="006F1898" w:rsidRPr="00E24321" w:rsidRDefault="006F1898" w:rsidP="00441F5A">
      <w:pPr>
        <w:rPr>
          <w:rFonts w:ascii="Times New Roman" w:hAnsi="Times New Roman"/>
        </w:rPr>
      </w:pPr>
    </w:p>
    <w:p w:rsidR="006F1898" w:rsidRPr="00E24321" w:rsidRDefault="007C3076" w:rsidP="00441F5A">
      <w:pPr>
        <w:autoSpaceDE w:val="0"/>
        <w:autoSpaceDN w:val="0"/>
        <w:adjustRightInd w:val="0"/>
        <w:rPr>
          <w:rFonts w:ascii="Times New Roman" w:hAnsi="Times New Roman"/>
        </w:rPr>
      </w:pPr>
      <w:r w:rsidRPr="00E24321">
        <w:rPr>
          <w:rFonts w:ascii="Times New Roman" w:hAnsi="Times New Roman"/>
        </w:rPr>
        <w:t>In addition</w:t>
      </w:r>
      <w:r w:rsidR="006439A3" w:rsidRPr="00E24321">
        <w:rPr>
          <w:rFonts w:ascii="Times New Roman" w:hAnsi="Times New Roman"/>
        </w:rPr>
        <w:t xml:space="preserve">, the </w:t>
      </w:r>
      <w:r w:rsidR="00846401">
        <w:rPr>
          <w:rFonts w:ascii="Times New Roman" w:hAnsi="Times New Roman"/>
        </w:rPr>
        <w:t>Project</w:t>
      </w:r>
      <w:r w:rsidR="006439A3" w:rsidRPr="00E24321">
        <w:rPr>
          <w:rFonts w:ascii="Times New Roman" w:hAnsi="Times New Roman"/>
        </w:rPr>
        <w:t xml:space="preserve"> supports the individual country strategies</w:t>
      </w:r>
      <w:r w:rsidR="0031234F">
        <w:rPr>
          <w:rFonts w:ascii="Times New Roman" w:hAnsi="Times New Roman"/>
        </w:rPr>
        <w:t>: In Guyana,</w:t>
      </w:r>
      <w:r w:rsidR="006439A3" w:rsidRPr="00E24321">
        <w:rPr>
          <w:rFonts w:ascii="Times New Roman" w:hAnsi="Times New Roman"/>
        </w:rPr>
        <w:t xml:space="preserve"> by promoting strategic infrastructure investments </w:t>
      </w:r>
      <w:r w:rsidR="006F1898" w:rsidRPr="00E24321">
        <w:rPr>
          <w:rFonts w:ascii="Times New Roman" w:hAnsi="Times New Roman"/>
        </w:rPr>
        <w:t xml:space="preserve">and </w:t>
      </w:r>
      <w:r w:rsidR="006439A3" w:rsidRPr="00E24321">
        <w:rPr>
          <w:rFonts w:ascii="Times New Roman" w:hAnsi="Times New Roman"/>
        </w:rPr>
        <w:t xml:space="preserve">enhancing competitiveness </w:t>
      </w:r>
      <w:r w:rsidR="00E7072A" w:rsidRPr="00E24321">
        <w:rPr>
          <w:rFonts w:ascii="Times New Roman" w:hAnsi="Times New Roman"/>
        </w:rPr>
        <w:t>(</w:t>
      </w:r>
      <w:r w:rsidR="00F63259">
        <w:rPr>
          <w:rFonts w:ascii="Times New Roman" w:hAnsi="Times New Roman"/>
        </w:rPr>
        <w:t>Pi</w:t>
      </w:r>
      <w:r w:rsidR="00F63259" w:rsidRPr="00E24321">
        <w:rPr>
          <w:rFonts w:ascii="Times New Roman" w:hAnsi="Times New Roman"/>
        </w:rPr>
        <w:t xml:space="preserve">llars </w:t>
      </w:r>
      <w:r w:rsidR="009638DD" w:rsidRPr="00E24321">
        <w:rPr>
          <w:rFonts w:ascii="Times New Roman" w:hAnsi="Times New Roman"/>
        </w:rPr>
        <w:t xml:space="preserve">1 and 2; </w:t>
      </w:r>
      <w:r w:rsidR="00E7072A" w:rsidRPr="00E24321">
        <w:rPr>
          <w:rFonts w:ascii="Times New Roman" w:hAnsi="Times New Roman"/>
        </w:rPr>
        <w:t xml:space="preserve">GN-2503-1; </w:t>
      </w:r>
      <w:r w:rsidR="00BA5212" w:rsidRPr="00E24321">
        <w:rPr>
          <w:rFonts w:ascii="Times New Roman" w:hAnsi="Times New Roman"/>
        </w:rPr>
        <w:t xml:space="preserve">Country Strategy </w:t>
      </w:r>
      <w:r w:rsidR="00E7072A" w:rsidRPr="00E24321">
        <w:rPr>
          <w:rFonts w:ascii="Times New Roman" w:hAnsi="Times New Roman"/>
        </w:rPr>
        <w:t>2008-2012)</w:t>
      </w:r>
      <w:r w:rsidR="0031234F">
        <w:rPr>
          <w:rFonts w:ascii="Times New Roman" w:hAnsi="Times New Roman"/>
        </w:rPr>
        <w:t>; in Suriname, by</w:t>
      </w:r>
      <w:r w:rsidR="006439A3" w:rsidRPr="00E24321">
        <w:rPr>
          <w:rFonts w:ascii="Times New Roman" w:hAnsi="Times New Roman"/>
        </w:rPr>
        <w:t xml:space="preserve"> enabling an energy sector which may be able to operate sustainably and use cost-effective technologies for supporting economic growth </w:t>
      </w:r>
      <w:r w:rsidR="00E7072A" w:rsidRPr="00E24321">
        <w:rPr>
          <w:rFonts w:ascii="Times New Roman" w:hAnsi="Times New Roman"/>
        </w:rPr>
        <w:t>(</w:t>
      </w:r>
      <w:r w:rsidR="00F63259">
        <w:rPr>
          <w:rFonts w:ascii="Times New Roman" w:hAnsi="Times New Roman"/>
        </w:rPr>
        <w:t>P</w:t>
      </w:r>
      <w:r w:rsidR="00F63259" w:rsidRPr="00E24321">
        <w:rPr>
          <w:rFonts w:ascii="Times New Roman" w:hAnsi="Times New Roman"/>
        </w:rPr>
        <w:t xml:space="preserve">riority </w:t>
      </w:r>
      <w:r w:rsidR="00F63259">
        <w:rPr>
          <w:rFonts w:ascii="Times New Roman" w:hAnsi="Times New Roman"/>
        </w:rPr>
        <w:t>A</w:t>
      </w:r>
      <w:r w:rsidR="00F63259" w:rsidRPr="00E24321">
        <w:rPr>
          <w:rFonts w:ascii="Times New Roman" w:hAnsi="Times New Roman"/>
        </w:rPr>
        <w:t xml:space="preserve">rea </w:t>
      </w:r>
      <w:r w:rsidR="009638DD" w:rsidRPr="00E24321">
        <w:rPr>
          <w:rFonts w:ascii="Times New Roman" w:hAnsi="Times New Roman"/>
        </w:rPr>
        <w:t xml:space="preserve">2; </w:t>
      </w:r>
      <w:r w:rsidR="00620951" w:rsidRPr="00E24321">
        <w:rPr>
          <w:rFonts w:ascii="Times New Roman" w:hAnsi="Times New Roman"/>
        </w:rPr>
        <w:t xml:space="preserve">GN-2637-3; </w:t>
      </w:r>
      <w:r w:rsidR="00BA5212" w:rsidRPr="00E24321">
        <w:rPr>
          <w:rFonts w:ascii="Times New Roman" w:hAnsi="Times New Roman"/>
        </w:rPr>
        <w:t xml:space="preserve">Country Strategy </w:t>
      </w:r>
      <w:r w:rsidR="00620951" w:rsidRPr="00E24321">
        <w:rPr>
          <w:rFonts w:ascii="Times New Roman" w:hAnsi="Times New Roman"/>
        </w:rPr>
        <w:t>2011-2015</w:t>
      </w:r>
      <w:r w:rsidR="00E7072A" w:rsidRPr="00E24321">
        <w:rPr>
          <w:rFonts w:ascii="Times New Roman" w:hAnsi="Times New Roman"/>
        </w:rPr>
        <w:t>)</w:t>
      </w:r>
      <w:r w:rsidR="0031234F">
        <w:rPr>
          <w:rFonts w:ascii="Times New Roman" w:hAnsi="Times New Roman"/>
        </w:rPr>
        <w:t xml:space="preserve">; </w:t>
      </w:r>
      <w:r w:rsidR="006439A3" w:rsidRPr="00E24321">
        <w:rPr>
          <w:rFonts w:ascii="Times New Roman" w:hAnsi="Times New Roman"/>
        </w:rPr>
        <w:t xml:space="preserve">and </w:t>
      </w:r>
      <w:r w:rsidR="0031234F" w:rsidRPr="00E24321">
        <w:rPr>
          <w:rFonts w:ascii="Times New Roman" w:hAnsi="Times New Roman"/>
        </w:rPr>
        <w:t>in Brazil</w:t>
      </w:r>
      <w:r w:rsidR="0031234F">
        <w:rPr>
          <w:rFonts w:ascii="Times New Roman" w:hAnsi="Times New Roman"/>
        </w:rPr>
        <w:t xml:space="preserve">, </w:t>
      </w:r>
      <w:r w:rsidR="009638DD" w:rsidRPr="00E24321">
        <w:rPr>
          <w:rFonts w:ascii="Times New Roman" w:hAnsi="Times New Roman"/>
        </w:rPr>
        <w:t xml:space="preserve">improving the condition of the country’s infrastructure </w:t>
      </w:r>
      <w:r w:rsidR="006439A3" w:rsidRPr="00E24321">
        <w:rPr>
          <w:rFonts w:ascii="Times New Roman" w:hAnsi="Times New Roman"/>
        </w:rPr>
        <w:t xml:space="preserve">by </w:t>
      </w:r>
      <w:r w:rsidR="006F1898" w:rsidRPr="00E24321">
        <w:rPr>
          <w:rFonts w:ascii="Times New Roman" w:hAnsi="Times New Roman"/>
        </w:rPr>
        <w:t xml:space="preserve">contributing, expanding, recovering, improving and conserving electric power generating capacity and </w:t>
      </w:r>
      <w:r w:rsidR="006F1898" w:rsidRPr="00E24321">
        <w:rPr>
          <w:rFonts w:ascii="Times New Roman" w:hAnsi="Times New Roman"/>
        </w:rPr>
        <w:lastRenderedPageBreak/>
        <w:t xml:space="preserve">transmission system by using renewable and alternative energy sources </w:t>
      </w:r>
      <w:r w:rsidR="00620951" w:rsidRPr="00E24321">
        <w:rPr>
          <w:rFonts w:ascii="Times New Roman" w:hAnsi="Times New Roman"/>
        </w:rPr>
        <w:t>(</w:t>
      </w:r>
      <w:r w:rsidR="00F63259">
        <w:rPr>
          <w:rFonts w:ascii="Times New Roman" w:hAnsi="Times New Roman"/>
        </w:rPr>
        <w:t>S</w:t>
      </w:r>
      <w:r w:rsidR="00F63259" w:rsidRPr="00E24321">
        <w:rPr>
          <w:rFonts w:ascii="Times New Roman" w:hAnsi="Times New Roman"/>
        </w:rPr>
        <w:t xml:space="preserve">trategic </w:t>
      </w:r>
      <w:r w:rsidR="00F63259">
        <w:rPr>
          <w:rFonts w:ascii="Times New Roman" w:hAnsi="Times New Roman"/>
        </w:rPr>
        <w:t>O</w:t>
      </w:r>
      <w:r w:rsidR="00F63259" w:rsidRPr="00E24321">
        <w:rPr>
          <w:rFonts w:ascii="Times New Roman" w:hAnsi="Times New Roman"/>
        </w:rPr>
        <w:t xml:space="preserve">bjective </w:t>
      </w:r>
      <w:r w:rsidR="009E64EB" w:rsidRPr="00E24321">
        <w:rPr>
          <w:rFonts w:ascii="Times New Roman" w:hAnsi="Times New Roman"/>
        </w:rPr>
        <w:t xml:space="preserve">2, </w:t>
      </w:r>
      <w:r w:rsidR="00F63259">
        <w:rPr>
          <w:rFonts w:ascii="Times New Roman" w:hAnsi="Times New Roman"/>
        </w:rPr>
        <w:t>P</w:t>
      </w:r>
      <w:r w:rsidR="00F63259" w:rsidRPr="00E24321">
        <w:rPr>
          <w:rFonts w:ascii="Times New Roman" w:hAnsi="Times New Roman"/>
        </w:rPr>
        <w:t xml:space="preserve">riority </w:t>
      </w:r>
      <w:r w:rsidR="00F63259">
        <w:rPr>
          <w:rFonts w:ascii="Times New Roman" w:hAnsi="Times New Roman"/>
        </w:rPr>
        <w:t>S</w:t>
      </w:r>
      <w:r w:rsidR="00F63259" w:rsidRPr="00E24321">
        <w:rPr>
          <w:rFonts w:ascii="Times New Roman" w:hAnsi="Times New Roman"/>
        </w:rPr>
        <w:t xml:space="preserve">ector </w:t>
      </w:r>
      <w:r w:rsidR="009E64EB" w:rsidRPr="00E24321">
        <w:rPr>
          <w:rFonts w:ascii="Times New Roman" w:hAnsi="Times New Roman"/>
        </w:rPr>
        <w:t xml:space="preserve">3, </w:t>
      </w:r>
      <w:r w:rsidR="00F63259">
        <w:rPr>
          <w:rFonts w:ascii="Times New Roman" w:hAnsi="Times New Roman"/>
        </w:rPr>
        <w:t>O</w:t>
      </w:r>
      <w:r w:rsidR="00F63259" w:rsidRPr="00E24321">
        <w:rPr>
          <w:rFonts w:ascii="Times New Roman" w:hAnsi="Times New Roman"/>
        </w:rPr>
        <w:t xml:space="preserve">bjective </w:t>
      </w:r>
      <w:r w:rsidR="009E64EB" w:rsidRPr="00E24321">
        <w:rPr>
          <w:rFonts w:ascii="Times New Roman" w:hAnsi="Times New Roman"/>
        </w:rPr>
        <w:t xml:space="preserve">1 and 2; </w:t>
      </w:r>
      <w:r w:rsidR="00620951" w:rsidRPr="00E24321">
        <w:rPr>
          <w:rFonts w:ascii="Times New Roman" w:hAnsi="Times New Roman"/>
        </w:rPr>
        <w:t>GN-2662-1</w:t>
      </w:r>
      <w:r w:rsidR="004576F4" w:rsidRPr="00E24321">
        <w:rPr>
          <w:rFonts w:ascii="Times New Roman" w:hAnsi="Times New Roman"/>
        </w:rPr>
        <w:t xml:space="preserve">; </w:t>
      </w:r>
      <w:r w:rsidR="00BA5212" w:rsidRPr="00E24321">
        <w:rPr>
          <w:rFonts w:ascii="Times New Roman" w:hAnsi="Times New Roman"/>
        </w:rPr>
        <w:t xml:space="preserve">Country Strategy </w:t>
      </w:r>
      <w:r w:rsidR="004576F4" w:rsidRPr="00E24321">
        <w:rPr>
          <w:rFonts w:ascii="Times New Roman" w:hAnsi="Times New Roman"/>
        </w:rPr>
        <w:t>2012-2014)</w:t>
      </w:r>
      <w:r w:rsidR="006F1898" w:rsidRPr="00E24321">
        <w:rPr>
          <w:rFonts w:ascii="Times New Roman" w:hAnsi="Times New Roman"/>
        </w:rPr>
        <w:t>.</w:t>
      </w:r>
      <w:r w:rsidR="006F1898" w:rsidRPr="00E24321">
        <w:rPr>
          <w:rFonts w:ascii="Times New Roman" w:hAnsi="Times New Roman"/>
          <w:sz w:val="18"/>
          <w:szCs w:val="18"/>
        </w:rPr>
        <w:t xml:space="preserve"> </w:t>
      </w:r>
    </w:p>
    <w:p w:rsidR="003623FA" w:rsidRPr="00E24321" w:rsidRDefault="003623FA" w:rsidP="00C50782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</w:rPr>
      </w:pPr>
    </w:p>
    <w:p w:rsidR="003623FA" w:rsidRPr="00E24321" w:rsidRDefault="003623FA" w:rsidP="009940F8">
      <w:pPr>
        <w:pStyle w:val="Heading1"/>
        <w:rPr>
          <w:rFonts w:ascii="Times New Roman" w:hAnsi="Times New Roman"/>
        </w:rPr>
      </w:pPr>
      <w:r w:rsidRPr="00E24321">
        <w:rPr>
          <w:rFonts w:ascii="Times New Roman" w:hAnsi="Times New Roman"/>
        </w:rPr>
        <w:t>Description of activities</w:t>
      </w:r>
    </w:p>
    <w:p w:rsidR="003623FA" w:rsidRPr="00E24321" w:rsidRDefault="003623FA" w:rsidP="00AC42F5">
      <w:pPr>
        <w:rPr>
          <w:rFonts w:ascii="Times New Roman" w:hAnsi="Times New Roman"/>
        </w:rPr>
      </w:pPr>
    </w:p>
    <w:p w:rsidR="003623FA" w:rsidRPr="00E24321" w:rsidRDefault="003623FA" w:rsidP="00AC42F5">
      <w:pPr>
        <w:rPr>
          <w:rFonts w:ascii="Times New Roman" w:hAnsi="Times New Roman"/>
        </w:rPr>
      </w:pPr>
      <w:r w:rsidRPr="00E24321">
        <w:rPr>
          <w:rFonts w:ascii="Times New Roman" w:hAnsi="Times New Roman"/>
          <w:b/>
        </w:rPr>
        <w:t xml:space="preserve">Component I: Planning Study: </w:t>
      </w:r>
      <w:r w:rsidRPr="00E24321">
        <w:rPr>
          <w:rFonts w:ascii="Times New Roman" w:hAnsi="Times New Roman"/>
        </w:rPr>
        <w:t xml:space="preserve">Component I will finance the following activities: (i) identifying the </w:t>
      </w:r>
      <w:r w:rsidR="00F63259">
        <w:rPr>
          <w:rFonts w:ascii="Times New Roman" w:hAnsi="Times New Roman"/>
        </w:rPr>
        <w:t xml:space="preserve">hydroelectric and other energy </w:t>
      </w:r>
      <w:r w:rsidRPr="00E24321">
        <w:rPr>
          <w:rFonts w:ascii="Times New Roman" w:hAnsi="Times New Roman"/>
        </w:rPr>
        <w:t xml:space="preserve">potential of each country; (ii) reviewing of the existing energy generation and transmission expansion plans including the potential energy transfers between the countries;  (iii) reviewing existing planning, technical, economic, environmental, social studies and others about </w:t>
      </w:r>
      <w:r w:rsidR="00F63259">
        <w:rPr>
          <w:rFonts w:ascii="Times New Roman" w:hAnsi="Times New Roman"/>
        </w:rPr>
        <w:t>the Northern Arc</w:t>
      </w:r>
      <w:r w:rsidR="00A32998">
        <w:rPr>
          <w:rFonts w:ascii="Times New Roman" w:hAnsi="Times New Roman"/>
        </w:rPr>
        <w:t>h</w:t>
      </w:r>
      <w:r w:rsidRPr="00E24321">
        <w:rPr>
          <w:rFonts w:ascii="Times New Roman" w:hAnsi="Times New Roman"/>
        </w:rPr>
        <w:t xml:space="preserve">; and (iv) analyzing the possible project development </w:t>
      </w:r>
      <w:r w:rsidR="00846401">
        <w:rPr>
          <w:rFonts w:ascii="Times New Roman" w:hAnsi="Times New Roman"/>
        </w:rPr>
        <w:t>Project</w:t>
      </w:r>
      <w:r w:rsidRPr="00E24321">
        <w:rPr>
          <w:rFonts w:ascii="Times New Roman" w:hAnsi="Times New Roman"/>
        </w:rPr>
        <w:t>s for various alternatives on a 15 years horizon starting on 2013; the analysis will be taking into account risk analysis, regulatory, economic, political, environmental, social and technical constraints (</w:t>
      </w:r>
      <w:r w:rsidR="00F63259">
        <w:rPr>
          <w:rFonts w:ascii="Times New Roman" w:hAnsi="Times New Roman"/>
        </w:rPr>
        <w:t xml:space="preserve">i.e., </w:t>
      </w:r>
      <w:r w:rsidRPr="00E24321">
        <w:rPr>
          <w:rFonts w:ascii="Times New Roman" w:hAnsi="Times New Roman"/>
        </w:rPr>
        <w:t xml:space="preserve">security, reliability, voltage levels, etc.), or externalities that may rise in each case. </w:t>
      </w:r>
      <w:r w:rsidR="00F63259">
        <w:rPr>
          <w:rFonts w:ascii="Times New Roman" w:hAnsi="Times New Roman"/>
        </w:rPr>
        <w:t xml:space="preserve"> A</w:t>
      </w:r>
      <w:r w:rsidRPr="00E24321">
        <w:rPr>
          <w:rFonts w:ascii="Times New Roman" w:hAnsi="Times New Roman"/>
        </w:rPr>
        <w:t xml:space="preserve"> report with the studied alternatives and the preliminary recommendations for the continuation of the </w:t>
      </w:r>
      <w:r w:rsidR="00F63259">
        <w:rPr>
          <w:rFonts w:ascii="Times New Roman" w:hAnsi="Times New Roman"/>
        </w:rPr>
        <w:t>Northern Arc</w:t>
      </w:r>
      <w:r w:rsidR="00A32998">
        <w:rPr>
          <w:rFonts w:ascii="Times New Roman" w:hAnsi="Times New Roman"/>
        </w:rPr>
        <w:t>h</w:t>
      </w:r>
      <w:r w:rsidR="00F63259">
        <w:rPr>
          <w:rFonts w:ascii="Times New Roman" w:hAnsi="Times New Roman"/>
        </w:rPr>
        <w:t xml:space="preserve"> P</w:t>
      </w:r>
      <w:r w:rsidR="00F63259" w:rsidRPr="00E24321">
        <w:rPr>
          <w:rFonts w:ascii="Times New Roman" w:hAnsi="Times New Roman"/>
        </w:rPr>
        <w:t xml:space="preserve">roject </w:t>
      </w:r>
      <w:r w:rsidRPr="00E24321">
        <w:rPr>
          <w:rFonts w:ascii="Times New Roman" w:hAnsi="Times New Roman"/>
        </w:rPr>
        <w:t xml:space="preserve">will be </w:t>
      </w:r>
      <w:r w:rsidR="00F63259">
        <w:rPr>
          <w:rFonts w:ascii="Times New Roman" w:hAnsi="Times New Roman"/>
        </w:rPr>
        <w:t xml:space="preserve">Component </w:t>
      </w:r>
      <w:r w:rsidR="0031017D">
        <w:rPr>
          <w:rFonts w:ascii="Times New Roman" w:hAnsi="Times New Roman"/>
        </w:rPr>
        <w:t xml:space="preserve">I’s </w:t>
      </w:r>
      <w:r w:rsidRPr="00E24321">
        <w:rPr>
          <w:rFonts w:ascii="Times New Roman" w:hAnsi="Times New Roman"/>
        </w:rPr>
        <w:t>deliver</w:t>
      </w:r>
      <w:r w:rsidR="00F63259">
        <w:rPr>
          <w:rFonts w:ascii="Times New Roman" w:hAnsi="Times New Roman"/>
        </w:rPr>
        <w:t>able, along with a</w:t>
      </w:r>
      <w:r w:rsidRPr="00E24321">
        <w:rPr>
          <w:rFonts w:ascii="Times New Roman" w:hAnsi="Times New Roman"/>
        </w:rPr>
        <w:t xml:space="preserve"> present</w:t>
      </w:r>
      <w:r w:rsidR="00F63259">
        <w:rPr>
          <w:rFonts w:ascii="Times New Roman" w:hAnsi="Times New Roman"/>
        </w:rPr>
        <w:t xml:space="preserve">ation </w:t>
      </w:r>
      <w:r w:rsidRPr="00E24321">
        <w:rPr>
          <w:rFonts w:ascii="Times New Roman" w:hAnsi="Times New Roman"/>
        </w:rPr>
        <w:t xml:space="preserve">and discussed at the consultation workshops with the participation of all stakeholders. </w:t>
      </w:r>
    </w:p>
    <w:p w:rsidR="003623FA" w:rsidRPr="00E24321" w:rsidRDefault="003623FA" w:rsidP="009940F8">
      <w:pPr>
        <w:pStyle w:val="ListParagraph"/>
        <w:ind w:left="429"/>
        <w:rPr>
          <w:rFonts w:ascii="Times New Roman" w:hAnsi="Times New Roman"/>
        </w:rPr>
      </w:pPr>
    </w:p>
    <w:p w:rsidR="003623FA" w:rsidRPr="00E24321" w:rsidRDefault="003623FA" w:rsidP="00441F5A">
      <w:pPr>
        <w:pStyle w:val="PlainText"/>
        <w:jc w:val="both"/>
        <w:rPr>
          <w:rFonts w:ascii="Times New Roman" w:hAnsi="Times New Roman" w:cs="Times New Roman"/>
        </w:rPr>
      </w:pPr>
      <w:r w:rsidRPr="00E24321">
        <w:rPr>
          <w:rFonts w:ascii="Times New Roman" w:hAnsi="Times New Roman" w:cs="Times New Roman"/>
          <w:b/>
        </w:rPr>
        <w:t xml:space="preserve">Component II: Pre-Feasibility Study: </w:t>
      </w:r>
      <w:r w:rsidRPr="00E24321">
        <w:rPr>
          <w:rFonts w:ascii="Times New Roman" w:hAnsi="Times New Roman" w:cs="Times New Roman"/>
        </w:rPr>
        <w:t xml:space="preserve">Component II will finance the following activities:  (i) identifying the best technologies for </w:t>
      </w:r>
      <w:r w:rsidR="00F63259">
        <w:rPr>
          <w:rFonts w:ascii="Times New Roman" w:hAnsi="Times New Roman" w:cs="Times New Roman"/>
        </w:rPr>
        <w:t>hydroelectric and other</w:t>
      </w:r>
      <w:r w:rsidR="00F63259" w:rsidRPr="00E24321">
        <w:rPr>
          <w:rFonts w:ascii="Times New Roman" w:hAnsi="Times New Roman" w:cs="Times New Roman"/>
        </w:rPr>
        <w:t xml:space="preserve"> </w:t>
      </w:r>
      <w:r w:rsidR="00F63259">
        <w:rPr>
          <w:rFonts w:ascii="Times New Roman" w:hAnsi="Times New Roman" w:cs="Times New Roman"/>
        </w:rPr>
        <w:t xml:space="preserve">energy generation </w:t>
      </w:r>
      <w:r w:rsidRPr="00E24321">
        <w:rPr>
          <w:rFonts w:ascii="Times New Roman" w:hAnsi="Times New Roman" w:cs="Times New Roman"/>
        </w:rPr>
        <w:t xml:space="preserve">development; (ii) identifying and evaluating the best possible sustainable alternative for electric interconnection; (iii) estimating the investment, operation and maintenance costs; (iv) conducting a socio-environmental impact and risk analysis (including gender-gap analysis) of the issues associated with the implementation of identified solution; and (v) proposing the preliminary route of the transmission lines and substations sites, the preliminary lay-outs and the implementation schedule, that incorporates the socio-environmental constraints identified in item (iv). </w:t>
      </w:r>
      <w:r w:rsidR="00F63259">
        <w:rPr>
          <w:rFonts w:ascii="Times New Roman" w:hAnsi="Times New Roman" w:cs="Times New Roman"/>
        </w:rPr>
        <w:t xml:space="preserve"> </w:t>
      </w:r>
      <w:r w:rsidRPr="00E24321">
        <w:rPr>
          <w:rFonts w:ascii="Times New Roman" w:hAnsi="Times New Roman" w:cs="Times New Roman"/>
        </w:rPr>
        <w:t>For component</w:t>
      </w:r>
      <w:r w:rsidR="00E7072A" w:rsidRPr="00E24321">
        <w:rPr>
          <w:rFonts w:ascii="Times New Roman" w:hAnsi="Times New Roman" w:cs="Times New Roman"/>
        </w:rPr>
        <w:t xml:space="preserve"> II</w:t>
      </w:r>
      <w:r w:rsidRPr="00E24321">
        <w:rPr>
          <w:rFonts w:ascii="Times New Roman" w:hAnsi="Times New Roman" w:cs="Times New Roman"/>
        </w:rPr>
        <w:t xml:space="preserve"> a preliminary and a final report detailing the previous mentioned activities of the </w:t>
      </w:r>
      <w:r w:rsidR="00846401">
        <w:rPr>
          <w:rFonts w:ascii="Times New Roman" w:hAnsi="Times New Roman" w:cs="Times New Roman"/>
        </w:rPr>
        <w:t>Project</w:t>
      </w:r>
      <w:r w:rsidRPr="00E24321">
        <w:rPr>
          <w:rFonts w:ascii="Times New Roman" w:hAnsi="Times New Roman" w:cs="Times New Roman"/>
        </w:rPr>
        <w:t xml:space="preserve"> will be presented to all the stakeholders and discussed at the consultation workshops.</w:t>
      </w:r>
      <w:r w:rsidR="006439A3" w:rsidRPr="00E24321">
        <w:rPr>
          <w:rFonts w:ascii="Times New Roman" w:hAnsi="Times New Roman" w:cs="Times New Roman"/>
        </w:rPr>
        <w:t xml:space="preserve"> </w:t>
      </w:r>
      <w:r w:rsidR="00F63259">
        <w:rPr>
          <w:rFonts w:ascii="Times New Roman" w:hAnsi="Times New Roman" w:cs="Times New Roman"/>
        </w:rPr>
        <w:t xml:space="preserve"> </w:t>
      </w:r>
      <w:r w:rsidR="006439A3" w:rsidRPr="00E24321">
        <w:rPr>
          <w:rFonts w:ascii="Times New Roman" w:hAnsi="Times New Roman" w:cs="Times New Roman"/>
        </w:rPr>
        <w:t xml:space="preserve">The final product shall be drafted in a thorough, comprehensive and concise manner. </w:t>
      </w:r>
      <w:r w:rsidR="00F63259">
        <w:rPr>
          <w:rFonts w:ascii="Times New Roman" w:hAnsi="Times New Roman" w:cs="Times New Roman"/>
        </w:rPr>
        <w:t xml:space="preserve"> </w:t>
      </w:r>
      <w:r w:rsidR="006439A3" w:rsidRPr="00E24321">
        <w:rPr>
          <w:rFonts w:ascii="Times New Roman" w:hAnsi="Times New Roman" w:cs="Times New Roman"/>
        </w:rPr>
        <w:t xml:space="preserve">It shall be used as a knowledge-based product and be in a publishable format in accordance with IDB standards. </w:t>
      </w:r>
      <w:r w:rsidR="00F63259">
        <w:rPr>
          <w:rFonts w:ascii="Times New Roman" w:hAnsi="Times New Roman" w:cs="Times New Roman"/>
        </w:rPr>
        <w:t xml:space="preserve"> </w:t>
      </w:r>
      <w:r w:rsidR="009E64EB" w:rsidRPr="00E24321">
        <w:rPr>
          <w:rFonts w:ascii="Times New Roman" w:hAnsi="Times New Roman" w:cs="Times New Roman"/>
        </w:rPr>
        <w:t>The final product</w:t>
      </w:r>
      <w:r w:rsidR="006439A3" w:rsidRPr="00E24321">
        <w:rPr>
          <w:rFonts w:ascii="Times New Roman" w:hAnsi="Times New Roman" w:cs="Times New Roman"/>
        </w:rPr>
        <w:t xml:space="preserve"> </w:t>
      </w:r>
      <w:r w:rsidRPr="00E24321">
        <w:rPr>
          <w:rFonts w:ascii="Times New Roman" w:hAnsi="Times New Roman" w:cs="Times New Roman"/>
        </w:rPr>
        <w:t>will be published at the IDB and governmental websites after the consultation process is complete.</w:t>
      </w:r>
    </w:p>
    <w:p w:rsidR="003623FA" w:rsidRPr="00E24321" w:rsidRDefault="003623FA" w:rsidP="009940F8">
      <w:pPr>
        <w:rPr>
          <w:rFonts w:ascii="Times New Roman" w:hAnsi="Times New Roman"/>
        </w:rPr>
      </w:pPr>
    </w:p>
    <w:p w:rsidR="0031234F" w:rsidRDefault="003623FA" w:rsidP="00833334">
      <w:pPr>
        <w:rPr>
          <w:rFonts w:ascii="Times New Roman" w:hAnsi="Times New Roman"/>
        </w:rPr>
      </w:pPr>
      <w:r w:rsidRPr="00E24321">
        <w:rPr>
          <w:rFonts w:ascii="Times New Roman" w:hAnsi="Times New Roman"/>
          <w:b/>
        </w:rPr>
        <w:t>Component III</w:t>
      </w:r>
      <w:r w:rsidR="009638DD" w:rsidRPr="00E24321">
        <w:rPr>
          <w:rFonts w:ascii="Times New Roman" w:hAnsi="Times New Roman"/>
          <w:b/>
        </w:rPr>
        <w:t xml:space="preserve">: </w:t>
      </w:r>
      <w:r w:rsidRPr="00E24321">
        <w:rPr>
          <w:rFonts w:ascii="Times New Roman" w:hAnsi="Times New Roman"/>
          <w:b/>
        </w:rPr>
        <w:t xml:space="preserve">Stakeholder Consultation at Pre-Feasibility Stage: </w:t>
      </w:r>
      <w:r w:rsidRPr="00E24321">
        <w:rPr>
          <w:rFonts w:ascii="Times New Roman" w:hAnsi="Times New Roman"/>
        </w:rPr>
        <w:t>Component III will finance at least 3 consultation meetings/workshops that seek to communicate information to relevant stakeholders, at an early-stage in the decision making process to be able to incorporate their feedback in the planning and pre-feasibility study of the Northern Arc</w:t>
      </w:r>
      <w:r w:rsidR="00A32998">
        <w:rPr>
          <w:rFonts w:ascii="Times New Roman" w:hAnsi="Times New Roman"/>
        </w:rPr>
        <w:t>h</w:t>
      </w:r>
      <w:r w:rsidRPr="00E24321">
        <w:rPr>
          <w:rFonts w:ascii="Times New Roman" w:hAnsi="Times New Roman"/>
        </w:rPr>
        <w:t xml:space="preserve"> Project. </w:t>
      </w:r>
      <w:r w:rsidR="00F63259">
        <w:rPr>
          <w:rFonts w:ascii="Times New Roman" w:hAnsi="Times New Roman"/>
        </w:rPr>
        <w:t xml:space="preserve"> </w:t>
      </w:r>
      <w:r w:rsidRPr="00E24321">
        <w:rPr>
          <w:rFonts w:ascii="Times New Roman" w:hAnsi="Times New Roman"/>
        </w:rPr>
        <w:t xml:space="preserve">The main consultation meetings are, but should not be limited to: (i) Consultation meeting for the discussion of the Planning Study (Component I); (ii) Consultation meeting for the discussion of the Pre-Feasibility Study (Component II); (iii) A final coordination meeting for the presentation of the final </w:t>
      </w:r>
      <w:r w:rsidR="00BA5212" w:rsidRPr="00E24321">
        <w:rPr>
          <w:rFonts w:ascii="Times New Roman" w:hAnsi="Times New Roman"/>
        </w:rPr>
        <w:t>product</w:t>
      </w:r>
      <w:r w:rsidRPr="00E24321">
        <w:rPr>
          <w:rFonts w:ascii="Times New Roman" w:hAnsi="Times New Roman"/>
        </w:rPr>
        <w:t xml:space="preserve">, which should incorporate the recommendations agreed in meetings (i) and (ii). </w:t>
      </w:r>
    </w:p>
    <w:p w:rsidR="0031234F" w:rsidRDefault="0031234F" w:rsidP="00833334">
      <w:pPr>
        <w:rPr>
          <w:rFonts w:ascii="Times New Roman" w:hAnsi="Times New Roman"/>
        </w:rPr>
      </w:pPr>
    </w:p>
    <w:p w:rsidR="003623FA" w:rsidRPr="00E24321" w:rsidRDefault="0031017D" w:rsidP="00833334">
      <w:pPr>
        <w:rPr>
          <w:rFonts w:ascii="Times New Roman" w:hAnsi="Times New Roman"/>
        </w:rPr>
      </w:pPr>
      <w:r>
        <w:rPr>
          <w:rFonts w:ascii="Times New Roman" w:hAnsi="Times New Roman"/>
        </w:rPr>
        <w:t>The Project includes the hiring of a Project Manager who, together with the Energy Division of the IDB, will be in charge of disseminating all reports/products</w:t>
      </w:r>
      <w:r w:rsidRPr="003101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all stakeholders </w:t>
      </w:r>
      <w:r w:rsidR="0031234F" w:rsidRPr="00E24321">
        <w:rPr>
          <w:rFonts w:ascii="Times New Roman" w:hAnsi="Times New Roman"/>
        </w:rPr>
        <w:t>for their review prior to each meeting</w:t>
      </w:r>
      <w:r w:rsidR="009C1CED">
        <w:rPr>
          <w:rFonts w:ascii="Times New Roman" w:hAnsi="Times New Roman"/>
        </w:rPr>
        <w:t>.</w:t>
      </w:r>
      <w:r w:rsidR="003623FA" w:rsidRPr="00E24321">
        <w:rPr>
          <w:rFonts w:ascii="Times New Roman" w:hAnsi="Times New Roman"/>
        </w:rPr>
        <w:t xml:space="preserve"> </w:t>
      </w:r>
    </w:p>
    <w:p w:rsidR="006622EE" w:rsidRPr="00E24321" w:rsidRDefault="006622EE">
      <w:pPr>
        <w:jc w:val="left"/>
        <w:rPr>
          <w:rFonts w:ascii="Times New Roman" w:hAnsi="Times New Roman"/>
          <w:b/>
        </w:rPr>
      </w:pPr>
      <w:r w:rsidRPr="00E24321">
        <w:rPr>
          <w:rFonts w:ascii="Times New Roman" w:hAnsi="Times New Roman"/>
          <w:b/>
        </w:rPr>
        <w:br w:type="page"/>
      </w:r>
    </w:p>
    <w:p w:rsidR="003623FA" w:rsidRPr="00E24321" w:rsidRDefault="003623FA" w:rsidP="00E8027C">
      <w:pPr>
        <w:pStyle w:val="Heading1"/>
        <w:rPr>
          <w:rFonts w:ascii="Times New Roman" w:hAnsi="Times New Roman"/>
        </w:rPr>
      </w:pPr>
      <w:r w:rsidRPr="00E24321">
        <w:rPr>
          <w:rFonts w:ascii="Times New Roman" w:hAnsi="Times New Roman"/>
        </w:rPr>
        <w:lastRenderedPageBreak/>
        <w:t>Budget in (US$)</w:t>
      </w:r>
    </w:p>
    <w:p w:rsidR="006A480A" w:rsidRDefault="006A480A" w:rsidP="009940F8">
      <w:pPr>
        <w:pStyle w:val="ListParagraph"/>
        <w:ind w:left="36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1.  </w:t>
      </w:r>
      <w:r w:rsidR="003623FA" w:rsidRPr="00E24321">
        <w:rPr>
          <w:rFonts w:ascii="Times New Roman" w:hAnsi="Times New Roman"/>
          <w:b/>
        </w:rPr>
        <w:t>Indicative Budget</w:t>
      </w:r>
    </w:p>
    <w:p w:rsidR="003623FA" w:rsidRPr="00E24321" w:rsidRDefault="003623FA" w:rsidP="009940F8">
      <w:pPr>
        <w:pStyle w:val="ListParagraph"/>
        <w:ind w:left="360"/>
        <w:contextualSpacing w:val="0"/>
        <w:jc w:val="center"/>
        <w:rPr>
          <w:rFonts w:ascii="Times New Roman" w:hAnsi="Times New Roman"/>
          <w:b/>
        </w:rPr>
      </w:pPr>
      <w:r w:rsidRPr="00E24321">
        <w:rPr>
          <w:rFonts w:ascii="Times New Roman" w:hAnsi="Times New Roman"/>
          <w:b/>
        </w:rPr>
        <w:t xml:space="preserve"> </w:t>
      </w:r>
    </w:p>
    <w:tbl>
      <w:tblPr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4050"/>
        <w:gridCol w:w="1170"/>
        <w:gridCol w:w="1350"/>
        <w:gridCol w:w="1188"/>
      </w:tblGrid>
      <w:tr w:rsidR="006A480A" w:rsidRPr="00E24321" w:rsidTr="00846401">
        <w:trPr>
          <w:trHeight w:val="800"/>
        </w:trPr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23FA" w:rsidRPr="00E24321" w:rsidRDefault="003623FA" w:rsidP="00E802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24321">
              <w:rPr>
                <w:rFonts w:ascii="Times New Roman" w:hAnsi="Times New Roman"/>
                <w:b/>
                <w:bCs/>
                <w:color w:val="000000"/>
                <w:sz w:val="20"/>
              </w:rPr>
              <w:t>Activity/Component</w:t>
            </w:r>
          </w:p>
        </w:tc>
        <w:tc>
          <w:tcPr>
            <w:tcW w:w="40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 w:rsidP="00E802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24321">
              <w:rPr>
                <w:rFonts w:ascii="Times New Roman" w:hAnsi="Times New Roman"/>
                <w:b/>
                <w:bCs/>
                <w:color w:val="000000"/>
                <w:sz w:val="20"/>
              </w:rPr>
              <w:t>Description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 w:rsidP="00E802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24321">
              <w:rPr>
                <w:rFonts w:ascii="Times New Roman" w:hAnsi="Times New Roman"/>
                <w:b/>
                <w:bCs/>
                <w:color w:val="000000"/>
                <w:sz w:val="20"/>
              </w:rPr>
              <w:t>IDB/Fund Funding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 w:rsidP="006622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24321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Counterpart Funding 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23FA" w:rsidRPr="00E24321" w:rsidRDefault="003623FA" w:rsidP="00E802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24321">
              <w:rPr>
                <w:rFonts w:ascii="Times New Roman" w:hAnsi="Times New Roman"/>
                <w:b/>
                <w:bCs/>
                <w:color w:val="000000"/>
                <w:sz w:val="20"/>
              </w:rPr>
              <w:t>Total Funding</w:t>
            </w:r>
          </w:p>
        </w:tc>
      </w:tr>
      <w:tr w:rsidR="006A480A" w:rsidRPr="00E24321" w:rsidTr="00846401">
        <w:trPr>
          <w:trHeight w:val="300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3623FA" w:rsidRPr="00E24321" w:rsidRDefault="003623FA" w:rsidP="0005711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E24321">
              <w:rPr>
                <w:rFonts w:ascii="Times New Roman" w:hAnsi="Times New Roman"/>
                <w:b/>
                <w:bCs/>
                <w:color w:val="000000"/>
                <w:sz w:val="18"/>
              </w:rPr>
              <w:t>Comp I. Planning Study</w:t>
            </w:r>
          </w:p>
        </w:tc>
        <w:tc>
          <w:tcPr>
            <w:tcW w:w="40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 w:rsidP="00E8027C">
            <w:pPr>
              <w:jc w:val="left"/>
              <w:rPr>
                <w:rFonts w:ascii="Times New Roman" w:hAnsi="Times New Roman"/>
                <w:color w:val="000000"/>
                <w:sz w:val="16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>Production of work plan schedule and  baseline reports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>
            <w:pPr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 $750,000 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>
            <w:pPr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 $  450,000 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23FA" w:rsidRPr="00E24321" w:rsidRDefault="003623FA">
            <w:pPr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 $   1,200,000 </w:t>
            </w:r>
          </w:p>
        </w:tc>
      </w:tr>
      <w:tr w:rsidR="006A480A" w:rsidRPr="00E24321" w:rsidTr="00846401">
        <w:trPr>
          <w:trHeight w:val="1350"/>
        </w:trPr>
        <w:tc>
          <w:tcPr>
            <w:tcW w:w="1980" w:type="dxa"/>
            <w:vAlign w:val="center"/>
          </w:tcPr>
          <w:p w:rsidR="003623FA" w:rsidRPr="00E24321" w:rsidRDefault="003623FA" w:rsidP="0005711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E24321">
              <w:rPr>
                <w:rFonts w:ascii="Times New Roman" w:hAnsi="Times New Roman"/>
                <w:b/>
                <w:bCs/>
                <w:color w:val="000000"/>
                <w:sz w:val="18"/>
              </w:rPr>
              <w:t>Comp II. Scope of Pre-Feasibility Study</w:t>
            </w: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3623FA" w:rsidRPr="00E24321" w:rsidRDefault="003623FA">
            <w:pPr>
              <w:jc w:val="left"/>
              <w:rPr>
                <w:rFonts w:ascii="Times New Roman" w:hAnsi="Times New Roman"/>
                <w:color w:val="000000"/>
                <w:sz w:val="16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(i) identify the best technologies for the </w:t>
            </w:r>
            <w:r w:rsidR="006A480A">
              <w:rPr>
                <w:rFonts w:ascii="Times New Roman" w:hAnsi="Times New Roman"/>
                <w:color w:val="000000"/>
                <w:sz w:val="16"/>
              </w:rPr>
              <w:t xml:space="preserve">hydroelectric and other energy generation </w:t>
            </w:r>
            <w:r w:rsidRPr="00E24321">
              <w:rPr>
                <w:rFonts w:ascii="Times New Roman" w:hAnsi="Times New Roman"/>
                <w:color w:val="000000"/>
                <w:sz w:val="16"/>
              </w:rPr>
              <w:t>project development</w:t>
            </w:r>
            <w:r w:rsidRPr="00E24321">
              <w:rPr>
                <w:rFonts w:ascii="Times New Roman" w:hAnsi="Times New Roman"/>
                <w:color w:val="000000"/>
                <w:sz w:val="16"/>
              </w:rPr>
              <w:br/>
              <w:t>(ii) identify and evaluate the possible sustainable alternatives for electric interconnection</w:t>
            </w:r>
            <w:r w:rsidRPr="00E24321">
              <w:rPr>
                <w:rFonts w:ascii="Times New Roman" w:hAnsi="Times New Roman"/>
                <w:color w:val="000000"/>
                <w:sz w:val="16"/>
              </w:rPr>
              <w:br/>
              <w:t xml:space="preserve">(iii) estimate the investment, operation and maintenance costs </w:t>
            </w:r>
            <w:r w:rsidRPr="00E24321">
              <w:rPr>
                <w:rFonts w:ascii="Times New Roman" w:hAnsi="Times New Roman"/>
                <w:color w:val="000000"/>
                <w:sz w:val="16"/>
              </w:rPr>
              <w:br/>
              <w:t xml:space="preserve">(iv) propose the preliminary route, the preliminary lay-outs and the implementation schedule of the </w:t>
            </w:r>
            <w:r w:rsidR="006A480A">
              <w:rPr>
                <w:rFonts w:ascii="Times New Roman" w:hAnsi="Times New Roman"/>
                <w:color w:val="000000"/>
                <w:sz w:val="16"/>
              </w:rPr>
              <w:t>Northern Arc</w:t>
            </w:r>
            <w:r w:rsidR="00A32998">
              <w:rPr>
                <w:rFonts w:ascii="Times New Roman" w:hAnsi="Times New Roman"/>
                <w:color w:val="000000"/>
                <w:sz w:val="16"/>
              </w:rPr>
              <w:t>h</w:t>
            </w:r>
            <w:r w:rsidR="006A480A">
              <w:rPr>
                <w:rFonts w:ascii="Times New Roman" w:hAnsi="Times New Roman"/>
                <w:color w:val="000000"/>
                <w:sz w:val="16"/>
              </w:rPr>
              <w:t xml:space="preserve"> Project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>
            <w:pPr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 $750,000 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>
            <w:pPr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 $  150,000 </w:t>
            </w: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3623FA" w:rsidRPr="00E24321" w:rsidRDefault="003623FA">
            <w:pPr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 $   900,000 </w:t>
            </w:r>
          </w:p>
        </w:tc>
      </w:tr>
      <w:tr w:rsidR="006A480A" w:rsidRPr="00E24321" w:rsidTr="00846401">
        <w:trPr>
          <w:trHeight w:val="782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3623FA" w:rsidRPr="00E24321" w:rsidRDefault="003623FA" w:rsidP="0005711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E24321">
              <w:rPr>
                <w:rFonts w:ascii="Times New Roman" w:hAnsi="Times New Roman"/>
                <w:b/>
                <w:bCs/>
                <w:color w:val="000000"/>
                <w:sz w:val="18"/>
              </w:rPr>
              <w:t>Component III. Stakeholder Consultation</w:t>
            </w:r>
          </w:p>
        </w:tc>
        <w:tc>
          <w:tcPr>
            <w:tcW w:w="40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 w:rsidP="00FE4598">
            <w:pPr>
              <w:jc w:val="left"/>
              <w:rPr>
                <w:rFonts w:ascii="Times New Roman" w:hAnsi="Times New Roman"/>
                <w:color w:val="000000"/>
                <w:sz w:val="16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Outputs delivery, training and explanation </w:t>
            </w:r>
            <w:r w:rsidR="006622EE" w:rsidRPr="00E24321">
              <w:rPr>
                <w:rFonts w:ascii="Times New Roman" w:hAnsi="Times New Roman"/>
                <w:color w:val="000000"/>
                <w:sz w:val="16"/>
              </w:rPr>
              <w:t>among</w:t>
            </w: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 the parties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>
            <w:pPr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>$60,000</w:t>
            </w:r>
          </w:p>
        </w:tc>
        <w:tc>
          <w:tcPr>
            <w:tcW w:w="13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>
            <w:pPr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 $  225,000 </w:t>
            </w:r>
          </w:p>
        </w:tc>
        <w:tc>
          <w:tcPr>
            <w:tcW w:w="11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623FA" w:rsidRPr="00E24321" w:rsidRDefault="003623FA">
            <w:pPr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 $   285,000 </w:t>
            </w:r>
          </w:p>
        </w:tc>
      </w:tr>
      <w:tr w:rsidR="006A480A" w:rsidRPr="00E24321" w:rsidTr="00846401">
        <w:trPr>
          <w:trHeight w:val="480"/>
        </w:trPr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23FA" w:rsidRPr="00E24321" w:rsidRDefault="003623FA" w:rsidP="001915B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E24321">
              <w:rPr>
                <w:rFonts w:ascii="Times New Roman" w:hAnsi="Times New Roman"/>
                <w:b/>
                <w:bCs/>
                <w:color w:val="000000"/>
                <w:sz w:val="18"/>
              </w:rPr>
              <w:t>Document expenses for manuals, reports, and publications</w:t>
            </w:r>
          </w:p>
        </w:tc>
        <w:tc>
          <w:tcPr>
            <w:tcW w:w="40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 w:rsidP="00865408">
            <w:pPr>
              <w:jc w:val="left"/>
              <w:rPr>
                <w:rFonts w:ascii="Times New Roman" w:hAnsi="Times New Roman"/>
                <w:color w:val="000000"/>
                <w:sz w:val="16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Preparation of information, consultation and publication(s) 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>
            <w:pPr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>$160,000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>
            <w:pPr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 $90,000 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23FA" w:rsidRPr="00E24321" w:rsidRDefault="003623FA">
            <w:pPr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 $ 285,000 </w:t>
            </w:r>
          </w:p>
        </w:tc>
      </w:tr>
      <w:tr w:rsidR="006A480A" w:rsidRPr="00E24321" w:rsidTr="00846401">
        <w:trPr>
          <w:trHeight w:val="300"/>
        </w:trPr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23FA" w:rsidRPr="00E24321" w:rsidRDefault="003623FA" w:rsidP="00E8027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E24321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Support to </w:t>
            </w:r>
            <w:r w:rsidR="00846401">
              <w:rPr>
                <w:rFonts w:ascii="Times New Roman" w:hAnsi="Times New Roman"/>
                <w:b/>
                <w:bCs/>
                <w:color w:val="000000"/>
                <w:sz w:val="18"/>
              </w:rPr>
              <w:t>Project</w:t>
            </w:r>
            <w:r w:rsidRPr="00E24321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implementation, including Supervision and peer review</w:t>
            </w:r>
          </w:p>
        </w:tc>
        <w:tc>
          <w:tcPr>
            <w:tcW w:w="405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 w:rsidP="0005711C">
            <w:pPr>
              <w:jc w:val="left"/>
              <w:rPr>
                <w:rFonts w:ascii="Times New Roman" w:hAnsi="Times New Roman"/>
                <w:color w:val="000000"/>
                <w:sz w:val="16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>Consultant(s) in charge of the supervision and peer review of the reports in Component I to III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>
            <w:pPr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 $55</w:t>
            </w:r>
            <w:r w:rsidR="006622EE" w:rsidRPr="00E24321">
              <w:rPr>
                <w:rFonts w:ascii="Times New Roman" w:hAnsi="Times New Roman"/>
                <w:color w:val="000000"/>
                <w:sz w:val="16"/>
              </w:rPr>
              <w:t>,000</w:t>
            </w: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>
            <w:pPr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 $  120,000 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23FA" w:rsidRPr="00E24321" w:rsidRDefault="003623FA">
            <w:pPr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$175,000 </w:t>
            </w:r>
          </w:p>
        </w:tc>
      </w:tr>
      <w:tr w:rsidR="006A480A" w:rsidRPr="00E24321" w:rsidTr="00846401">
        <w:trPr>
          <w:trHeight w:val="323"/>
        </w:trPr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23FA" w:rsidRPr="00E24321" w:rsidRDefault="003623FA" w:rsidP="00596B3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E24321">
              <w:rPr>
                <w:rFonts w:ascii="Times New Roman" w:hAnsi="Times New Roman"/>
                <w:b/>
                <w:bCs/>
                <w:color w:val="000000"/>
                <w:sz w:val="18"/>
              </w:rPr>
              <w:t>Monitoring and Evaluation</w:t>
            </w:r>
          </w:p>
        </w:tc>
        <w:tc>
          <w:tcPr>
            <w:tcW w:w="40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 w:rsidP="00E802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 $7</w:t>
            </w:r>
            <w:r w:rsidR="006622EE" w:rsidRPr="00E24321">
              <w:rPr>
                <w:rFonts w:ascii="Times New Roman" w:hAnsi="Times New Roman"/>
                <w:color w:val="000000"/>
                <w:sz w:val="16"/>
              </w:rPr>
              <w:t>0,000</w:t>
            </w: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 $ 45,000 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23FA" w:rsidRPr="00E24321" w:rsidRDefault="003623FA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 $   115,0000 </w:t>
            </w:r>
          </w:p>
        </w:tc>
      </w:tr>
      <w:tr w:rsidR="006A480A" w:rsidRPr="00E24321" w:rsidTr="00846401">
        <w:trPr>
          <w:trHeight w:val="300"/>
        </w:trPr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23FA" w:rsidRPr="00E24321" w:rsidRDefault="003623FA" w:rsidP="00596B3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E24321">
              <w:rPr>
                <w:rFonts w:ascii="Times New Roman" w:hAnsi="Times New Roman"/>
                <w:b/>
                <w:bCs/>
                <w:color w:val="000000"/>
                <w:sz w:val="18"/>
              </w:rPr>
              <w:t>Contingency</w:t>
            </w:r>
          </w:p>
        </w:tc>
        <w:tc>
          <w:tcPr>
            <w:tcW w:w="40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 w:rsidP="00E802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 $55,000 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 $  20,000 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23FA" w:rsidRPr="00E24321" w:rsidRDefault="003623FA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24321">
              <w:rPr>
                <w:rFonts w:ascii="Times New Roman" w:hAnsi="Times New Roman"/>
                <w:color w:val="000000"/>
                <w:sz w:val="16"/>
              </w:rPr>
              <w:t xml:space="preserve"> $   75,000 </w:t>
            </w:r>
          </w:p>
        </w:tc>
      </w:tr>
      <w:tr w:rsidR="006A480A" w:rsidRPr="00E24321" w:rsidTr="00846401">
        <w:trPr>
          <w:trHeight w:val="300"/>
        </w:trPr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23FA" w:rsidRPr="00E24321" w:rsidRDefault="003623FA">
            <w:pPr>
              <w:ind w:firstLineChars="100" w:firstLine="201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24321">
              <w:rPr>
                <w:rFonts w:ascii="Times New Roman" w:hAnsi="Times New Roman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40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 w:rsidP="00E802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24321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24321">
              <w:rPr>
                <w:rFonts w:ascii="Times New Roman" w:hAnsi="Times New Roman"/>
                <w:b/>
                <w:color w:val="000000"/>
                <w:sz w:val="20"/>
              </w:rPr>
              <w:t>$1,900,000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3FA" w:rsidRPr="00E24321" w:rsidRDefault="003623FA" w:rsidP="00846401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24321">
              <w:rPr>
                <w:rFonts w:ascii="Times New Roman" w:hAnsi="Times New Roman"/>
                <w:b/>
                <w:color w:val="000000"/>
                <w:sz w:val="20"/>
              </w:rPr>
              <w:t xml:space="preserve">$1,100,000 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23FA" w:rsidRPr="00E24321" w:rsidRDefault="003623FA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24321">
              <w:rPr>
                <w:rFonts w:ascii="Times New Roman" w:hAnsi="Times New Roman"/>
                <w:b/>
                <w:color w:val="000000"/>
                <w:sz w:val="20"/>
              </w:rPr>
              <w:t xml:space="preserve">$3,000,000 </w:t>
            </w:r>
          </w:p>
        </w:tc>
      </w:tr>
    </w:tbl>
    <w:p w:rsidR="003623FA" w:rsidRPr="00E24321" w:rsidRDefault="003623FA" w:rsidP="009940F8">
      <w:pPr>
        <w:pStyle w:val="ListParagraph"/>
        <w:ind w:left="360"/>
        <w:contextualSpacing w:val="0"/>
        <w:jc w:val="center"/>
        <w:rPr>
          <w:rFonts w:ascii="Times New Roman" w:hAnsi="Times New Roman"/>
        </w:rPr>
      </w:pPr>
    </w:p>
    <w:p w:rsidR="003623FA" w:rsidRPr="00E24321" w:rsidRDefault="003623FA" w:rsidP="009940F8">
      <w:pPr>
        <w:pStyle w:val="Heading1"/>
        <w:rPr>
          <w:rFonts w:ascii="Times New Roman" w:hAnsi="Times New Roman"/>
        </w:rPr>
      </w:pPr>
      <w:r w:rsidRPr="00E24321">
        <w:rPr>
          <w:rFonts w:ascii="Times New Roman" w:hAnsi="Times New Roman"/>
        </w:rPr>
        <w:t xml:space="preserve">Executing agency and execution structure </w:t>
      </w:r>
    </w:p>
    <w:p w:rsidR="003623FA" w:rsidRPr="00E24321" w:rsidRDefault="003623FA" w:rsidP="00B349FD">
      <w:pPr>
        <w:ind w:left="360"/>
        <w:rPr>
          <w:rFonts w:ascii="Times New Roman" w:hAnsi="Times New Roman"/>
        </w:rPr>
      </w:pPr>
      <w:r w:rsidRPr="00E24321">
        <w:rPr>
          <w:rFonts w:ascii="Times New Roman" w:hAnsi="Times New Roman"/>
        </w:rPr>
        <w:t xml:space="preserve">Given the strategic objectives of the </w:t>
      </w:r>
      <w:r w:rsidR="00846401">
        <w:rPr>
          <w:rFonts w:ascii="Times New Roman" w:hAnsi="Times New Roman"/>
        </w:rPr>
        <w:t>Project</w:t>
      </w:r>
      <w:r w:rsidRPr="00E24321">
        <w:rPr>
          <w:rFonts w:ascii="Times New Roman" w:hAnsi="Times New Roman"/>
        </w:rPr>
        <w:t xml:space="preserve"> and its regional nature, </w:t>
      </w:r>
      <w:r w:rsidR="006A480A">
        <w:rPr>
          <w:rFonts w:ascii="Times New Roman" w:hAnsi="Times New Roman"/>
        </w:rPr>
        <w:t>t</w:t>
      </w:r>
      <w:r w:rsidRPr="00E24321">
        <w:rPr>
          <w:rFonts w:ascii="Times New Roman" w:hAnsi="Times New Roman"/>
        </w:rPr>
        <w:t xml:space="preserve">he </w:t>
      </w:r>
      <w:r w:rsidR="00846401">
        <w:rPr>
          <w:rFonts w:ascii="Times New Roman" w:hAnsi="Times New Roman"/>
        </w:rPr>
        <w:t>Project</w:t>
      </w:r>
      <w:r w:rsidRPr="00E24321">
        <w:rPr>
          <w:rFonts w:ascii="Times New Roman" w:hAnsi="Times New Roman"/>
        </w:rPr>
        <w:t xml:space="preserve"> will be executed by the IDB through its Energy Division (INE/ENE). </w:t>
      </w:r>
      <w:r w:rsidR="006A480A">
        <w:rPr>
          <w:rFonts w:ascii="Times New Roman" w:hAnsi="Times New Roman"/>
        </w:rPr>
        <w:t xml:space="preserve"> </w:t>
      </w:r>
      <w:r w:rsidRPr="00E24321">
        <w:rPr>
          <w:rFonts w:ascii="Times New Roman" w:hAnsi="Times New Roman"/>
        </w:rPr>
        <w:t>Additionally, considering the specificity of the subject and the need to ensure the dissemination of information</w:t>
      </w:r>
      <w:r w:rsidR="00131A1C">
        <w:rPr>
          <w:rFonts w:ascii="Times New Roman" w:hAnsi="Times New Roman"/>
        </w:rPr>
        <w:t xml:space="preserve"> to all stakeholders in the different countries</w:t>
      </w:r>
      <w:r w:rsidRPr="00E24321">
        <w:rPr>
          <w:rFonts w:ascii="Times New Roman" w:hAnsi="Times New Roman"/>
        </w:rPr>
        <w:t xml:space="preserve">, </w:t>
      </w:r>
      <w:r w:rsidR="00131A1C">
        <w:rPr>
          <w:rFonts w:ascii="Times New Roman" w:hAnsi="Times New Roman"/>
        </w:rPr>
        <w:t xml:space="preserve">it is important for the </w:t>
      </w:r>
      <w:r w:rsidRPr="00E24321">
        <w:rPr>
          <w:rFonts w:ascii="Times New Roman" w:hAnsi="Times New Roman"/>
        </w:rPr>
        <w:t xml:space="preserve">the </w:t>
      </w:r>
      <w:r w:rsidR="00131A1C">
        <w:rPr>
          <w:rFonts w:ascii="Times New Roman" w:hAnsi="Times New Roman"/>
        </w:rPr>
        <w:t xml:space="preserve">Project to count on the </w:t>
      </w:r>
      <w:r w:rsidRPr="00E24321">
        <w:rPr>
          <w:rFonts w:ascii="Times New Roman" w:hAnsi="Times New Roman"/>
        </w:rPr>
        <w:t xml:space="preserve">regional </w:t>
      </w:r>
      <w:r w:rsidR="00131A1C">
        <w:rPr>
          <w:rFonts w:ascii="Times New Roman" w:hAnsi="Times New Roman"/>
        </w:rPr>
        <w:t>coordination</w:t>
      </w:r>
      <w:r w:rsidR="00131A1C" w:rsidRPr="00E24321">
        <w:rPr>
          <w:rFonts w:ascii="Times New Roman" w:hAnsi="Times New Roman"/>
        </w:rPr>
        <w:t xml:space="preserve"> </w:t>
      </w:r>
      <w:r w:rsidR="00131A1C">
        <w:rPr>
          <w:rFonts w:ascii="Times New Roman" w:hAnsi="Times New Roman"/>
        </w:rPr>
        <w:t>of</w:t>
      </w:r>
      <w:r w:rsidRPr="00E24321">
        <w:rPr>
          <w:rFonts w:ascii="Times New Roman" w:hAnsi="Times New Roman"/>
        </w:rPr>
        <w:t xml:space="preserve"> </w:t>
      </w:r>
      <w:r w:rsidR="009C1CED">
        <w:rPr>
          <w:rFonts w:ascii="Times New Roman" w:hAnsi="Times New Roman"/>
        </w:rPr>
        <w:t xml:space="preserve">the </w:t>
      </w:r>
      <w:r w:rsidRPr="00E24321">
        <w:rPr>
          <w:rFonts w:ascii="Times New Roman" w:hAnsi="Times New Roman"/>
        </w:rPr>
        <w:t xml:space="preserve">IDB. </w:t>
      </w:r>
      <w:r w:rsidR="006A480A">
        <w:rPr>
          <w:rFonts w:ascii="Times New Roman" w:hAnsi="Times New Roman"/>
        </w:rPr>
        <w:t xml:space="preserve"> </w:t>
      </w:r>
      <w:r w:rsidRPr="00E24321">
        <w:rPr>
          <w:rFonts w:ascii="Times New Roman" w:hAnsi="Times New Roman"/>
        </w:rPr>
        <w:t xml:space="preserve">The </w:t>
      </w:r>
      <w:r w:rsidR="006A480A">
        <w:rPr>
          <w:rFonts w:ascii="Times New Roman" w:hAnsi="Times New Roman"/>
        </w:rPr>
        <w:t>Energy Division T</w:t>
      </w:r>
      <w:r w:rsidRPr="00E24321">
        <w:rPr>
          <w:rFonts w:ascii="Times New Roman" w:hAnsi="Times New Roman"/>
        </w:rPr>
        <w:t xml:space="preserve">eam </w:t>
      </w:r>
      <w:r w:rsidR="006A480A">
        <w:rPr>
          <w:rFonts w:ascii="Times New Roman" w:hAnsi="Times New Roman"/>
        </w:rPr>
        <w:t xml:space="preserve">of the IDB </w:t>
      </w:r>
      <w:r w:rsidRPr="00E24321">
        <w:rPr>
          <w:rFonts w:ascii="Times New Roman" w:hAnsi="Times New Roman"/>
        </w:rPr>
        <w:t xml:space="preserve">will be responsible for all aspects related to the results, monitoring and evaluation. </w:t>
      </w:r>
    </w:p>
    <w:p w:rsidR="006622EE" w:rsidRPr="00E24321" w:rsidRDefault="006622EE" w:rsidP="00B349FD">
      <w:pPr>
        <w:ind w:left="360"/>
        <w:rPr>
          <w:rFonts w:ascii="Times New Roman" w:hAnsi="Times New Roman"/>
        </w:rPr>
      </w:pPr>
    </w:p>
    <w:p w:rsidR="003623FA" w:rsidRPr="00E24321" w:rsidRDefault="003623FA" w:rsidP="009940F8">
      <w:pPr>
        <w:pStyle w:val="Heading1"/>
        <w:rPr>
          <w:rFonts w:ascii="Times New Roman" w:hAnsi="Times New Roman"/>
        </w:rPr>
      </w:pPr>
      <w:r w:rsidRPr="00E24321">
        <w:rPr>
          <w:rFonts w:ascii="Times New Roman" w:hAnsi="Times New Roman"/>
        </w:rPr>
        <w:t xml:space="preserve">Project Risks and issues </w:t>
      </w:r>
    </w:p>
    <w:p w:rsidR="003623FA" w:rsidRPr="00E24321" w:rsidRDefault="003623FA" w:rsidP="00A806A3">
      <w:pPr>
        <w:pStyle w:val="ListParagraph"/>
        <w:ind w:left="360"/>
        <w:rPr>
          <w:rFonts w:ascii="Times New Roman" w:hAnsi="Times New Roman"/>
        </w:rPr>
      </w:pPr>
      <w:r w:rsidRPr="00E24321">
        <w:rPr>
          <w:rFonts w:ascii="Times New Roman" w:hAnsi="Times New Roman"/>
        </w:rPr>
        <w:t xml:space="preserve">There are not major risks in the implementation of the </w:t>
      </w:r>
      <w:r w:rsidR="00846401">
        <w:rPr>
          <w:rFonts w:ascii="Times New Roman" w:hAnsi="Times New Roman"/>
        </w:rPr>
        <w:t>Project</w:t>
      </w:r>
      <w:r w:rsidRPr="00E24321">
        <w:rPr>
          <w:rFonts w:ascii="Times New Roman" w:hAnsi="Times New Roman"/>
        </w:rPr>
        <w:t xml:space="preserve">. </w:t>
      </w:r>
      <w:r w:rsidR="006A480A">
        <w:rPr>
          <w:rFonts w:ascii="Times New Roman" w:hAnsi="Times New Roman"/>
        </w:rPr>
        <w:t xml:space="preserve"> </w:t>
      </w:r>
      <w:r w:rsidRPr="00E24321">
        <w:rPr>
          <w:rFonts w:ascii="Times New Roman" w:hAnsi="Times New Roman"/>
        </w:rPr>
        <w:t xml:space="preserve">However, being a study involving several countries, the need for coordination and cooperation are stressed. </w:t>
      </w:r>
      <w:r w:rsidR="006A480A">
        <w:rPr>
          <w:rFonts w:ascii="Times New Roman" w:hAnsi="Times New Roman"/>
        </w:rPr>
        <w:t xml:space="preserve"> </w:t>
      </w:r>
      <w:r w:rsidRPr="00E24321">
        <w:rPr>
          <w:rFonts w:ascii="Times New Roman" w:hAnsi="Times New Roman"/>
        </w:rPr>
        <w:t xml:space="preserve">To facilitate mitigate the coordination </w:t>
      </w:r>
      <w:r w:rsidR="006B5F56" w:rsidRPr="00E24321">
        <w:rPr>
          <w:rFonts w:ascii="Times New Roman" w:hAnsi="Times New Roman"/>
        </w:rPr>
        <w:t>risk;</w:t>
      </w:r>
      <w:r w:rsidRPr="00E24321">
        <w:rPr>
          <w:rFonts w:ascii="Times New Roman" w:hAnsi="Times New Roman"/>
        </w:rPr>
        <w:t xml:space="preserve"> Component III will establish a stakeholder consultation process to convey comments from all stakeholders. </w:t>
      </w:r>
      <w:r w:rsidR="006A480A">
        <w:rPr>
          <w:rFonts w:ascii="Times New Roman" w:hAnsi="Times New Roman"/>
        </w:rPr>
        <w:t xml:space="preserve"> </w:t>
      </w:r>
      <w:r w:rsidRPr="00E24321">
        <w:rPr>
          <w:rFonts w:ascii="Times New Roman" w:hAnsi="Times New Roman"/>
        </w:rPr>
        <w:t xml:space="preserve">The </w:t>
      </w:r>
      <w:r w:rsidR="0031017D">
        <w:rPr>
          <w:rFonts w:ascii="Times New Roman" w:hAnsi="Times New Roman"/>
        </w:rPr>
        <w:t>Project Manager</w:t>
      </w:r>
      <w:r w:rsidR="006B5F56">
        <w:rPr>
          <w:rFonts w:ascii="Times New Roman" w:hAnsi="Times New Roman"/>
        </w:rPr>
        <w:t>,</w:t>
      </w:r>
      <w:r w:rsidR="0031017D">
        <w:rPr>
          <w:rFonts w:ascii="Times New Roman" w:hAnsi="Times New Roman"/>
        </w:rPr>
        <w:t xml:space="preserve"> together with </w:t>
      </w:r>
      <w:r w:rsidR="006A480A">
        <w:rPr>
          <w:rFonts w:ascii="Times New Roman" w:hAnsi="Times New Roman"/>
        </w:rPr>
        <w:t>the Energy Division</w:t>
      </w:r>
      <w:r w:rsidR="0031017D">
        <w:rPr>
          <w:rFonts w:ascii="Times New Roman" w:hAnsi="Times New Roman"/>
        </w:rPr>
        <w:t xml:space="preserve"> of </w:t>
      </w:r>
      <w:r w:rsidR="009C1CED">
        <w:rPr>
          <w:rFonts w:ascii="Times New Roman" w:hAnsi="Times New Roman"/>
        </w:rPr>
        <w:t xml:space="preserve">the </w:t>
      </w:r>
      <w:r w:rsidR="0031017D">
        <w:rPr>
          <w:rFonts w:ascii="Times New Roman" w:hAnsi="Times New Roman"/>
        </w:rPr>
        <w:t>IDB</w:t>
      </w:r>
      <w:r w:rsidR="006B5F56">
        <w:rPr>
          <w:rFonts w:ascii="Times New Roman" w:hAnsi="Times New Roman"/>
        </w:rPr>
        <w:t>,</w:t>
      </w:r>
      <w:r w:rsidR="006A480A">
        <w:rPr>
          <w:rFonts w:ascii="Times New Roman" w:hAnsi="Times New Roman"/>
        </w:rPr>
        <w:t xml:space="preserve"> </w:t>
      </w:r>
      <w:r w:rsidRPr="00E24321">
        <w:rPr>
          <w:rFonts w:ascii="Times New Roman" w:hAnsi="Times New Roman"/>
        </w:rPr>
        <w:t>will be in charge of channel</w:t>
      </w:r>
      <w:r w:rsidR="0031017D">
        <w:rPr>
          <w:rFonts w:ascii="Times New Roman" w:hAnsi="Times New Roman"/>
        </w:rPr>
        <w:t>ing</w:t>
      </w:r>
      <w:r w:rsidRPr="00E24321">
        <w:rPr>
          <w:rFonts w:ascii="Times New Roman" w:hAnsi="Times New Roman"/>
        </w:rPr>
        <w:t xml:space="preserve"> all comments and input from different entities and stakeholders.</w:t>
      </w:r>
    </w:p>
    <w:p w:rsidR="006622EE" w:rsidRPr="00E24321" w:rsidRDefault="006622EE" w:rsidP="00A806A3">
      <w:pPr>
        <w:pStyle w:val="ListParagraph"/>
        <w:ind w:left="360"/>
        <w:rPr>
          <w:rFonts w:ascii="Times New Roman" w:hAnsi="Times New Roman"/>
        </w:rPr>
      </w:pPr>
    </w:p>
    <w:p w:rsidR="003623FA" w:rsidRPr="00E24321" w:rsidRDefault="003623FA" w:rsidP="009940F8">
      <w:pPr>
        <w:pStyle w:val="Heading1"/>
        <w:rPr>
          <w:rFonts w:ascii="Times New Roman" w:hAnsi="Times New Roman"/>
        </w:rPr>
      </w:pPr>
      <w:r w:rsidRPr="00E24321">
        <w:rPr>
          <w:rFonts w:ascii="Times New Roman" w:hAnsi="Times New Roman"/>
        </w:rPr>
        <w:t>Environmental and Social Classification</w:t>
      </w:r>
    </w:p>
    <w:p w:rsidR="003623FA" w:rsidRDefault="003623FA" w:rsidP="00A806A3">
      <w:pPr>
        <w:pStyle w:val="ListParagraph"/>
        <w:ind w:left="360"/>
        <w:rPr>
          <w:rFonts w:ascii="Times New Roman" w:hAnsi="Times New Roman"/>
        </w:rPr>
      </w:pPr>
      <w:r w:rsidRPr="00E24321">
        <w:rPr>
          <w:rFonts w:ascii="Times New Roman" w:hAnsi="Times New Roman"/>
        </w:rPr>
        <w:t>There are no envisioned environmental or social risks associated with this operation. We expect a C classification.</w:t>
      </w:r>
    </w:p>
    <w:p w:rsidR="006A480A" w:rsidRPr="00E24321" w:rsidRDefault="006A480A" w:rsidP="00A806A3">
      <w:pPr>
        <w:pStyle w:val="ListParagraph"/>
        <w:ind w:left="360"/>
        <w:rPr>
          <w:rFonts w:ascii="Times New Roman" w:hAnsi="Times New Roman"/>
        </w:rPr>
      </w:pPr>
    </w:p>
    <w:p w:rsidR="006622EE" w:rsidRPr="00A84CB6" w:rsidRDefault="006622EE" w:rsidP="006622EE">
      <w:pPr>
        <w:ind w:left="5040"/>
        <w:rPr>
          <w:rFonts w:ascii="Times New Roman" w:hAnsi="Times New Roman"/>
          <w:lang w:val="pt-BR"/>
        </w:rPr>
      </w:pPr>
      <w:r w:rsidRPr="00A84CB6">
        <w:rPr>
          <w:rFonts w:ascii="Times New Roman" w:hAnsi="Times New Roman"/>
          <w:lang w:val="pt-BR"/>
        </w:rPr>
        <w:t xml:space="preserve">Vo.Bo. </w:t>
      </w:r>
      <w:bookmarkStart w:id="0" w:name="_GoBack"/>
      <w:bookmarkEnd w:id="0"/>
      <w:r w:rsidRPr="00A84CB6">
        <w:rPr>
          <w:rFonts w:ascii="Times New Roman" w:hAnsi="Times New Roman"/>
          <w:lang w:val="pt-BR"/>
        </w:rPr>
        <w:t>_________________________________</w:t>
      </w:r>
      <w:r w:rsidRPr="00A84CB6">
        <w:rPr>
          <w:rFonts w:ascii="Times New Roman" w:hAnsi="Times New Roman"/>
          <w:lang w:val="pt-BR"/>
        </w:rPr>
        <w:tab/>
      </w:r>
      <w:r w:rsidRPr="00A84CB6">
        <w:rPr>
          <w:rFonts w:ascii="Times New Roman" w:hAnsi="Times New Roman"/>
          <w:lang w:val="pt-BR"/>
        </w:rPr>
        <w:tab/>
      </w:r>
      <w:r w:rsidRPr="00A84CB6">
        <w:rPr>
          <w:rFonts w:ascii="Times New Roman" w:hAnsi="Times New Roman"/>
          <w:lang w:val="pt-BR"/>
        </w:rPr>
        <w:tab/>
        <w:t>Leandro Alves, INE/ENE</w:t>
      </w:r>
    </w:p>
    <w:sectPr w:rsidR="006622EE" w:rsidRPr="00A84CB6" w:rsidSect="00CD109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27" w:rsidRDefault="00A05827" w:rsidP="0095711B">
      <w:r>
        <w:separator/>
      </w:r>
    </w:p>
  </w:endnote>
  <w:endnote w:type="continuationSeparator" w:id="0">
    <w:p w:rsidR="00A05827" w:rsidRDefault="00A05827" w:rsidP="0095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FA" w:rsidRDefault="006F1898">
    <w:pPr>
      <w:pStyle w:val="Pied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4CB6">
      <w:rPr>
        <w:noProof/>
      </w:rPr>
      <w:t>1</w:t>
    </w:r>
    <w:r>
      <w:rPr>
        <w:noProof/>
      </w:rPr>
      <w:fldChar w:fldCharType="end"/>
    </w:r>
  </w:p>
  <w:p w:rsidR="003623FA" w:rsidRDefault="003623FA">
    <w:pPr>
      <w:pStyle w:val="Pied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27" w:rsidRDefault="00A05827" w:rsidP="0095711B">
      <w:r>
        <w:separator/>
      </w:r>
    </w:p>
  </w:footnote>
  <w:footnote w:type="continuationSeparator" w:id="0">
    <w:p w:rsidR="00A05827" w:rsidRDefault="00A05827" w:rsidP="0095711B">
      <w:r>
        <w:continuationSeparator/>
      </w:r>
    </w:p>
  </w:footnote>
  <w:footnote w:id="1">
    <w:p w:rsidR="003623FA" w:rsidRPr="00846401" w:rsidRDefault="003623FA" w:rsidP="00A806A3">
      <w:pPr>
        <w:pStyle w:val="Textonotapi"/>
        <w:rPr>
          <w:rFonts w:ascii="Times New Roman" w:hAnsi="Times New Roman"/>
        </w:rPr>
      </w:pPr>
      <w:r w:rsidRPr="00846401">
        <w:rPr>
          <w:rStyle w:val="Refdenotaalpi"/>
          <w:rFonts w:ascii="Times New Roman" w:hAnsi="Times New Roman"/>
        </w:rPr>
        <w:footnoteRef/>
      </w:r>
      <w:r w:rsidRPr="00846401">
        <w:rPr>
          <w:rFonts w:ascii="Times New Roman" w:hAnsi="Times New Roman"/>
        </w:rPr>
        <w:t xml:space="preserve"> A copy of the Letter of Request, </w:t>
      </w:r>
      <w:r w:rsidR="00846401">
        <w:rPr>
          <w:rFonts w:ascii="Times New Roman" w:hAnsi="Times New Roman"/>
        </w:rPr>
        <w:t>Project</w:t>
      </w:r>
      <w:r w:rsidRPr="00846401">
        <w:rPr>
          <w:rFonts w:ascii="Times New Roman" w:hAnsi="Times New Roman"/>
        </w:rPr>
        <w:t>ming/Portfolio Review Mission Aide Memoire or Report requesting the TC should be submitted with the Abstract.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378"/>
    <w:multiLevelType w:val="hybridMultilevel"/>
    <w:tmpl w:val="1F347976"/>
    <w:lvl w:ilvl="0" w:tplc="A9EAE3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42836"/>
    <w:multiLevelType w:val="hybridMultilevel"/>
    <w:tmpl w:val="890E69C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54963"/>
    <w:multiLevelType w:val="hybridMultilevel"/>
    <w:tmpl w:val="95EAD726"/>
    <w:lvl w:ilvl="0" w:tplc="AC6C38CE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292E025C"/>
    <w:multiLevelType w:val="hybridMultilevel"/>
    <w:tmpl w:val="B2248766"/>
    <w:lvl w:ilvl="0" w:tplc="C700CC4A">
      <w:numFmt w:val="bullet"/>
      <w:lvlText w:val=""/>
      <w:lvlJc w:val="left"/>
      <w:pPr>
        <w:ind w:left="7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CBD0B9B"/>
    <w:multiLevelType w:val="hybridMultilevel"/>
    <w:tmpl w:val="D518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33926"/>
    <w:multiLevelType w:val="hybridMultilevel"/>
    <w:tmpl w:val="284422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914E2"/>
    <w:multiLevelType w:val="hybridMultilevel"/>
    <w:tmpl w:val="7B4CB44C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10A8F"/>
    <w:multiLevelType w:val="hybridMultilevel"/>
    <w:tmpl w:val="92400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B180A"/>
    <w:multiLevelType w:val="hybridMultilevel"/>
    <w:tmpl w:val="CAD2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83EB3"/>
    <w:multiLevelType w:val="hybridMultilevel"/>
    <w:tmpl w:val="59BC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A0C54"/>
    <w:multiLevelType w:val="hybridMultilevel"/>
    <w:tmpl w:val="51C66FA6"/>
    <w:lvl w:ilvl="0" w:tplc="61C4F208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A472B"/>
    <w:multiLevelType w:val="hybridMultilevel"/>
    <w:tmpl w:val="A596F61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5C51C3"/>
    <w:multiLevelType w:val="hybridMultilevel"/>
    <w:tmpl w:val="7C0C5914"/>
    <w:lvl w:ilvl="0" w:tplc="E2FC7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1B"/>
    <w:rsid w:val="00003B79"/>
    <w:rsid w:val="00022ABE"/>
    <w:rsid w:val="00023459"/>
    <w:rsid w:val="000269F9"/>
    <w:rsid w:val="0005711C"/>
    <w:rsid w:val="000645FD"/>
    <w:rsid w:val="000725A9"/>
    <w:rsid w:val="00086CFF"/>
    <w:rsid w:val="000D3E55"/>
    <w:rsid w:val="000F0A3C"/>
    <w:rsid w:val="000F39D2"/>
    <w:rsid w:val="000F7906"/>
    <w:rsid w:val="00102DAE"/>
    <w:rsid w:val="00124040"/>
    <w:rsid w:val="001316E2"/>
    <w:rsid w:val="00131916"/>
    <w:rsid w:val="00131A1C"/>
    <w:rsid w:val="00137E0A"/>
    <w:rsid w:val="0017216B"/>
    <w:rsid w:val="001915BE"/>
    <w:rsid w:val="001B76FC"/>
    <w:rsid w:val="001C18FD"/>
    <w:rsid w:val="001D374B"/>
    <w:rsid w:val="001F7044"/>
    <w:rsid w:val="001F7559"/>
    <w:rsid w:val="00210317"/>
    <w:rsid w:val="00225B5A"/>
    <w:rsid w:val="00236249"/>
    <w:rsid w:val="00244A9D"/>
    <w:rsid w:val="002469A1"/>
    <w:rsid w:val="002542B6"/>
    <w:rsid w:val="00264F06"/>
    <w:rsid w:val="0028127C"/>
    <w:rsid w:val="002B03A1"/>
    <w:rsid w:val="0031017D"/>
    <w:rsid w:val="0031234F"/>
    <w:rsid w:val="00324E4F"/>
    <w:rsid w:val="00331C98"/>
    <w:rsid w:val="00335B4C"/>
    <w:rsid w:val="00340BC1"/>
    <w:rsid w:val="00341B03"/>
    <w:rsid w:val="00346E79"/>
    <w:rsid w:val="003622D9"/>
    <w:rsid w:val="003623FA"/>
    <w:rsid w:val="0037186A"/>
    <w:rsid w:val="003A7A94"/>
    <w:rsid w:val="003B38BB"/>
    <w:rsid w:val="003D2892"/>
    <w:rsid w:val="003D609D"/>
    <w:rsid w:val="003E62BC"/>
    <w:rsid w:val="00413CE2"/>
    <w:rsid w:val="00416432"/>
    <w:rsid w:val="004311D4"/>
    <w:rsid w:val="00441F5A"/>
    <w:rsid w:val="00445B28"/>
    <w:rsid w:val="00453B1E"/>
    <w:rsid w:val="004576F4"/>
    <w:rsid w:val="00463C58"/>
    <w:rsid w:val="00470C28"/>
    <w:rsid w:val="00480CD1"/>
    <w:rsid w:val="00482240"/>
    <w:rsid w:val="004F386F"/>
    <w:rsid w:val="0050104A"/>
    <w:rsid w:val="00520F58"/>
    <w:rsid w:val="00531E51"/>
    <w:rsid w:val="005364CE"/>
    <w:rsid w:val="0058137A"/>
    <w:rsid w:val="00596B35"/>
    <w:rsid w:val="005A1056"/>
    <w:rsid w:val="005A3A6C"/>
    <w:rsid w:val="00620951"/>
    <w:rsid w:val="00641ED4"/>
    <w:rsid w:val="006439A3"/>
    <w:rsid w:val="006622EE"/>
    <w:rsid w:val="00675E7A"/>
    <w:rsid w:val="00682716"/>
    <w:rsid w:val="006A480A"/>
    <w:rsid w:val="006B3AC1"/>
    <w:rsid w:val="006B5F56"/>
    <w:rsid w:val="006C3754"/>
    <w:rsid w:val="006F1898"/>
    <w:rsid w:val="00702A56"/>
    <w:rsid w:val="00746260"/>
    <w:rsid w:val="00790AD6"/>
    <w:rsid w:val="007A59B6"/>
    <w:rsid w:val="007B6B61"/>
    <w:rsid w:val="007C3076"/>
    <w:rsid w:val="007C5DCD"/>
    <w:rsid w:val="007E02C3"/>
    <w:rsid w:val="00801D9C"/>
    <w:rsid w:val="008052A0"/>
    <w:rsid w:val="00807C07"/>
    <w:rsid w:val="00815C93"/>
    <w:rsid w:val="00833334"/>
    <w:rsid w:val="00846401"/>
    <w:rsid w:val="00861ED8"/>
    <w:rsid w:val="00865408"/>
    <w:rsid w:val="00865A6F"/>
    <w:rsid w:val="00867973"/>
    <w:rsid w:val="008813B9"/>
    <w:rsid w:val="008902BA"/>
    <w:rsid w:val="00895939"/>
    <w:rsid w:val="008C2225"/>
    <w:rsid w:val="008F12B3"/>
    <w:rsid w:val="00922343"/>
    <w:rsid w:val="00933A84"/>
    <w:rsid w:val="0095122E"/>
    <w:rsid w:val="0095711B"/>
    <w:rsid w:val="009638DD"/>
    <w:rsid w:val="00967F24"/>
    <w:rsid w:val="00981CF6"/>
    <w:rsid w:val="00982B18"/>
    <w:rsid w:val="009940F8"/>
    <w:rsid w:val="009A02DA"/>
    <w:rsid w:val="009C1CED"/>
    <w:rsid w:val="009E64EB"/>
    <w:rsid w:val="009F3492"/>
    <w:rsid w:val="00A05827"/>
    <w:rsid w:val="00A10CD5"/>
    <w:rsid w:val="00A12C27"/>
    <w:rsid w:val="00A13EE1"/>
    <w:rsid w:val="00A20379"/>
    <w:rsid w:val="00A2474F"/>
    <w:rsid w:val="00A32998"/>
    <w:rsid w:val="00A368DF"/>
    <w:rsid w:val="00A37C9C"/>
    <w:rsid w:val="00A479F0"/>
    <w:rsid w:val="00A56E71"/>
    <w:rsid w:val="00A57185"/>
    <w:rsid w:val="00A75757"/>
    <w:rsid w:val="00A806A3"/>
    <w:rsid w:val="00A84CB6"/>
    <w:rsid w:val="00A876E7"/>
    <w:rsid w:val="00AC42F5"/>
    <w:rsid w:val="00AD3653"/>
    <w:rsid w:val="00AF2F55"/>
    <w:rsid w:val="00AF7721"/>
    <w:rsid w:val="00B13125"/>
    <w:rsid w:val="00B307EC"/>
    <w:rsid w:val="00B347ED"/>
    <w:rsid w:val="00B349FD"/>
    <w:rsid w:val="00B43336"/>
    <w:rsid w:val="00B969DD"/>
    <w:rsid w:val="00BA5212"/>
    <w:rsid w:val="00BB2778"/>
    <w:rsid w:val="00BB612A"/>
    <w:rsid w:val="00BC6182"/>
    <w:rsid w:val="00BE3E05"/>
    <w:rsid w:val="00C07CBA"/>
    <w:rsid w:val="00C15016"/>
    <w:rsid w:val="00C40255"/>
    <w:rsid w:val="00C43E24"/>
    <w:rsid w:val="00C457AE"/>
    <w:rsid w:val="00C50782"/>
    <w:rsid w:val="00C5730B"/>
    <w:rsid w:val="00C60388"/>
    <w:rsid w:val="00C6195F"/>
    <w:rsid w:val="00C7177B"/>
    <w:rsid w:val="00C854FE"/>
    <w:rsid w:val="00CA272D"/>
    <w:rsid w:val="00CC5B3C"/>
    <w:rsid w:val="00CD109E"/>
    <w:rsid w:val="00CD3211"/>
    <w:rsid w:val="00CD7841"/>
    <w:rsid w:val="00D07017"/>
    <w:rsid w:val="00D2491C"/>
    <w:rsid w:val="00D327DC"/>
    <w:rsid w:val="00D77E39"/>
    <w:rsid w:val="00D800CE"/>
    <w:rsid w:val="00D85FAC"/>
    <w:rsid w:val="00D95606"/>
    <w:rsid w:val="00DC08A9"/>
    <w:rsid w:val="00DC1E68"/>
    <w:rsid w:val="00DF475D"/>
    <w:rsid w:val="00E04A7C"/>
    <w:rsid w:val="00E17D13"/>
    <w:rsid w:val="00E24321"/>
    <w:rsid w:val="00E44DC0"/>
    <w:rsid w:val="00E5259A"/>
    <w:rsid w:val="00E65098"/>
    <w:rsid w:val="00E6675A"/>
    <w:rsid w:val="00E7072A"/>
    <w:rsid w:val="00E71A69"/>
    <w:rsid w:val="00E8027C"/>
    <w:rsid w:val="00EA3919"/>
    <w:rsid w:val="00EB435F"/>
    <w:rsid w:val="00EC5BE5"/>
    <w:rsid w:val="00ED3AA9"/>
    <w:rsid w:val="00ED70D1"/>
    <w:rsid w:val="00EE259A"/>
    <w:rsid w:val="00EF41CE"/>
    <w:rsid w:val="00F41DD5"/>
    <w:rsid w:val="00F455F8"/>
    <w:rsid w:val="00F532A4"/>
    <w:rsid w:val="00F63259"/>
    <w:rsid w:val="00F6363D"/>
    <w:rsid w:val="00F84541"/>
    <w:rsid w:val="00FE1499"/>
    <w:rsid w:val="00FE404D"/>
    <w:rsid w:val="00FE45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F5"/>
    <w:pPr>
      <w:jc w:val="both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42F5"/>
    <w:pPr>
      <w:keepNext/>
      <w:keepLines/>
      <w:numPr>
        <w:numId w:val="9"/>
      </w:numPr>
      <w:ind w:left="36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40F8"/>
    <w:pPr>
      <w:keepNext/>
      <w:keepLines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Fuentedeprrafopred"/>
    <w:link w:val="Heading1"/>
    <w:uiPriority w:val="99"/>
    <w:rsid w:val="00AC42F5"/>
    <w:rPr>
      <w:rFonts w:eastAsia="Times New Roman" w:cs="Times New Roman"/>
      <w:b/>
      <w:bCs/>
      <w:sz w:val="28"/>
    </w:rPr>
  </w:style>
  <w:style w:type="character" w:customStyle="1" w:styleId="Heading2Char">
    <w:name w:val="Heading 2 Char"/>
    <w:basedOn w:val="Fuentedeprrafopred"/>
    <w:link w:val="Heading2"/>
    <w:uiPriority w:val="99"/>
    <w:rsid w:val="009940F8"/>
    <w:rPr>
      <w:rFonts w:eastAsia="Times New Roman" w:cs="Times New Roman"/>
      <w:b/>
      <w:bCs/>
      <w:sz w:val="26"/>
    </w:rPr>
  </w:style>
  <w:style w:type="character" w:customStyle="1" w:styleId="Fuentedeprrafopred">
    <w:name w:val="Fuente de p‡rrafo pred"/>
    <w:uiPriority w:val="99"/>
    <w:semiHidden/>
  </w:style>
  <w:style w:type="paragraph" w:styleId="ListParagraph">
    <w:name w:val="List Paragraph"/>
    <w:basedOn w:val="Normal"/>
    <w:uiPriority w:val="99"/>
    <w:qFormat/>
    <w:rsid w:val="0095711B"/>
    <w:pPr>
      <w:ind w:left="720"/>
      <w:contextualSpacing/>
    </w:pPr>
  </w:style>
  <w:style w:type="paragraph" w:customStyle="1" w:styleId="Encabe">
    <w:name w:val="Encabe"/>
    <w:basedOn w:val="Normal"/>
    <w:uiPriority w:val="99"/>
    <w:semiHidden/>
    <w:rsid w:val="00957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Fuentedeprrafopred"/>
    <w:uiPriority w:val="99"/>
    <w:semiHidden/>
    <w:rsid w:val="0095711B"/>
    <w:rPr>
      <w:rFonts w:cs="Times New Roman"/>
    </w:rPr>
  </w:style>
  <w:style w:type="paragraph" w:customStyle="1" w:styleId="Piede">
    <w:name w:val="Pie de"/>
    <w:basedOn w:val="Normal"/>
    <w:uiPriority w:val="99"/>
    <w:rsid w:val="00957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Fuentedeprrafopred"/>
    <w:uiPriority w:val="99"/>
    <w:rsid w:val="0095711B"/>
    <w:rPr>
      <w:rFonts w:cs="Times New Roman"/>
    </w:rPr>
  </w:style>
  <w:style w:type="paragraph" w:customStyle="1" w:styleId="Textodeglo">
    <w:name w:val="Texto de glo"/>
    <w:basedOn w:val="Normal"/>
    <w:uiPriority w:val="99"/>
    <w:semiHidden/>
    <w:rsid w:val="00A1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"/>
    <w:uiPriority w:val="99"/>
    <w:semiHidden/>
    <w:rsid w:val="00A10CD5"/>
    <w:rPr>
      <w:rFonts w:ascii="Tahoma" w:hAnsi="Tahoma" w:cs="Tahoma"/>
      <w:sz w:val="16"/>
    </w:rPr>
  </w:style>
  <w:style w:type="character" w:styleId="CommentReference">
    <w:name w:val="annotation reference"/>
    <w:basedOn w:val="Fuentedeprrafopred"/>
    <w:uiPriority w:val="99"/>
    <w:semiHidden/>
    <w:rsid w:val="00A13EE1"/>
    <w:rPr>
      <w:rFonts w:cs="Times New Roman"/>
      <w:sz w:val="16"/>
    </w:rPr>
  </w:style>
  <w:style w:type="paragraph" w:customStyle="1" w:styleId="Textocomentari">
    <w:name w:val="Texto comentari"/>
    <w:basedOn w:val="Normal"/>
    <w:uiPriority w:val="99"/>
    <w:semiHidden/>
    <w:rsid w:val="00A13EE1"/>
    <w:rPr>
      <w:sz w:val="20"/>
      <w:szCs w:val="20"/>
    </w:rPr>
  </w:style>
  <w:style w:type="character" w:customStyle="1" w:styleId="CommentTextChar">
    <w:name w:val="Comment Text Char"/>
    <w:basedOn w:val="Fuentedeprrafopred"/>
    <w:uiPriority w:val="99"/>
    <w:semiHidden/>
    <w:rsid w:val="00A13EE1"/>
    <w:rPr>
      <w:rFonts w:cs="Times New Roman"/>
      <w:sz w:val="20"/>
    </w:rPr>
  </w:style>
  <w:style w:type="paragraph" w:customStyle="1" w:styleId="Asuntodelcomenta">
    <w:name w:val="Asunto del comenta"/>
    <w:basedOn w:val="Textocomentari"/>
    <w:next w:val="Textocomentari"/>
    <w:uiPriority w:val="99"/>
    <w:semiHidden/>
    <w:rsid w:val="00A13EE1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A13EE1"/>
    <w:rPr>
      <w:rFonts w:cs="Times New Roman"/>
      <w:b/>
      <w:bCs/>
      <w:sz w:val="20"/>
    </w:rPr>
  </w:style>
  <w:style w:type="paragraph" w:styleId="Revision">
    <w:name w:val="Revision"/>
    <w:hidden/>
    <w:uiPriority w:val="99"/>
    <w:semiHidden/>
    <w:rsid w:val="00A13EE1"/>
    <w:rPr>
      <w:sz w:val="22"/>
      <w:szCs w:val="22"/>
      <w:lang w:val="en-US"/>
    </w:rPr>
  </w:style>
  <w:style w:type="table" w:customStyle="1" w:styleId="Tablacon">
    <w:name w:val="Tabla con"/>
    <w:uiPriority w:val="99"/>
    <w:rsid w:val="00682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notaa">
    <w:name w:val="Texto nota a"/>
    <w:basedOn w:val="Normal"/>
    <w:uiPriority w:val="99"/>
    <w:semiHidden/>
    <w:rsid w:val="00F41DD5"/>
    <w:rPr>
      <w:sz w:val="20"/>
      <w:szCs w:val="20"/>
    </w:rPr>
  </w:style>
  <w:style w:type="character" w:customStyle="1" w:styleId="EndnoteTextChar">
    <w:name w:val="Endnote Text Char"/>
    <w:basedOn w:val="Fuentedeprrafopred"/>
    <w:uiPriority w:val="99"/>
    <w:semiHidden/>
    <w:rsid w:val="00F41DD5"/>
    <w:rPr>
      <w:rFonts w:cs="Times New Roman"/>
      <w:sz w:val="20"/>
    </w:rPr>
  </w:style>
  <w:style w:type="character" w:customStyle="1" w:styleId="Refdenotaalf">
    <w:name w:val="Ref. de nota al f"/>
    <w:basedOn w:val="Fuentedeprrafopred"/>
    <w:uiPriority w:val="99"/>
    <w:semiHidden/>
    <w:rsid w:val="00F41DD5"/>
    <w:rPr>
      <w:rFonts w:cs="Times New Roman"/>
      <w:vertAlign w:val="superscript"/>
    </w:rPr>
  </w:style>
  <w:style w:type="paragraph" w:customStyle="1" w:styleId="Textonotapi">
    <w:name w:val="Texto nota pi"/>
    <w:basedOn w:val="Normal"/>
    <w:uiPriority w:val="99"/>
    <w:semiHidden/>
    <w:rsid w:val="00C854FE"/>
    <w:rPr>
      <w:sz w:val="20"/>
      <w:szCs w:val="20"/>
    </w:rPr>
  </w:style>
  <w:style w:type="character" w:customStyle="1" w:styleId="FootnoteTextChar">
    <w:name w:val="Footnote Text Char"/>
    <w:basedOn w:val="Fuentedeprrafopred"/>
    <w:uiPriority w:val="99"/>
    <w:semiHidden/>
    <w:rsid w:val="00C854FE"/>
    <w:rPr>
      <w:rFonts w:cs="Times New Roman"/>
      <w:sz w:val="20"/>
    </w:rPr>
  </w:style>
  <w:style w:type="character" w:customStyle="1" w:styleId="Refdenotaalpi">
    <w:name w:val="Ref. de nota al pi"/>
    <w:basedOn w:val="Fuentedeprrafopred"/>
    <w:uiPriority w:val="99"/>
    <w:semiHidden/>
    <w:rsid w:val="00C854FE"/>
    <w:rPr>
      <w:rFonts w:cs="Times New Roman"/>
      <w:vertAlign w:val="superscript"/>
    </w:rPr>
  </w:style>
  <w:style w:type="paragraph" w:customStyle="1" w:styleId="Default">
    <w:name w:val="Default"/>
    <w:uiPriority w:val="99"/>
    <w:rsid w:val="00E04A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1"/>
    <w:uiPriority w:val="99"/>
    <w:semiHidden/>
    <w:rsid w:val="00341B0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A40C1"/>
    <w:rPr>
      <w:rFonts w:ascii="Lucida Grande" w:hAnsi="Lucida Grande"/>
      <w:sz w:val="18"/>
      <w:szCs w:val="18"/>
      <w:lang w:val="en-US"/>
    </w:rPr>
  </w:style>
  <w:style w:type="paragraph" w:styleId="CommentText">
    <w:name w:val="annotation text"/>
    <w:basedOn w:val="Normal"/>
    <w:link w:val="CommentTextChar1"/>
    <w:uiPriority w:val="99"/>
    <w:semiHidden/>
    <w:rsid w:val="00341B03"/>
    <w:rPr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A40C1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341B03"/>
    <w:rPr>
      <w:sz w:val="22"/>
      <w:szCs w:val="22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4A40C1"/>
    <w:rPr>
      <w:b/>
      <w:bCs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439A3"/>
    <w:pPr>
      <w:jc w:val="left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39A3"/>
    <w:rPr>
      <w:rFonts w:eastAsiaTheme="minorHAnsi" w:cstheme="minorBidi"/>
      <w:sz w:val="22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E70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F5"/>
    <w:pPr>
      <w:jc w:val="both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42F5"/>
    <w:pPr>
      <w:keepNext/>
      <w:keepLines/>
      <w:numPr>
        <w:numId w:val="9"/>
      </w:numPr>
      <w:ind w:left="36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40F8"/>
    <w:pPr>
      <w:keepNext/>
      <w:keepLines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Fuentedeprrafopred"/>
    <w:link w:val="Heading1"/>
    <w:uiPriority w:val="99"/>
    <w:rsid w:val="00AC42F5"/>
    <w:rPr>
      <w:rFonts w:eastAsia="Times New Roman" w:cs="Times New Roman"/>
      <w:b/>
      <w:bCs/>
      <w:sz w:val="28"/>
    </w:rPr>
  </w:style>
  <w:style w:type="character" w:customStyle="1" w:styleId="Heading2Char">
    <w:name w:val="Heading 2 Char"/>
    <w:basedOn w:val="Fuentedeprrafopred"/>
    <w:link w:val="Heading2"/>
    <w:uiPriority w:val="99"/>
    <w:rsid w:val="009940F8"/>
    <w:rPr>
      <w:rFonts w:eastAsia="Times New Roman" w:cs="Times New Roman"/>
      <w:b/>
      <w:bCs/>
      <w:sz w:val="26"/>
    </w:rPr>
  </w:style>
  <w:style w:type="character" w:customStyle="1" w:styleId="Fuentedeprrafopred">
    <w:name w:val="Fuente de p‡rrafo pred"/>
    <w:uiPriority w:val="99"/>
    <w:semiHidden/>
  </w:style>
  <w:style w:type="paragraph" w:styleId="ListParagraph">
    <w:name w:val="List Paragraph"/>
    <w:basedOn w:val="Normal"/>
    <w:uiPriority w:val="99"/>
    <w:qFormat/>
    <w:rsid w:val="0095711B"/>
    <w:pPr>
      <w:ind w:left="720"/>
      <w:contextualSpacing/>
    </w:pPr>
  </w:style>
  <w:style w:type="paragraph" w:customStyle="1" w:styleId="Encabe">
    <w:name w:val="Encabe"/>
    <w:basedOn w:val="Normal"/>
    <w:uiPriority w:val="99"/>
    <w:semiHidden/>
    <w:rsid w:val="00957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Fuentedeprrafopred"/>
    <w:uiPriority w:val="99"/>
    <w:semiHidden/>
    <w:rsid w:val="0095711B"/>
    <w:rPr>
      <w:rFonts w:cs="Times New Roman"/>
    </w:rPr>
  </w:style>
  <w:style w:type="paragraph" w:customStyle="1" w:styleId="Piede">
    <w:name w:val="Pie de"/>
    <w:basedOn w:val="Normal"/>
    <w:uiPriority w:val="99"/>
    <w:rsid w:val="00957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Fuentedeprrafopred"/>
    <w:uiPriority w:val="99"/>
    <w:rsid w:val="0095711B"/>
    <w:rPr>
      <w:rFonts w:cs="Times New Roman"/>
    </w:rPr>
  </w:style>
  <w:style w:type="paragraph" w:customStyle="1" w:styleId="Textodeglo">
    <w:name w:val="Texto de glo"/>
    <w:basedOn w:val="Normal"/>
    <w:uiPriority w:val="99"/>
    <w:semiHidden/>
    <w:rsid w:val="00A1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"/>
    <w:uiPriority w:val="99"/>
    <w:semiHidden/>
    <w:rsid w:val="00A10CD5"/>
    <w:rPr>
      <w:rFonts w:ascii="Tahoma" w:hAnsi="Tahoma" w:cs="Tahoma"/>
      <w:sz w:val="16"/>
    </w:rPr>
  </w:style>
  <w:style w:type="character" w:styleId="CommentReference">
    <w:name w:val="annotation reference"/>
    <w:basedOn w:val="Fuentedeprrafopred"/>
    <w:uiPriority w:val="99"/>
    <w:semiHidden/>
    <w:rsid w:val="00A13EE1"/>
    <w:rPr>
      <w:rFonts w:cs="Times New Roman"/>
      <w:sz w:val="16"/>
    </w:rPr>
  </w:style>
  <w:style w:type="paragraph" w:customStyle="1" w:styleId="Textocomentari">
    <w:name w:val="Texto comentari"/>
    <w:basedOn w:val="Normal"/>
    <w:uiPriority w:val="99"/>
    <w:semiHidden/>
    <w:rsid w:val="00A13EE1"/>
    <w:rPr>
      <w:sz w:val="20"/>
      <w:szCs w:val="20"/>
    </w:rPr>
  </w:style>
  <w:style w:type="character" w:customStyle="1" w:styleId="CommentTextChar">
    <w:name w:val="Comment Text Char"/>
    <w:basedOn w:val="Fuentedeprrafopred"/>
    <w:uiPriority w:val="99"/>
    <w:semiHidden/>
    <w:rsid w:val="00A13EE1"/>
    <w:rPr>
      <w:rFonts w:cs="Times New Roman"/>
      <w:sz w:val="20"/>
    </w:rPr>
  </w:style>
  <w:style w:type="paragraph" w:customStyle="1" w:styleId="Asuntodelcomenta">
    <w:name w:val="Asunto del comenta"/>
    <w:basedOn w:val="Textocomentari"/>
    <w:next w:val="Textocomentari"/>
    <w:uiPriority w:val="99"/>
    <w:semiHidden/>
    <w:rsid w:val="00A13EE1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A13EE1"/>
    <w:rPr>
      <w:rFonts w:cs="Times New Roman"/>
      <w:b/>
      <w:bCs/>
      <w:sz w:val="20"/>
    </w:rPr>
  </w:style>
  <w:style w:type="paragraph" w:styleId="Revision">
    <w:name w:val="Revision"/>
    <w:hidden/>
    <w:uiPriority w:val="99"/>
    <w:semiHidden/>
    <w:rsid w:val="00A13EE1"/>
    <w:rPr>
      <w:sz w:val="22"/>
      <w:szCs w:val="22"/>
      <w:lang w:val="en-US"/>
    </w:rPr>
  </w:style>
  <w:style w:type="table" w:customStyle="1" w:styleId="Tablacon">
    <w:name w:val="Tabla con"/>
    <w:uiPriority w:val="99"/>
    <w:rsid w:val="00682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notaa">
    <w:name w:val="Texto nota a"/>
    <w:basedOn w:val="Normal"/>
    <w:uiPriority w:val="99"/>
    <w:semiHidden/>
    <w:rsid w:val="00F41DD5"/>
    <w:rPr>
      <w:sz w:val="20"/>
      <w:szCs w:val="20"/>
    </w:rPr>
  </w:style>
  <w:style w:type="character" w:customStyle="1" w:styleId="EndnoteTextChar">
    <w:name w:val="Endnote Text Char"/>
    <w:basedOn w:val="Fuentedeprrafopred"/>
    <w:uiPriority w:val="99"/>
    <w:semiHidden/>
    <w:rsid w:val="00F41DD5"/>
    <w:rPr>
      <w:rFonts w:cs="Times New Roman"/>
      <w:sz w:val="20"/>
    </w:rPr>
  </w:style>
  <w:style w:type="character" w:customStyle="1" w:styleId="Refdenotaalf">
    <w:name w:val="Ref. de nota al f"/>
    <w:basedOn w:val="Fuentedeprrafopred"/>
    <w:uiPriority w:val="99"/>
    <w:semiHidden/>
    <w:rsid w:val="00F41DD5"/>
    <w:rPr>
      <w:rFonts w:cs="Times New Roman"/>
      <w:vertAlign w:val="superscript"/>
    </w:rPr>
  </w:style>
  <w:style w:type="paragraph" w:customStyle="1" w:styleId="Textonotapi">
    <w:name w:val="Texto nota pi"/>
    <w:basedOn w:val="Normal"/>
    <w:uiPriority w:val="99"/>
    <w:semiHidden/>
    <w:rsid w:val="00C854FE"/>
    <w:rPr>
      <w:sz w:val="20"/>
      <w:szCs w:val="20"/>
    </w:rPr>
  </w:style>
  <w:style w:type="character" w:customStyle="1" w:styleId="FootnoteTextChar">
    <w:name w:val="Footnote Text Char"/>
    <w:basedOn w:val="Fuentedeprrafopred"/>
    <w:uiPriority w:val="99"/>
    <w:semiHidden/>
    <w:rsid w:val="00C854FE"/>
    <w:rPr>
      <w:rFonts w:cs="Times New Roman"/>
      <w:sz w:val="20"/>
    </w:rPr>
  </w:style>
  <w:style w:type="character" w:customStyle="1" w:styleId="Refdenotaalpi">
    <w:name w:val="Ref. de nota al pi"/>
    <w:basedOn w:val="Fuentedeprrafopred"/>
    <w:uiPriority w:val="99"/>
    <w:semiHidden/>
    <w:rsid w:val="00C854FE"/>
    <w:rPr>
      <w:rFonts w:cs="Times New Roman"/>
      <w:vertAlign w:val="superscript"/>
    </w:rPr>
  </w:style>
  <w:style w:type="paragraph" w:customStyle="1" w:styleId="Default">
    <w:name w:val="Default"/>
    <w:uiPriority w:val="99"/>
    <w:rsid w:val="00E04A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1"/>
    <w:uiPriority w:val="99"/>
    <w:semiHidden/>
    <w:rsid w:val="00341B0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A40C1"/>
    <w:rPr>
      <w:rFonts w:ascii="Lucida Grande" w:hAnsi="Lucida Grande"/>
      <w:sz w:val="18"/>
      <w:szCs w:val="18"/>
      <w:lang w:val="en-US"/>
    </w:rPr>
  </w:style>
  <w:style w:type="paragraph" w:styleId="CommentText">
    <w:name w:val="annotation text"/>
    <w:basedOn w:val="Normal"/>
    <w:link w:val="CommentTextChar1"/>
    <w:uiPriority w:val="99"/>
    <w:semiHidden/>
    <w:rsid w:val="00341B03"/>
    <w:rPr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A40C1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341B03"/>
    <w:rPr>
      <w:sz w:val="22"/>
      <w:szCs w:val="22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4A40C1"/>
    <w:rPr>
      <w:b/>
      <w:bCs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439A3"/>
    <w:pPr>
      <w:jc w:val="left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39A3"/>
    <w:rPr>
      <w:rFonts w:eastAsiaTheme="minorHAnsi" w:cstheme="minorBidi"/>
      <w:sz w:val="22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E70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0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37791208</IDBDocs_x0020_Number>
    <TaxCatchAll xmlns="9c571b2f-e523-4ab2-ba2e-09e151a03ef4">
      <Value>2</Value>
      <Value>3</Value>
    </TaxCatchAll>
    <Phase xmlns="9c571b2f-e523-4ab2-ba2e-09e151a03ef4" xsi:nil="true"/>
    <SISCOR_x0020_Number xmlns="9c571b2f-e523-4ab2-ba2e-09e151a03ef4" xsi:nil="true"/>
    <Division_x0020_or_x0020_Unit xmlns="9c571b2f-e523-4ab2-ba2e-09e151a03ef4">INE/ENE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Valle Porrua, Yolanda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2013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RG-T2257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WORD&lt;/APPLICATION&gt;&lt;USER_STAGE&gt;Technical Cooperation Profile&lt;/USER_STAGE&gt;&lt;PD_OBJ_TYPE&gt;0&lt;/PD_OBJ_TYPE&gt;&lt;MAKERECORD&gt;N&lt;/MAKERECORD&gt;&lt;/Data&gt;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English</Document_x0020_Language_x0020_IDB>
    <Identifier xmlns="9c571b2f-e523-4ab2-ba2e-09e151a03ef4"> </Identifier>
    <Disclosure_x0020_Activity xmlns="9c571b2f-e523-4ab2-ba2e-09e151a03ef4">Technical Cooperation Profile</Disclosure_x0020_Activity>
    <Webtopic xmlns="9c571b2f-e523-4ab2-ba2e-09e151a03ef4">EN-ELE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4FD83310516235499C631780CEBF87A7" ma:contentTypeVersion="0" ma:contentTypeDescription="A content type to manage public (operations) IDB documents" ma:contentTypeScope="" ma:versionID="b60bcc6485f916b493e0b738e96a467a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a472df5bebbbf6f21bee7075c0164153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7b9f53c-cd6a-4d49-961c-a9d04affd81a}" ma:internalName="TaxCatchAll" ma:showField="CatchAllData" ma:web="26692275-734b-4582-b58b-aeb48db65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7b9f53c-cd6a-4d49-961c-a9d04affd81a}" ma:internalName="TaxCatchAllLabel" ma:readOnly="true" ma:showField="CatchAllDataLabel" ma:web="26692275-734b-4582-b58b-aeb48db65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09CAA11-6FAC-4D9C-83CD-DF797AAA37D5}"/>
</file>

<file path=customXml/itemProps2.xml><?xml version="1.0" encoding="utf-8"?>
<ds:datastoreItem xmlns:ds="http://schemas.openxmlformats.org/officeDocument/2006/customXml" ds:itemID="{E0E0EF5A-85B3-4A4E-BE2B-A9DB8181E443}"/>
</file>

<file path=customXml/itemProps3.xml><?xml version="1.0" encoding="utf-8"?>
<ds:datastoreItem xmlns:ds="http://schemas.openxmlformats.org/officeDocument/2006/customXml" ds:itemID="{4C2E837C-1E8E-47CB-B66B-E33F4D41BEAD}"/>
</file>

<file path=customXml/itemProps4.xml><?xml version="1.0" encoding="utf-8"?>
<ds:datastoreItem xmlns:ds="http://schemas.openxmlformats.org/officeDocument/2006/customXml" ds:itemID="{C4BD5CC4-DAB2-48F1-ACE3-01628BCA1597}"/>
</file>

<file path=customXml/itemProps5.xml><?xml version="1.0" encoding="utf-8"?>
<ds:datastoreItem xmlns:ds="http://schemas.openxmlformats.org/officeDocument/2006/customXml" ds:itemID="{2DAFA85C-4F0A-46A9-8E80-00CA7330C4D8}"/>
</file>

<file path=customXml/itemProps6.xml><?xml version="1.0" encoding="utf-8"?>
<ds:datastoreItem xmlns:ds="http://schemas.openxmlformats.org/officeDocument/2006/customXml" ds:itemID="{D2E31EFC-91DF-496D-A601-CBAA77F431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 ABSTRACT</vt:lpstr>
    </vt:vector>
  </TitlesOfParts>
  <Company>Inter-American Development Bank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RG-T2257 - TC Abstract (for publication)</dc:title>
  <dc:creator>Yolanda Strachan</dc:creator>
  <cp:lastModifiedBy>IADB</cp:lastModifiedBy>
  <cp:revision>2</cp:revision>
  <cp:lastPrinted>2012-11-26T13:30:00Z</cp:lastPrinted>
  <dcterms:created xsi:type="dcterms:W3CDTF">2013-05-24T15:37:00Z</dcterms:created>
  <dcterms:modified xsi:type="dcterms:W3CDTF">2013-05-24T15:37:00Z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0x01010046CF21643EE8D14686A648AA6DAD0892004FD83310516235499C631780CEBF87A7</vt:lpwstr>
  </property>
  <property fmtid="{D5CDD505-2E9C-101B-9397-08002B2CF9AE}" pid="3" name="TaxKeyword">
    <vt:lpwstr/>
  </property>
  <property fmtid="{D5CDD505-2E9C-101B-9397-08002B2CF9AE}" pid="4" name="Function Operations IDB">
    <vt:lpwstr>3;#IDBDocs|cca77002-e150-4b2d-ab1f-1d7a7cdcae16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2;#Unclassified|a6dff32e-d477-44cd-a56b-85efe9e0a56c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2;#Unclassified|a6dff32e-d477-44cd-a56b-85efe9e0a56c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