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D87D8" w14:textId="77777777" w:rsidR="00B84211" w:rsidRPr="00F30F48" w:rsidRDefault="00CF5271" w:rsidP="0068443A">
      <w:pPr>
        <w:pStyle w:val="Title"/>
        <w:tabs>
          <w:tab w:val="clear" w:pos="1440"/>
          <w:tab w:val="clear" w:pos="3060"/>
        </w:tabs>
        <w:outlineLvl w:val="9"/>
        <w:rPr>
          <w:rFonts w:ascii="Arial" w:hAnsi="Arial" w:cs="Arial"/>
          <w:smallCaps/>
          <w:szCs w:val="24"/>
          <w:lang w:val="es-ES"/>
        </w:rPr>
      </w:pPr>
      <w:r w:rsidRPr="00F30F48">
        <w:rPr>
          <w:rFonts w:ascii="Arial" w:hAnsi="Arial" w:cs="Arial"/>
          <w:smallCaps/>
          <w:szCs w:val="24"/>
          <w:lang w:val="es-ES"/>
        </w:rPr>
        <w:t>Document</w:t>
      </w:r>
      <w:r w:rsidR="007A1860" w:rsidRPr="00F30F48">
        <w:rPr>
          <w:rFonts w:ascii="Arial" w:hAnsi="Arial" w:cs="Arial"/>
          <w:smallCaps/>
          <w:szCs w:val="24"/>
          <w:lang w:val="es-ES"/>
        </w:rPr>
        <w:t>o del Banco Interameric</w:t>
      </w:r>
      <w:r w:rsidR="0002382F" w:rsidRPr="00F30F48">
        <w:rPr>
          <w:rFonts w:ascii="Arial" w:hAnsi="Arial" w:cs="Arial"/>
          <w:smallCaps/>
          <w:szCs w:val="24"/>
          <w:lang w:val="es-ES"/>
        </w:rPr>
        <w:t>a</w:t>
      </w:r>
      <w:r w:rsidR="007D03A1" w:rsidRPr="00F30F48">
        <w:rPr>
          <w:rFonts w:ascii="Arial" w:hAnsi="Arial" w:cs="Arial"/>
          <w:smallCaps/>
          <w:szCs w:val="24"/>
          <w:lang w:val="es-ES"/>
        </w:rPr>
        <w:t>n</w:t>
      </w:r>
      <w:r w:rsidR="0002382F" w:rsidRPr="00F30F48">
        <w:rPr>
          <w:rFonts w:ascii="Arial" w:hAnsi="Arial" w:cs="Arial"/>
          <w:smallCaps/>
          <w:szCs w:val="24"/>
          <w:lang w:val="es-ES"/>
        </w:rPr>
        <w:t>o</w:t>
      </w:r>
      <w:r w:rsidR="007A1860" w:rsidRPr="00F30F48">
        <w:rPr>
          <w:rFonts w:ascii="Arial" w:hAnsi="Arial" w:cs="Arial"/>
          <w:smallCaps/>
          <w:szCs w:val="24"/>
          <w:lang w:val="es-ES"/>
        </w:rPr>
        <w:t xml:space="preserve"> de Desarrollo</w:t>
      </w:r>
    </w:p>
    <w:p w14:paraId="7C7158BC" w14:textId="77777777" w:rsidR="00B84211" w:rsidRPr="00F30F48" w:rsidRDefault="00B84211" w:rsidP="0068443A">
      <w:pPr>
        <w:pStyle w:val="MediumGrid1-Accent21"/>
        <w:spacing w:before="120" w:after="0" w:line="360" w:lineRule="auto"/>
        <w:ind w:left="0"/>
        <w:jc w:val="center"/>
        <w:rPr>
          <w:rFonts w:ascii="Arial" w:hAnsi="Arial" w:cs="Arial"/>
          <w:b/>
          <w:sz w:val="24"/>
          <w:szCs w:val="24"/>
          <w:lang w:val="es-ES"/>
        </w:rPr>
      </w:pPr>
    </w:p>
    <w:p w14:paraId="23661A76" w14:textId="77777777" w:rsidR="00B84211" w:rsidRPr="00F30F48" w:rsidRDefault="00B84211" w:rsidP="0068443A">
      <w:pPr>
        <w:tabs>
          <w:tab w:val="left" w:pos="1440"/>
          <w:tab w:val="left" w:pos="3060"/>
        </w:tabs>
        <w:jc w:val="center"/>
        <w:rPr>
          <w:rFonts w:ascii="Arial" w:hAnsi="Arial" w:cs="Arial"/>
          <w:b/>
          <w:smallCaps/>
          <w:sz w:val="24"/>
          <w:szCs w:val="24"/>
          <w:lang w:val="es-ES"/>
        </w:rPr>
      </w:pPr>
    </w:p>
    <w:p w14:paraId="1F11E594" w14:textId="77777777" w:rsidR="00B84211" w:rsidRPr="00F30F48" w:rsidRDefault="00B84211" w:rsidP="0068443A">
      <w:pPr>
        <w:tabs>
          <w:tab w:val="left" w:pos="1440"/>
          <w:tab w:val="left" w:pos="3060"/>
        </w:tabs>
        <w:jc w:val="center"/>
        <w:rPr>
          <w:rFonts w:ascii="Arial" w:hAnsi="Arial" w:cs="Arial"/>
          <w:b/>
          <w:smallCaps/>
          <w:sz w:val="24"/>
          <w:szCs w:val="24"/>
          <w:lang w:val="es-ES"/>
        </w:rPr>
      </w:pPr>
    </w:p>
    <w:p w14:paraId="0CA127E6" w14:textId="60DC1666" w:rsidR="00B84211" w:rsidRPr="00F30F48" w:rsidRDefault="009419B9" w:rsidP="0068443A">
      <w:pPr>
        <w:tabs>
          <w:tab w:val="left" w:pos="1440"/>
          <w:tab w:val="left" w:pos="3060"/>
        </w:tabs>
        <w:jc w:val="center"/>
        <w:rPr>
          <w:rFonts w:ascii="Arial" w:hAnsi="Arial" w:cs="Arial"/>
          <w:b/>
          <w:smallCaps/>
          <w:sz w:val="24"/>
          <w:szCs w:val="24"/>
          <w:lang w:val="es-ES"/>
        </w:rPr>
      </w:pPr>
      <w:r w:rsidRPr="00F30F48">
        <w:rPr>
          <w:rFonts w:ascii="Arial" w:hAnsi="Arial" w:cs="Arial"/>
          <w:b/>
          <w:smallCaps/>
          <w:sz w:val="24"/>
          <w:szCs w:val="24"/>
          <w:lang w:val="es-ES"/>
        </w:rPr>
        <w:t>Colombia</w:t>
      </w:r>
    </w:p>
    <w:p w14:paraId="1D8460D3" w14:textId="77777777" w:rsidR="00B84211" w:rsidRPr="00F30F48" w:rsidRDefault="00B84211" w:rsidP="0068443A">
      <w:pPr>
        <w:tabs>
          <w:tab w:val="left" w:pos="1440"/>
          <w:tab w:val="left" w:pos="3060"/>
        </w:tabs>
        <w:jc w:val="center"/>
        <w:rPr>
          <w:rFonts w:ascii="Arial" w:hAnsi="Arial" w:cs="Arial"/>
          <w:b/>
          <w:smallCaps/>
          <w:sz w:val="24"/>
          <w:szCs w:val="24"/>
          <w:lang w:val="es-ES"/>
        </w:rPr>
      </w:pPr>
    </w:p>
    <w:p w14:paraId="7A832FF4" w14:textId="77777777" w:rsidR="00B84211" w:rsidRPr="00F30F48" w:rsidRDefault="00B84211" w:rsidP="0068443A">
      <w:pPr>
        <w:tabs>
          <w:tab w:val="left" w:pos="1440"/>
          <w:tab w:val="left" w:pos="3060"/>
        </w:tabs>
        <w:jc w:val="center"/>
        <w:rPr>
          <w:rFonts w:ascii="Arial" w:hAnsi="Arial" w:cs="Arial"/>
          <w:b/>
          <w:smallCaps/>
          <w:sz w:val="24"/>
          <w:szCs w:val="24"/>
          <w:lang w:val="es-ES"/>
        </w:rPr>
      </w:pPr>
    </w:p>
    <w:p w14:paraId="15D3916A" w14:textId="0EBD0715" w:rsidR="009419B9" w:rsidRPr="00F30F48" w:rsidRDefault="00C05C1D" w:rsidP="0068443A">
      <w:pPr>
        <w:pStyle w:val="Newpage"/>
        <w:rPr>
          <w:rFonts w:ascii="Arial" w:hAnsi="Arial"/>
          <w:bCs/>
          <w:szCs w:val="24"/>
          <w:lang w:val="es-ES_tradnl"/>
        </w:rPr>
      </w:pPr>
      <w:bookmarkStart w:id="0" w:name="Book01"/>
      <w:bookmarkStart w:id="1" w:name="_Hlk3311392"/>
      <w:r>
        <w:rPr>
          <w:rFonts w:ascii="Arial" w:hAnsi="Arial"/>
          <w:bCs/>
          <w:szCs w:val="24"/>
          <w:lang w:val="es-ES_tradnl"/>
        </w:rPr>
        <w:t xml:space="preserve">Programa de </w:t>
      </w:r>
      <w:r w:rsidR="00D04BBD" w:rsidRPr="00F30F48">
        <w:rPr>
          <w:rFonts w:ascii="Arial" w:hAnsi="Arial"/>
          <w:bCs/>
          <w:szCs w:val="24"/>
          <w:lang w:val="es-ES_tradnl"/>
        </w:rPr>
        <w:t>Fortalecimiento de la Agencia Nacional de Defensa Jurídica del Estado de Colombia</w:t>
      </w:r>
      <w:bookmarkEnd w:id="0"/>
      <w:bookmarkEnd w:id="1"/>
    </w:p>
    <w:p w14:paraId="707E4707" w14:textId="77777777" w:rsidR="009419B9" w:rsidRPr="00F30F48" w:rsidRDefault="009419B9" w:rsidP="0068443A">
      <w:pPr>
        <w:pStyle w:val="Newpage"/>
        <w:rPr>
          <w:rFonts w:ascii="Arial" w:hAnsi="Arial"/>
          <w:bCs/>
          <w:szCs w:val="24"/>
          <w:lang w:val="es-ES_tradnl"/>
        </w:rPr>
      </w:pPr>
    </w:p>
    <w:p w14:paraId="3777C83C" w14:textId="77777777" w:rsidR="0043368E" w:rsidRPr="00F30F48" w:rsidRDefault="00107DB0" w:rsidP="0068443A">
      <w:pPr>
        <w:pStyle w:val="Newpage"/>
        <w:rPr>
          <w:rFonts w:ascii="Arial" w:hAnsi="Arial"/>
          <w:bCs/>
          <w:szCs w:val="24"/>
          <w:lang w:val="es-ES"/>
        </w:rPr>
      </w:pPr>
      <w:r w:rsidRPr="00F30F48">
        <w:rPr>
          <w:rFonts w:ascii="Arial" w:hAnsi="Arial"/>
          <w:bCs/>
          <w:szCs w:val="24"/>
          <w:lang w:val="es-ES"/>
        </w:rPr>
        <w:t>(CO-L12</w:t>
      </w:r>
      <w:r w:rsidR="00D04BBD" w:rsidRPr="00F30F48">
        <w:rPr>
          <w:rFonts w:ascii="Arial" w:hAnsi="Arial"/>
          <w:bCs/>
          <w:szCs w:val="24"/>
          <w:lang w:val="es-ES"/>
        </w:rPr>
        <w:t>51</w:t>
      </w:r>
      <w:r w:rsidRPr="00F30F48">
        <w:rPr>
          <w:rFonts w:ascii="Arial" w:hAnsi="Arial"/>
          <w:bCs/>
          <w:szCs w:val="24"/>
          <w:lang w:val="es-ES"/>
        </w:rPr>
        <w:t>)</w:t>
      </w:r>
    </w:p>
    <w:p w14:paraId="094986D5" w14:textId="77777777" w:rsidR="00B84211" w:rsidRPr="00F30F48" w:rsidRDefault="00B84211" w:rsidP="0068443A">
      <w:pPr>
        <w:pStyle w:val="Newpage"/>
        <w:rPr>
          <w:rFonts w:ascii="Arial" w:hAnsi="Arial"/>
          <w:b w:val="0"/>
          <w:caps/>
          <w:smallCaps w:val="0"/>
          <w:szCs w:val="24"/>
          <w:lang w:val="es-ES"/>
        </w:rPr>
      </w:pPr>
    </w:p>
    <w:p w14:paraId="64C65578" w14:textId="77777777" w:rsidR="00B84211" w:rsidRPr="00F30F48" w:rsidRDefault="00B84211" w:rsidP="0068443A">
      <w:pPr>
        <w:tabs>
          <w:tab w:val="left" w:pos="1440"/>
          <w:tab w:val="left" w:pos="3060"/>
        </w:tabs>
        <w:jc w:val="center"/>
        <w:rPr>
          <w:rFonts w:ascii="Arial" w:hAnsi="Arial" w:cs="Arial"/>
          <w:smallCaps/>
          <w:sz w:val="24"/>
          <w:szCs w:val="24"/>
          <w:lang w:val="es-ES"/>
        </w:rPr>
      </w:pPr>
    </w:p>
    <w:p w14:paraId="27C9D05C" w14:textId="77777777" w:rsidR="002932E4" w:rsidRPr="00F30F48" w:rsidRDefault="002932E4" w:rsidP="0068443A">
      <w:pPr>
        <w:tabs>
          <w:tab w:val="left" w:pos="1440"/>
          <w:tab w:val="left" w:pos="3060"/>
        </w:tabs>
        <w:jc w:val="center"/>
        <w:rPr>
          <w:rFonts w:ascii="Arial" w:hAnsi="Arial" w:cs="Arial"/>
          <w:smallCaps/>
          <w:sz w:val="24"/>
          <w:szCs w:val="24"/>
          <w:lang w:val="es-ES"/>
        </w:rPr>
      </w:pPr>
    </w:p>
    <w:p w14:paraId="044B2541" w14:textId="77777777" w:rsidR="002932E4" w:rsidRPr="00F30F48" w:rsidRDefault="002932E4" w:rsidP="0068443A">
      <w:pPr>
        <w:tabs>
          <w:tab w:val="left" w:pos="1440"/>
          <w:tab w:val="left" w:pos="3060"/>
        </w:tabs>
        <w:jc w:val="center"/>
        <w:rPr>
          <w:rFonts w:ascii="Arial" w:hAnsi="Arial" w:cs="Arial"/>
          <w:smallCaps/>
          <w:sz w:val="24"/>
          <w:szCs w:val="24"/>
          <w:lang w:val="es-ES"/>
        </w:rPr>
      </w:pPr>
    </w:p>
    <w:p w14:paraId="51E0DB32" w14:textId="77777777" w:rsidR="002932E4" w:rsidRPr="00F30F48" w:rsidRDefault="002932E4" w:rsidP="0068443A">
      <w:pPr>
        <w:tabs>
          <w:tab w:val="left" w:pos="1440"/>
          <w:tab w:val="left" w:pos="3060"/>
        </w:tabs>
        <w:jc w:val="center"/>
        <w:rPr>
          <w:rFonts w:ascii="Arial" w:hAnsi="Arial" w:cs="Arial"/>
          <w:smallCaps/>
          <w:sz w:val="24"/>
          <w:szCs w:val="24"/>
          <w:lang w:val="es-ES"/>
        </w:rPr>
      </w:pPr>
    </w:p>
    <w:p w14:paraId="3A45E9ED" w14:textId="77777777" w:rsidR="00B84211" w:rsidRPr="00F30F48" w:rsidRDefault="007A1860" w:rsidP="0068443A">
      <w:pPr>
        <w:tabs>
          <w:tab w:val="left" w:pos="1440"/>
          <w:tab w:val="left" w:pos="3060"/>
        </w:tabs>
        <w:jc w:val="center"/>
        <w:outlineLvl w:val="0"/>
        <w:rPr>
          <w:rFonts w:ascii="Arial" w:hAnsi="Arial" w:cs="Arial"/>
          <w:b/>
          <w:smallCaps/>
          <w:sz w:val="24"/>
          <w:szCs w:val="24"/>
          <w:lang w:val="es-ES_tradnl"/>
        </w:rPr>
      </w:pPr>
      <w:r w:rsidRPr="00F30F48">
        <w:rPr>
          <w:rFonts w:ascii="Arial" w:hAnsi="Arial" w:cs="Arial"/>
          <w:b/>
          <w:smallCaps/>
          <w:sz w:val="24"/>
          <w:szCs w:val="24"/>
          <w:lang w:val="es-ES"/>
        </w:rPr>
        <w:t>Análisis</w:t>
      </w:r>
      <w:r w:rsidRPr="00F30F48">
        <w:rPr>
          <w:rFonts w:ascii="Arial" w:hAnsi="Arial" w:cs="Arial"/>
          <w:b/>
          <w:smallCaps/>
          <w:sz w:val="24"/>
          <w:szCs w:val="24"/>
          <w:lang w:val="es-ES_tradnl"/>
        </w:rPr>
        <w:t xml:space="preserve"> Económico</w:t>
      </w:r>
    </w:p>
    <w:p w14:paraId="272BFDFE" w14:textId="77777777" w:rsidR="00B84211" w:rsidRPr="00F30F48" w:rsidRDefault="00B84211" w:rsidP="007E6104">
      <w:pPr>
        <w:tabs>
          <w:tab w:val="left" w:pos="1440"/>
          <w:tab w:val="left" w:pos="3060"/>
        </w:tabs>
        <w:ind w:left="567" w:hanging="567"/>
        <w:jc w:val="center"/>
        <w:outlineLvl w:val="0"/>
        <w:rPr>
          <w:rFonts w:ascii="Arial" w:hAnsi="Arial" w:cs="Arial"/>
          <w:b/>
          <w:smallCaps/>
          <w:sz w:val="24"/>
          <w:szCs w:val="24"/>
          <w:lang w:val="es-ES_tradnl"/>
        </w:rPr>
      </w:pPr>
    </w:p>
    <w:p w14:paraId="5DBBCB65" w14:textId="77777777" w:rsidR="00B84211" w:rsidRPr="00F30F48" w:rsidRDefault="00B84211" w:rsidP="007E6104">
      <w:pPr>
        <w:pStyle w:val="MediumGrid1-Accent21"/>
        <w:spacing w:before="120" w:after="0" w:line="360" w:lineRule="auto"/>
        <w:ind w:left="567" w:hanging="567"/>
        <w:jc w:val="center"/>
        <w:rPr>
          <w:rFonts w:ascii="Arial" w:hAnsi="Arial" w:cs="Arial"/>
          <w:b/>
          <w:sz w:val="24"/>
          <w:szCs w:val="24"/>
          <w:lang w:val="es-ES_tradnl"/>
        </w:rPr>
      </w:pPr>
    </w:p>
    <w:p w14:paraId="0876BE88" w14:textId="77777777" w:rsidR="00B84211" w:rsidRPr="00F30F48" w:rsidRDefault="00B84211" w:rsidP="007E6104">
      <w:pPr>
        <w:pStyle w:val="MediumGrid1-Accent21"/>
        <w:spacing w:before="120" w:after="0" w:line="360" w:lineRule="auto"/>
        <w:ind w:left="567" w:hanging="567"/>
        <w:jc w:val="center"/>
        <w:rPr>
          <w:rFonts w:ascii="Arial" w:hAnsi="Arial" w:cs="Arial"/>
          <w:b/>
          <w:sz w:val="24"/>
          <w:szCs w:val="24"/>
          <w:lang w:val="es-ES_tradnl"/>
        </w:rPr>
      </w:pPr>
    </w:p>
    <w:p w14:paraId="4E781CE8" w14:textId="77777777" w:rsidR="00B84211" w:rsidRPr="00F30F48" w:rsidRDefault="00B84211" w:rsidP="007E6104">
      <w:pPr>
        <w:pStyle w:val="MediumGrid1-Accent21"/>
        <w:spacing w:before="120" w:after="0" w:line="360" w:lineRule="auto"/>
        <w:ind w:left="567" w:hanging="567"/>
        <w:jc w:val="center"/>
        <w:rPr>
          <w:rFonts w:ascii="Arial" w:hAnsi="Arial" w:cs="Arial"/>
          <w:b/>
          <w:sz w:val="24"/>
          <w:szCs w:val="24"/>
          <w:lang w:val="es-ES_tradnl"/>
        </w:rPr>
      </w:pPr>
    </w:p>
    <w:p w14:paraId="70F9BE47" w14:textId="77777777" w:rsidR="00B84211" w:rsidRPr="00F30F48" w:rsidRDefault="00B84211" w:rsidP="007E6104">
      <w:pPr>
        <w:pStyle w:val="MediumGrid1-Accent21"/>
        <w:spacing w:before="120" w:after="0" w:line="360" w:lineRule="auto"/>
        <w:ind w:left="567" w:hanging="567"/>
        <w:jc w:val="both"/>
        <w:rPr>
          <w:rFonts w:ascii="Arial" w:hAnsi="Arial" w:cs="Arial"/>
          <w:b/>
          <w:sz w:val="24"/>
          <w:szCs w:val="24"/>
          <w:lang w:val="es-ES_tradnl"/>
        </w:rPr>
      </w:pPr>
    </w:p>
    <w:p w14:paraId="3805AD5E" w14:textId="77777777" w:rsidR="00B84211" w:rsidRPr="00F30F48" w:rsidRDefault="00B84211" w:rsidP="007E6104">
      <w:pPr>
        <w:pStyle w:val="MediumGrid1-Accent21"/>
        <w:spacing w:before="120" w:after="0" w:line="360" w:lineRule="auto"/>
        <w:ind w:left="567" w:hanging="567"/>
        <w:jc w:val="both"/>
        <w:rPr>
          <w:rFonts w:ascii="Arial" w:hAnsi="Arial" w:cs="Arial"/>
          <w:b/>
          <w:sz w:val="24"/>
          <w:szCs w:val="24"/>
          <w:lang w:val="es-ES_tradnl"/>
        </w:rPr>
      </w:pPr>
    </w:p>
    <w:p w14:paraId="4CD8C77D" w14:textId="77777777" w:rsidR="00B84211" w:rsidRPr="00F30F48" w:rsidRDefault="00B84211" w:rsidP="007E6104">
      <w:pPr>
        <w:pStyle w:val="MediumGrid1-Accent21"/>
        <w:spacing w:before="120" w:after="0" w:line="360" w:lineRule="auto"/>
        <w:ind w:left="567" w:hanging="567"/>
        <w:jc w:val="both"/>
        <w:rPr>
          <w:rFonts w:ascii="Arial" w:hAnsi="Arial" w:cs="Arial"/>
          <w:b/>
          <w:sz w:val="24"/>
          <w:szCs w:val="24"/>
          <w:lang w:val="es-ES_tradnl"/>
        </w:rPr>
      </w:pPr>
    </w:p>
    <w:p w14:paraId="3369E62B" w14:textId="77777777" w:rsidR="00B84211" w:rsidRPr="00F30F48" w:rsidRDefault="00B84211" w:rsidP="007E6104">
      <w:pPr>
        <w:pStyle w:val="MediumGrid1-Accent21"/>
        <w:spacing w:before="120" w:after="0" w:line="360" w:lineRule="auto"/>
        <w:ind w:left="567" w:hanging="567"/>
        <w:jc w:val="both"/>
        <w:rPr>
          <w:rFonts w:ascii="Arial" w:hAnsi="Arial" w:cs="Arial"/>
          <w:b/>
          <w:sz w:val="24"/>
          <w:szCs w:val="24"/>
          <w:lang w:val="es-ES_tradnl"/>
        </w:rPr>
      </w:pPr>
    </w:p>
    <w:p w14:paraId="00AFDEB6" w14:textId="77777777" w:rsidR="00B84211" w:rsidRPr="00F30F48" w:rsidRDefault="00B84211" w:rsidP="007E6104">
      <w:pPr>
        <w:pStyle w:val="MediumGrid1-Accent21"/>
        <w:spacing w:before="120" w:after="0" w:line="360" w:lineRule="auto"/>
        <w:ind w:left="567" w:hanging="567"/>
        <w:jc w:val="both"/>
        <w:rPr>
          <w:rFonts w:ascii="Arial" w:hAnsi="Arial" w:cs="Arial"/>
          <w:b/>
          <w:sz w:val="24"/>
          <w:szCs w:val="24"/>
          <w:lang w:val="es-ES_tradnl"/>
        </w:rPr>
      </w:pPr>
    </w:p>
    <w:p w14:paraId="75FF8C7C" w14:textId="77777777" w:rsidR="00B84211" w:rsidRPr="00F30F48" w:rsidRDefault="00B84211" w:rsidP="007E6104">
      <w:pPr>
        <w:pStyle w:val="MediumGrid1-Accent21"/>
        <w:spacing w:before="120" w:after="0" w:line="360" w:lineRule="auto"/>
        <w:ind w:left="567" w:hanging="567"/>
        <w:jc w:val="both"/>
        <w:rPr>
          <w:rFonts w:ascii="Arial" w:hAnsi="Arial" w:cs="Arial"/>
          <w:b/>
          <w:sz w:val="24"/>
          <w:szCs w:val="24"/>
          <w:lang w:val="es-ES_tradnl"/>
        </w:rPr>
      </w:pPr>
    </w:p>
    <w:p w14:paraId="67BD5CDE" w14:textId="77777777" w:rsidR="00B84211" w:rsidRPr="00F30F48" w:rsidRDefault="00B84211" w:rsidP="007E6104">
      <w:pPr>
        <w:pStyle w:val="MediumGrid1-Accent21"/>
        <w:spacing w:before="120" w:after="0" w:line="360" w:lineRule="auto"/>
        <w:ind w:left="567" w:hanging="567"/>
        <w:jc w:val="both"/>
        <w:rPr>
          <w:rFonts w:ascii="Arial" w:hAnsi="Arial" w:cs="Arial"/>
          <w:b/>
          <w:sz w:val="24"/>
          <w:szCs w:val="24"/>
          <w:lang w:val="es-ES_tradnl"/>
        </w:rPr>
      </w:pPr>
    </w:p>
    <w:p w14:paraId="66A0A4B6" w14:textId="77777777" w:rsidR="00B84211" w:rsidRPr="00F30F48" w:rsidRDefault="00B84211" w:rsidP="007E6104">
      <w:pPr>
        <w:tabs>
          <w:tab w:val="left" w:pos="1440"/>
          <w:tab w:val="left" w:pos="3060"/>
        </w:tabs>
        <w:ind w:left="567" w:hanging="567"/>
        <w:jc w:val="both"/>
        <w:rPr>
          <w:rFonts w:ascii="Arial" w:hAnsi="Arial" w:cs="Arial"/>
          <w:sz w:val="24"/>
          <w:szCs w:val="24"/>
          <w:lang w:val="es-ES_tradnl"/>
        </w:rPr>
      </w:pPr>
    </w:p>
    <w:p w14:paraId="3BDBC1D2" w14:textId="77777777" w:rsidR="00B84211" w:rsidRPr="00F30F48" w:rsidRDefault="00B84211" w:rsidP="007E6104">
      <w:pPr>
        <w:tabs>
          <w:tab w:val="left" w:pos="1440"/>
          <w:tab w:val="left" w:pos="3060"/>
        </w:tabs>
        <w:ind w:left="567" w:hanging="567"/>
        <w:jc w:val="both"/>
        <w:rPr>
          <w:rFonts w:ascii="Arial" w:hAnsi="Arial" w:cs="Arial"/>
          <w:sz w:val="24"/>
          <w:szCs w:val="24"/>
          <w:lang w:val="es-ES_tradnl"/>
        </w:rPr>
      </w:pPr>
    </w:p>
    <w:p w14:paraId="78A757BF" w14:textId="50289F78" w:rsidR="00B84211" w:rsidRPr="00F30F48" w:rsidRDefault="007A1860" w:rsidP="00A83DE7">
      <w:pPr>
        <w:pStyle w:val="BodyText"/>
        <w:pBdr>
          <w:top w:val="single" w:sz="4" w:space="1" w:color="auto"/>
          <w:left w:val="single" w:sz="4" w:space="4" w:color="auto"/>
          <w:bottom w:val="single" w:sz="4" w:space="1" w:color="auto"/>
          <w:right w:val="single" w:sz="4" w:space="4" w:color="auto"/>
        </w:pBdr>
        <w:tabs>
          <w:tab w:val="left" w:pos="1440"/>
        </w:tabs>
        <w:ind w:left="-142" w:firstLine="1"/>
        <w:jc w:val="both"/>
        <w:rPr>
          <w:rFonts w:ascii="Arial" w:hAnsi="Arial" w:cs="Arial"/>
          <w:b/>
          <w:sz w:val="22"/>
          <w:szCs w:val="22"/>
          <w:lang w:val="es-ES"/>
        </w:rPr>
      </w:pPr>
      <w:r w:rsidRPr="00F30F48">
        <w:rPr>
          <w:rFonts w:ascii="Arial" w:hAnsi="Arial" w:cs="Arial"/>
          <w:sz w:val="22"/>
          <w:szCs w:val="22"/>
          <w:lang w:val="es-ES"/>
        </w:rPr>
        <w:t xml:space="preserve">Este documento ha sido preparado por: </w:t>
      </w:r>
      <w:r w:rsidR="00A83DE7" w:rsidRPr="00F30F48">
        <w:rPr>
          <w:rFonts w:ascii="Arial" w:hAnsi="Arial" w:cs="Arial"/>
          <w:sz w:val="22"/>
          <w:szCs w:val="22"/>
          <w:lang w:val="es-ES"/>
        </w:rPr>
        <w:t xml:space="preserve">Elizabeth Arciniegas y </w:t>
      </w:r>
      <w:r w:rsidR="00D04BBD" w:rsidRPr="00F30F48">
        <w:rPr>
          <w:rFonts w:ascii="Arial" w:hAnsi="Arial" w:cs="Arial"/>
          <w:sz w:val="22"/>
          <w:szCs w:val="22"/>
          <w:lang w:val="es-ES"/>
        </w:rPr>
        <w:t>Felipe Gärtner Jaramillo</w:t>
      </w:r>
      <w:r w:rsidRPr="00F30F48">
        <w:rPr>
          <w:rFonts w:ascii="Arial" w:hAnsi="Arial" w:cs="Arial"/>
          <w:sz w:val="22"/>
          <w:szCs w:val="22"/>
          <w:lang w:val="es-ES"/>
        </w:rPr>
        <w:t xml:space="preserve"> (</w:t>
      </w:r>
      <w:r w:rsidR="008E3746" w:rsidRPr="00F30F48">
        <w:rPr>
          <w:rFonts w:ascii="Arial" w:hAnsi="Arial" w:cs="Arial"/>
          <w:sz w:val="22"/>
          <w:szCs w:val="22"/>
          <w:lang w:val="es-ES"/>
        </w:rPr>
        <w:t>Consultor</w:t>
      </w:r>
      <w:r w:rsidR="00A83DE7" w:rsidRPr="00F30F48">
        <w:rPr>
          <w:rFonts w:ascii="Arial" w:hAnsi="Arial" w:cs="Arial"/>
          <w:sz w:val="22"/>
          <w:szCs w:val="22"/>
          <w:lang w:val="es-ES"/>
        </w:rPr>
        <w:t>es</w:t>
      </w:r>
      <w:r w:rsidRPr="00F30F48">
        <w:rPr>
          <w:rFonts w:ascii="Arial" w:hAnsi="Arial" w:cs="Arial"/>
          <w:sz w:val="22"/>
          <w:szCs w:val="22"/>
          <w:lang w:val="es-ES"/>
        </w:rPr>
        <w:t>)</w:t>
      </w:r>
      <w:r w:rsidR="007D03A1" w:rsidRPr="00F30F48">
        <w:rPr>
          <w:rFonts w:ascii="Arial" w:hAnsi="Arial" w:cs="Arial"/>
          <w:sz w:val="22"/>
          <w:szCs w:val="22"/>
          <w:lang w:val="es-ES"/>
        </w:rPr>
        <w:t>.</w:t>
      </w:r>
      <w:r w:rsidR="00451B0C" w:rsidRPr="00F30F48">
        <w:rPr>
          <w:rFonts w:ascii="Arial" w:hAnsi="Arial" w:cs="Arial"/>
          <w:sz w:val="22"/>
          <w:szCs w:val="22"/>
          <w:lang w:val="es-ES"/>
        </w:rPr>
        <w:t xml:space="preserve"> </w:t>
      </w:r>
    </w:p>
    <w:p w14:paraId="46DE3F02" w14:textId="77777777" w:rsidR="00B84211" w:rsidRPr="00F30F48" w:rsidRDefault="00B84211" w:rsidP="002932E4">
      <w:pPr>
        <w:spacing w:line="240" w:lineRule="auto"/>
        <w:jc w:val="both"/>
        <w:rPr>
          <w:rFonts w:ascii="Arial" w:hAnsi="Arial" w:cs="Arial"/>
          <w:b/>
          <w:i/>
          <w:sz w:val="24"/>
          <w:szCs w:val="24"/>
          <w:lang w:val="es-ES"/>
        </w:rPr>
      </w:pPr>
    </w:p>
    <w:p w14:paraId="57241D0C" w14:textId="77777777" w:rsidR="00B84211" w:rsidRPr="00F30F48" w:rsidRDefault="007A1860" w:rsidP="00F30F48">
      <w:pPr>
        <w:numPr>
          <w:ilvl w:val="0"/>
          <w:numId w:val="1"/>
        </w:numPr>
        <w:spacing w:after="0" w:line="480" w:lineRule="auto"/>
        <w:ind w:left="720" w:hanging="720"/>
        <w:jc w:val="both"/>
        <w:rPr>
          <w:rFonts w:ascii="Arial" w:hAnsi="Arial" w:cs="Arial"/>
          <w:b/>
          <w:sz w:val="24"/>
          <w:szCs w:val="24"/>
          <w:lang w:val="es-ES"/>
        </w:rPr>
      </w:pPr>
      <w:r w:rsidRPr="00F30F48">
        <w:rPr>
          <w:rFonts w:ascii="Arial" w:hAnsi="Arial" w:cs="Arial"/>
          <w:b/>
          <w:sz w:val="24"/>
          <w:szCs w:val="24"/>
          <w:lang w:val="es-ES"/>
        </w:rPr>
        <w:lastRenderedPageBreak/>
        <w:t>Introducció</w:t>
      </w:r>
      <w:r w:rsidR="001C3DCA" w:rsidRPr="00F30F48">
        <w:rPr>
          <w:rFonts w:ascii="Arial" w:hAnsi="Arial" w:cs="Arial"/>
          <w:b/>
          <w:sz w:val="24"/>
          <w:szCs w:val="24"/>
          <w:lang w:val="es-ES"/>
        </w:rPr>
        <w:t>n</w:t>
      </w:r>
    </w:p>
    <w:p w14:paraId="1F7B2FBA" w14:textId="44AF567C" w:rsidR="00B84211" w:rsidRPr="00F30F48" w:rsidRDefault="007A1860" w:rsidP="00F30F48">
      <w:pPr>
        <w:pStyle w:val="Paragraph"/>
        <w:numPr>
          <w:ilvl w:val="0"/>
          <w:numId w:val="29"/>
        </w:numPr>
        <w:spacing w:before="0" w:after="0"/>
        <w:ind w:hanging="720"/>
        <w:rPr>
          <w:rFonts w:ascii="Arial" w:hAnsi="Arial" w:cs="Arial"/>
          <w:kern w:val="28"/>
          <w:sz w:val="22"/>
          <w:szCs w:val="22"/>
        </w:rPr>
      </w:pPr>
      <w:r w:rsidRPr="00F30F48">
        <w:rPr>
          <w:rFonts w:ascii="Arial" w:hAnsi="Arial" w:cs="Arial"/>
          <w:kern w:val="28"/>
          <w:sz w:val="22"/>
          <w:szCs w:val="22"/>
        </w:rPr>
        <w:t xml:space="preserve">Este documento presenta </w:t>
      </w:r>
      <w:r w:rsidR="00671EBF" w:rsidRPr="00F30F48">
        <w:rPr>
          <w:rFonts w:ascii="Arial" w:hAnsi="Arial" w:cs="Arial"/>
          <w:kern w:val="28"/>
          <w:sz w:val="22"/>
          <w:szCs w:val="22"/>
        </w:rPr>
        <w:t>un análisis ex ante del Programa de Fortalecimiento de la Agencia Nacional de Defensa Jurídica del Estado de Colombia</w:t>
      </w:r>
      <w:bookmarkStart w:id="2" w:name="_Hlk494808745"/>
      <w:r w:rsidR="00CF6D7D" w:rsidRPr="00F30F48">
        <w:rPr>
          <w:rFonts w:ascii="Arial" w:hAnsi="Arial" w:cs="Arial"/>
          <w:bCs/>
          <w:kern w:val="28"/>
          <w:sz w:val="22"/>
          <w:szCs w:val="22"/>
          <w:lang w:val="es-AR"/>
        </w:rPr>
        <w:t xml:space="preserve"> </w:t>
      </w:r>
      <w:bookmarkEnd w:id="2"/>
      <w:r w:rsidR="006E0E90" w:rsidRPr="00F30F48">
        <w:rPr>
          <w:rFonts w:ascii="Arial" w:hAnsi="Arial" w:cs="Arial"/>
          <w:bCs/>
          <w:kern w:val="28"/>
          <w:sz w:val="22"/>
          <w:szCs w:val="22"/>
          <w:lang w:val="es-AR"/>
        </w:rPr>
        <w:t>(CO-L12</w:t>
      </w:r>
      <w:r w:rsidR="00671EBF" w:rsidRPr="00F30F48">
        <w:rPr>
          <w:rFonts w:ascii="Arial" w:hAnsi="Arial" w:cs="Arial"/>
          <w:bCs/>
          <w:kern w:val="28"/>
          <w:sz w:val="22"/>
          <w:szCs w:val="22"/>
          <w:lang w:val="es-AR"/>
        </w:rPr>
        <w:t>51</w:t>
      </w:r>
      <w:r w:rsidR="006E0E90" w:rsidRPr="00F30F48">
        <w:rPr>
          <w:rFonts w:ascii="Arial" w:hAnsi="Arial" w:cs="Arial"/>
          <w:bCs/>
          <w:kern w:val="28"/>
          <w:sz w:val="22"/>
          <w:szCs w:val="22"/>
          <w:lang w:val="es-AR"/>
        </w:rPr>
        <w:t>)</w:t>
      </w:r>
      <w:r w:rsidRPr="00F30F48">
        <w:rPr>
          <w:rFonts w:ascii="Arial" w:hAnsi="Arial" w:cs="Arial"/>
          <w:kern w:val="28"/>
          <w:sz w:val="22"/>
          <w:szCs w:val="22"/>
        </w:rPr>
        <w:t xml:space="preserve">, cuya ejecución se tiene prevista para </w:t>
      </w:r>
      <w:r w:rsidR="00A83DE7" w:rsidRPr="00F30F48">
        <w:rPr>
          <w:rFonts w:ascii="Arial" w:hAnsi="Arial" w:cs="Arial"/>
          <w:kern w:val="28"/>
          <w:sz w:val="22"/>
          <w:szCs w:val="22"/>
        </w:rPr>
        <w:t>el período 2019</w:t>
      </w:r>
      <w:r w:rsidR="00640A23" w:rsidRPr="00F30F48">
        <w:rPr>
          <w:rFonts w:ascii="Arial" w:hAnsi="Arial" w:cs="Arial"/>
          <w:kern w:val="28"/>
          <w:sz w:val="22"/>
          <w:szCs w:val="22"/>
        </w:rPr>
        <w:t xml:space="preserve"> </w:t>
      </w:r>
      <w:r w:rsidR="002308DC" w:rsidRPr="00F30F48">
        <w:rPr>
          <w:rFonts w:ascii="Arial" w:hAnsi="Arial" w:cs="Arial"/>
          <w:kern w:val="28"/>
          <w:sz w:val="22"/>
          <w:szCs w:val="22"/>
        </w:rPr>
        <w:t>-</w:t>
      </w:r>
      <w:r w:rsidR="00640A23" w:rsidRPr="00F30F48">
        <w:rPr>
          <w:rFonts w:ascii="Arial" w:hAnsi="Arial" w:cs="Arial"/>
          <w:kern w:val="28"/>
          <w:sz w:val="22"/>
          <w:szCs w:val="22"/>
        </w:rPr>
        <w:t xml:space="preserve"> </w:t>
      </w:r>
      <w:r w:rsidR="005B4203" w:rsidRPr="00F30F48">
        <w:rPr>
          <w:rFonts w:ascii="Arial" w:hAnsi="Arial" w:cs="Arial"/>
          <w:kern w:val="28"/>
          <w:sz w:val="22"/>
          <w:szCs w:val="22"/>
        </w:rPr>
        <w:t>20</w:t>
      </w:r>
      <w:r w:rsidR="00D55D30" w:rsidRPr="00F30F48">
        <w:rPr>
          <w:rFonts w:ascii="Arial" w:hAnsi="Arial" w:cs="Arial"/>
          <w:kern w:val="28"/>
          <w:sz w:val="22"/>
          <w:szCs w:val="22"/>
        </w:rPr>
        <w:t>2</w:t>
      </w:r>
      <w:r w:rsidR="00671EBF" w:rsidRPr="00F30F48">
        <w:rPr>
          <w:rFonts w:ascii="Arial" w:hAnsi="Arial" w:cs="Arial"/>
          <w:kern w:val="28"/>
          <w:sz w:val="22"/>
          <w:szCs w:val="22"/>
        </w:rPr>
        <w:t>3</w:t>
      </w:r>
      <w:r w:rsidR="004C19AB" w:rsidRPr="00F30F48">
        <w:rPr>
          <w:rFonts w:ascii="Arial" w:hAnsi="Arial" w:cs="Arial"/>
          <w:kern w:val="28"/>
          <w:sz w:val="22"/>
          <w:szCs w:val="22"/>
        </w:rPr>
        <w:t>.</w:t>
      </w:r>
      <w:r w:rsidR="00E05BAC" w:rsidRPr="00F30F48">
        <w:rPr>
          <w:rFonts w:ascii="Arial" w:hAnsi="Arial" w:cs="Arial"/>
          <w:kern w:val="28"/>
          <w:sz w:val="22"/>
          <w:szCs w:val="22"/>
        </w:rPr>
        <w:t xml:space="preserve"> </w:t>
      </w:r>
      <w:r w:rsidR="004C19AB" w:rsidRPr="00F30F48">
        <w:rPr>
          <w:rFonts w:ascii="Arial" w:hAnsi="Arial" w:cs="Arial"/>
          <w:kern w:val="28"/>
          <w:sz w:val="22"/>
          <w:szCs w:val="22"/>
        </w:rPr>
        <w:t>El análisis se lleva a cabo mediante la metodología de costo</w:t>
      </w:r>
      <w:r w:rsidR="00F30F48" w:rsidRPr="00F30F48">
        <w:rPr>
          <w:rFonts w:ascii="Arial" w:hAnsi="Arial" w:cs="Arial"/>
          <w:kern w:val="28"/>
          <w:sz w:val="22"/>
          <w:szCs w:val="22"/>
        </w:rPr>
        <w:noBreakHyphen/>
      </w:r>
      <w:r w:rsidR="00925598" w:rsidRPr="00F30F48">
        <w:rPr>
          <w:rFonts w:ascii="Arial" w:hAnsi="Arial" w:cs="Arial"/>
          <w:kern w:val="28"/>
          <w:sz w:val="22"/>
          <w:szCs w:val="22"/>
        </w:rPr>
        <w:t>beneficio</w:t>
      </w:r>
      <w:r w:rsidR="00671EBF" w:rsidRPr="00F30F48">
        <w:rPr>
          <w:rFonts w:ascii="Arial" w:hAnsi="Arial" w:cs="Arial"/>
          <w:kern w:val="28"/>
          <w:sz w:val="22"/>
          <w:szCs w:val="22"/>
        </w:rPr>
        <w:t xml:space="preserve"> con base en evidencia empírica. Además, se llevan a cabo escenarios de sensibilidad para determinar la variación de resultados conforme a cambios en los supuestos.</w:t>
      </w:r>
    </w:p>
    <w:p w14:paraId="12943105" w14:textId="77777777" w:rsidR="00671EBF" w:rsidRPr="00F30F48" w:rsidRDefault="00671EBF" w:rsidP="00671EBF">
      <w:pPr>
        <w:pStyle w:val="Paragraph"/>
        <w:numPr>
          <w:ilvl w:val="0"/>
          <w:numId w:val="0"/>
        </w:numPr>
        <w:spacing w:before="0" w:after="0"/>
        <w:rPr>
          <w:rFonts w:ascii="Arial" w:hAnsi="Arial" w:cs="Arial"/>
          <w:kern w:val="28"/>
          <w:sz w:val="22"/>
          <w:szCs w:val="22"/>
        </w:rPr>
      </w:pPr>
    </w:p>
    <w:p w14:paraId="5A293FEB" w14:textId="043627E6" w:rsidR="00B84211" w:rsidRPr="00F30F48" w:rsidRDefault="004C19AB" w:rsidP="00F30F48">
      <w:pPr>
        <w:pStyle w:val="Paragraph"/>
        <w:numPr>
          <w:ilvl w:val="1"/>
          <w:numId w:val="31"/>
        </w:numPr>
        <w:spacing w:before="0" w:after="0"/>
        <w:ind w:left="720" w:hanging="720"/>
        <w:rPr>
          <w:rFonts w:ascii="Arial" w:hAnsi="Arial" w:cs="Arial"/>
          <w:kern w:val="28"/>
          <w:sz w:val="22"/>
          <w:szCs w:val="22"/>
        </w:rPr>
      </w:pPr>
      <w:r w:rsidRPr="00F30F48">
        <w:rPr>
          <w:rFonts w:ascii="Arial" w:hAnsi="Arial" w:cs="Arial"/>
          <w:kern w:val="28"/>
          <w:sz w:val="22"/>
          <w:szCs w:val="22"/>
        </w:rPr>
        <w:t xml:space="preserve">El </w:t>
      </w:r>
      <w:r w:rsidR="0057698F" w:rsidRPr="00F30F48">
        <w:rPr>
          <w:rFonts w:ascii="Arial" w:hAnsi="Arial" w:cs="Arial"/>
          <w:kern w:val="28"/>
          <w:sz w:val="22"/>
          <w:szCs w:val="22"/>
        </w:rPr>
        <w:t xml:space="preserve">Programa de </w:t>
      </w:r>
      <w:r w:rsidR="0068443A" w:rsidRPr="00F30F48">
        <w:rPr>
          <w:rFonts w:ascii="Arial" w:hAnsi="Arial" w:cs="Arial"/>
          <w:bCs/>
          <w:sz w:val="22"/>
          <w:szCs w:val="22"/>
          <w:lang w:val="es-ES_tradnl"/>
        </w:rPr>
        <w:t>Fortalecimiento de la Agencia Nacional de Defensa Jurídica del Estado de Colombia</w:t>
      </w:r>
      <w:r w:rsidR="00325940" w:rsidRPr="00F30F48">
        <w:rPr>
          <w:rFonts w:ascii="Arial" w:hAnsi="Arial" w:cs="Arial"/>
          <w:bCs/>
          <w:kern w:val="28"/>
          <w:sz w:val="22"/>
          <w:szCs w:val="22"/>
          <w:lang w:val="es-AR"/>
        </w:rPr>
        <w:t xml:space="preserve"> </w:t>
      </w:r>
      <w:r w:rsidRPr="00F30F48">
        <w:rPr>
          <w:rFonts w:ascii="Arial" w:hAnsi="Arial" w:cs="Arial"/>
          <w:kern w:val="28"/>
          <w:sz w:val="22"/>
          <w:szCs w:val="22"/>
        </w:rPr>
        <w:t>(</w:t>
      </w:r>
      <w:r w:rsidR="008A4318" w:rsidRPr="00F30F48">
        <w:rPr>
          <w:rFonts w:ascii="Arial" w:hAnsi="Arial" w:cs="Arial"/>
          <w:kern w:val="28"/>
          <w:sz w:val="22"/>
          <w:szCs w:val="22"/>
        </w:rPr>
        <w:t>en adelante</w:t>
      </w:r>
      <w:r w:rsidR="00A83DE7" w:rsidRPr="00F30F48">
        <w:rPr>
          <w:rFonts w:ascii="Arial" w:hAnsi="Arial" w:cs="Arial"/>
          <w:kern w:val="28"/>
          <w:sz w:val="22"/>
          <w:szCs w:val="22"/>
        </w:rPr>
        <w:t xml:space="preserve">, el </w:t>
      </w:r>
      <w:r w:rsidR="004D364C">
        <w:rPr>
          <w:rFonts w:ascii="Arial" w:hAnsi="Arial" w:cs="Arial"/>
          <w:kern w:val="28"/>
          <w:sz w:val="22"/>
          <w:szCs w:val="22"/>
        </w:rPr>
        <w:t>p</w:t>
      </w:r>
      <w:r w:rsidR="00A83DE7" w:rsidRPr="00F30F48">
        <w:rPr>
          <w:rFonts w:ascii="Arial" w:hAnsi="Arial" w:cs="Arial"/>
          <w:kern w:val="28"/>
          <w:sz w:val="22"/>
          <w:szCs w:val="22"/>
        </w:rPr>
        <w:t>rograma</w:t>
      </w:r>
      <w:r w:rsidR="008A4318" w:rsidRPr="00F30F48">
        <w:rPr>
          <w:rFonts w:ascii="Arial" w:hAnsi="Arial" w:cs="Arial"/>
          <w:kern w:val="28"/>
          <w:sz w:val="22"/>
          <w:szCs w:val="22"/>
        </w:rPr>
        <w:t xml:space="preserve">) tiene como objetivo </w:t>
      </w:r>
      <w:r w:rsidR="00F423FB" w:rsidRPr="00F30F48">
        <w:rPr>
          <w:rFonts w:ascii="Arial" w:hAnsi="Arial" w:cs="Arial"/>
          <w:kern w:val="28"/>
          <w:sz w:val="22"/>
          <w:szCs w:val="22"/>
        </w:rPr>
        <w:t>general</w:t>
      </w:r>
      <w:r w:rsidR="006675C8" w:rsidRPr="00F30F48">
        <w:rPr>
          <w:rFonts w:ascii="Arial" w:hAnsi="Arial" w:cs="Arial"/>
          <w:kern w:val="28"/>
          <w:sz w:val="22"/>
          <w:szCs w:val="22"/>
        </w:rPr>
        <w:t xml:space="preserve"> </w:t>
      </w:r>
      <w:r w:rsidR="0057698F" w:rsidRPr="00F30F48">
        <w:rPr>
          <w:rFonts w:ascii="Arial" w:hAnsi="Arial" w:cs="Arial"/>
          <w:kern w:val="28"/>
          <w:sz w:val="22"/>
          <w:szCs w:val="22"/>
        </w:rPr>
        <w:t xml:space="preserve">fortalecer la eficiencia de la ANDJE y las entidades del </w:t>
      </w:r>
      <w:r w:rsidR="00C05C1D">
        <w:rPr>
          <w:rFonts w:ascii="Arial" w:hAnsi="Arial" w:cs="Arial"/>
          <w:kern w:val="28"/>
          <w:sz w:val="22"/>
          <w:szCs w:val="22"/>
        </w:rPr>
        <w:t>S</w:t>
      </w:r>
      <w:r w:rsidR="0057698F" w:rsidRPr="00F30F48">
        <w:rPr>
          <w:rFonts w:ascii="Arial" w:hAnsi="Arial" w:cs="Arial"/>
          <w:kern w:val="28"/>
          <w:sz w:val="22"/>
          <w:szCs w:val="22"/>
        </w:rPr>
        <w:t>istema de Defensa Jurídica del Estado</w:t>
      </w:r>
      <w:r w:rsidR="008C5ABC" w:rsidRPr="00F30F48">
        <w:rPr>
          <w:rFonts w:ascii="Arial" w:hAnsi="Arial" w:cs="Arial"/>
          <w:kern w:val="28"/>
          <w:sz w:val="22"/>
          <w:szCs w:val="22"/>
        </w:rPr>
        <w:t xml:space="preserve"> (</w:t>
      </w:r>
      <w:r w:rsidR="00C05C1D">
        <w:rPr>
          <w:rFonts w:ascii="Arial" w:hAnsi="Arial" w:cs="Arial"/>
          <w:kern w:val="28"/>
          <w:sz w:val="22"/>
          <w:szCs w:val="22"/>
        </w:rPr>
        <w:t>S</w:t>
      </w:r>
      <w:r w:rsidR="008C5ABC" w:rsidRPr="00F30F48">
        <w:rPr>
          <w:rFonts w:ascii="Arial" w:hAnsi="Arial" w:cs="Arial"/>
          <w:kern w:val="28"/>
          <w:sz w:val="22"/>
          <w:szCs w:val="22"/>
        </w:rPr>
        <w:t>DJ)</w:t>
      </w:r>
      <w:r w:rsidR="0057698F" w:rsidRPr="00F30F48">
        <w:rPr>
          <w:rFonts w:ascii="Arial" w:hAnsi="Arial" w:cs="Arial"/>
          <w:kern w:val="28"/>
          <w:sz w:val="22"/>
          <w:szCs w:val="22"/>
        </w:rPr>
        <w:t xml:space="preserve"> en términos de ahorros potenciales reales</w:t>
      </w:r>
      <w:r w:rsidR="00A33B76">
        <w:rPr>
          <w:rFonts w:ascii="Arial" w:hAnsi="Arial" w:cs="Arial"/>
          <w:kern w:val="28"/>
          <w:sz w:val="22"/>
          <w:szCs w:val="22"/>
        </w:rPr>
        <w:t xml:space="preserve"> </w:t>
      </w:r>
      <w:r w:rsidR="00A33B76">
        <w:rPr>
          <w:rFonts w:ascii="Arial" w:hAnsi="Arial" w:cs="Arial"/>
          <w:sz w:val="22"/>
          <w:szCs w:val="22"/>
          <w:lang w:val="es-ES_tradnl"/>
        </w:rPr>
        <w:t>sobre la relación condena/pretensiones</w:t>
      </w:r>
      <w:r w:rsidR="00A83DE7" w:rsidRPr="00F30F48">
        <w:rPr>
          <w:rFonts w:ascii="Arial" w:hAnsi="Arial" w:cs="Arial"/>
          <w:kern w:val="28"/>
          <w:sz w:val="22"/>
          <w:szCs w:val="22"/>
        </w:rPr>
        <w:t xml:space="preserve"> y, </w:t>
      </w:r>
      <w:r w:rsidR="0057698F" w:rsidRPr="00F30F48">
        <w:rPr>
          <w:rFonts w:ascii="Arial" w:hAnsi="Arial" w:cs="Arial"/>
          <w:kern w:val="28"/>
          <w:sz w:val="22"/>
          <w:szCs w:val="22"/>
        </w:rPr>
        <w:t>tres objetivos específicos a saber: (i) generar mejoras en la eficacia de las herramientas de gestión de la ANDJE; (ii) generar mejoras en la cobertura de los procesos en los que interviene la ANDJE; y (iii)</w:t>
      </w:r>
      <w:r w:rsidR="00F30F48" w:rsidRPr="00F30F48">
        <w:rPr>
          <w:sz w:val="22"/>
          <w:szCs w:val="22"/>
        </w:rPr>
        <w:t> </w:t>
      </w:r>
      <w:r w:rsidR="0057698F" w:rsidRPr="00F30F48">
        <w:rPr>
          <w:rFonts w:ascii="Arial" w:hAnsi="Arial" w:cs="Arial"/>
          <w:kern w:val="28"/>
          <w:sz w:val="22"/>
          <w:szCs w:val="22"/>
        </w:rPr>
        <w:t xml:space="preserve">generar mejoras en la transferencia de conocimiento para la ANDJE y las entidades que hacen parte del </w:t>
      </w:r>
      <w:r w:rsidR="00C05C1D">
        <w:rPr>
          <w:rFonts w:ascii="Arial" w:hAnsi="Arial" w:cs="Arial"/>
          <w:kern w:val="28"/>
          <w:sz w:val="22"/>
          <w:szCs w:val="22"/>
        </w:rPr>
        <w:t>S</w:t>
      </w:r>
      <w:r w:rsidR="00F81B01" w:rsidRPr="00F30F48">
        <w:rPr>
          <w:rFonts w:ascii="Arial" w:hAnsi="Arial" w:cs="Arial"/>
          <w:kern w:val="28"/>
          <w:sz w:val="22"/>
          <w:szCs w:val="22"/>
        </w:rPr>
        <w:t>DJ</w:t>
      </w:r>
      <w:r w:rsidR="0057698F" w:rsidRPr="00F30F48">
        <w:rPr>
          <w:rFonts w:ascii="Arial" w:hAnsi="Arial" w:cs="Arial"/>
          <w:kern w:val="28"/>
          <w:sz w:val="22"/>
          <w:szCs w:val="22"/>
        </w:rPr>
        <w:t xml:space="preserve">. </w:t>
      </w:r>
    </w:p>
    <w:p w14:paraId="7B85EF90" w14:textId="77777777" w:rsidR="0057698F" w:rsidRPr="00F30F48" w:rsidRDefault="0057698F" w:rsidP="0057698F">
      <w:pPr>
        <w:pStyle w:val="Paragraph"/>
        <w:numPr>
          <w:ilvl w:val="0"/>
          <w:numId w:val="0"/>
        </w:numPr>
        <w:spacing w:before="0" w:after="0"/>
        <w:rPr>
          <w:rFonts w:ascii="Arial" w:hAnsi="Arial" w:cs="Arial"/>
          <w:kern w:val="28"/>
          <w:sz w:val="22"/>
          <w:szCs w:val="22"/>
        </w:rPr>
      </w:pPr>
    </w:p>
    <w:p w14:paraId="6A96FF1A" w14:textId="6346DD5E" w:rsidR="00A83DE7" w:rsidRPr="00DC3F6A" w:rsidRDefault="00A83DE7" w:rsidP="00DC3F6A">
      <w:pPr>
        <w:pStyle w:val="Paragraph"/>
        <w:numPr>
          <w:ilvl w:val="1"/>
          <w:numId w:val="31"/>
        </w:numPr>
        <w:spacing w:before="0" w:after="0"/>
        <w:ind w:left="720" w:hanging="720"/>
        <w:rPr>
          <w:rFonts w:ascii="Arial" w:hAnsi="Arial" w:cs="Arial"/>
          <w:kern w:val="28"/>
          <w:sz w:val="22"/>
          <w:szCs w:val="22"/>
        </w:rPr>
      </w:pPr>
      <w:r w:rsidRPr="00F30F48">
        <w:rPr>
          <w:rFonts w:ascii="Arial" w:hAnsi="Arial" w:cs="Arial"/>
          <w:kern w:val="28"/>
          <w:sz w:val="22"/>
          <w:szCs w:val="22"/>
        </w:rPr>
        <w:t>El presente análisis se fundamenta</w:t>
      </w:r>
      <w:r w:rsidR="0057698F" w:rsidRPr="00F30F48">
        <w:rPr>
          <w:rFonts w:ascii="Arial" w:hAnsi="Arial" w:cs="Arial"/>
          <w:kern w:val="28"/>
          <w:sz w:val="22"/>
          <w:szCs w:val="22"/>
        </w:rPr>
        <w:t xml:space="preserve"> en </w:t>
      </w:r>
      <w:r w:rsidR="00640A23" w:rsidRPr="00F30F48">
        <w:rPr>
          <w:rFonts w:ascii="Arial" w:hAnsi="Arial" w:cs="Arial"/>
          <w:kern w:val="28"/>
          <w:sz w:val="22"/>
          <w:szCs w:val="22"/>
        </w:rPr>
        <w:t xml:space="preserve">el incremento de la </w:t>
      </w:r>
      <w:r w:rsidR="0057698F" w:rsidRPr="00F30F48">
        <w:rPr>
          <w:rFonts w:ascii="Arial" w:hAnsi="Arial" w:cs="Arial"/>
          <w:kern w:val="28"/>
          <w:sz w:val="22"/>
          <w:szCs w:val="22"/>
        </w:rPr>
        <w:t>cobertura</w:t>
      </w:r>
      <w:r w:rsidR="00383C83" w:rsidRPr="00F30F48">
        <w:rPr>
          <w:rFonts w:ascii="Arial" w:hAnsi="Arial" w:cs="Arial"/>
          <w:kern w:val="28"/>
          <w:sz w:val="22"/>
          <w:szCs w:val="22"/>
        </w:rPr>
        <w:t xml:space="preserve"> en el número de procesos de mayores pretensiones en los que logra intervenir la ANDJE.</w:t>
      </w:r>
      <w:r w:rsidRPr="00F30F48">
        <w:rPr>
          <w:rFonts w:ascii="Arial" w:hAnsi="Arial" w:cs="Arial"/>
          <w:kern w:val="28"/>
          <w:sz w:val="22"/>
          <w:szCs w:val="22"/>
        </w:rPr>
        <w:t xml:space="preserve"> </w:t>
      </w:r>
      <w:r w:rsidR="00383C83" w:rsidRPr="00F30F48">
        <w:rPr>
          <w:rFonts w:ascii="Arial" w:hAnsi="Arial" w:cs="Arial"/>
          <w:kern w:val="28"/>
          <w:sz w:val="22"/>
          <w:szCs w:val="22"/>
        </w:rPr>
        <w:t>A 2018 existen 398</w:t>
      </w:r>
      <w:r w:rsidR="00F30F48" w:rsidRPr="00F30F48">
        <w:rPr>
          <w:rFonts w:ascii="Arial" w:hAnsi="Arial" w:cs="Arial"/>
          <w:kern w:val="28"/>
          <w:sz w:val="22"/>
          <w:szCs w:val="22"/>
        </w:rPr>
        <w:t>.</w:t>
      </w:r>
      <w:r w:rsidR="00383C83" w:rsidRPr="00F30F48">
        <w:rPr>
          <w:rFonts w:ascii="Arial" w:hAnsi="Arial" w:cs="Arial"/>
          <w:kern w:val="28"/>
          <w:sz w:val="22"/>
          <w:szCs w:val="22"/>
        </w:rPr>
        <w:t>064 procesos a nivel nacional con pretensiones por US$119</w:t>
      </w:r>
      <w:r w:rsidR="00F30F48" w:rsidRPr="00F30F48">
        <w:rPr>
          <w:rFonts w:ascii="Arial" w:hAnsi="Arial" w:cs="Arial"/>
          <w:kern w:val="28"/>
          <w:sz w:val="22"/>
          <w:szCs w:val="22"/>
        </w:rPr>
        <w:t>.</w:t>
      </w:r>
      <w:r w:rsidR="00383C83" w:rsidRPr="00F30F48">
        <w:rPr>
          <w:rFonts w:ascii="Arial" w:hAnsi="Arial" w:cs="Arial"/>
          <w:kern w:val="28"/>
          <w:sz w:val="22"/>
          <w:szCs w:val="22"/>
        </w:rPr>
        <w:t>000</w:t>
      </w:r>
      <w:r w:rsidR="00F30F48">
        <w:rPr>
          <w:rFonts w:ascii="Arial" w:hAnsi="Arial" w:cs="Arial"/>
          <w:kern w:val="28"/>
          <w:sz w:val="22"/>
          <w:szCs w:val="22"/>
        </w:rPr>
        <w:t> </w:t>
      </w:r>
      <w:r w:rsidR="00383C83" w:rsidRPr="00F30F48">
        <w:rPr>
          <w:rFonts w:ascii="Arial" w:hAnsi="Arial" w:cs="Arial"/>
          <w:kern w:val="28"/>
          <w:sz w:val="22"/>
          <w:szCs w:val="22"/>
        </w:rPr>
        <w:t>millones</w:t>
      </w:r>
      <w:r w:rsidR="00383C83" w:rsidRPr="00F30F48">
        <w:rPr>
          <w:rStyle w:val="FootnoteReference"/>
          <w:rFonts w:ascii="Arial" w:hAnsi="Arial" w:cs="Arial"/>
          <w:kern w:val="28"/>
          <w:sz w:val="22"/>
          <w:szCs w:val="22"/>
        </w:rPr>
        <w:footnoteReference w:id="1"/>
      </w:r>
      <w:r w:rsidR="00383C83" w:rsidRPr="00F30F48">
        <w:rPr>
          <w:rFonts w:ascii="Arial" w:hAnsi="Arial" w:cs="Arial"/>
          <w:kern w:val="28"/>
          <w:sz w:val="22"/>
          <w:szCs w:val="22"/>
        </w:rPr>
        <w:t xml:space="preserve">. El 68% del total de las pretensiones equivalente a </w:t>
      </w:r>
      <w:r w:rsidR="00383C83" w:rsidRPr="00F30F48">
        <w:rPr>
          <w:rFonts w:ascii="Arial" w:hAnsi="Arial" w:cs="Arial"/>
          <w:kern w:val="28"/>
          <w:sz w:val="22"/>
          <w:szCs w:val="22"/>
          <w:lang w:val="es-ES_tradnl"/>
        </w:rPr>
        <w:t>US$80</w:t>
      </w:r>
      <w:r w:rsidR="00F30F48" w:rsidRPr="00F30F48">
        <w:rPr>
          <w:rFonts w:ascii="Arial" w:hAnsi="Arial" w:cs="Arial"/>
          <w:kern w:val="28"/>
          <w:sz w:val="22"/>
          <w:szCs w:val="22"/>
          <w:lang w:val="es-ES_tradnl"/>
        </w:rPr>
        <w:t>.</w:t>
      </w:r>
      <w:r w:rsidR="00383C83" w:rsidRPr="00F30F48">
        <w:rPr>
          <w:rFonts w:ascii="Arial" w:hAnsi="Arial" w:cs="Arial"/>
          <w:kern w:val="28"/>
          <w:sz w:val="22"/>
          <w:szCs w:val="22"/>
          <w:lang w:val="es-ES_tradnl"/>
        </w:rPr>
        <w:t xml:space="preserve">842 millones </w:t>
      </w:r>
      <w:r w:rsidR="00383C83" w:rsidRPr="00F30F48">
        <w:rPr>
          <w:rFonts w:ascii="Arial" w:hAnsi="Arial" w:cs="Arial"/>
          <w:kern w:val="28"/>
          <w:sz w:val="22"/>
          <w:szCs w:val="22"/>
        </w:rPr>
        <w:t>está concentrado en 500 procesos. De estos 500</w:t>
      </w:r>
      <w:r w:rsidR="00F30F48" w:rsidRPr="00F30F48">
        <w:rPr>
          <w:rFonts w:ascii="Arial" w:hAnsi="Arial" w:cs="Arial"/>
          <w:kern w:val="28"/>
          <w:sz w:val="22"/>
          <w:szCs w:val="22"/>
        </w:rPr>
        <w:t> </w:t>
      </w:r>
      <w:r w:rsidR="00383C83" w:rsidRPr="00F30F48">
        <w:rPr>
          <w:rFonts w:ascii="Arial" w:hAnsi="Arial" w:cs="Arial"/>
          <w:kern w:val="28"/>
          <w:sz w:val="22"/>
          <w:szCs w:val="22"/>
        </w:rPr>
        <w:t xml:space="preserve">procesos, la ANDJE actualmente interviene de manera directa en </w:t>
      </w:r>
      <w:r w:rsidR="0025258C" w:rsidRPr="00F30F48">
        <w:rPr>
          <w:rFonts w:ascii="Arial" w:hAnsi="Arial" w:cs="Arial"/>
          <w:kern w:val="28"/>
          <w:sz w:val="22"/>
          <w:szCs w:val="22"/>
        </w:rPr>
        <w:t>27</w:t>
      </w:r>
      <w:r w:rsidR="00383C83" w:rsidRPr="00F30F48">
        <w:rPr>
          <w:rStyle w:val="FootnoteReference"/>
          <w:rFonts w:ascii="Arial" w:hAnsi="Arial" w:cs="Arial"/>
          <w:kern w:val="28"/>
          <w:sz w:val="22"/>
          <w:szCs w:val="22"/>
        </w:rPr>
        <w:footnoteReference w:id="2"/>
      </w:r>
      <w:r w:rsidR="00383C83" w:rsidRPr="00F30F48">
        <w:rPr>
          <w:rFonts w:ascii="Arial" w:hAnsi="Arial" w:cs="Arial"/>
          <w:kern w:val="28"/>
          <w:sz w:val="22"/>
          <w:szCs w:val="22"/>
        </w:rPr>
        <w:t xml:space="preserve">. </w:t>
      </w:r>
    </w:p>
    <w:p w14:paraId="4489840D" w14:textId="77777777" w:rsidR="006F3B28" w:rsidRPr="00F30F48" w:rsidRDefault="006F3B28" w:rsidP="006F3B28">
      <w:pPr>
        <w:pStyle w:val="Paragraph"/>
        <w:numPr>
          <w:ilvl w:val="0"/>
          <w:numId w:val="0"/>
        </w:numPr>
        <w:spacing w:before="0" w:after="0"/>
        <w:ind w:left="562"/>
        <w:rPr>
          <w:rFonts w:ascii="Arial" w:hAnsi="Arial" w:cs="Arial"/>
          <w:kern w:val="28"/>
          <w:szCs w:val="24"/>
        </w:rPr>
      </w:pPr>
    </w:p>
    <w:p w14:paraId="6A9BC415" w14:textId="77777777" w:rsidR="00B84211" w:rsidRPr="00F30F48" w:rsidRDefault="00C355F9" w:rsidP="00F30F48">
      <w:pPr>
        <w:numPr>
          <w:ilvl w:val="0"/>
          <w:numId w:val="1"/>
        </w:numPr>
        <w:spacing w:after="0" w:line="480" w:lineRule="auto"/>
        <w:ind w:left="720" w:hanging="720"/>
        <w:jc w:val="both"/>
        <w:rPr>
          <w:rFonts w:ascii="Arial" w:hAnsi="Arial" w:cs="Arial"/>
          <w:b/>
          <w:sz w:val="24"/>
          <w:szCs w:val="24"/>
        </w:rPr>
      </w:pPr>
      <w:r w:rsidRPr="00F30F48">
        <w:rPr>
          <w:rFonts w:ascii="Arial" w:hAnsi="Arial" w:cs="Arial"/>
          <w:b/>
          <w:sz w:val="24"/>
          <w:szCs w:val="24"/>
        </w:rPr>
        <w:t>Metodología</w:t>
      </w:r>
    </w:p>
    <w:p w14:paraId="2B5B37F2" w14:textId="35367427" w:rsidR="006F3B28" w:rsidRPr="00471550" w:rsidRDefault="007B3237" w:rsidP="00F30F48">
      <w:pPr>
        <w:pStyle w:val="TitulopostI"/>
        <w:numPr>
          <w:ilvl w:val="0"/>
          <w:numId w:val="29"/>
        </w:numPr>
        <w:ind w:hanging="720"/>
        <w:rPr>
          <w:rFonts w:ascii="Arial" w:hAnsi="Arial" w:cs="Arial"/>
          <w:sz w:val="22"/>
          <w:szCs w:val="22"/>
        </w:rPr>
      </w:pPr>
      <w:r w:rsidRPr="00F30F48">
        <w:rPr>
          <w:rFonts w:ascii="Arial" w:hAnsi="Arial" w:cs="Arial"/>
          <w:sz w:val="22"/>
          <w:szCs w:val="22"/>
        </w:rPr>
        <w:t>Descripción de la intervención</w:t>
      </w:r>
      <w:r w:rsidR="00F30F48" w:rsidRPr="00F30F48">
        <w:rPr>
          <w:rFonts w:ascii="Arial" w:hAnsi="Arial" w:cs="Arial"/>
          <w:sz w:val="22"/>
          <w:szCs w:val="22"/>
        </w:rPr>
        <w:t xml:space="preserve">. </w:t>
      </w:r>
      <w:r w:rsidR="00CC5225" w:rsidRPr="00F30F48">
        <w:rPr>
          <w:rFonts w:ascii="Arial" w:hAnsi="Arial" w:cs="Arial"/>
          <w:b w:val="0"/>
          <w:kern w:val="28"/>
          <w:sz w:val="22"/>
          <w:szCs w:val="22"/>
        </w:rPr>
        <w:t xml:space="preserve">El </w:t>
      </w:r>
      <w:r w:rsidR="005D4979" w:rsidRPr="00F30F48">
        <w:rPr>
          <w:rFonts w:ascii="Arial" w:hAnsi="Arial" w:cs="Arial"/>
          <w:b w:val="0"/>
          <w:kern w:val="28"/>
          <w:sz w:val="22"/>
          <w:szCs w:val="22"/>
        </w:rPr>
        <w:t>Programa</w:t>
      </w:r>
      <w:r w:rsidR="00556E87" w:rsidRPr="00F30F48" w:rsidDel="00556E87">
        <w:rPr>
          <w:rFonts w:ascii="Arial" w:hAnsi="Arial" w:cs="Arial"/>
          <w:b w:val="0"/>
          <w:kern w:val="28"/>
          <w:sz w:val="22"/>
          <w:szCs w:val="22"/>
        </w:rPr>
        <w:t xml:space="preserve"> </w:t>
      </w:r>
      <w:r w:rsidR="008C5ABC" w:rsidRPr="00F30F48">
        <w:rPr>
          <w:rFonts w:ascii="Arial" w:hAnsi="Arial" w:cs="Arial"/>
          <w:b w:val="0"/>
          <w:kern w:val="28"/>
          <w:sz w:val="22"/>
          <w:szCs w:val="22"/>
        </w:rPr>
        <w:t xml:space="preserve">tiene </w:t>
      </w:r>
      <w:r w:rsidR="0057698F" w:rsidRPr="00F30F48">
        <w:rPr>
          <w:rFonts w:ascii="Arial" w:hAnsi="Arial" w:cs="Arial"/>
          <w:b w:val="0"/>
          <w:kern w:val="28"/>
          <w:sz w:val="22"/>
          <w:szCs w:val="22"/>
        </w:rPr>
        <w:t>dos</w:t>
      </w:r>
      <w:r w:rsidR="003477BB" w:rsidRPr="00F30F48">
        <w:rPr>
          <w:rFonts w:ascii="Arial" w:hAnsi="Arial" w:cs="Arial"/>
          <w:b w:val="0"/>
          <w:kern w:val="28"/>
          <w:sz w:val="22"/>
          <w:szCs w:val="22"/>
        </w:rPr>
        <w:t xml:space="preserve"> </w:t>
      </w:r>
      <w:r w:rsidR="00D935D8" w:rsidRPr="00F30F48">
        <w:rPr>
          <w:rFonts w:ascii="Arial" w:hAnsi="Arial" w:cs="Arial"/>
          <w:b w:val="0"/>
          <w:kern w:val="28"/>
          <w:sz w:val="22"/>
          <w:szCs w:val="22"/>
        </w:rPr>
        <w:t>componentes</w:t>
      </w:r>
      <w:r w:rsidR="00A83DE7" w:rsidRPr="00F30F48">
        <w:rPr>
          <w:rFonts w:ascii="Arial" w:hAnsi="Arial" w:cs="Arial"/>
          <w:b w:val="0"/>
          <w:kern w:val="28"/>
          <w:sz w:val="22"/>
          <w:szCs w:val="22"/>
        </w:rPr>
        <w:t>:</w:t>
      </w:r>
      <w:r w:rsidR="00A83DE7" w:rsidRPr="00F30F48">
        <w:rPr>
          <w:rFonts w:ascii="Arial" w:hAnsi="Arial" w:cs="Arial"/>
          <w:kern w:val="28"/>
          <w:sz w:val="22"/>
          <w:szCs w:val="22"/>
        </w:rPr>
        <w:t xml:space="preserve">  </w:t>
      </w:r>
    </w:p>
    <w:p w14:paraId="55ED5E6D" w14:textId="3A0D5BC2" w:rsidR="00471550" w:rsidRPr="00F874ED" w:rsidRDefault="00471550" w:rsidP="00F874ED">
      <w:pPr>
        <w:pStyle w:val="TitulopostI"/>
        <w:numPr>
          <w:ilvl w:val="1"/>
          <w:numId w:val="33"/>
        </w:numPr>
        <w:spacing w:line="240" w:lineRule="auto"/>
        <w:ind w:hanging="720"/>
        <w:rPr>
          <w:rFonts w:ascii="Arial" w:hAnsi="Arial" w:cs="Arial"/>
          <w:b w:val="0"/>
          <w:bCs/>
          <w:sz w:val="22"/>
          <w:szCs w:val="22"/>
          <w:lang w:val="es-CO"/>
        </w:rPr>
      </w:pPr>
      <w:bookmarkStart w:id="3" w:name="_Ref14341159"/>
      <w:r w:rsidRPr="00BE6F71">
        <w:rPr>
          <w:rFonts w:ascii="Arial" w:hAnsi="Arial" w:cs="Arial"/>
          <w:sz w:val="22"/>
          <w:szCs w:val="22"/>
          <w:lang w:val="es-CO"/>
        </w:rPr>
        <w:t>Componente 1. Fortalecimiento de las capacidades de la ANDJE para mejorar la eficiencia de las entidades del nivel nacion</w:t>
      </w:r>
      <w:r>
        <w:rPr>
          <w:rFonts w:ascii="Arial" w:hAnsi="Arial" w:cs="Arial"/>
          <w:sz w:val="22"/>
          <w:szCs w:val="22"/>
          <w:lang w:val="es-CO"/>
        </w:rPr>
        <w:t xml:space="preserve">al que hacen parte del </w:t>
      </w:r>
      <w:r w:rsidR="00C05C1D">
        <w:rPr>
          <w:rFonts w:ascii="Arial" w:hAnsi="Arial" w:cs="Arial"/>
          <w:sz w:val="22"/>
          <w:szCs w:val="22"/>
          <w:lang w:val="es-CO"/>
        </w:rPr>
        <w:t>S</w:t>
      </w:r>
      <w:r>
        <w:rPr>
          <w:rFonts w:ascii="Arial" w:hAnsi="Arial" w:cs="Arial"/>
          <w:sz w:val="22"/>
          <w:szCs w:val="22"/>
          <w:lang w:val="es-CO"/>
        </w:rPr>
        <w:t>DJ (US$8,2</w:t>
      </w:r>
      <w:r w:rsidRPr="00BE6F71">
        <w:rPr>
          <w:rFonts w:ascii="Arial" w:hAnsi="Arial" w:cs="Arial"/>
          <w:sz w:val="22"/>
          <w:szCs w:val="22"/>
          <w:lang w:val="es-CO"/>
        </w:rPr>
        <w:t xml:space="preserve"> millones). </w:t>
      </w:r>
      <w:r w:rsidRPr="00F874ED">
        <w:rPr>
          <w:rFonts w:ascii="Arial" w:hAnsi="Arial" w:cs="Arial"/>
          <w:b w:val="0"/>
          <w:bCs/>
          <w:sz w:val="22"/>
          <w:szCs w:val="22"/>
          <w:lang w:val="es-CO"/>
        </w:rPr>
        <w:t>Se busca mejorar la eficacia de las herramientas de gestión, así como la cobertura en los procesos</w:t>
      </w:r>
      <w:r w:rsidRPr="00F874ED">
        <w:rPr>
          <w:rStyle w:val="FootnoteReference"/>
          <w:rFonts w:ascii="Arial" w:hAnsi="Arial" w:cs="Arial"/>
          <w:b w:val="0"/>
          <w:bCs/>
          <w:sz w:val="22"/>
          <w:szCs w:val="22"/>
          <w:lang w:val="es-CO"/>
        </w:rPr>
        <w:footnoteReference w:id="3"/>
      </w:r>
      <w:r w:rsidRPr="00F874ED">
        <w:rPr>
          <w:rFonts w:ascii="Arial" w:hAnsi="Arial" w:cs="Arial"/>
          <w:b w:val="0"/>
          <w:bCs/>
          <w:sz w:val="22"/>
          <w:szCs w:val="22"/>
          <w:lang w:val="es-CO"/>
        </w:rPr>
        <w:t xml:space="preserve"> que interviene la ANDJE. Se financiará</w:t>
      </w:r>
      <w:r w:rsidRPr="00F874ED">
        <w:rPr>
          <w:rStyle w:val="FootnoteReference"/>
          <w:rFonts w:ascii="Arial" w:hAnsi="Arial" w:cs="Arial"/>
          <w:b w:val="0"/>
          <w:bCs/>
          <w:sz w:val="22"/>
          <w:szCs w:val="22"/>
          <w:lang w:val="es-CO"/>
        </w:rPr>
        <w:footnoteReference w:id="4"/>
      </w:r>
      <w:r w:rsidRPr="00F874ED">
        <w:rPr>
          <w:rFonts w:ascii="Arial" w:hAnsi="Arial" w:cs="Arial"/>
          <w:b w:val="0"/>
          <w:bCs/>
          <w:sz w:val="22"/>
          <w:szCs w:val="22"/>
          <w:lang w:val="es-CO"/>
        </w:rPr>
        <w:t>:</w:t>
      </w:r>
      <w:r w:rsidR="00FE3C2D">
        <w:rPr>
          <w:rFonts w:ascii="Arial" w:hAnsi="Arial" w:cs="Arial"/>
          <w:b w:val="0"/>
          <w:bCs/>
          <w:sz w:val="22"/>
          <w:szCs w:val="22"/>
          <w:lang w:val="es-CO"/>
        </w:rPr>
        <w:t> </w:t>
      </w:r>
      <w:r w:rsidRPr="00F874ED">
        <w:rPr>
          <w:rFonts w:ascii="Arial" w:hAnsi="Arial" w:cs="Arial"/>
          <w:b w:val="0"/>
          <w:bCs/>
          <w:sz w:val="22"/>
          <w:szCs w:val="22"/>
          <w:lang w:val="es-CO"/>
        </w:rPr>
        <w:t>(i)</w:t>
      </w:r>
      <w:r w:rsidR="00FE3C2D">
        <w:rPr>
          <w:rFonts w:ascii="Arial" w:hAnsi="Arial" w:cs="Arial"/>
          <w:b w:val="0"/>
          <w:bCs/>
          <w:sz w:val="22"/>
          <w:szCs w:val="22"/>
          <w:lang w:val="es-CO"/>
        </w:rPr>
        <w:t> </w:t>
      </w:r>
      <w:bookmarkStart w:id="4" w:name="_Hlk14338304"/>
      <w:r w:rsidRPr="00F874ED">
        <w:rPr>
          <w:rFonts w:ascii="Arial" w:hAnsi="Arial" w:cs="Arial"/>
          <w:b w:val="0"/>
          <w:bCs/>
          <w:sz w:val="22"/>
          <w:szCs w:val="22"/>
          <w:lang w:val="es-CO"/>
        </w:rPr>
        <w:t xml:space="preserve">diseño e implementación del </w:t>
      </w:r>
      <w:bookmarkEnd w:id="4"/>
      <w:r w:rsidRPr="00F874ED">
        <w:rPr>
          <w:rFonts w:ascii="Arial" w:hAnsi="Arial" w:cs="Arial"/>
          <w:b w:val="0"/>
          <w:bCs/>
          <w:sz w:val="22"/>
          <w:szCs w:val="22"/>
          <w:lang w:val="es-CO"/>
        </w:rPr>
        <w:t>Modelo integral de Gestión para la Defensa Jurídica</w:t>
      </w:r>
      <w:r w:rsidRPr="00F874ED">
        <w:rPr>
          <w:rStyle w:val="FootnoteReference"/>
          <w:rFonts w:ascii="Arial" w:hAnsi="Arial" w:cs="Arial"/>
          <w:b w:val="0"/>
          <w:bCs/>
          <w:sz w:val="22"/>
          <w:szCs w:val="22"/>
          <w:lang w:val="es-CO"/>
        </w:rPr>
        <w:footnoteReference w:id="5"/>
      </w:r>
      <w:r w:rsidRPr="00F874ED">
        <w:rPr>
          <w:rFonts w:ascii="Arial" w:hAnsi="Arial" w:cs="Arial"/>
          <w:b w:val="0"/>
          <w:bCs/>
          <w:sz w:val="22"/>
          <w:szCs w:val="22"/>
          <w:lang w:val="es-CO"/>
        </w:rPr>
        <w:t xml:space="preserve"> que incluye</w:t>
      </w:r>
      <w:r w:rsidRPr="00F874ED">
        <w:rPr>
          <w:rFonts w:ascii="Arial" w:hAnsi="Arial" w:cs="Arial"/>
          <w:b w:val="0"/>
          <w:bCs/>
          <w:sz w:val="22"/>
          <w:szCs w:val="22"/>
          <w:lang w:val="es-ES_tradnl"/>
        </w:rPr>
        <w:t>:</w:t>
      </w:r>
      <w:r w:rsidRPr="00F874ED">
        <w:rPr>
          <w:rFonts w:ascii="Arial" w:hAnsi="Arial" w:cs="Arial"/>
          <w:b w:val="0"/>
          <w:bCs/>
          <w:sz w:val="22"/>
          <w:szCs w:val="22"/>
          <w:lang w:val="es-CO"/>
        </w:rPr>
        <w:t xml:space="preserve"> (a) diagnóstico tomando como insumos identificados: diseño de arquitectura organizacional, dimensionamiento del tamaño y proyección de la defensa jurídica en Colombia análisis de procesos trasversales, caracterización de grupos de interés y entidades del sistema de </w:t>
      </w:r>
      <w:r w:rsidR="00C05C1D">
        <w:rPr>
          <w:rFonts w:ascii="Arial" w:hAnsi="Arial" w:cs="Arial"/>
          <w:b w:val="0"/>
          <w:bCs/>
          <w:sz w:val="22"/>
          <w:szCs w:val="22"/>
          <w:lang w:val="es-CO"/>
        </w:rPr>
        <w:t>S</w:t>
      </w:r>
      <w:r w:rsidRPr="00F874ED">
        <w:rPr>
          <w:rFonts w:ascii="Arial" w:hAnsi="Arial" w:cs="Arial"/>
          <w:b w:val="0"/>
          <w:bCs/>
          <w:sz w:val="22"/>
          <w:szCs w:val="22"/>
          <w:lang w:val="es-CO"/>
        </w:rPr>
        <w:t xml:space="preserve">DJ, proceso de gestión de casos, indicadores de resultado para tablero de seguimiento de toda la Agencia, estructuración de herramientas financieras y talento humano, mecanismos de coordinación con el </w:t>
      </w:r>
      <w:r w:rsidR="00C05C1D">
        <w:rPr>
          <w:rFonts w:ascii="Arial" w:hAnsi="Arial" w:cs="Arial"/>
          <w:b w:val="0"/>
          <w:bCs/>
          <w:sz w:val="22"/>
          <w:szCs w:val="22"/>
          <w:lang w:val="es-CO"/>
        </w:rPr>
        <w:t>S</w:t>
      </w:r>
      <w:r w:rsidRPr="00F874ED">
        <w:rPr>
          <w:rFonts w:ascii="Arial" w:hAnsi="Arial" w:cs="Arial"/>
          <w:b w:val="0"/>
          <w:bCs/>
          <w:sz w:val="22"/>
          <w:szCs w:val="22"/>
          <w:lang w:val="es-CO"/>
        </w:rPr>
        <w:t xml:space="preserve">DJ, relación con </w:t>
      </w:r>
      <w:r w:rsidR="009A3D46">
        <w:rPr>
          <w:rFonts w:ascii="Arial" w:hAnsi="Arial" w:cs="Arial"/>
          <w:b w:val="0"/>
          <w:bCs/>
          <w:sz w:val="22"/>
          <w:szCs w:val="22"/>
          <w:lang w:val="es-CO"/>
        </w:rPr>
        <w:t>M</w:t>
      </w:r>
      <w:r w:rsidRPr="00F874ED">
        <w:rPr>
          <w:rFonts w:ascii="Arial" w:hAnsi="Arial" w:cs="Arial"/>
          <w:b w:val="0"/>
          <w:bCs/>
          <w:sz w:val="22"/>
          <w:szCs w:val="22"/>
          <w:lang w:val="es-CO"/>
        </w:rPr>
        <w:t xml:space="preserve">odelo </w:t>
      </w:r>
      <w:r w:rsidR="009A3D46">
        <w:rPr>
          <w:rFonts w:ascii="Arial" w:hAnsi="Arial" w:cs="Arial"/>
          <w:b w:val="0"/>
          <w:bCs/>
          <w:sz w:val="22"/>
          <w:szCs w:val="22"/>
          <w:lang w:val="es-CO"/>
        </w:rPr>
        <w:t>I</w:t>
      </w:r>
      <w:r w:rsidRPr="00F874ED">
        <w:rPr>
          <w:rFonts w:ascii="Arial" w:hAnsi="Arial" w:cs="Arial"/>
          <w:b w:val="0"/>
          <w:bCs/>
          <w:sz w:val="22"/>
          <w:szCs w:val="22"/>
          <w:lang w:val="es-CO"/>
        </w:rPr>
        <w:t>ntegrado de Planeación y Gestión</w:t>
      </w:r>
      <w:r w:rsidRPr="00F874ED">
        <w:rPr>
          <w:rStyle w:val="FootnoteReference"/>
          <w:rFonts w:ascii="Arial" w:hAnsi="Arial" w:cs="Arial"/>
          <w:b w:val="0"/>
          <w:bCs/>
          <w:sz w:val="22"/>
          <w:szCs w:val="22"/>
          <w:lang w:val="es-CO"/>
        </w:rPr>
        <w:footnoteReference w:id="6"/>
      </w:r>
      <w:r w:rsidRPr="00F874ED">
        <w:rPr>
          <w:rFonts w:ascii="Arial" w:hAnsi="Arial" w:cs="Arial"/>
          <w:b w:val="0"/>
          <w:bCs/>
          <w:sz w:val="22"/>
          <w:szCs w:val="22"/>
          <w:lang w:val="es-CO"/>
        </w:rPr>
        <w:t>, gestión de riesgos y alertas</w:t>
      </w:r>
      <w:r w:rsidRPr="00F874ED">
        <w:rPr>
          <w:rStyle w:val="FootnoteReference"/>
          <w:rFonts w:ascii="Arial" w:hAnsi="Arial" w:cs="Arial"/>
          <w:b w:val="0"/>
          <w:bCs/>
          <w:sz w:val="22"/>
          <w:szCs w:val="22"/>
          <w:lang w:val="es-CO"/>
        </w:rPr>
        <w:footnoteReference w:id="7"/>
      </w:r>
      <w:r w:rsidRPr="00F874ED">
        <w:rPr>
          <w:rFonts w:ascii="Arial" w:hAnsi="Arial" w:cs="Arial"/>
          <w:b w:val="0"/>
          <w:bCs/>
          <w:sz w:val="22"/>
          <w:szCs w:val="22"/>
          <w:lang w:val="es-CO"/>
        </w:rPr>
        <w:t xml:space="preserve">, gestión de cambio en función </w:t>
      </w:r>
      <w:r w:rsidRPr="00F874ED">
        <w:rPr>
          <w:rFonts w:ascii="Arial" w:hAnsi="Arial" w:cs="Arial"/>
          <w:b w:val="0"/>
          <w:bCs/>
          <w:sz w:val="22"/>
          <w:szCs w:val="22"/>
          <w:lang w:val="es-CO"/>
        </w:rPr>
        <w:lastRenderedPageBreak/>
        <w:t xml:space="preserve">del </w:t>
      </w:r>
      <w:r w:rsidR="00C05C1D">
        <w:rPr>
          <w:rFonts w:ascii="Arial" w:hAnsi="Arial" w:cs="Arial"/>
          <w:b w:val="0"/>
          <w:bCs/>
          <w:sz w:val="22"/>
          <w:szCs w:val="22"/>
          <w:lang w:val="es-CO"/>
        </w:rPr>
        <w:t>S</w:t>
      </w:r>
      <w:r w:rsidRPr="00F874ED">
        <w:rPr>
          <w:rFonts w:ascii="Arial" w:hAnsi="Arial" w:cs="Arial"/>
          <w:b w:val="0"/>
          <w:bCs/>
          <w:sz w:val="22"/>
          <w:szCs w:val="22"/>
          <w:lang w:val="es-CO"/>
        </w:rPr>
        <w:t xml:space="preserve">DJ y estudio comparado para establecer </w:t>
      </w:r>
      <w:r w:rsidRPr="00F874ED">
        <w:rPr>
          <w:rFonts w:ascii="Arial" w:hAnsi="Arial" w:cs="Arial"/>
          <w:b w:val="0"/>
          <w:bCs/>
          <w:i/>
          <w:iCs/>
          <w:sz w:val="22"/>
          <w:szCs w:val="22"/>
          <w:lang w:val="es-CO"/>
        </w:rPr>
        <w:t>benchmarks</w:t>
      </w:r>
      <w:r w:rsidRPr="00F874ED">
        <w:rPr>
          <w:rFonts w:ascii="Arial" w:hAnsi="Arial" w:cs="Arial"/>
          <w:b w:val="0"/>
          <w:bCs/>
          <w:sz w:val="22"/>
          <w:szCs w:val="22"/>
          <w:lang w:val="es-CO"/>
        </w:rPr>
        <w:t xml:space="preserve"> y buenas prácticas en tres niveles: internacional, nacional y local; (b) validación y pilotaje modelo propuesto; y (c) ajuste e implementación por fases; (ii) </w:t>
      </w:r>
      <w:bookmarkStart w:id="5" w:name="_Hlk14338447"/>
      <w:r w:rsidRPr="00F874ED">
        <w:rPr>
          <w:rFonts w:ascii="Arial" w:hAnsi="Arial" w:cs="Arial"/>
          <w:b w:val="0"/>
          <w:bCs/>
          <w:sz w:val="22"/>
          <w:szCs w:val="22"/>
          <w:lang w:val="es-CO"/>
        </w:rPr>
        <w:t xml:space="preserve">diseño e implementación de arquitectura institucional </w:t>
      </w:r>
      <w:bookmarkStart w:id="6" w:name="_Hlk14338120"/>
      <w:r w:rsidRPr="00F874ED">
        <w:rPr>
          <w:rFonts w:ascii="Arial" w:hAnsi="Arial" w:cs="Arial"/>
          <w:b w:val="0"/>
          <w:bCs/>
          <w:sz w:val="22"/>
          <w:szCs w:val="22"/>
          <w:lang w:val="es-CO"/>
        </w:rPr>
        <w:t xml:space="preserve">y, portafolio de productos y servicios para las entidades que hacen parte del </w:t>
      </w:r>
      <w:r w:rsidR="00C05C1D">
        <w:rPr>
          <w:rFonts w:ascii="Arial" w:hAnsi="Arial" w:cs="Arial"/>
          <w:b w:val="0"/>
          <w:bCs/>
          <w:sz w:val="22"/>
          <w:szCs w:val="22"/>
          <w:lang w:val="es-CO"/>
        </w:rPr>
        <w:t>S</w:t>
      </w:r>
      <w:r w:rsidRPr="00F874ED">
        <w:rPr>
          <w:rFonts w:ascii="Arial" w:hAnsi="Arial" w:cs="Arial"/>
          <w:b w:val="0"/>
          <w:bCs/>
          <w:sz w:val="22"/>
          <w:szCs w:val="22"/>
          <w:lang w:val="es-CO"/>
        </w:rPr>
        <w:t>DJ</w:t>
      </w:r>
      <w:bookmarkEnd w:id="6"/>
      <w:r w:rsidRPr="00F874ED">
        <w:rPr>
          <w:rStyle w:val="FootnoteReference"/>
          <w:rFonts w:ascii="Arial" w:hAnsi="Arial" w:cs="Arial"/>
          <w:b w:val="0"/>
          <w:bCs/>
          <w:sz w:val="22"/>
          <w:szCs w:val="22"/>
          <w:lang w:val="es-CO"/>
        </w:rPr>
        <w:footnoteReference w:id="8"/>
      </w:r>
      <w:r w:rsidRPr="00F874ED">
        <w:rPr>
          <w:rFonts w:ascii="Arial" w:hAnsi="Arial" w:cs="Arial"/>
          <w:b w:val="0"/>
          <w:bCs/>
          <w:sz w:val="22"/>
          <w:szCs w:val="22"/>
          <w:lang w:val="es-CO"/>
        </w:rPr>
        <w:t xml:space="preserve">: (a) desarrollo del </w:t>
      </w:r>
      <w:r w:rsidR="009A3D46">
        <w:rPr>
          <w:rFonts w:ascii="Arial" w:hAnsi="Arial" w:cs="Arial"/>
          <w:b w:val="0"/>
          <w:bCs/>
          <w:sz w:val="22"/>
          <w:szCs w:val="22"/>
          <w:lang w:val="es-CO"/>
        </w:rPr>
        <w:t>m</w:t>
      </w:r>
      <w:r w:rsidRPr="00F874ED">
        <w:rPr>
          <w:rFonts w:ascii="Arial" w:hAnsi="Arial" w:cs="Arial"/>
          <w:b w:val="0"/>
          <w:bCs/>
          <w:sz w:val="22"/>
          <w:szCs w:val="22"/>
          <w:lang w:val="es-CO"/>
        </w:rPr>
        <w:t xml:space="preserve">odelo de </w:t>
      </w:r>
      <w:r w:rsidR="009A3D46">
        <w:rPr>
          <w:rFonts w:ascii="Arial" w:hAnsi="Arial" w:cs="Arial"/>
          <w:b w:val="0"/>
          <w:bCs/>
          <w:sz w:val="22"/>
          <w:szCs w:val="22"/>
          <w:lang w:val="es-CO"/>
        </w:rPr>
        <w:t>a</w:t>
      </w:r>
      <w:r w:rsidRPr="00F874ED">
        <w:rPr>
          <w:rFonts w:ascii="Arial" w:hAnsi="Arial" w:cs="Arial"/>
          <w:b w:val="0"/>
          <w:bCs/>
          <w:sz w:val="22"/>
          <w:szCs w:val="22"/>
          <w:lang w:val="es-CO"/>
        </w:rPr>
        <w:t>rquitectura institucional (con base en resultado diagnóstico actividad (i.a.), diseño de arquitectura de datos, institucional</w:t>
      </w:r>
      <w:r w:rsidRPr="00F874ED">
        <w:rPr>
          <w:rStyle w:val="FootnoteReference"/>
          <w:rFonts w:ascii="Arial" w:hAnsi="Arial" w:cs="Arial"/>
          <w:b w:val="0"/>
          <w:bCs/>
          <w:sz w:val="22"/>
          <w:szCs w:val="22"/>
          <w:lang w:val="es-CO"/>
        </w:rPr>
        <w:footnoteReference w:id="9"/>
      </w:r>
      <w:r w:rsidRPr="00F874ED">
        <w:rPr>
          <w:rFonts w:ascii="Arial" w:hAnsi="Arial" w:cs="Arial"/>
          <w:b w:val="0"/>
          <w:bCs/>
          <w:sz w:val="22"/>
          <w:szCs w:val="22"/>
          <w:lang w:val="es-CO"/>
        </w:rPr>
        <w:t xml:space="preserve"> y tecnológica con base en hitos definidos y diseño de arquitectura de integración e interoperabilidad; (b) diagnóstico y optimización de portafolio actual; y (c) diseño e implementación de modelo de gestión de grupos de interés y relacionamiento (CRM), sistema de gestión de casos, expediente electrónico.</w:t>
      </w:r>
      <w:bookmarkEnd w:id="3"/>
      <w:r w:rsidRPr="00F874ED">
        <w:rPr>
          <w:rFonts w:ascii="Arial" w:hAnsi="Arial" w:cs="Arial"/>
          <w:b w:val="0"/>
          <w:bCs/>
          <w:sz w:val="22"/>
          <w:szCs w:val="22"/>
          <w:lang w:val="es-CO"/>
        </w:rPr>
        <w:t xml:space="preserve"> </w:t>
      </w:r>
      <w:bookmarkEnd w:id="5"/>
    </w:p>
    <w:p w14:paraId="0E4C6BD8" w14:textId="77777777" w:rsidR="00471550" w:rsidRDefault="00471550" w:rsidP="00471550">
      <w:pPr>
        <w:pStyle w:val="Paragraph"/>
        <w:numPr>
          <w:ilvl w:val="0"/>
          <w:numId w:val="0"/>
        </w:numPr>
        <w:spacing w:before="0" w:after="0"/>
        <w:ind w:left="720"/>
        <w:contextualSpacing/>
        <w:rPr>
          <w:rFonts w:ascii="Arial" w:hAnsi="Arial" w:cs="Arial"/>
          <w:sz w:val="22"/>
          <w:szCs w:val="22"/>
          <w:lang w:val="es-CO"/>
        </w:rPr>
      </w:pPr>
    </w:p>
    <w:p w14:paraId="24D1F4B1" w14:textId="5930DA16" w:rsidR="00471550" w:rsidRPr="00F874ED" w:rsidRDefault="00471550" w:rsidP="00F874ED">
      <w:pPr>
        <w:pStyle w:val="TitulopostI"/>
        <w:numPr>
          <w:ilvl w:val="1"/>
          <w:numId w:val="33"/>
        </w:numPr>
        <w:spacing w:line="240" w:lineRule="auto"/>
        <w:ind w:hanging="720"/>
        <w:rPr>
          <w:rFonts w:ascii="Arial" w:hAnsi="Arial" w:cs="Arial"/>
          <w:b w:val="0"/>
          <w:bCs/>
          <w:sz w:val="22"/>
          <w:szCs w:val="22"/>
          <w:u w:val="single"/>
          <w:lang w:val="es-CO"/>
        </w:rPr>
      </w:pPr>
      <w:bookmarkStart w:id="7" w:name="_Ref14341177"/>
      <w:r w:rsidRPr="00BE6F71">
        <w:rPr>
          <w:rFonts w:ascii="Arial" w:hAnsi="Arial" w:cs="Arial"/>
          <w:sz w:val="22"/>
          <w:szCs w:val="22"/>
          <w:lang w:val="es-CO"/>
        </w:rPr>
        <w:t>Componente 2. Fortalecimiento de la gestión del conocimiento basado en evide</w:t>
      </w:r>
      <w:r>
        <w:rPr>
          <w:rFonts w:ascii="Arial" w:hAnsi="Arial" w:cs="Arial"/>
          <w:sz w:val="22"/>
          <w:szCs w:val="22"/>
          <w:lang w:val="es-CO"/>
        </w:rPr>
        <w:t xml:space="preserve">ncia del </w:t>
      </w:r>
      <w:r w:rsidR="00C05C1D">
        <w:rPr>
          <w:rFonts w:ascii="Arial" w:hAnsi="Arial" w:cs="Arial"/>
          <w:sz w:val="22"/>
          <w:szCs w:val="22"/>
          <w:lang w:val="es-CO"/>
        </w:rPr>
        <w:t>S</w:t>
      </w:r>
      <w:r>
        <w:rPr>
          <w:rFonts w:ascii="Arial" w:hAnsi="Arial" w:cs="Arial"/>
          <w:sz w:val="22"/>
          <w:szCs w:val="22"/>
          <w:lang w:val="es-CO"/>
        </w:rPr>
        <w:t>DJ del Estado (US$5,8</w:t>
      </w:r>
      <w:r w:rsidRPr="00BE6F71">
        <w:rPr>
          <w:rFonts w:ascii="Arial" w:hAnsi="Arial" w:cs="Arial"/>
          <w:sz w:val="22"/>
          <w:szCs w:val="22"/>
          <w:lang w:val="es-CO"/>
        </w:rPr>
        <w:t> millones)</w:t>
      </w:r>
      <w:r w:rsidRPr="00767D7B">
        <w:rPr>
          <w:rFonts w:ascii="Arial" w:hAnsi="Arial" w:cs="Arial"/>
          <w:sz w:val="22"/>
          <w:szCs w:val="22"/>
          <w:lang w:val="es-CO"/>
        </w:rPr>
        <w:t>.</w:t>
      </w:r>
      <w:r w:rsidRPr="00BE6F71">
        <w:rPr>
          <w:rFonts w:ascii="Arial" w:hAnsi="Arial" w:cs="Arial"/>
          <w:sz w:val="22"/>
          <w:szCs w:val="22"/>
          <w:lang w:val="es-CO"/>
        </w:rPr>
        <w:t> </w:t>
      </w:r>
      <w:bookmarkStart w:id="8" w:name="_Hlk14338475"/>
      <w:r w:rsidRPr="00BE6F71">
        <w:rPr>
          <w:rFonts w:ascii="Arial" w:hAnsi="Arial" w:cs="Arial"/>
          <w:sz w:val="22"/>
          <w:szCs w:val="22"/>
          <w:lang w:val="es-CO"/>
        </w:rPr>
        <w:t>Se busca mejorar la t</w:t>
      </w:r>
      <w:r>
        <w:rPr>
          <w:rFonts w:ascii="Arial" w:hAnsi="Arial" w:cs="Arial"/>
          <w:sz w:val="22"/>
          <w:szCs w:val="22"/>
          <w:lang w:val="es-CO"/>
        </w:rPr>
        <w:t>ransferencia</w:t>
      </w:r>
      <w:r w:rsidRPr="00BE6F71">
        <w:rPr>
          <w:rFonts w:ascii="Arial" w:hAnsi="Arial" w:cs="Arial"/>
          <w:sz w:val="22"/>
          <w:szCs w:val="22"/>
          <w:lang w:val="es-CO"/>
        </w:rPr>
        <w:t xml:space="preserve"> del conocimiento para la ANDJE y las entidades que hacen parte del </w:t>
      </w:r>
      <w:r w:rsidR="00C05C1D">
        <w:rPr>
          <w:rFonts w:ascii="Arial" w:hAnsi="Arial" w:cs="Arial"/>
          <w:sz w:val="22"/>
          <w:szCs w:val="22"/>
          <w:lang w:val="es-CO"/>
        </w:rPr>
        <w:t>S</w:t>
      </w:r>
      <w:r w:rsidRPr="00BE6F71">
        <w:rPr>
          <w:rFonts w:ascii="Arial" w:hAnsi="Arial" w:cs="Arial"/>
          <w:sz w:val="22"/>
          <w:szCs w:val="22"/>
          <w:lang w:val="es-CO"/>
        </w:rPr>
        <w:t xml:space="preserve">DJ. </w:t>
      </w:r>
      <w:r w:rsidRPr="00F874ED">
        <w:rPr>
          <w:rFonts w:ascii="Arial" w:hAnsi="Arial" w:cs="Arial"/>
          <w:b w:val="0"/>
          <w:bCs/>
          <w:sz w:val="22"/>
          <w:szCs w:val="22"/>
          <w:lang w:val="es-CO"/>
        </w:rPr>
        <w:t>Se financiará</w:t>
      </w:r>
      <w:r w:rsidRPr="00F874ED">
        <w:rPr>
          <w:rStyle w:val="FootnoteReference"/>
          <w:rFonts w:ascii="Arial" w:hAnsi="Arial" w:cs="Arial"/>
          <w:b w:val="0"/>
          <w:bCs/>
          <w:sz w:val="22"/>
          <w:szCs w:val="22"/>
          <w:lang w:val="es-CO"/>
        </w:rPr>
        <w:footnoteReference w:id="10"/>
      </w:r>
      <w:r w:rsidRPr="00F874ED">
        <w:rPr>
          <w:rFonts w:ascii="Arial" w:hAnsi="Arial" w:cs="Arial"/>
          <w:b w:val="0"/>
          <w:bCs/>
          <w:sz w:val="22"/>
          <w:szCs w:val="22"/>
          <w:lang w:val="es-CO"/>
        </w:rPr>
        <w:t xml:space="preserve">: (i) </w:t>
      </w:r>
      <w:bookmarkStart w:id="9" w:name="_Hlk14338144"/>
      <w:r w:rsidRPr="00F874ED">
        <w:rPr>
          <w:rFonts w:ascii="Arial" w:hAnsi="Arial" w:cs="Arial"/>
          <w:b w:val="0"/>
          <w:bCs/>
          <w:sz w:val="22"/>
          <w:szCs w:val="22"/>
          <w:lang w:val="es-CO"/>
        </w:rPr>
        <w:t>fortalecimiento de arquitectura de los sistemas de información de la Agencia incluyendo el desarrollo de módulos misionales (hasta tres)</w:t>
      </w:r>
      <w:bookmarkEnd w:id="9"/>
      <w:r w:rsidRPr="00F874ED">
        <w:rPr>
          <w:rStyle w:val="FootnoteReference"/>
          <w:rFonts w:ascii="Arial" w:hAnsi="Arial" w:cs="Arial"/>
          <w:b w:val="0"/>
          <w:bCs/>
          <w:sz w:val="22"/>
          <w:szCs w:val="22"/>
          <w:lang w:val="es-CO"/>
        </w:rPr>
        <w:footnoteReference w:id="11"/>
      </w:r>
      <w:r w:rsidRPr="00F874ED">
        <w:rPr>
          <w:rFonts w:ascii="Arial" w:hAnsi="Arial" w:cs="Arial"/>
          <w:b w:val="0"/>
          <w:bCs/>
          <w:sz w:val="22"/>
          <w:szCs w:val="22"/>
          <w:lang w:val="es-CO"/>
        </w:rPr>
        <w:t>; (ii) </w:t>
      </w:r>
      <w:bookmarkStart w:id="10" w:name="_Hlk14338158"/>
      <w:r w:rsidRPr="00F874ED">
        <w:rPr>
          <w:rFonts w:ascii="Arial" w:hAnsi="Arial" w:cs="Arial"/>
          <w:b w:val="0"/>
          <w:bCs/>
          <w:sz w:val="22"/>
          <w:szCs w:val="22"/>
          <w:lang w:val="es-CO"/>
        </w:rPr>
        <w:t xml:space="preserve">desarrollo del modelo de análisis predictivo y prospectivo para aumentar las eficiencias en el uso de la información </w:t>
      </w:r>
      <w:bookmarkEnd w:id="10"/>
      <w:r w:rsidRPr="00F874ED">
        <w:rPr>
          <w:rFonts w:ascii="Arial" w:hAnsi="Arial" w:cs="Arial"/>
          <w:b w:val="0"/>
          <w:bCs/>
          <w:sz w:val="22"/>
          <w:szCs w:val="22"/>
          <w:lang w:val="es-CO"/>
        </w:rPr>
        <w:t xml:space="preserve">que incluya: </w:t>
      </w:r>
      <w:bookmarkStart w:id="11" w:name="_Hlk14340122"/>
      <w:r w:rsidRPr="00F874ED">
        <w:rPr>
          <w:rFonts w:ascii="Arial" w:hAnsi="Arial" w:cs="Arial"/>
          <w:b w:val="0"/>
          <w:bCs/>
          <w:sz w:val="22"/>
          <w:szCs w:val="22"/>
          <w:lang w:val="es-CO"/>
        </w:rPr>
        <w:t xml:space="preserve">(a) diagnóstico con identificación de requerimientos, análisis de costos, identificación de herramientas tecnológicas que incorporen capacidades nuevas para análisis predictivo y prospectivo y su desarrollo; y (b) diagnóstico de calidad, completitud, oportunidad y homologación de datos; (iii) diagnóstico con identificación de requerimientos, análisis de costos, desarrollo e implementación de arquitectura de integración e interoperabilidad, y diseño y desarrollo </w:t>
      </w:r>
      <w:r w:rsidR="009A3D46">
        <w:rPr>
          <w:rFonts w:ascii="Arial" w:hAnsi="Arial" w:cs="Arial"/>
          <w:b w:val="0"/>
          <w:bCs/>
          <w:sz w:val="22"/>
          <w:szCs w:val="22"/>
          <w:lang w:val="es-CO"/>
        </w:rPr>
        <w:t xml:space="preserve">de </w:t>
      </w:r>
      <w:r w:rsidRPr="00F874ED">
        <w:rPr>
          <w:rFonts w:ascii="Arial" w:hAnsi="Arial" w:cs="Arial"/>
          <w:b w:val="0"/>
          <w:bCs/>
          <w:sz w:val="22"/>
          <w:szCs w:val="22"/>
          <w:lang w:val="es-CO"/>
        </w:rPr>
        <w:t>herramientas descriptivas de georreferenciación</w:t>
      </w:r>
      <w:r w:rsidRPr="00F874ED">
        <w:rPr>
          <w:rStyle w:val="FootnoteReference"/>
          <w:rFonts w:ascii="Arial" w:hAnsi="Arial" w:cs="Arial"/>
          <w:b w:val="0"/>
          <w:bCs/>
          <w:sz w:val="22"/>
          <w:szCs w:val="22"/>
          <w:lang w:val="es-CO"/>
        </w:rPr>
        <w:footnoteReference w:id="12"/>
      </w:r>
      <w:r w:rsidRPr="00F874ED">
        <w:rPr>
          <w:rFonts w:ascii="Arial" w:hAnsi="Arial" w:cs="Arial"/>
          <w:b w:val="0"/>
          <w:bCs/>
          <w:sz w:val="22"/>
          <w:szCs w:val="22"/>
          <w:lang w:val="es-CO"/>
        </w:rPr>
        <w:t>; (iv) diagnóstico, optimización e implementación de estrategia de gestión de conocimiento</w:t>
      </w:r>
      <w:r w:rsidRPr="00F874ED">
        <w:rPr>
          <w:rStyle w:val="FootnoteReference"/>
          <w:rFonts w:ascii="Arial" w:hAnsi="Arial" w:cs="Arial"/>
          <w:b w:val="0"/>
          <w:bCs/>
          <w:sz w:val="22"/>
          <w:szCs w:val="22"/>
          <w:lang w:val="es-CO"/>
        </w:rPr>
        <w:footnoteReference w:id="13"/>
      </w:r>
      <w:r w:rsidRPr="00F874ED">
        <w:rPr>
          <w:rFonts w:ascii="Arial" w:hAnsi="Arial" w:cs="Arial"/>
          <w:b w:val="0"/>
          <w:bCs/>
          <w:sz w:val="22"/>
          <w:szCs w:val="22"/>
          <w:lang w:val="es-CO"/>
        </w:rPr>
        <w:t>; y (v) ciberseguridad e Infraestructura servicios TIC:</w:t>
      </w:r>
      <w:r w:rsidR="00985845">
        <w:rPr>
          <w:rFonts w:ascii="Arial" w:hAnsi="Arial" w:cs="Arial"/>
          <w:b w:val="0"/>
          <w:bCs/>
          <w:sz w:val="22"/>
          <w:szCs w:val="22"/>
          <w:lang w:val="es-CO"/>
        </w:rPr>
        <w:t> </w:t>
      </w:r>
      <w:r w:rsidRPr="00F874ED">
        <w:rPr>
          <w:rFonts w:ascii="Arial" w:hAnsi="Arial" w:cs="Arial"/>
          <w:b w:val="0"/>
          <w:bCs/>
          <w:sz w:val="22"/>
          <w:szCs w:val="22"/>
          <w:lang w:val="es-CO"/>
        </w:rPr>
        <w:t>(a) desarrollo de protecciones de ciberseguridad</w:t>
      </w:r>
      <w:r w:rsidRPr="00F874ED">
        <w:rPr>
          <w:rStyle w:val="FootnoteReference"/>
          <w:rFonts w:ascii="Arial" w:hAnsi="Arial" w:cs="Arial"/>
          <w:b w:val="0"/>
          <w:bCs/>
          <w:sz w:val="22"/>
          <w:szCs w:val="22"/>
          <w:lang w:val="es-CO"/>
        </w:rPr>
        <w:footnoteReference w:id="14"/>
      </w:r>
      <w:r w:rsidRPr="00F874ED">
        <w:rPr>
          <w:rFonts w:ascii="Arial" w:hAnsi="Arial" w:cs="Arial"/>
          <w:b w:val="0"/>
          <w:bCs/>
          <w:sz w:val="22"/>
          <w:szCs w:val="22"/>
          <w:lang w:val="es-CO"/>
        </w:rPr>
        <w:t>; y (b) adquisición de infraestructura y servicios TIC.</w:t>
      </w:r>
      <w:bookmarkEnd w:id="7"/>
      <w:r w:rsidRPr="00F874ED">
        <w:rPr>
          <w:rFonts w:ascii="Arial" w:hAnsi="Arial" w:cs="Arial"/>
          <w:b w:val="0"/>
          <w:bCs/>
          <w:sz w:val="22"/>
          <w:szCs w:val="22"/>
          <w:lang w:val="es-CO"/>
        </w:rPr>
        <w:t xml:space="preserve"> </w:t>
      </w:r>
      <w:bookmarkEnd w:id="8"/>
    </w:p>
    <w:bookmarkEnd w:id="11"/>
    <w:p w14:paraId="2144E9A9" w14:textId="6BC4BD67" w:rsidR="006318D6" w:rsidRPr="00F30F48" w:rsidRDefault="006318D6" w:rsidP="00F81B01">
      <w:pPr>
        <w:pStyle w:val="Paragraph"/>
        <w:numPr>
          <w:ilvl w:val="0"/>
          <w:numId w:val="0"/>
        </w:numPr>
        <w:spacing w:before="0" w:after="0"/>
        <w:rPr>
          <w:rFonts w:ascii="Arial" w:hAnsi="Arial" w:cs="Arial"/>
          <w:kern w:val="28"/>
          <w:sz w:val="22"/>
          <w:szCs w:val="22"/>
        </w:rPr>
      </w:pPr>
    </w:p>
    <w:p w14:paraId="29DB64A2" w14:textId="6CC9F859" w:rsidR="00DB37F5" w:rsidRPr="00F30F48" w:rsidRDefault="006318D6" w:rsidP="00F30F48">
      <w:pPr>
        <w:pStyle w:val="TitulopostI"/>
        <w:numPr>
          <w:ilvl w:val="1"/>
          <w:numId w:val="33"/>
        </w:numPr>
        <w:spacing w:line="240" w:lineRule="auto"/>
        <w:ind w:hanging="720"/>
        <w:rPr>
          <w:rFonts w:ascii="Arial" w:hAnsi="Arial" w:cs="Arial"/>
          <w:b w:val="0"/>
          <w:kern w:val="28"/>
          <w:sz w:val="22"/>
          <w:szCs w:val="22"/>
        </w:rPr>
      </w:pPr>
      <w:r w:rsidRPr="00F30F48">
        <w:rPr>
          <w:rFonts w:ascii="Arial" w:hAnsi="Arial" w:cs="Arial"/>
          <w:b w:val="0"/>
          <w:kern w:val="28"/>
          <w:sz w:val="22"/>
          <w:szCs w:val="22"/>
        </w:rPr>
        <w:t>Para la presente evaluación se</w:t>
      </w:r>
      <w:r w:rsidR="00DB37F5" w:rsidRPr="00F30F48">
        <w:rPr>
          <w:rFonts w:ascii="Arial" w:hAnsi="Arial" w:cs="Arial"/>
          <w:b w:val="0"/>
          <w:kern w:val="28"/>
          <w:sz w:val="22"/>
          <w:szCs w:val="22"/>
        </w:rPr>
        <w:t xml:space="preserve"> calcula el costo total del crédito con base en los productos mencionados.</w:t>
      </w:r>
    </w:p>
    <w:p w14:paraId="4904289B" w14:textId="77777777" w:rsidR="006F3B28" w:rsidRPr="00F30F48" w:rsidRDefault="006F3B28" w:rsidP="00F30F48">
      <w:pPr>
        <w:pStyle w:val="Paragraph"/>
        <w:numPr>
          <w:ilvl w:val="0"/>
          <w:numId w:val="0"/>
        </w:numPr>
        <w:spacing w:before="0" w:after="0"/>
        <w:rPr>
          <w:rFonts w:ascii="Arial" w:hAnsi="Arial" w:cs="Arial"/>
          <w:kern w:val="28"/>
          <w:sz w:val="22"/>
          <w:szCs w:val="22"/>
        </w:rPr>
      </w:pPr>
    </w:p>
    <w:p w14:paraId="5E5B8EC8" w14:textId="059E653E" w:rsidR="00524AB0" w:rsidRPr="00F30F48" w:rsidRDefault="007B3237" w:rsidP="00F30F48">
      <w:pPr>
        <w:pStyle w:val="TitulopostI"/>
        <w:numPr>
          <w:ilvl w:val="1"/>
          <w:numId w:val="33"/>
        </w:numPr>
        <w:spacing w:line="240" w:lineRule="auto"/>
        <w:ind w:hanging="720"/>
        <w:rPr>
          <w:rFonts w:ascii="Arial" w:hAnsi="Arial" w:cs="Arial"/>
          <w:sz w:val="22"/>
          <w:szCs w:val="22"/>
        </w:rPr>
      </w:pPr>
      <w:r w:rsidRPr="00F30F48">
        <w:rPr>
          <w:rFonts w:ascii="Arial" w:hAnsi="Arial" w:cs="Arial"/>
          <w:sz w:val="22"/>
          <w:szCs w:val="22"/>
        </w:rPr>
        <w:t>Beneficios esperados</w:t>
      </w:r>
      <w:r w:rsidR="00F30F48" w:rsidRPr="00F30F48">
        <w:rPr>
          <w:rFonts w:ascii="Arial" w:hAnsi="Arial" w:cs="Arial"/>
          <w:sz w:val="22"/>
          <w:szCs w:val="22"/>
        </w:rPr>
        <w:t xml:space="preserve">. </w:t>
      </w:r>
      <w:r w:rsidR="00F81B01" w:rsidRPr="00F30F48">
        <w:rPr>
          <w:rFonts w:ascii="Arial" w:hAnsi="Arial" w:cs="Arial"/>
          <w:b w:val="0"/>
          <w:sz w:val="22"/>
          <w:szCs w:val="22"/>
        </w:rPr>
        <w:t xml:space="preserve">En primer lugar, se espera que el </w:t>
      </w:r>
      <w:r w:rsidR="00DB37F5" w:rsidRPr="00F30F48">
        <w:rPr>
          <w:rFonts w:ascii="Arial" w:hAnsi="Arial" w:cs="Arial"/>
          <w:b w:val="0"/>
          <w:sz w:val="22"/>
          <w:szCs w:val="22"/>
        </w:rPr>
        <w:t xml:space="preserve">desarrollo de más y mejores </w:t>
      </w:r>
      <w:r w:rsidR="00A83DE7" w:rsidRPr="00F30F48">
        <w:rPr>
          <w:rFonts w:ascii="Arial" w:hAnsi="Arial" w:cs="Arial"/>
          <w:b w:val="0"/>
          <w:sz w:val="22"/>
          <w:szCs w:val="22"/>
        </w:rPr>
        <w:t>herramientas tecnológicas</w:t>
      </w:r>
      <w:r w:rsidR="00CE0065" w:rsidRPr="00F30F48">
        <w:rPr>
          <w:rFonts w:ascii="Arial" w:hAnsi="Arial" w:cs="Arial"/>
          <w:b w:val="0"/>
          <w:sz w:val="22"/>
          <w:szCs w:val="22"/>
        </w:rPr>
        <w:t xml:space="preserve"> y de gestión</w:t>
      </w:r>
      <w:r w:rsidR="00A83DE7" w:rsidRPr="00F30F48">
        <w:rPr>
          <w:rFonts w:ascii="Arial" w:hAnsi="Arial" w:cs="Arial"/>
          <w:b w:val="0"/>
          <w:sz w:val="22"/>
          <w:szCs w:val="22"/>
        </w:rPr>
        <w:t xml:space="preserve"> especializadas</w:t>
      </w:r>
      <w:r w:rsidR="00DB37F5" w:rsidRPr="00F30F48">
        <w:rPr>
          <w:rFonts w:ascii="Arial" w:hAnsi="Arial" w:cs="Arial"/>
          <w:b w:val="0"/>
          <w:sz w:val="22"/>
          <w:szCs w:val="22"/>
        </w:rPr>
        <w:t>,</w:t>
      </w:r>
      <w:r w:rsidR="00F81B01" w:rsidRPr="00F30F48">
        <w:rPr>
          <w:rFonts w:ascii="Arial" w:hAnsi="Arial" w:cs="Arial"/>
          <w:b w:val="0"/>
          <w:sz w:val="22"/>
          <w:szCs w:val="22"/>
        </w:rPr>
        <w:t xml:space="preserve"> permita </w:t>
      </w:r>
      <w:r w:rsidR="00DB37F5" w:rsidRPr="00F30F48">
        <w:rPr>
          <w:rFonts w:ascii="Arial" w:hAnsi="Arial" w:cs="Arial"/>
          <w:b w:val="0"/>
          <w:sz w:val="22"/>
          <w:szCs w:val="22"/>
        </w:rPr>
        <w:t xml:space="preserve">el diseño </w:t>
      </w:r>
      <w:r w:rsidR="00F81B01" w:rsidRPr="00F30F48">
        <w:rPr>
          <w:rFonts w:ascii="Arial" w:hAnsi="Arial" w:cs="Arial"/>
          <w:b w:val="0"/>
          <w:sz w:val="22"/>
          <w:szCs w:val="22"/>
        </w:rPr>
        <w:t>de estrategias jurídicas más eficaces</w:t>
      </w:r>
      <w:r w:rsidR="00DB37F5" w:rsidRPr="00F30F48">
        <w:rPr>
          <w:rFonts w:ascii="Arial" w:hAnsi="Arial" w:cs="Arial"/>
          <w:b w:val="0"/>
          <w:sz w:val="22"/>
          <w:szCs w:val="22"/>
        </w:rPr>
        <w:t xml:space="preserve">; </w:t>
      </w:r>
      <w:r w:rsidR="00F81B01" w:rsidRPr="00F30F48">
        <w:rPr>
          <w:rFonts w:ascii="Arial" w:hAnsi="Arial" w:cs="Arial"/>
          <w:b w:val="0"/>
          <w:sz w:val="22"/>
          <w:szCs w:val="22"/>
        </w:rPr>
        <w:t xml:space="preserve">por </w:t>
      </w:r>
      <w:r w:rsidR="00F30F48" w:rsidRPr="00F30F48">
        <w:rPr>
          <w:rFonts w:ascii="Arial" w:hAnsi="Arial" w:cs="Arial"/>
          <w:b w:val="0"/>
          <w:sz w:val="22"/>
          <w:szCs w:val="22"/>
        </w:rPr>
        <w:t>consiguiente,</w:t>
      </w:r>
      <w:r w:rsidR="00F81B01" w:rsidRPr="00F30F48">
        <w:rPr>
          <w:rFonts w:ascii="Arial" w:hAnsi="Arial" w:cs="Arial"/>
          <w:b w:val="0"/>
          <w:sz w:val="22"/>
          <w:szCs w:val="22"/>
        </w:rPr>
        <w:t xml:space="preserve"> </w:t>
      </w:r>
      <w:r w:rsidR="00DB37F5" w:rsidRPr="00F30F48">
        <w:rPr>
          <w:rFonts w:ascii="Arial" w:hAnsi="Arial" w:cs="Arial"/>
          <w:b w:val="0"/>
          <w:sz w:val="22"/>
          <w:szCs w:val="22"/>
        </w:rPr>
        <w:t xml:space="preserve">el aumento </w:t>
      </w:r>
      <w:r w:rsidR="00F81B01" w:rsidRPr="00F30F48">
        <w:rPr>
          <w:rFonts w:ascii="Arial" w:hAnsi="Arial" w:cs="Arial"/>
          <w:b w:val="0"/>
          <w:sz w:val="22"/>
          <w:szCs w:val="22"/>
        </w:rPr>
        <w:t xml:space="preserve">en la </w:t>
      </w:r>
      <w:r w:rsidR="00F81B01" w:rsidRPr="00F30F48">
        <w:rPr>
          <w:rFonts w:ascii="Arial" w:hAnsi="Arial" w:cs="Arial"/>
          <w:b w:val="0"/>
          <w:sz w:val="22"/>
          <w:szCs w:val="22"/>
        </w:rPr>
        <w:lastRenderedPageBreak/>
        <w:t>productividad</w:t>
      </w:r>
      <w:r w:rsidR="00736922" w:rsidRPr="00F30F48">
        <w:rPr>
          <w:rStyle w:val="FootnoteReference"/>
          <w:rFonts w:ascii="Arial" w:hAnsi="Arial" w:cs="Arial"/>
          <w:b w:val="0"/>
          <w:sz w:val="22"/>
          <w:szCs w:val="22"/>
        </w:rPr>
        <w:footnoteReference w:id="15"/>
      </w:r>
      <w:r w:rsidR="00F81B01" w:rsidRPr="00F30F48">
        <w:rPr>
          <w:rFonts w:ascii="Arial" w:hAnsi="Arial" w:cs="Arial"/>
          <w:b w:val="0"/>
          <w:sz w:val="22"/>
          <w:szCs w:val="22"/>
        </w:rPr>
        <w:t xml:space="preserve"> de los abogados </w:t>
      </w:r>
      <w:r w:rsidR="00524AB0" w:rsidRPr="00F30F48">
        <w:rPr>
          <w:rFonts w:ascii="Arial" w:hAnsi="Arial" w:cs="Arial"/>
          <w:b w:val="0"/>
          <w:sz w:val="22"/>
          <w:szCs w:val="22"/>
        </w:rPr>
        <w:t xml:space="preserve">de la ANDJE </w:t>
      </w:r>
      <w:r w:rsidR="00F81B01" w:rsidRPr="00F30F48">
        <w:rPr>
          <w:rFonts w:ascii="Arial" w:hAnsi="Arial" w:cs="Arial"/>
          <w:b w:val="0"/>
          <w:sz w:val="22"/>
          <w:szCs w:val="22"/>
        </w:rPr>
        <w:t>involucrados en la defensa jurídica</w:t>
      </w:r>
      <w:r w:rsidR="00524AB0" w:rsidRPr="00F30F48">
        <w:rPr>
          <w:rFonts w:ascii="Arial" w:hAnsi="Arial" w:cs="Arial"/>
          <w:b w:val="0"/>
          <w:sz w:val="22"/>
          <w:szCs w:val="22"/>
        </w:rPr>
        <w:t xml:space="preserve"> de casos seleccionados</w:t>
      </w:r>
      <w:r w:rsidR="00DB37F5" w:rsidRPr="00F30F48">
        <w:rPr>
          <w:rStyle w:val="FootnoteReference"/>
          <w:rFonts w:ascii="Arial" w:hAnsi="Arial" w:cs="Arial"/>
          <w:b w:val="0"/>
          <w:sz w:val="22"/>
          <w:szCs w:val="22"/>
        </w:rPr>
        <w:footnoteReference w:id="16"/>
      </w:r>
      <w:r w:rsidR="00524AB0" w:rsidRPr="00F30F48">
        <w:rPr>
          <w:rFonts w:ascii="Arial" w:hAnsi="Arial" w:cs="Arial"/>
          <w:b w:val="0"/>
          <w:sz w:val="22"/>
          <w:szCs w:val="22"/>
        </w:rPr>
        <w:t>, en especial aquellos con las pretensiones más altas.</w:t>
      </w:r>
    </w:p>
    <w:p w14:paraId="759DF5C7" w14:textId="77777777" w:rsidR="00524AB0" w:rsidRPr="00F30F48" w:rsidRDefault="00524AB0" w:rsidP="00F81B01">
      <w:pPr>
        <w:pStyle w:val="Paragraph"/>
        <w:numPr>
          <w:ilvl w:val="0"/>
          <w:numId w:val="0"/>
        </w:numPr>
        <w:spacing w:before="0" w:after="0"/>
        <w:rPr>
          <w:rFonts w:ascii="Arial" w:hAnsi="Arial" w:cs="Arial"/>
          <w:sz w:val="22"/>
          <w:szCs w:val="22"/>
        </w:rPr>
      </w:pPr>
    </w:p>
    <w:p w14:paraId="663B4D30" w14:textId="52EBC923" w:rsidR="00F81B01" w:rsidRPr="00F30F48" w:rsidRDefault="00524AB0" w:rsidP="00F30F48">
      <w:pPr>
        <w:pStyle w:val="TitulopostI"/>
        <w:numPr>
          <w:ilvl w:val="1"/>
          <w:numId w:val="33"/>
        </w:numPr>
        <w:spacing w:line="240" w:lineRule="auto"/>
        <w:ind w:hanging="720"/>
        <w:rPr>
          <w:rFonts w:ascii="Arial" w:hAnsi="Arial" w:cs="Arial"/>
          <w:b w:val="0"/>
          <w:sz w:val="22"/>
          <w:szCs w:val="22"/>
        </w:rPr>
      </w:pPr>
      <w:r w:rsidRPr="00F30F48">
        <w:rPr>
          <w:rFonts w:ascii="Arial" w:hAnsi="Arial" w:cs="Arial"/>
          <w:b w:val="0"/>
          <w:sz w:val="22"/>
          <w:szCs w:val="22"/>
        </w:rPr>
        <w:t>A</w:t>
      </w:r>
      <w:r w:rsidR="00DB37F5" w:rsidRPr="00F30F48">
        <w:rPr>
          <w:rFonts w:ascii="Arial" w:hAnsi="Arial" w:cs="Arial"/>
          <w:b w:val="0"/>
          <w:sz w:val="22"/>
          <w:szCs w:val="22"/>
        </w:rPr>
        <w:t xml:space="preserve"> la fecha</w:t>
      </w:r>
      <w:r w:rsidR="00EC54CB" w:rsidRPr="00F30F48">
        <w:rPr>
          <w:rFonts w:ascii="Arial" w:hAnsi="Arial" w:cs="Arial"/>
          <w:b w:val="0"/>
          <w:sz w:val="22"/>
          <w:szCs w:val="22"/>
        </w:rPr>
        <w:t>, la ANDJE cuenta con 36</w:t>
      </w:r>
      <w:r w:rsidRPr="00F30F48">
        <w:rPr>
          <w:rFonts w:ascii="Arial" w:hAnsi="Arial" w:cs="Arial"/>
          <w:b w:val="0"/>
          <w:sz w:val="22"/>
          <w:szCs w:val="22"/>
        </w:rPr>
        <w:t xml:space="preserve"> abogados que defienden 1</w:t>
      </w:r>
      <w:r w:rsidR="00DD5ADC" w:rsidRPr="00F30F48">
        <w:rPr>
          <w:rFonts w:ascii="Arial" w:hAnsi="Arial" w:cs="Arial"/>
          <w:b w:val="0"/>
          <w:sz w:val="22"/>
          <w:szCs w:val="22"/>
        </w:rPr>
        <w:t>57</w:t>
      </w:r>
      <w:r w:rsidRPr="00F30F48">
        <w:rPr>
          <w:rFonts w:ascii="Arial" w:hAnsi="Arial" w:cs="Arial"/>
          <w:b w:val="0"/>
          <w:sz w:val="22"/>
          <w:szCs w:val="22"/>
        </w:rPr>
        <w:t xml:space="preserve"> casos por US$9.947</w:t>
      </w:r>
      <w:r w:rsidR="00DB37F5" w:rsidRPr="00F30F48">
        <w:rPr>
          <w:rFonts w:ascii="Arial" w:hAnsi="Arial" w:cs="Arial"/>
          <w:b w:val="0"/>
          <w:sz w:val="22"/>
          <w:szCs w:val="22"/>
        </w:rPr>
        <w:t xml:space="preserve"> mi</w:t>
      </w:r>
      <w:r w:rsidR="00EC54CB" w:rsidRPr="00F30F48">
        <w:rPr>
          <w:rFonts w:ascii="Arial" w:hAnsi="Arial" w:cs="Arial"/>
          <w:b w:val="0"/>
          <w:sz w:val="22"/>
          <w:szCs w:val="22"/>
        </w:rPr>
        <w:t>l</w:t>
      </w:r>
      <w:r w:rsidR="00DB37F5" w:rsidRPr="00F30F48">
        <w:rPr>
          <w:rFonts w:ascii="Arial" w:hAnsi="Arial" w:cs="Arial"/>
          <w:b w:val="0"/>
          <w:sz w:val="22"/>
          <w:szCs w:val="22"/>
        </w:rPr>
        <w:t>l</w:t>
      </w:r>
      <w:r w:rsidR="00EC54CB" w:rsidRPr="00F30F48">
        <w:rPr>
          <w:rFonts w:ascii="Arial" w:hAnsi="Arial" w:cs="Arial"/>
          <w:b w:val="0"/>
          <w:sz w:val="22"/>
          <w:szCs w:val="22"/>
        </w:rPr>
        <w:t>ones</w:t>
      </w:r>
      <w:r w:rsidRPr="00F30F48">
        <w:rPr>
          <w:rFonts w:ascii="Arial" w:hAnsi="Arial" w:cs="Arial"/>
          <w:b w:val="0"/>
          <w:sz w:val="22"/>
          <w:szCs w:val="22"/>
        </w:rPr>
        <w:t xml:space="preserve">, </w:t>
      </w:r>
      <w:r w:rsidR="0025258C" w:rsidRPr="00F30F48">
        <w:rPr>
          <w:rFonts w:ascii="Arial" w:hAnsi="Arial" w:cs="Arial"/>
          <w:b w:val="0"/>
          <w:sz w:val="22"/>
          <w:szCs w:val="22"/>
        </w:rPr>
        <w:t>de los cuales 27</w:t>
      </w:r>
      <w:r w:rsidR="00147867" w:rsidRPr="00F30F48">
        <w:rPr>
          <w:rFonts w:ascii="Arial" w:hAnsi="Arial" w:cs="Arial"/>
          <w:b w:val="0"/>
          <w:sz w:val="22"/>
          <w:szCs w:val="22"/>
          <w:vertAlign w:val="superscript"/>
        </w:rPr>
        <w:footnoteReference w:id="17"/>
      </w:r>
      <w:r w:rsidR="00DB37F5" w:rsidRPr="00F30F48">
        <w:rPr>
          <w:rFonts w:ascii="Arial" w:hAnsi="Arial" w:cs="Arial"/>
          <w:b w:val="0"/>
          <w:sz w:val="22"/>
          <w:szCs w:val="22"/>
        </w:rPr>
        <w:t xml:space="preserve"> concentran las mayores pr</w:t>
      </w:r>
      <w:r w:rsidR="00EC54CB" w:rsidRPr="00F30F48">
        <w:rPr>
          <w:rFonts w:ascii="Arial" w:hAnsi="Arial" w:cs="Arial"/>
          <w:b w:val="0"/>
          <w:sz w:val="22"/>
          <w:szCs w:val="22"/>
        </w:rPr>
        <w:t xml:space="preserve">etensiones identificadas, </w:t>
      </w:r>
      <w:r w:rsidR="006B5532" w:rsidRPr="00F30F48">
        <w:rPr>
          <w:rFonts w:ascii="Arial" w:hAnsi="Arial" w:cs="Arial"/>
          <w:b w:val="0"/>
          <w:sz w:val="22"/>
          <w:szCs w:val="22"/>
        </w:rPr>
        <w:t>cada abogado</w:t>
      </w:r>
      <w:r w:rsidR="00D3104D" w:rsidRPr="00F30F48">
        <w:rPr>
          <w:rFonts w:ascii="Arial" w:hAnsi="Arial" w:cs="Arial"/>
          <w:b w:val="0"/>
          <w:sz w:val="22"/>
          <w:szCs w:val="22"/>
        </w:rPr>
        <w:t xml:space="preserve"> es responsable</w:t>
      </w:r>
      <w:r w:rsidR="006B5532" w:rsidRPr="00F30F48">
        <w:rPr>
          <w:rFonts w:ascii="Arial" w:hAnsi="Arial" w:cs="Arial"/>
          <w:b w:val="0"/>
          <w:sz w:val="22"/>
          <w:szCs w:val="22"/>
        </w:rPr>
        <w:t xml:space="preserve"> </w:t>
      </w:r>
      <w:r w:rsidR="00CE0065" w:rsidRPr="00F30F48">
        <w:rPr>
          <w:rFonts w:ascii="Arial" w:hAnsi="Arial" w:cs="Arial"/>
          <w:b w:val="0"/>
          <w:sz w:val="22"/>
          <w:szCs w:val="22"/>
        </w:rPr>
        <w:t xml:space="preserve">de la intervención </w:t>
      </w:r>
      <w:r w:rsidR="006B5532" w:rsidRPr="00F30F48">
        <w:rPr>
          <w:rFonts w:ascii="Arial" w:hAnsi="Arial" w:cs="Arial"/>
          <w:b w:val="0"/>
          <w:sz w:val="22"/>
          <w:szCs w:val="22"/>
        </w:rPr>
        <w:t>en promedio</w:t>
      </w:r>
      <w:r w:rsidRPr="00F30F48">
        <w:rPr>
          <w:rFonts w:ascii="Arial" w:hAnsi="Arial" w:cs="Arial"/>
          <w:b w:val="0"/>
          <w:sz w:val="22"/>
          <w:szCs w:val="22"/>
        </w:rPr>
        <w:t xml:space="preserve"> de 4</w:t>
      </w:r>
      <w:r w:rsidR="009B18FE">
        <w:rPr>
          <w:rFonts w:ascii="Arial" w:hAnsi="Arial" w:cs="Arial"/>
          <w:b w:val="0"/>
          <w:sz w:val="22"/>
          <w:szCs w:val="22"/>
        </w:rPr>
        <w:t> </w:t>
      </w:r>
      <w:r w:rsidRPr="00F30F48">
        <w:rPr>
          <w:rFonts w:ascii="Arial" w:hAnsi="Arial" w:cs="Arial"/>
          <w:b w:val="0"/>
          <w:sz w:val="22"/>
          <w:szCs w:val="22"/>
        </w:rPr>
        <w:t>procesos.</w:t>
      </w:r>
    </w:p>
    <w:p w14:paraId="0C0D0614" w14:textId="77777777" w:rsidR="00F81B01" w:rsidRPr="00F30F48" w:rsidRDefault="00F81B01" w:rsidP="00F30F48">
      <w:pPr>
        <w:pStyle w:val="TitulopostI"/>
        <w:spacing w:line="240" w:lineRule="auto"/>
        <w:ind w:left="720" w:firstLine="0"/>
        <w:rPr>
          <w:rFonts w:ascii="Arial" w:hAnsi="Arial" w:cs="Arial"/>
          <w:b w:val="0"/>
          <w:sz w:val="22"/>
          <w:szCs w:val="22"/>
        </w:rPr>
      </w:pPr>
    </w:p>
    <w:p w14:paraId="4B202EC6" w14:textId="0CFD7A76" w:rsidR="006C544A" w:rsidRPr="00F30F48" w:rsidRDefault="00F81B01" w:rsidP="00F30F48">
      <w:pPr>
        <w:pStyle w:val="TitulopostI"/>
        <w:numPr>
          <w:ilvl w:val="1"/>
          <w:numId w:val="33"/>
        </w:numPr>
        <w:spacing w:line="240" w:lineRule="auto"/>
        <w:ind w:hanging="720"/>
        <w:rPr>
          <w:rFonts w:ascii="Arial" w:hAnsi="Arial" w:cs="Arial"/>
          <w:b w:val="0"/>
          <w:sz w:val="22"/>
          <w:szCs w:val="22"/>
        </w:rPr>
      </w:pPr>
      <w:r w:rsidRPr="00F30F48">
        <w:rPr>
          <w:rFonts w:ascii="Arial" w:hAnsi="Arial" w:cs="Arial"/>
          <w:b w:val="0"/>
          <w:sz w:val="22"/>
          <w:szCs w:val="22"/>
        </w:rPr>
        <w:t xml:space="preserve">Los ahorros que se podrán obtener del aumento de la productividad de los abogados de la Agencia, no sólo se evidencian en un aumento </w:t>
      </w:r>
      <w:r w:rsidR="00710D9F" w:rsidRPr="00F30F48">
        <w:rPr>
          <w:rFonts w:ascii="Arial" w:hAnsi="Arial" w:cs="Arial"/>
          <w:b w:val="0"/>
          <w:sz w:val="22"/>
          <w:szCs w:val="22"/>
        </w:rPr>
        <w:t xml:space="preserve">de la cobertura sobre los procesos totales, sino que, además se espera mejoren la relación </w:t>
      </w:r>
      <w:r w:rsidR="00425A78" w:rsidRPr="00F30F48">
        <w:rPr>
          <w:rFonts w:ascii="Arial" w:hAnsi="Arial" w:cs="Arial"/>
          <w:b w:val="0"/>
          <w:sz w:val="22"/>
          <w:szCs w:val="22"/>
        </w:rPr>
        <w:t>condena/pretensión</w:t>
      </w:r>
      <w:r w:rsidR="006C544A" w:rsidRPr="00901A2E">
        <w:rPr>
          <w:rFonts w:ascii="Arial" w:hAnsi="Arial" w:cs="Arial"/>
          <w:b w:val="0"/>
          <w:sz w:val="22"/>
          <w:szCs w:val="22"/>
          <w:vertAlign w:val="superscript"/>
        </w:rPr>
        <w:footnoteReference w:id="18"/>
      </w:r>
      <w:r w:rsidR="006C544A" w:rsidRPr="00901A2E">
        <w:rPr>
          <w:rFonts w:ascii="Arial" w:hAnsi="Arial" w:cs="Arial"/>
          <w:b w:val="0"/>
          <w:sz w:val="22"/>
          <w:szCs w:val="22"/>
          <w:vertAlign w:val="superscript"/>
        </w:rPr>
        <w:t xml:space="preserve"> </w:t>
      </w:r>
      <w:r w:rsidR="006C544A" w:rsidRPr="00F30F48">
        <w:rPr>
          <w:rFonts w:ascii="Arial" w:hAnsi="Arial" w:cs="Arial"/>
          <w:b w:val="0"/>
          <w:sz w:val="22"/>
          <w:szCs w:val="22"/>
        </w:rPr>
        <w:t>y, la generación de beneficios sociales.</w:t>
      </w:r>
    </w:p>
    <w:p w14:paraId="52C840FF" w14:textId="2974600E" w:rsidR="00383960" w:rsidRPr="00F30F48" w:rsidRDefault="00383960" w:rsidP="00F30F48">
      <w:pPr>
        <w:pStyle w:val="TitulopostI"/>
        <w:spacing w:line="240" w:lineRule="auto"/>
        <w:ind w:left="720" w:firstLine="0"/>
        <w:rPr>
          <w:rFonts w:ascii="Arial" w:hAnsi="Arial" w:cs="Arial"/>
          <w:b w:val="0"/>
          <w:sz w:val="22"/>
          <w:szCs w:val="22"/>
        </w:rPr>
      </w:pPr>
    </w:p>
    <w:p w14:paraId="3A5752EC" w14:textId="2FB6825B" w:rsidR="00F52F41" w:rsidRPr="00F30F48" w:rsidRDefault="004A45D1" w:rsidP="00F30F48">
      <w:pPr>
        <w:pStyle w:val="TitulopostI"/>
        <w:numPr>
          <w:ilvl w:val="1"/>
          <w:numId w:val="33"/>
        </w:numPr>
        <w:spacing w:line="240" w:lineRule="auto"/>
        <w:ind w:hanging="720"/>
        <w:rPr>
          <w:rFonts w:ascii="Arial" w:hAnsi="Arial" w:cs="Arial"/>
          <w:sz w:val="22"/>
          <w:szCs w:val="22"/>
          <w:lang w:val="es-ES_tradnl"/>
        </w:rPr>
      </w:pPr>
      <w:r w:rsidRPr="00F30F48">
        <w:rPr>
          <w:rFonts w:ascii="Arial" w:hAnsi="Arial" w:cs="Arial"/>
          <w:b w:val="0"/>
          <w:sz w:val="22"/>
          <w:szCs w:val="22"/>
        </w:rPr>
        <w:t>El</w:t>
      </w:r>
      <w:r w:rsidR="00383960" w:rsidRPr="00F30F48">
        <w:rPr>
          <w:rFonts w:ascii="Arial" w:hAnsi="Arial" w:cs="Arial"/>
          <w:b w:val="0"/>
          <w:sz w:val="22"/>
          <w:szCs w:val="22"/>
        </w:rPr>
        <w:t xml:space="preserve"> Programa de Fortalecimiento a la Defensa Jurídica del Estado</w:t>
      </w:r>
      <w:r w:rsidR="00F52F41" w:rsidRPr="00F30F48">
        <w:rPr>
          <w:rFonts w:ascii="Arial" w:hAnsi="Arial" w:cs="Arial"/>
          <w:b w:val="0"/>
          <w:sz w:val="22"/>
          <w:szCs w:val="22"/>
        </w:rPr>
        <w:t xml:space="preserve"> (2755/OC-</w:t>
      </w:r>
      <w:r w:rsidR="00710D9F" w:rsidRPr="00F30F48">
        <w:rPr>
          <w:rFonts w:ascii="Arial" w:hAnsi="Arial" w:cs="Arial"/>
          <w:b w:val="0"/>
          <w:sz w:val="22"/>
          <w:szCs w:val="22"/>
        </w:rPr>
        <w:t xml:space="preserve">CO) </w:t>
      </w:r>
      <w:r w:rsidR="00524AB0" w:rsidRPr="00F30F48">
        <w:rPr>
          <w:rFonts w:ascii="Arial" w:hAnsi="Arial" w:cs="Arial"/>
          <w:b w:val="0"/>
          <w:sz w:val="22"/>
          <w:szCs w:val="22"/>
        </w:rPr>
        <w:t>ejecutado</w:t>
      </w:r>
      <w:r w:rsidR="00524AB0" w:rsidRPr="00F30F48">
        <w:rPr>
          <w:rFonts w:ascii="Arial" w:hAnsi="Arial" w:cs="Arial"/>
          <w:sz w:val="22"/>
          <w:szCs w:val="22"/>
        </w:rPr>
        <w:t xml:space="preserve"> </w:t>
      </w:r>
      <w:r w:rsidR="00524AB0" w:rsidRPr="00F30F48">
        <w:rPr>
          <w:rFonts w:ascii="Arial" w:hAnsi="Arial" w:cs="Arial"/>
          <w:b w:val="0"/>
          <w:sz w:val="22"/>
          <w:szCs w:val="22"/>
        </w:rPr>
        <w:t>entre 2013 y 2018</w:t>
      </w:r>
      <w:r w:rsidR="00F52F41" w:rsidRPr="00F30F48">
        <w:rPr>
          <w:rFonts w:ascii="Arial" w:hAnsi="Arial" w:cs="Arial"/>
          <w:b w:val="0"/>
          <w:sz w:val="22"/>
          <w:szCs w:val="22"/>
        </w:rPr>
        <w:t xml:space="preserve"> apoyó el establecimiento de la ANDJE teniendo resultados muy positivos en materia de ahorros fiscales</w:t>
      </w:r>
      <w:r w:rsidR="0091186F" w:rsidRPr="00F30F48">
        <w:rPr>
          <w:rFonts w:ascii="Arial" w:hAnsi="Arial" w:cs="Arial"/>
          <w:b w:val="0"/>
          <w:sz w:val="22"/>
          <w:szCs w:val="22"/>
        </w:rPr>
        <w:t>,</w:t>
      </w:r>
      <w:r w:rsidR="00F52F41" w:rsidRPr="00F30F48">
        <w:rPr>
          <w:rFonts w:ascii="Arial" w:hAnsi="Arial" w:cs="Arial"/>
          <w:b w:val="0"/>
          <w:sz w:val="22"/>
          <w:szCs w:val="22"/>
        </w:rPr>
        <w:t xml:space="preserve"> llegando a US$24.751 millones</w:t>
      </w:r>
      <w:r w:rsidR="00F52F41" w:rsidRPr="00F30F48">
        <w:rPr>
          <w:rStyle w:val="FootnoteReference"/>
          <w:rFonts w:ascii="Arial" w:hAnsi="Arial" w:cs="Arial"/>
          <w:b w:val="0"/>
          <w:sz w:val="22"/>
          <w:szCs w:val="22"/>
        </w:rPr>
        <w:footnoteReference w:id="19"/>
      </w:r>
      <w:r w:rsidR="00F52F41" w:rsidRPr="00F30F48">
        <w:rPr>
          <w:rStyle w:val="FootnoteReference"/>
          <w:rFonts w:ascii="Arial" w:hAnsi="Arial" w:cs="Arial"/>
          <w:b w:val="0"/>
          <w:sz w:val="22"/>
          <w:szCs w:val="22"/>
        </w:rPr>
        <w:t xml:space="preserve"> </w:t>
      </w:r>
      <w:r w:rsidR="00F52F41" w:rsidRPr="00F30F48">
        <w:rPr>
          <w:rFonts w:ascii="Arial" w:hAnsi="Arial" w:cs="Arial"/>
          <w:b w:val="0"/>
          <w:sz w:val="22"/>
          <w:szCs w:val="22"/>
        </w:rPr>
        <w:t xml:space="preserve">a diciembre del 2018. Así mismo, </w:t>
      </w:r>
      <w:r w:rsidR="00572866" w:rsidRPr="00F30F48">
        <w:rPr>
          <w:rFonts w:ascii="Arial" w:hAnsi="Arial" w:cs="Arial"/>
          <w:b w:val="0"/>
          <w:sz w:val="22"/>
          <w:szCs w:val="22"/>
        </w:rPr>
        <w:t xml:space="preserve">permitió </w:t>
      </w:r>
      <w:r w:rsidRPr="00F30F48">
        <w:rPr>
          <w:rFonts w:ascii="Arial" w:hAnsi="Arial" w:cs="Arial"/>
          <w:b w:val="0"/>
          <w:sz w:val="22"/>
          <w:szCs w:val="22"/>
        </w:rPr>
        <w:t>afinar</w:t>
      </w:r>
      <w:r w:rsidR="00572866" w:rsidRPr="00F30F48">
        <w:rPr>
          <w:rFonts w:ascii="Arial" w:hAnsi="Arial" w:cs="Arial"/>
          <w:b w:val="0"/>
          <w:sz w:val="22"/>
          <w:szCs w:val="22"/>
        </w:rPr>
        <w:t xml:space="preserve"> el cálculo del pasivo contingente </w:t>
      </w:r>
      <w:r w:rsidR="00F52F41" w:rsidRPr="00F30F48">
        <w:rPr>
          <w:rFonts w:ascii="Arial" w:hAnsi="Arial" w:cs="Arial"/>
          <w:b w:val="0"/>
          <w:sz w:val="22"/>
          <w:szCs w:val="22"/>
        </w:rPr>
        <w:t xml:space="preserve">a través de la </w:t>
      </w:r>
      <w:r w:rsidR="00CB08AC" w:rsidRPr="00F30F48">
        <w:rPr>
          <w:rFonts w:ascii="Arial" w:hAnsi="Arial" w:cs="Arial"/>
          <w:b w:val="0"/>
          <w:sz w:val="22"/>
          <w:szCs w:val="22"/>
          <w:lang w:val="es-ES_tradnl"/>
        </w:rPr>
        <w:t>mejora en la confiabilidad y representatividad de la información disponible en eKOGUI</w:t>
      </w:r>
      <w:r w:rsidR="00CB08AC" w:rsidRPr="00F30F48">
        <w:rPr>
          <w:rStyle w:val="FootnoteReference"/>
          <w:rFonts w:ascii="Arial" w:hAnsi="Arial" w:cs="Arial"/>
          <w:b w:val="0"/>
          <w:sz w:val="22"/>
          <w:szCs w:val="22"/>
          <w:lang w:val="es-ES_tradnl"/>
        </w:rPr>
        <w:footnoteReference w:id="20"/>
      </w:r>
      <w:r w:rsidR="00CB08AC" w:rsidRPr="00F30F48">
        <w:rPr>
          <w:rFonts w:ascii="Arial" w:hAnsi="Arial" w:cs="Arial"/>
          <w:b w:val="0"/>
          <w:sz w:val="22"/>
          <w:szCs w:val="22"/>
          <w:lang w:val="es-ES_tradnl"/>
        </w:rPr>
        <w:t xml:space="preserve"> llevando a la disminución en más de un 76%</w:t>
      </w:r>
      <w:r w:rsidR="00FE3C2D">
        <w:rPr>
          <w:rFonts w:ascii="Arial" w:hAnsi="Arial" w:cs="Arial"/>
          <w:b w:val="0"/>
          <w:sz w:val="22"/>
          <w:szCs w:val="22"/>
          <w:lang w:val="es-ES_tradnl"/>
        </w:rPr>
        <w:t> </w:t>
      </w:r>
      <w:r w:rsidR="00CB08AC" w:rsidRPr="00F30F48">
        <w:rPr>
          <w:rFonts w:ascii="Arial" w:hAnsi="Arial" w:cs="Arial"/>
          <w:b w:val="0"/>
          <w:sz w:val="22"/>
          <w:szCs w:val="22"/>
          <w:lang w:val="es-ES_tradnl"/>
        </w:rPr>
        <w:t xml:space="preserve">la provisión </w:t>
      </w:r>
      <w:r w:rsidR="0091186F" w:rsidRPr="00F30F48">
        <w:rPr>
          <w:rFonts w:ascii="Arial" w:hAnsi="Arial" w:cs="Arial"/>
          <w:b w:val="0"/>
          <w:sz w:val="22"/>
          <w:szCs w:val="22"/>
          <w:lang w:val="es-ES_tradnl"/>
        </w:rPr>
        <w:t xml:space="preserve">contable </w:t>
      </w:r>
      <w:r w:rsidR="00CB08AC" w:rsidRPr="00F30F48">
        <w:rPr>
          <w:rFonts w:ascii="Arial" w:hAnsi="Arial" w:cs="Arial"/>
          <w:b w:val="0"/>
          <w:sz w:val="22"/>
          <w:szCs w:val="22"/>
          <w:lang w:val="es-ES_tradnl"/>
        </w:rPr>
        <w:t>de la Nación en este rubro desde 2014. Para un periodo móvil de 10 años el cálculo pasó de US$</w:t>
      </w:r>
      <w:r w:rsidR="0091186F" w:rsidRPr="00F30F48">
        <w:rPr>
          <w:rFonts w:ascii="Arial" w:hAnsi="Arial" w:cs="Arial"/>
          <w:b w:val="0"/>
          <w:sz w:val="22"/>
          <w:szCs w:val="22"/>
          <w:lang w:val="es-ES_tradnl"/>
        </w:rPr>
        <w:t>25</w:t>
      </w:r>
      <w:r w:rsidR="000D56CF">
        <w:rPr>
          <w:rFonts w:ascii="Arial" w:hAnsi="Arial" w:cs="Arial"/>
          <w:b w:val="0"/>
          <w:sz w:val="22"/>
          <w:szCs w:val="22"/>
          <w:lang w:val="es-ES_tradnl"/>
        </w:rPr>
        <w:t>.</w:t>
      </w:r>
      <w:r w:rsidR="00CB08AC" w:rsidRPr="00F30F48">
        <w:rPr>
          <w:rFonts w:ascii="Arial" w:hAnsi="Arial" w:cs="Arial"/>
          <w:b w:val="0"/>
          <w:sz w:val="22"/>
          <w:szCs w:val="22"/>
          <w:lang w:val="es-ES_tradnl"/>
        </w:rPr>
        <w:t>835 millones en 2015 a US$6</w:t>
      </w:r>
      <w:r w:rsidR="000D56CF">
        <w:rPr>
          <w:rFonts w:ascii="Arial" w:hAnsi="Arial" w:cs="Arial"/>
          <w:b w:val="0"/>
          <w:sz w:val="22"/>
          <w:szCs w:val="22"/>
          <w:lang w:val="es-ES_tradnl"/>
        </w:rPr>
        <w:t>.</w:t>
      </w:r>
      <w:r w:rsidR="00CB08AC" w:rsidRPr="00F30F48">
        <w:rPr>
          <w:rFonts w:ascii="Arial" w:hAnsi="Arial" w:cs="Arial"/>
          <w:b w:val="0"/>
          <w:sz w:val="22"/>
          <w:szCs w:val="22"/>
          <w:lang w:val="es-ES_tradnl"/>
        </w:rPr>
        <w:t>137</w:t>
      </w:r>
      <w:r w:rsidR="00901A2E">
        <w:rPr>
          <w:rFonts w:ascii="Arial" w:hAnsi="Arial" w:cs="Arial"/>
          <w:b w:val="0"/>
          <w:sz w:val="22"/>
          <w:szCs w:val="22"/>
          <w:lang w:val="es-ES_tradnl"/>
        </w:rPr>
        <w:t> </w:t>
      </w:r>
      <w:r w:rsidR="00CB08AC" w:rsidRPr="00F30F48">
        <w:rPr>
          <w:rFonts w:ascii="Arial" w:hAnsi="Arial" w:cs="Arial"/>
          <w:b w:val="0"/>
          <w:sz w:val="22"/>
          <w:szCs w:val="22"/>
          <w:lang w:val="es-ES_tradnl"/>
        </w:rPr>
        <w:t>millones en 2017</w:t>
      </w:r>
      <w:r w:rsidR="00CB08AC" w:rsidRPr="00F30F48">
        <w:rPr>
          <w:rStyle w:val="FootnoteReference"/>
          <w:rFonts w:ascii="Arial" w:hAnsi="Arial" w:cs="Arial"/>
          <w:b w:val="0"/>
          <w:sz w:val="22"/>
          <w:szCs w:val="22"/>
          <w:lang w:val="es-ES_tradnl"/>
        </w:rPr>
        <w:footnoteReference w:id="21"/>
      </w:r>
      <w:r w:rsidR="00CB08AC" w:rsidRPr="00F30F48">
        <w:rPr>
          <w:rFonts w:ascii="Arial" w:hAnsi="Arial" w:cs="Arial"/>
          <w:b w:val="0"/>
          <w:sz w:val="22"/>
          <w:szCs w:val="22"/>
          <w:lang w:val="es-ES_tradnl"/>
        </w:rPr>
        <w:t>.</w:t>
      </w:r>
    </w:p>
    <w:p w14:paraId="7926705E" w14:textId="77777777" w:rsidR="00F52F41" w:rsidRPr="00F30F48" w:rsidRDefault="00F52F41" w:rsidP="00354F3E">
      <w:pPr>
        <w:pStyle w:val="Paragraph"/>
        <w:numPr>
          <w:ilvl w:val="0"/>
          <w:numId w:val="0"/>
        </w:numPr>
        <w:spacing w:before="0" w:after="0"/>
        <w:rPr>
          <w:rFonts w:ascii="Arial" w:hAnsi="Arial" w:cs="Arial"/>
          <w:sz w:val="22"/>
          <w:szCs w:val="22"/>
        </w:rPr>
      </w:pPr>
    </w:p>
    <w:p w14:paraId="4D65547D" w14:textId="144009F2" w:rsidR="00710D9F" w:rsidRPr="00F30F48" w:rsidRDefault="00CB08AC" w:rsidP="00F30F48">
      <w:pPr>
        <w:pStyle w:val="TitulopostI"/>
        <w:numPr>
          <w:ilvl w:val="1"/>
          <w:numId w:val="33"/>
        </w:numPr>
        <w:spacing w:line="240" w:lineRule="auto"/>
        <w:ind w:hanging="720"/>
        <w:rPr>
          <w:rFonts w:ascii="Arial" w:hAnsi="Arial" w:cs="Arial"/>
          <w:b w:val="0"/>
          <w:sz w:val="22"/>
          <w:szCs w:val="22"/>
        </w:rPr>
      </w:pPr>
      <w:r w:rsidRPr="00F30F48">
        <w:rPr>
          <w:rFonts w:ascii="Arial" w:hAnsi="Arial" w:cs="Arial"/>
          <w:b w:val="0"/>
          <w:sz w:val="22"/>
          <w:szCs w:val="22"/>
        </w:rPr>
        <w:t>A partir de los resultados de</w:t>
      </w:r>
      <w:r w:rsidR="004A45D1" w:rsidRPr="00F30F48">
        <w:rPr>
          <w:rFonts w:ascii="Arial" w:hAnsi="Arial" w:cs="Arial"/>
          <w:b w:val="0"/>
          <w:sz w:val="22"/>
          <w:szCs w:val="22"/>
        </w:rPr>
        <w:t>l Programa 2755/OC-CO</w:t>
      </w:r>
      <w:r w:rsidRPr="00F30F48">
        <w:rPr>
          <w:rFonts w:ascii="Arial" w:hAnsi="Arial" w:cs="Arial"/>
          <w:b w:val="0"/>
          <w:sz w:val="22"/>
          <w:szCs w:val="22"/>
        </w:rPr>
        <w:t xml:space="preserve"> </w:t>
      </w:r>
      <w:r w:rsidR="00FE655C" w:rsidRPr="00F30F48">
        <w:rPr>
          <w:rFonts w:ascii="Arial" w:hAnsi="Arial" w:cs="Arial"/>
          <w:b w:val="0"/>
          <w:sz w:val="22"/>
          <w:szCs w:val="22"/>
        </w:rPr>
        <w:t>y de acuerdo a los objetivos propuesto</w:t>
      </w:r>
      <w:r w:rsidR="00CE0065" w:rsidRPr="00F30F48">
        <w:rPr>
          <w:rFonts w:ascii="Arial" w:hAnsi="Arial" w:cs="Arial"/>
          <w:b w:val="0"/>
          <w:sz w:val="22"/>
          <w:szCs w:val="22"/>
        </w:rPr>
        <w:t>s</w:t>
      </w:r>
      <w:r w:rsidR="00FE655C" w:rsidRPr="00F30F48">
        <w:rPr>
          <w:rFonts w:ascii="Arial" w:hAnsi="Arial" w:cs="Arial"/>
          <w:b w:val="0"/>
          <w:sz w:val="22"/>
          <w:szCs w:val="22"/>
        </w:rPr>
        <w:t xml:space="preserve"> para el </w:t>
      </w:r>
      <w:r w:rsidR="00CE0065" w:rsidRPr="00F30F48">
        <w:rPr>
          <w:rFonts w:ascii="Arial" w:hAnsi="Arial" w:cs="Arial"/>
          <w:b w:val="0"/>
          <w:sz w:val="22"/>
          <w:szCs w:val="22"/>
        </w:rPr>
        <w:t>d</w:t>
      </w:r>
      <w:r w:rsidR="00FE655C" w:rsidRPr="00F30F48">
        <w:rPr>
          <w:rFonts w:ascii="Arial" w:hAnsi="Arial" w:cs="Arial"/>
          <w:b w:val="0"/>
          <w:sz w:val="22"/>
          <w:szCs w:val="22"/>
        </w:rPr>
        <w:t xml:space="preserve">esarrollo del </w:t>
      </w:r>
      <w:r w:rsidR="000D56CF">
        <w:rPr>
          <w:rFonts w:ascii="Arial" w:hAnsi="Arial" w:cs="Arial"/>
          <w:b w:val="0"/>
          <w:sz w:val="22"/>
          <w:szCs w:val="22"/>
        </w:rPr>
        <w:t>p</w:t>
      </w:r>
      <w:r w:rsidR="00FE655C" w:rsidRPr="00F30F48">
        <w:rPr>
          <w:rFonts w:ascii="Arial" w:hAnsi="Arial" w:cs="Arial"/>
          <w:b w:val="0"/>
          <w:sz w:val="22"/>
          <w:szCs w:val="22"/>
        </w:rPr>
        <w:t xml:space="preserve">rograma, </w:t>
      </w:r>
      <w:r w:rsidR="004A45D1" w:rsidRPr="00F30F48">
        <w:rPr>
          <w:rFonts w:ascii="Arial" w:hAnsi="Arial" w:cs="Arial"/>
          <w:b w:val="0"/>
          <w:sz w:val="22"/>
          <w:szCs w:val="22"/>
        </w:rPr>
        <w:t>el presente</w:t>
      </w:r>
      <w:r w:rsidRPr="00F30F48">
        <w:rPr>
          <w:rFonts w:ascii="Arial" w:hAnsi="Arial" w:cs="Arial"/>
          <w:b w:val="0"/>
          <w:sz w:val="22"/>
          <w:szCs w:val="22"/>
        </w:rPr>
        <w:t xml:space="preserve"> análisis económico propone la evaluación de </w:t>
      </w:r>
      <w:r w:rsidR="00126D57" w:rsidRPr="00F30F48">
        <w:rPr>
          <w:rFonts w:ascii="Arial" w:hAnsi="Arial" w:cs="Arial"/>
          <w:b w:val="0"/>
          <w:sz w:val="22"/>
          <w:szCs w:val="22"/>
        </w:rPr>
        <w:t xml:space="preserve">un indicador que permita medir el aumento de la cobertura </w:t>
      </w:r>
      <w:r w:rsidR="0091186F" w:rsidRPr="00F30F48">
        <w:rPr>
          <w:rFonts w:ascii="Arial" w:hAnsi="Arial" w:cs="Arial"/>
          <w:b w:val="0"/>
          <w:sz w:val="22"/>
          <w:szCs w:val="22"/>
        </w:rPr>
        <w:t xml:space="preserve">en los casos que concentran el 68% del total de las pretensiones </w:t>
      </w:r>
      <w:r w:rsidR="00126D57" w:rsidRPr="00F30F48">
        <w:rPr>
          <w:rFonts w:ascii="Arial" w:hAnsi="Arial" w:cs="Arial"/>
          <w:b w:val="0"/>
          <w:sz w:val="22"/>
          <w:szCs w:val="22"/>
        </w:rPr>
        <w:t>en contra del Estado</w:t>
      </w:r>
      <w:r w:rsidR="00126D57" w:rsidRPr="00F30F48">
        <w:rPr>
          <w:rStyle w:val="FootnoteReference"/>
          <w:rFonts w:ascii="Arial" w:hAnsi="Arial" w:cs="Arial"/>
          <w:b w:val="0"/>
          <w:sz w:val="22"/>
          <w:szCs w:val="22"/>
        </w:rPr>
        <w:footnoteReference w:id="22"/>
      </w:r>
      <w:r w:rsidR="00710D9F" w:rsidRPr="00F30F48">
        <w:rPr>
          <w:rFonts w:ascii="Arial" w:hAnsi="Arial" w:cs="Arial"/>
          <w:b w:val="0"/>
          <w:sz w:val="22"/>
          <w:szCs w:val="22"/>
        </w:rPr>
        <w:t xml:space="preserve">. </w:t>
      </w:r>
    </w:p>
    <w:p w14:paraId="436726E3" w14:textId="77777777" w:rsidR="00710D9F" w:rsidRPr="00F30F48" w:rsidRDefault="00710D9F" w:rsidP="00F81B01">
      <w:pPr>
        <w:pStyle w:val="Paragraph"/>
        <w:numPr>
          <w:ilvl w:val="0"/>
          <w:numId w:val="0"/>
        </w:numPr>
        <w:spacing w:before="0" w:after="0"/>
        <w:rPr>
          <w:rFonts w:ascii="Arial" w:hAnsi="Arial" w:cs="Arial"/>
          <w:sz w:val="22"/>
          <w:szCs w:val="22"/>
        </w:rPr>
      </w:pPr>
    </w:p>
    <w:p w14:paraId="798DEFCB" w14:textId="3B5AA177" w:rsidR="001B5AC4" w:rsidRDefault="00710D9F" w:rsidP="00F30F48">
      <w:pPr>
        <w:pStyle w:val="TitulopostI"/>
        <w:numPr>
          <w:ilvl w:val="1"/>
          <w:numId w:val="33"/>
        </w:numPr>
        <w:spacing w:line="240" w:lineRule="auto"/>
        <w:ind w:hanging="720"/>
        <w:rPr>
          <w:rFonts w:ascii="Arial" w:hAnsi="Arial" w:cs="Arial"/>
          <w:b w:val="0"/>
          <w:sz w:val="22"/>
          <w:szCs w:val="22"/>
        </w:rPr>
      </w:pPr>
      <w:r w:rsidRPr="00F30F48">
        <w:rPr>
          <w:rFonts w:ascii="Arial" w:hAnsi="Arial" w:cs="Arial"/>
          <w:b w:val="0"/>
          <w:sz w:val="22"/>
          <w:szCs w:val="22"/>
        </w:rPr>
        <w:t>P</w:t>
      </w:r>
      <w:r w:rsidR="00CB08AC" w:rsidRPr="00F30F48">
        <w:rPr>
          <w:rFonts w:ascii="Arial" w:hAnsi="Arial" w:cs="Arial"/>
          <w:b w:val="0"/>
          <w:sz w:val="22"/>
          <w:szCs w:val="22"/>
        </w:rPr>
        <w:t xml:space="preserve">ara esto, </w:t>
      </w:r>
      <w:r w:rsidR="003B2430" w:rsidRPr="00F30F48">
        <w:rPr>
          <w:rFonts w:ascii="Arial" w:hAnsi="Arial" w:cs="Arial"/>
          <w:b w:val="0"/>
          <w:sz w:val="22"/>
          <w:szCs w:val="22"/>
        </w:rPr>
        <w:t xml:space="preserve">se plantean tres escenarios en función del </w:t>
      </w:r>
      <w:r w:rsidRPr="00F30F48">
        <w:rPr>
          <w:rFonts w:ascii="Arial" w:hAnsi="Arial" w:cs="Arial"/>
          <w:b w:val="0"/>
          <w:sz w:val="22"/>
          <w:szCs w:val="22"/>
        </w:rPr>
        <w:t xml:space="preserve">incremento en la productividad de los abogados </w:t>
      </w:r>
      <w:r w:rsidR="00383960" w:rsidRPr="00F30F48">
        <w:rPr>
          <w:rFonts w:ascii="Arial" w:hAnsi="Arial" w:cs="Arial"/>
          <w:b w:val="0"/>
          <w:sz w:val="22"/>
          <w:szCs w:val="22"/>
        </w:rPr>
        <w:t>de</w:t>
      </w:r>
      <w:r w:rsidRPr="00F30F48">
        <w:rPr>
          <w:rFonts w:ascii="Arial" w:hAnsi="Arial" w:cs="Arial"/>
          <w:b w:val="0"/>
          <w:sz w:val="22"/>
          <w:szCs w:val="22"/>
        </w:rPr>
        <w:t xml:space="preserve"> la ANDJE</w:t>
      </w:r>
      <w:r w:rsidR="00383960" w:rsidRPr="00F30F48">
        <w:rPr>
          <w:rFonts w:ascii="Arial" w:hAnsi="Arial" w:cs="Arial"/>
          <w:b w:val="0"/>
          <w:sz w:val="22"/>
          <w:szCs w:val="22"/>
        </w:rPr>
        <w:t xml:space="preserve"> que intervienen directamente en la defensa de </w:t>
      </w:r>
      <w:r w:rsidR="003B2430" w:rsidRPr="00F30F48">
        <w:rPr>
          <w:rFonts w:ascii="Arial" w:hAnsi="Arial" w:cs="Arial"/>
          <w:b w:val="0"/>
          <w:sz w:val="22"/>
          <w:szCs w:val="22"/>
        </w:rPr>
        <w:t xml:space="preserve">los </w:t>
      </w:r>
      <w:r w:rsidR="00383960" w:rsidRPr="00F30F48">
        <w:rPr>
          <w:rFonts w:ascii="Arial" w:hAnsi="Arial" w:cs="Arial"/>
          <w:b w:val="0"/>
          <w:sz w:val="22"/>
          <w:szCs w:val="22"/>
        </w:rPr>
        <w:t>casos</w:t>
      </w:r>
      <w:r w:rsidRPr="00F30F48">
        <w:rPr>
          <w:rFonts w:ascii="Arial" w:hAnsi="Arial" w:cs="Arial"/>
          <w:b w:val="0"/>
          <w:sz w:val="22"/>
          <w:szCs w:val="22"/>
        </w:rPr>
        <w:t xml:space="preserve"> </w:t>
      </w:r>
      <w:r w:rsidR="00383960" w:rsidRPr="00F30F48">
        <w:rPr>
          <w:rFonts w:ascii="Arial" w:hAnsi="Arial" w:cs="Arial"/>
          <w:b w:val="0"/>
          <w:sz w:val="22"/>
          <w:szCs w:val="22"/>
        </w:rPr>
        <w:t>seleccionados</w:t>
      </w:r>
      <w:r w:rsidR="007F1343" w:rsidRPr="00F30F48">
        <w:rPr>
          <w:rFonts w:ascii="Arial" w:hAnsi="Arial" w:cs="Arial"/>
          <w:b w:val="0"/>
          <w:sz w:val="22"/>
          <w:szCs w:val="22"/>
        </w:rPr>
        <w:t>.</w:t>
      </w:r>
      <w:r w:rsidRPr="00F30F48">
        <w:rPr>
          <w:rFonts w:ascii="Arial" w:hAnsi="Arial" w:cs="Arial"/>
          <w:b w:val="0"/>
          <w:sz w:val="22"/>
          <w:szCs w:val="22"/>
        </w:rPr>
        <w:t xml:space="preserve"> </w:t>
      </w:r>
      <w:r w:rsidR="007F1343" w:rsidRPr="00F30F48">
        <w:rPr>
          <w:rFonts w:ascii="Arial" w:hAnsi="Arial" w:cs="Arial"/>
          <w:b w:val="0"/>
          <w:sz w:val="22"/>
          <w:szCs w:val="22"/>
        </w:rPr>
        <w:t xml:space="preserve">Existe evidencia empírica, que permite </w:t>
      </w:r>
      <w:r w:rsidR="007F1343" w:rsidRPr="00F30F48">
        <w:rPr>
          <w:rFonts w:ascii="Arial" w:hAnsi="Arial" w:cs="Arial"/>
          <w:b w:val="0"/>
          <w:sz w:val="22"/>
          <w:szCs w:val="22"/>
        </w:rPr>
        <w:lastRenderedPageBreak/>
        <w:t xml:space="preserve">afirmar que </w:t>
      </w:r>
      <w:r w:rsidR="003B2430" w:rsidRPr="00F30F48">
        <w:rPr>
          <w:rFonts w:ascii="Arial" w:hAnsi="Arial" w:cs="Arial"/>
          <w:b w:val="0"/>
          <w:sz w:val="22"/>
          <w:szCs w:val="22"/>
        </w:rPr>
        <w:t xml:space="preserve">a través de capacitaciones para </w:t>
      </w:r>
      <w:r w:rsidR="007F1343" w:rsidRPr="00F30F48">
        <w:rPr>
          <w:rFonts w:ascii="Arial" w:hAnsi="Arial" w:cs="Arial"/>
          <w:b w:val="0"/>
          <w:sz w:val="22"/>
          <w:szCs w:val="22"/>
        </w:rPr>
        <w:t xml:space="preserve">el correcto manejo y gestión de casos </w:t>
      </w:r>
      <w:r w:rsidR="003B2430" w:rsidRPr="00F30F48">
        <w:rPr>
          <w:rFonts w:ascii="Arial" w:hAnsi="Arial" w:cs="Arial"/>
          <w:b w:val="0"/>
          <w:sz w:val="22"/>
          <w:szCs w:val="22"/>
        </w:rPr>
        <w:t xml:space="preserve">se aumenta su </w:t>
      </w:r>
      <w:r w:rsidR="00FE655C" w:rsidRPr="00F30F48">
        <w:rPr>
          <w:rFonts w:ascii="Arial" w:hAnsi="Arial" w:cs="Arial"/>
          <w:b w:val="0"/>
          <w:sz w:val="22"/>
          <w:szCs w:val="22"/>
        </w:rPr>
        <w:t xml:space="preserve">productividad (Chemin, </w:t>
      </w:r>
      <w:r w:rsidR="007F1343" w:rsidRPr="00F30F48">
        <w:rPr>
          <w:rFonts w:ascii="Arial" w:hAnsi="Arial" w:cs="Arial"/>
          <w:b w:val="0"/>
          <w:sz w:val="22"/>
          <w:szCs w:val="22"/>
        </w:rPr>
        <w:t>2009)</w:t>
      </w:r>
      <w:r w:rsidR="00254A70" w:rsidRPr="00F30F48">
        <w:rPr>
          <w:rFonts w:ascii="Arial" w:hAnsi="Arial" w:cs="Arial"/>
          <w:b w:val="0"/>
          <w:sz w:val="22"/>
          <w:szCs w:val="22"/>
          <w:vertAlign w:val="superscript"/>
        </w:rPr>
        <w:footnoteReference w:id="23"/>
      </w:r>
      <w:r w:rsidR="007F1343" w:rsidRPr="00F30F48">
        <w:rPr>
          <w:rFonts w:ascii="Arial" w:hAnsi="Arial" w:cs="Arial"/>
          <w:b w:val="0"/>
          <w:sz w:val="22"/>
          <w:szCs w:val="22"/>
        </w:rPr>
        <w:t xml:space="preserve">.  </w:t>
      </w:r>
    </w:p>
    <w:p w14:paraId="2B3BAC97" w14:textId="77777777" w:rsidR="00FC1B92" w:rsidRDefault="00FC1B92" w:rsidP="00A706F7">
      <w:pPr>
        <w:pStyle w:val="TitulopostI"/>
        <w:spacing w:line="240" w:lineRule="auto"/>
        <w:ind w:left="0" w:firstLine="0"/>
        <w:rPr>
          <w:rFonts w:ascii="Arial" w:hAnsi="Arial" w:cs="Arial"/>
          <w:b w:val="0"/>
          <w:sz w:val="22"/>
          <w:szCs w:val="22"/>
        </w:rPr>
      </w:pPr>
    </w:p>
    <w:p w14:paraId="3EEDB70E" w14:textId="3AE6219C" w:rsidR="00FC1B92" w:rsidRPr="00FC1B92" w:rsidRDefault="00FC1B92" w:rsidP="00FC1B92">
      <w:pPr>
        <w:pStyle w:val="TitulopostI"/>
        <w:numPr>
          <w:ilvl w:val="1"/>
          <w:numId w:val="33"/>
        </w:numPr>
        <w:spacing w:line="240" w:lineRule="auto"/>
        <w:ind w:hanging="720"/>
        <w:rPr>
          <w:rFonts w:ascii="Arial" w:hAnsi="Arial" w:cs="Arial"/>
          <w:b w:val="0"/>
          <w:sz w:val="22"/>
          <w:szCs w:val="22"/>
        </w:rPr>
      </w:pPr>
      <w:r w:rsidRPr="00A706F7">
        <w:rPr>
          <w:rFonts w:ascii="Arial" w:hAnsi="Arial" w:cs="Arial"/>
          <w:b w:val="0"/>
          <w:sz w:val="22"/>
          <w:szCs w:val="22"/>
        </w:rPr>
        <w:t>Entre los años 2001 y 2003, se implementó en Pakistán una reforma judicial que buscaba aumentar la productividad de los jueces en los 117 distritos judiciales del país. El programa, financiado por el Banco Asiático de Desarrollo denominado “</w:t>
      </w:r>
      <w:r w:rsidRPr="00A706F7">
        <w:rPr>
          <w:rFonts w:ascii="Arial" w:hAnsi="Arial" w:cs="Arial"/>
          <w:b w:val="0"/>
          <w:i/>
          <w:sz w:val="22"/>
          <w:szCs w:val="22"/>
        </w:rPr>
        <w:t>Access to Justice Programme</w:t>
      </w:r>
      <w:r w:rsidRPr="00A706F7">
        <w:rPr>
          <w:rFonts w:ascii="Arial" w:hAnsi="Arial" w:cs="Arial"/>
          <w:b w:val="0"/>
          <w:sz w:val="22"/>
          <w:szCs w:val="22"/>
        </w:rPr>
        <w:t>” buscaba el descongestionamiento de procesos judiciales en los distritos. Chemin, encontró que las capacitaciones realizadas en 6 de los 117 distritos judiciales generó un aumento de productividad</w:t>
      </w:r>
      <w:r w:rsidRPr="00A706F7">
        <w:rPr>
          <w:rFonts w:ascii="Arial" w:hAnsi="Arial" w:cs="Arial"/>
          <w:b w:val="0"/>
          <w:sz w:val="22"/>
          <w:szCs w:val="22"/>
          <w:vertAlign w:val="superscript"/>
        </w:rPr>
        <w:footnoteReference w:id="24"/>
      </w:r>
      <w:r w:rsidRPr="00A706F7">
        <w:rPr>
          <w:rFonts w:ascii="Arial" w:hAnsi="Arial" w:cs="Arial"/>
          <w:b w:val="0"/>
          <w:sz w:val="22"/>
          <w:szCs w:val="22"/>
        </w:rPr>
        <w:t xml:space="preserve"> en los jueces en comparación a sus pares que no fueron capacitados en un 25%. </w:t>
      </w:r>
    </w:p>
    <w:p w14:paraId="0852E806" w14:textId="77777777" w:rsidR="004854CB" w:rsidRPr="00F30F48" w:rsidRDefault="004854CB" w:rsidP="00F30F48">
      <w:pPr>
        <w:pStyle w:val="TitulopostI"/>
        <w:spacing w:line="240" w:lineRule="auto"/>
        <w:ind w:left="720" w:firstLine="0"/>
        <w:rPr>
          <w:rFonts w:ascii="Arial" w:hAnsi="Arial" w:cs="Arial"/>
          <w:b w:val="0"/>
          <w:sz w:val="22"/>
          <w:szCs w:val="22"/>
        </w:rPr>
      </w:pPr>
    </w:p>
    <w:p w14:paraId="674BA662" w14:textId="0F581E1B" w:rsidR="00710D9F" w:rsidRPr="00F30F48" w:rsidRDefault="007F1343" w:rsidP="00F30F48">
      <w:pPr>
        <w:pStyle w:val="TitulopostI"/>
        <w:numPr>
          <w:ilvl w:val="1"/>
          <w:numId w:val="33"/>
        </w:numPr>
        <w:spacing w:line="240" w:lineRule="auto"/>
        <w:ind w:hanging="720"/>
        <w:rPr>
          <w:rFonts w:ascii="Arial" w:hAnsi="Arial" w:cs="Arial"/>
          <w:b w:val="0"/>
          <w:sz w:val="22"/>
          <w:szCs w:val="22"/>
        </w:rPr>
      </w:pPr>
      <w:r w:rsidRPr="00F30F48">
        <w:rPr>
          <w:rFonts w:ascii="Arial" w:hAnsi="Arial" w:cs="Arial"/>
          <w:b w:val="0"/>
          <w:sz w:val="22"/>
          <w:szCs w:val="22"/>
        </w:rPr>
        <w:t xml:space="preserve">Así mismo, Chemin (2009), calcula que el retorno no sólo se evidenció en </w:t>
      </w:r>
      <w:r w:rsidR="00254A70" w:rsidRPr="00F30F48">
        <w:rPr>
          <w:rFonts w:ascii="Arial" w:hAnsi="Arial" w:cs="Arial"/>
          <w:b w:val="0"/>
          <w:sz w:val="22"/>
          <w:szCs w:val="22"/>
        </w:rPr>
        <w:t xml:space="preserve">el aumento de productividad de los jueces, sino que se pudo observar que, debido </w:t>
      </w:r>
      <w:r w:rsidR="0064012F" w:rsidRPr="00F30F48">
        <w:rPr>
          <w:rFonts w:ascii="Arial" w:hAnsi="Arial" w:cs="Arial"/>
          <w:b w:val="0"/>
          <w:sz w:val="22"/>
          <w:szCs w:val="22"/>
        </w:rPr>
        <w:t>al descongestionamiento judicial</w:t>
      </w:r>
      <w:r w:rsidR="00254A70" w:rsidRPr="00F30F48">
        <w:rPr>
          <w:rFonts w:ascii="Arial" w:hAnsi="Arial" w:cs="Arial"/>
          <w:b w:val="0"/>
          <w:sz w:val="22"/>
          <w:szCs w:val="22"/>
        </w:rPr>
        <w:t>, la economía tomó un impulso</w:t>
      </w:r>
      <w:r w:rsidR="00646FB5" w:rsidRPr="00F30F48">
        <w:rPr>
          <w:rFonts w:ascii="Arial" w:hAnsi="Arial" w:cs="Arial"/>
          <w:b w:val="0"/>
          <w:sz w:val="22"/>
          <w:szCs w:val="22"/>
        </w:rPr>
        <w:t xml:space="preserve"> al incentivar la creación de empresa y el empleo. S</w:t>
      </w:r>
      <w:r w:rsidR="001B5AC4" w:rsidRPr="00F30F48">
        <w:rPr>
          <w:rFonts w:ascii="Arial" w:hAnsi="Arial" w:cs="Arial"/>
          <w:b w:val="0"/>
          <w:sz w:val="22"/>
          <w:szCs w:val="22"/>
        </w:rPr>
        <w:t xml:space="preserve">e calcula que </w:t>
      </w:r>
      <w:r w:rsidR="00254A70" w:rsidRPr="00F30F48">
        <w:rPr>
          <w:rFonts w:ascii="Arial" w:hAnsi="Arial" w:cs="Arial"/>
          <w:b w:val="0"/>
          <w:sz w:val="22"/>
          <w:szCs w:val="22"/>
        </w:rPr>
        <w:t>dicho programa que costó el 0</w:t>
      </w:r>
      <w:r w:rsidR="000D25CB">
        <w:rPr>
          <w:rFonts w:ascii="Arial" w:hAnsi="Arial" w:cs="Arial"/>
          <w:b w:val="0"/>
          <w:sz w:val="22"/>
          <w:szCs w:val="22"/>
        </w:rPr>
        <w:t>,</w:t>
      </w:r>
      <w:r w:rsidR="00254A70" w:rsidRPr="00F30F48">
        <w:rPr>
          <w:rFonts w:ascii="Arial" w:hAnsi="Arial" w:cs="Arial"/>
          <w:b w:val="0"/>
          <w:sz w:val="22"/>
          <w:szCs w:val="22"/>
        </w:rPr>
        <w:t>1% del prod</w:t>
      </w:r>
      <w:r w:rsidR="001B5AC4" w:rsidRPr="00F30F48">
        <w:rPr>
          <w:rFonts w:ascii="Arial" w:hAnsi="Arial" w:cs="Arial"/>
          <w:b w:val="0"/>
          <w:sz w:val="22"/>
          <w:szCs w:val="22"/>
        </w:rPr>
        <w:t xml:space="preserve">ucto interno bruto de Pakistán, </w:t>
      </w:r>
      <w:r w:rsidR="00254A70" w:rsidRPr="00F30F48">
        <w:rPr>
          <w:rFonts w:ascii="Arial" w:hAnsi="Arial" w:cs="Arial"/>
          <w:b w:val="0"/>
          <w:sz w:val="22"/>
          <w:szCs w:val="22"/>
        </w:rPr>
        <w:t xml:space="preserve">incrementó </w:t>
      </w:r>
      <w:r w:rsidR="001B5AC4" w:rsidRPr="00F30F48">
        <w:rPr>
          <w:rFonts w:ascii="Arial" w:hAnsi="Arial" w:cs="Arial"/>
          <w:b w:val="0"/>
          <w:sz w:val="22"/>
          <w:szCs w:val="22"/>
        </w:rPr>
        <w:t xml:space="preserve">el PIB </w:t>
      </w:r>
      <w:r w:rsidR="00254A70" w:rsidRPr="00F30F48">
        <w:rPr>
          <w:rFonts w:ascii="Arial" w:hAnsi="Arial" w:cs="Arial"/>
          <w:b w:val="0"/>
          <w:sz w:val="22"/>
          <w:szCs w:val="22"/>
        </w:rPr>
        <w:t>en un 0</w:t>
      </w:r>
      <w:r w:rsidR="000D25CB">
        <w:rPr>
          <w:rFonts w:ascii="Arial" w:hAnsi="Arial" w:cs="Arial"/>
          <w:b w:val="0"/>
          <w:sz w:val="22"/>
          <w:szCs w:val="22"/>
        </w:rPr>
        <w:t>,</w:t>
      </w:r>
      <w:r w:rsidR="00254A70" w:rsidRPr="00F30F48">
        <w:rPr>
          <w:rFonts w:ascii="Arial" w:hAnsi="Arial" w:cs="Arial"/>
          <w:b w:val="0"/>
          <w:sz w:val="22"/>
          <w:szCs w:val="22"/>
        </w:rPr>
        <w:t xml:space="preserve">5%. </w:t>
      </w:r>
    </w:p>
    <w:p w14:paraId="0ED1CEEE" w14:textId="21FC276D" w:rsidR="00693960" w:rsidRPr="00F30F48" w:rsidRDefault="00693960" w:rsidP="00F30F48">
      <w:pPr>
        <w:pStyle w:val="TitulopostI"/>
        <w:spacing w:line="240" w:lineRule="auto"/>
        <w:ind w:left="720" w:firstLine="0"/>
        <w:rPr>
          <w:rFonts w:ascii="Arial" w:hAnsi="Arial" w:cs="Arial"/>
          <w:b w:val="0"/>
          <w:sz w:val="22"/>
          <w:szCs w:val="22"/>
        </w:rPr>
      </w:pPr>
    </w:p>
    <w:p w14:paraId="30BC53B3" w14:textId="3F0092C5" w:rsidR="002042AC" w:rsidRPr="00F30F48" w:rsidRDefault="00CE0065" w:rsidP="00F30F48">
      <w:pPr>
        <w:pStyle w:val="TitulopostI"/>
        <w:numPr>
          <w:ilvl w:val="1"/>
          <w:numId w:val="33"/>
        </w:numPr>
        <w:spacing w:line="240" w:lineRule="auto"/>
        <w:ind w:hanging="720"/>
        <w:rPr>
          <w:rFonts w:ascii="Arial" w:hAnsi="Arial" w:cs="Arial"/>
          <w:b w:val="0"/>
          <w:sz w:val="22"/>
          <w:szCs w:val="22"/>
        </w:rPr>
      </w:pPr>
      <w:r w:rsidRPr="00F30F48">
        <w:rPr>
          <w:rFonts w:ascii="Arial" w:hAnsi="Arial" w:cs="Arial"/>
          <w:b w:val="0"/>
          <w:sz w:val="22"/>
          <w:szCs w:val="22"/>
        </w:rPr>
        <w:t xml:space="preserve">Por otro lado, </w:t>
      </w:r>
      <w:r w:rsidR="00693960" w:rsidRPr="00F30F48">
        <w:rPr>
          <w:rFonts w:ascii="Arial" w:hAnsi="Arial" w:cs="Arial"/>
          <w:b w:val="0"/>
          <w:sz w:val="22"/>
          <w:szCs w:val="22"/>
        </w:rPr>
        <w:t>Sadka, Seira &amp; Woodruff (2018)</w:t>
      </w:r>
      <w:r w:rsidR="00693960" w:rsidRPr="00F30F48">
        <w:rPr>
          <w:rFonts w:ascii="Arial" w:hAnsi="Arial" w:cs="Arial"/>
          <w:b w:val="0"/>
          <w:sz w:val="22"/>
          <w:szCs w:val="22"/>
          <w:vertAlign w:val="superscript"/>
        </w:rPr>
        <w:footnoteReference w:id="25"/>
      </w:r>
      <w:r w:rsidR="00693960" w:rsidRPr="00F30F48">
        <w:rPr>
          <w:rFonts w:ascii="Arial" w:hAnsi="Arial" w:cs="Arial"/>
          <w:b w:val="0"/>
          <w:sz w:val="22"/>
          <w:szCs w:val="22"/>
          <w:vertAlign w:val="superscript"/>
        </w:rPr>
        <w:t xml:space="preserve"> </w:t>
      </w:r>
      <w:r w:rsidR="00693960" w:rsidRPr="00F30F48">
        <w:rPr>
          <w:rFonts w:ascii="Arial" w:hAnsi="Arial" w:cs="Arial"/>
          <w:b w:val="0"/>
          <w:sz w:val="22"/>
          <w:szCs w:val="22"/>
        </w:rPr>
        <w:t xml:space="preserve">en un estudio en </w:t>
      </w:r>
      <w:r w:rsidR="00F30F48">
        <w:rPr>
          <w:rFonts w:ascii="Arial" w:hAnsi="Arial" w:cs="Arial"/>
          <w:b w:val="0"/>
          <w:sz w:val="22"/>
          <w:szCs w:val="22"/>
        </w:rPr>
        <w:t>cinco</w:t>
      </w:r>
      <w:r w:rsidR="002042AC" w:rsidRPr="00F30F48">
        <w:rPr>
          <w:rFonts w:ascii="Arial" w:hAnsi="Arial" w:cs="Arial"/>
          <w:b w:val="0"/>
          <w:sz w:val="22"/>
          <w:szCs w:val="22"/>
        </w:rPr>
        <w:t xml:space="preserve"> </w:t>
      </w:r>
      <w:r w:rsidR="00693960" w:rsidRPr="00F30F48">
        <w:rPr>
          <w:rFonts w:ascii="Arial" w:hAnsi="Arial" w:cs="Arial"/>
          <w:b w:val="0"/>
          <w:sz w:val="22"/>
          <w:szCs w:val="22"/>
        </w:rPr>
        <w:t>subcortes de derechos laborales en la Ciudad de México, observa</w:t>
      </w:r>
      <w:r w:rsidR="002042AC" w:rsidRPr="00F30F48">
        <w:rPr>
          <w:rFonts w:ascii="Arial" w:hAnsi="Arial" w:cs="Arial"/>
          <w:b w:val="0"/>
          <w:sz w:val="22"/>
          <w:szCs w:val="22"/>
        </w:rPr>
        <w:t>ron</w:t>
      </w:r>
      <w:r w:rsidR="00693960" w:rsidRPr="00F30F48">
        <w:rPr>
          <w:rFonts w:ascii="Arial" w:hAnsi="Arial" w:cs="Arial"/>
          <w:b w:val="0"/>
          <w:sz w:val="22"/>
          <w:szCs w:val="22"/>
        </w:rPr>
        <w:t xml:space="preserve"> que, si bien la ley establece como máximo 100 días para resolver una demanda laboral, los procesos duraban en promedio </w:t>
      </w:r>
      <w:r w:rsidR="00F30F48">
        <w:rPr>
          <w:rFonts w:ascii="Arial" w:hAnsi="Arial" w:cs="Arial"/>
          <w:b w:val="0"/>
          <w:sz w:val="22"/>
          <w:szCs w:val="22"/>
        </w:rPr>
        <w:t>cuatro</w:t>
      </w:r>
      <w:r w:rsidR="00693960" w:rsidRPr="00F30F48">
        <w:rPr>
          <w:rFonts w:ascii="Arial" w:hAnsi="Arial" w:cs="Arial"/>
          <w:b w:val="0"/>
          <w:sz w:val="22"/>
          <w:szCs w:val="22"/>
        </w:rPr>
        <w:t xml:space="preserve"> años. </w:t>
      </w:r>
      <w:r w:rsidR="002042AC" w:rsidRPr="00F30F48">
        <w:rPr>
          <w:rFonts w:ascii="Arial" w:hAnsi="Arial" w:cs="Arial"/>
          <w:b w:val="0"/>
          <w:sz w:val="22"/>
          <w:szCs w:val="22"/>
        </w:rPr>
        <w:t>Una de las razones era la baja tasa de conciliaci</w:t>
      </w:r>
      <w:r w:rsidR="00316D23" w:rsidRPr="00F30F48">
        <w:rPr>
          <w:rFonts w:ascii="Arial" w:hAnsi="Arial" w:cs="Arial"/>
          <w:b w:val="0"/>
          <w:sz w:val="22"/>
          <w:szCs w:val="22"/>
        </w:rPr>
        <w:t>o</w:t>
      </w:r>
      <w:r w:rsidR="002042AC" w:rsidRPr="00F30F48">
        <w:rPr>
          <w:rFonts w:ascii="Arial" w:hAnsi="Arial" w:cs="Arial"/>
          <w:b w:val="0"/>
          <w:sz w:val="22"/>
          <w:szCs w:val="22"/>
        </w:rPr>
        <w:t>n</w:t>
      </w:r>
      <w:r w:rsidR="00316D23" w:rsidRPr="00F30F48">
        <w:rPr>
          <w:rFonts w:ascii="Arial" w:hAnsi="Arial" w:cs="Arial"/>
          <w:b w:val="0"/>
          <w:sz w:val="22"/>
          <w:szCs w:val="22"/>
        </w:rPr>
        <w:t>es</w:t>
      </w:r>
      <w:r w:rsidR="002042AC" w:rsidRPr="00F30F48">
        <w:rPr>
          <w:rFonts w:ascii="Arial" w:hAnsi="Arial" w:cs="Arial"/>
          <w:b w:val="0"/>
          <w:sz w:val="22"/>
          <w:szCs w:val="22"/>
        </w:rPr>
        <w:t xml:space="preserve"> </w:t>
      </w:r>
      <w:r w:rsidR="000D56CF" w:rsidRPr="00F30F48">
        <w:rPr>
          <w:rFonts w:ascii="Arial" w:hAnsi="Arial" w:cs="Arial"/>
          <w:b w:val="0"/>
          <w:sz w:val="22"/>
          <w:szCs w:val="22"/>
        </w:rPr>
        <w:t>aun</w:t>
      </w:r>
      <w:r w:rsidR="002042AC" w:rsidRPr="00F30F48">
        <w:rPr>
          <w:rFonts w:ascii="Arial" w:hAnsi="Arial" w:cs="Arial"/>
          <w:b w:val="0"/>
          <w:sz w:val="22"/>
          <w:szCs w:val="22"/>
        </w:rPr>
        <w:t xml:space="preserve"> cuando</w:t>
      </w:r>
      <w:r w:rsidR="00693960" w:rsidRPr="00F30F48">
        <w:rPr>
          <w:rFonts w:ascii="Arial" w:hAnsi="Arial" w:cs="Arial"/>
          <w:b w:val="0"/>
          <w:sz w:val="22"/>
          <w:szCs w:val="22"/>
        </w:rPr>
        <w:t xml:space="preserve"> en México existe la obligación, de contar con una audiencia de conciliación con anterioridad al inicio formal del proceso</w:t>
      </w:r>
      <w:r w:rsidR="002042AC" w:rsidRPr="00F30F48">
        <w:rPr>
          <w:rFonts w:ascii="Arial" w:hAnsi="Arial" w:cs="Arial"/>
          <w:b w:val="0"/>
          <w:sz w:val="22"/>
          <w:szCs w:val="22"/>
        </w:rPr>
        <w:t>.</w:t>
      </w:r>
      <w:r w:rsidR="00693960" w:rsidRPr="00F30F48">
        <w:rPr>
          <w:rFonts w:ascii="Arial" w:hAnsi="Arial" w:cs="Arial"/>
          <w:b w:val="0"/>
          <w:sz w:val="22"/>
          <w:szCs w:val="22"/>
        </w:rPr>
        <w:t xml:space="preserve"> </w:t>
      </w:r>
    </w:p>
    <w:p w14:paraId="16521CAD" w14:textId="77777777" w:rsidR="002042AC" w:rsidRPr="00F30F48" w:rsidRDefault="002042AC" w:rsidP="00F30F48">
      <w:pPr>
        <w:pStyle w:val="TitulopostI"/>
        <w:spacing w:line="240" w:lineRule="auto"/>
        <w:ind w:left="720" w:firstLine="0"/>
        <w:rPr>
          <w:rFonts w:ascii="Arial" w:hAnsi="Arial" w:cs="Arial"/>
          <w:b w:val="0"/>
          <w:sz w:val="22"/>
          <w:szCs w:val="22"/>
        </w:rPr>
      </w:pPr>
    </w:p>
    <w:p w14:paraId="61814574" w14:textId="6521775E" w:rsidR="00693960" w:rsidRPr="00F30F48" w:rsidRDefault="002042AC" w:rsidP="00F30F48">
      <w:pPr>
        <w:pStyle w:val="TitulopostI"/>
        <w:numPr>
          <w:ilvl w:val="1"/>
          <w:numId w:val="33"/>
        </w:numPr>
        <w:spacing w:line="240" w:lineRule="auto"/>
        <w:ind w:hanging="720"/>
        <w:rPr>
          <w:rFonts w:ascii="Arial" w:hAnsi="Arial" w:cs="Arial"/>
          <w:sz w:val="22"/>
          <w:szCs w:val="22"/>
        </w:rPr>
      </w:pPr>
      <w:r w:rsidRPr="00F30F48">
        <w:rPr>
          <w:rFonts w:ascii="Arial" w:hAnsi="Arial" w:cs="Arial"/>
          <w:b w:val="0"/>
          <w:sz w:val="22"/>
          <w:szCs w:val="22"/>
        </w:rPr>
        <w:t>Al realizar</w:t>
      </w:r>
      <w:r w:rsidRPr="00F30F48">
        <w:rPr>
          <w:rFonts w:ascii="Arial" w:hAnsi="Arial" w:cs="Arial"/>
          <w:sz w:val="22"/>
          <w:szCs w:val="22"/>
        </w:rPr>
        <w:t xml:space="preserve"> </w:t>
      </w:r>
      <w:r w:rsidRPr="000D25CB">
        <w:rPr>
          <w:rFonts w:ascii="Arial" w:hAnsi="Arial" w:cs="Arial"/>
          <w:b w:val="0"/>
          <w:sz w:val="22"/>
          <w:szCs w:val="22"/>
        </w:rPr>
        <w:t>un experimento que consistía en proveer información histórica</w:t>
      </w:r>
      <w:r w:rsidR="00E87728" w:rsidRPr="000D25CB">
        <w:rPr>
          <w:rFonts w:ascii="Arial" w:hAnsi="Arial" w:cs="Arial"/>
          <w:b w:val="0"/>
          <w:sz w:val="22"/>
          <w:szCs w:val="22"/>
        </w:rPr>
        <w:t xml:space="preserve"> proveniente de registros administrativos del Tribunal Laboral con intervenciones similares en casos seleccionados </w:t>
      </w:r>
      <w:r w:rsidRPr="000D25CB">
        <w:rPr>
          <w:rFonts w:ascii="Arial" w:hAnsi="Arial" w:cs="Arial"/>
          <w:b w:val="0"/>
          <w:sz w:val="22"/>
          <w:szCs w:val="22"/>
        </w:rPr>
        <w:t>a los demandantes calculando el histórico de pretensiones ganadas en procesos similares, l</w:t>
      </w:r>
      <w:r w:rsidR="00693960" w:rsidRPr="000D25CB">
        <w:rPr>
          <w:rFonts w:ascii="Arial" w:hAnsi="Arial" w:cs="Arial"/>
          <w:b w:val="0"/>
          <w:sz w:val="22"/>
          <w:szCs w:val="22"/>
        </w:rPr>
        <w:t>os autores observaron que las tasas de conciliación</w:t>
      </w:r>
      <w:r w:rsidR="006A6379" w:rsidRPr="000D25CB">
        <w:rPr>
          <w:rFonts w:ascii="Arial" w:hAnsi="Arial" w:cs="Arial"/>
          <w:b w:val="0"/>
          <w:sz w:val="22"/>
          <w:szCs w:val="22"/>
        </w:rPr>
        <w:t xml:space="preserve"> durante la primera audiencia</w:t>
      </w:r>
      <w:r w:rsidR="00693960" w:rsidRPr="000D25CB">
        <w:rPr>
          <w:rFonts w:ascii="Arial" w:hAnsi="Arial" w:cs="Arial"/>
          <w:b w:val="0"/>
          <w:sz w:val="22"/>
          <w:szCs w:val="22"/>
        </w:rPr>
        <w:t xml:space="preserve"> </w:t>
      </w:r>
      <w:r w:rsidRPr="000D25CB">
        <w:rPr>
          <w:rFonts w:ascii="Arial" w:hAnsi="Arial" w:cs="Arial"/>
          <w:b w:val="0"/>
          <w:sz w:val="22"/>
          <w:szCs w:val="22"/>
        </w:rPr>
        <w:t xml:space="preserve">prácticamente </w:t>
      </w:r>
      <w:r w:rsidR="006A6379" w:rsidRPr="000D25CB">
        <w:rPr>
          <w:rFonts w:ascii="Arial" w:hAnsi="Arial" w:cs="Arial"/>
          <w:b w:val="0"/>
          <w:sz w:val="22"/>
          <w:szCs w:val="22"/>
        </w:rPr>
        <w:t xml:space="preserve">se </w:t>
      </w:r>
      <w:r w:rsidRPr="000D25CB">
        <w:rPr>
          <w:rFonts w:ascii="Arial" w:hAnsi="Arial" w:cs="Arial"/>
          <w:b w:val="0"/>
          <w:sz w:val="22"/>
          <w:szCs w:val="22"/>
        </w:rPr>
        <w:t xml:space="preserve">duplicaron, </w:t>
      </w:r>
      <w:r w:rsidR="00693960" w:rsidRPr="000D25CB">
        <w:rPr>
          <w:rFonts w:ascii="Arial" w:hAnsi="Arial" w:cs="Arial"/>
          <w:b w:val="0"/>
          <w:sz w:val="22"/>
          <w:szCs w:val="22"/>
        </w:rPr>
        <w:t>eliminando de esta forma la información asimétrica y ayudando en general al</w:t>
      </w:r>
      <w:r w:rsidR="00316D23" w:rsidRPr="000D25CB">
        <w:rPr>
          <w:rFonts w:ascii="Arial" w:hAnsi="Arial" w:cs="Arial"/>
          <w:b w:val="0"/>
          <w:sz w:val="22"/>
          <w:szCs w:val="22"/>
        </w:rPr>
        <w:t xml:space="preserve"> descongestionamiento del</w:t>
      </w:r>
      <w:r w:rsidR="00693960" w:rsidRPr="000D25CB">
        <w:rPr>
          <w:rFonts w:ascii="Arial" w:hAnsi="Arial" w:cs="Arial"/>
          <w:b w:val="0"/>
          <w:sz w:val="22"/>
          <w:szCs w:val="22"/>
        </w:rPr>
        <w:t xml:space="preserve"> sistema judicial</w:t>
      </w:r>
      <w:r w:rsidR="00316D23" w:rsidRPr="000D25CB">
        <w:rPr>
          <w:rFonts w:ascii="Arial" w:hAnsi="Arial" w:cs="Arial"/>
          <w:b w:val="0"/>
          <w:sz w:val="22"/>
          <w:szCs w:val="22"/>
        </w:rPr>
        <w:t xml:space="preserve"> por una parte y por la otra a mejorar el resultado esperado de los demandantes</w:t>
      </w:r>
      <w:r w:rsidR="00E87728" w:rsidRPr="000D25CB">
        <w:rPr>
          <w:rFonts w:ascii="Arial" w:hAnsi="Arial" w:cs="Arial"/>
          <w:b w:val="0"/>
          <w:sz w:val="22"/>
          <w:szCs w:val="22"/>
        </w:rPr>
        <w:t xml:space="preserve"> todo como producto de acceso a información que reposaba en los sistemas mencionados.</w:t>
      </w:r>
    </w:p>
    <w:p w14:paraId="5C3AE839" w14:textId="77777777" w:rsidR="00254A70" w:rsidRPr="00F30F48" w:rsidRDefault="00254A70" w:rsidP="00F81B01">
      <w:pPr>
        <w:pStyle w:val="Paragraph"/>
        <w:numPr>
          <w:ilvl w:val="0"/>
          <w:numId w:val="0"/>
        </w:numPr>
        <w:spacing w:before="0" w:after="0"/>
        <w:rPr>
          <w:rFonts w:ascii="Arial" w:hAnsi="Arial" w:cs="Arial"/>
          <w:sz w:val="22"/>
          <w:szCs w:val="22"/>
        </w:rPr>
      </w:pPr>
    </w:p>
    <w:p w14:paraId="1E6731DA" w14:textId="355D8B68" w:rsidR="00E87728" w:rsidRDefault="00254A70" w:rsidP="000D25CB">
      <w:pPr>
        <w:pStyle w:val="TitulopostI"/>
        <w:numPr>
          <w:ilvl w:val="1"/>
          <w:numId w:val="33"/>
        </w:numPr>
        <w:spacing w:line="240" w:lineRule="auto"/>
        <w:ind w:hanging="720"/>
        <w:rPr>
          <w:rFonts w:ascii="Arial" w:hAnsi="Arial" w:cs="Arial"/>
          <w:b w:val="0"/>
          <w:sz w:val="22"/>
          <w:szCs w:val="22"/>
        </w:rPr>
      </w:pPr>
      <w:r w:rsidRPr="000D25CB">
        <w:rPr>
          <w:rFonts w:ascii="Arial" w:hAnsi="Arial" w:cs="Arial"/>
          <w:b w:val="0"/>
          <w:sz w:val="22"/>
          <w:szCs w:val="22"/>
        </w:rPr>
        <w:t xml:space="preserve">De igual forma </w:t>
      </w:r>
      <w:r w:rsidR="00054E5C" w:rsidRPr="000D25CB">
        <w:rPr>
          <w:rFonts w:ascii="Arial" w:hAnsi="Arial" w:cs="Arial"/>
          <w:b w:val="0"/>
          <w:sz w:val="22"/>
          <w:szCs w:val="22"/>
        </w:rPr>
        <w:t>Bhatnagar &amp; Singh (2010)</w:t>
      </w:r>
      <w:r w:rsidR="00054E5C" w:rsidRPr="000D25CB">
        <w:rPr>
          <w:rFonts w:ascii="Arial" w:hAnsi="Arial" w:cs="Arial"/>
          <w:b w:val="0"/>
          <w:sz w:val="22"/>
          <w:szCs w:val="22"/>
          <w:vertAlign w:val="superscript"/>
        </w:rPr>
        <w:footnoteReference w:id="26"/>
      </w:r>
      <w:r w:rsidR="00054E5C" w:rsidRPr="000D25CB">
        <w:rPr>
          <w:rFonts w:ascii="Arial" w:hAnsi="Arial" w:cs="Arial"/>
          <w:b w:val="0"/>
          <w:sz w:val="22"/>
          <w:szCs w:val="22"/>
        </w:rPr>
        <w:t xml:space="preserve"> al analizar </w:t>
      </w:r>
      <w:r w:rsidR="000D25CB">
        <w:rPr>
          <w:rFonts w:ascii="Arial" w:hAnsi="Arial" w:cs="Arial"/>
          <w:b w:val="0"/>
          <w:sz w:val="22"/>
          <w:szCs w:val="22"/>
        </w:rPr>
        <w:t>ocho</w:t>
      </w:r>
      <w:r w:rsidR="00054E5C" w:rsidRPr="000D25CB">
        <w:rPr>
          <w:rFonts w:ascii="Arial" w:hAnsi="Arial" w:cs="Arial"/>
          <w:b w:val="0"/>
          <w:sz w:val="22"/>
          <w:szCs w:val="22"/>
        </w:rPr>
        <w:t xml:space="preserve"> proyectos </w:t>
      </w:r>
      <w:r w:rsidR="00550EF0" w:rsidRPr="000D25CB">
        <w:rPr>
          <w:rFonts w:ascii="Arial" w:hAnsi="Arial" w:cs="Arial"/>
          <w:b w:val="0"/>
          <w:sz w:val="22"/>
          <w:szCs w:val="22"/>
        </w:rPr>
        <w:t>de gobierno en línea</w:t>
      </w:r>
      <w:r w:rsidR="001B5AC4" w:rsidRPr="000D25CB">
        <w:rPr>
          <w:rFonts w:ascii="Arial" w:hAnsi="Arial" w:cs="Arial"/>
          <w:b w:val="0"/>
          <w:sz w:val="22"/>
          <w:szCs w:val="22"/>
        </w:rPr>
        <w:t xml:space="preserve"> en India, encontraron </w:t>
      </w:r>
      <w:r w:rsidR="00550EF0" w:rsidRPr="000D25CB">
        <w:rPr>
          <w:rFonts w:ascii="Arial" w:hAnsi="Arial" w:cs="Arial"/>
          <w:b w:val="0"/>
          <w:sz w:val="22"/>
          <w:szCs w:val="22"/>
        </w:rPr>
        <w:t>que los tiempos de acceso a servicios se redujeron en un 50%</w:t>
      </w:r>
      <w:r w:rsidR="00BA6509" w:rsidRPr="000D25CB">
        <w:rPr>
          <w:rFonts w:ascii="Arial" w:hAnsi="Arial" w:cs="Arial"/>
          <w:b w:val="0"/>
          <w:sz w:val="22"/>
          <w:szCs w:val="22"/>
          <w:vertAlign w:val="superscript"/>
        </w:rPr>
        <w:footnoteReference w:id="27"/>
      </w:r>
      <w:r w:rsidR="00BA6509" w:rsidRPr="000D25CB">
        <w:rPr>
          <w:rFonts w:ascii="Arial" w:hAnsi="Arial" w:cs="Arial"/>
          <w:b w:val="0"/>
          <w:sz w:val="22"/>
          <w:szCs w:val="22"/>
        </w:rPr>
        <w:t xml:space="preserve">. </w:t>
      </w:r>
      <w:r w:rsidR="00550EF0" w:rsidRPr="000D25CB">
        <w:rPr>
          <w:rFonts w:ascii="Arial" w:hAnsi="Arial" w:cs="Arial"/>
          <w:b w:val="0"/>
          <w:sz w:val="22"/>
          <w:szCs w:val="22"/>
        </w:rPr>
        <w:t>Adicionalmente,</w:t>
      </w:r>
      <w:r w:rsidR="002C35E3" w:rsidRPr="000D25CB">
        <w:rPr>
          <w:rFonts w:ascii="Arial" w:hAnsi="Arial" w:cs="Arial"/>
          <w:b w:val="0"/>
          <w:sz w:val="22"/>
          <w:szCs w:val="22"/>
        </w:rPr>
        <w:t xml:space="preserve"> </w:t>
      </w:r>
      <w:r w:rsidR="00550EF0" w:rsidRPr="000D25CB">
        <w:rPr>
          <w:rFonts w:ascii="Arial" w:hAnsi="Arial" w:cs="Arial"/>
          <w:b w:val="0"/>
          <w:sz w:val="22"/>
          <w:szCs w:val="22"/>
        </w:rPr>
        <w:t xml:space="preserve">encontraron </w:t>
      </w:r>
      <w:r w:rsidR="00B764AF" w:rsidRPr="000D25CB">
        <w:rPr>
          <w:rFonts w:ascii="Arial" w:hAnsi="Arial" w:cs="Arial"/>
          <w:b w:val="0"/>
          <w:sz w:val="22"/>
          <w:szCs w:val="22"/>
        </w:rPr>
        <w:t xml:space="preserve">en </w:t>
      </w:r>
      <w:r w:rsidR="000D25CB">
        <w:rPr>
          <w:rFonts w:ascii="Arial" w:hAnsi="Arial" w:cs="Arial"/>
          <w:b w:val="0"/>
          <w:sz w:val="22"/>
          <w:szCs w:val="22"/>
        </w:rPr>
        <w:t>cinco</w:t>
      </w:r>
      <w:r w:rsidR="00B764AF" w:rsidRPr="000D25CB">
        <w:rPr>
          <w:rFonts w:ascii="Arial" w:hAnsi="Arial" w:cs="Arial"/>
          <w:b w:val="0"/>
          <w:sz w:val="22"/>
          <w:szCs w:val="22"/>
        </w:rPr>
        <w:t xml:space="preserve"> de </w:t>
      </w:r>
      <w:r w:rsidR="00BA6509" w:rsidRPr="000D25CB">
        <w:rPr>
          <w:rFonts w:ascii="Arial" w:hAnsi="Arial" w:cs="Arial"/>
          <w:b w:val="0"/>
          <w:sz w:val="22"/>
          <w:szCs w:val="22"/>
        </w:rPr>
        <w:t xml:space="preserve">los </w:t>
      </w:r>
      <w:r w:rsidR="000D25CB">
        <w:rPr>
          <w:rFonts w:ascii="Arial" w:hAnsi="Arial" w:cs="Arial"/>
          <w:b w:val="0"/>
          <w:sz w:val="22"/>
          <w:szCs w:val="22"/>
        </w:rPr>
        <w:t>ocho</w:t>
      </w:r>
      <w:r w:rsidR="00B764AF" w:rsidRPr="000D25CB">
        <w:rPr>
          <w:rFonts w:ascii="Arial" w:hAnsi="Arial" w:cs="Arial"/>
          <w:b w:val="0"/>
          <w:sz w:val="22"/>
          <w:szCs w:val="22"/>
        </w:rPr>
        <w:t xml:space="preserve"> proyectos </w:t>
      </w:r>
      <w:r w:rsidR="00550EF0" w:rsidRPr="000D25CB">
        <w:rPr>
          <w:rFonts w:ascii="Arial" w:hAnsi="Arial" w:cs="Arial"/>
          <w:b w:val="0"/>
          <w:sz w:val="22"/>
          <w:szCs w:val="22"/>
        </w:rPr>
        <w:t xml:space="preserve">una reducción significativa de la corrupción, incluso en algunos casos </w:t>
      </w:r>
      <w:r w:rsidR="001B5AC4" w:rsidRPr="000D25CB">
        <w:rPr>
          <w:rFonts w:ascii="Arial" w:hAnsi="Arial" w:cs="Arial"/>
          <w:b w:val="0"/>
          <w:sz w:val="22"/>
          <w:szCs w:val="22"/>
        </w:rPr>
        <w:t>llegando a cero</w:t>
      </w:r>
      <w:r w:rsidR="00550EF0" w:rsidRPr="000D25CB">
        <w:rPr>
          <w:rFonts w:ascii="Arial" w:hAnsi="Arial" w:cs="Arial"/>
          <w:b w:val="0"/>
          <w:sz w:val="22"/>
          <w:szCs w:val="22"/>
        </w:rPr>
        <w:t xml:space="preserve">. </w:t>
      </w:r>
    </w:p>
    <w:p w14:paraId="6CBF20D8" w14:textId="77777777" w:rsidR="000D25CB" w:rsidRPr="000D25CB" w:rsidRDefault="000D25CB" w:rsidP="000D25CB">
      <w:pPr>
        <w:pStyle w:val="TitulopostI"/>
        <w:spacing w:line="240" w:lineRule="auto"/>
        <w:ind w:left="0" w:firstLine="0"/>
        <w:rPr>
          <w:rFonts w:ascii="Arial" w:hAnsi="Arial" w:cs="Arial"/>
          <w:b w:val="0"/>
          <w:sz w:val="22"/>
          <w:szCs w:val="22"/>
        </w:rPr>
      </w:pPr>
    </w:p>
    <w:p w14:paraId="2101C91B" w14:textId="404C032D" w:rsidR="008102A9" w:rsidRPr="00A706F7" w:rsidRDefault="002C35E3" w:rsidP="000D25CB">
      <w:pPr>
        <w:pStyle w:val="TitulopostI"/>
        <w:numPr>
          <w:ilvl w:val="1"/>
          <w:numId w:val="33"/>
        </w:numPr>
        <w:spacing w:line="240" w:lineRule="auto"/>
        <w:ind w:hanging="720"/>
        <w:rPr>
          <w:rFonts w:ascii="Arial" w:hAnsi="Arial" w:cs="Arial"/>
          <w:sz w:val="22"/>
          <w:szCs w:val="22"/>
        </w:rPr>
      </w:pPr>
      <w:r w:rsidRPr="000D25CB">
        <w:rPr>
          <w:rFonts w:ascii="Arial" w:hAnsi="Arial" w:cs="Arial"/>
          <w:b w:val="0"/>
          <w:sz w:val="22"/>
          <w:szCs w:val="22"/>
        </w:rPr>
        <w:t>La implement</w:t>
      </w:r>
      <w:r w:rsidR="001B5AC4" w:rsidRPr="000D25CB">
        <w:rPr>
          <w:rFonts w:ascii="Arial" w:hAnsi="Arial" w:cs="Arial"/>
          <w:b w:val="0"/>
          <w:sz w:val="22"/>
          <w:szCs w:val="22"/>
        </w:rPr>
        <w:t>ación de tecnologías que permite</w:t>
      </w:r>
      <w:r w:rsidRPr="000D25CB">
        <w:rPr>
          <w:rFonts w:ascii="Arial" w:hAnsi="Arial" w:cs="Arial"/>
          <w:b w:val="0"/>
          <w:sz w:val="22"/>
          <w:szCs w:val="22"/>
        </w:rPr>
        <w:t xml:space="preserve">n la </w:t>
      </w:r>
      <w:r w:rsidR="008102A9" w:rsidRPr="000D25CB">
        <w:rPr>
          <w:rFonts w:ascii="Arial" w:hAnsi="Arial" w:cs="Arial"/>
          <w:b w:val="0"/>
          <w:sz w:val="22"/>
          <w:szCs w:val="22"/>
        </w:rPr>
        <w:t xml:space="preserve">sistematización de procesos, el manejo y gestión de casos y la democratización de la información trae consigo beneficios no sólo para </w:t>
      </w:r>
      <w:r w:rsidR="001B5AC4" w:rsidRPr="000D25CB">
        <w:rPr>
          <w:rFonts w:ascii="Arial" w:hAnsi="Arial" w:cs="Arial"/>
          <w:b w:val="0"/>
          <w:sz w:val="22"/>
          <w:szCs w:val="22"/>
        </w:rPr>
        <w:t>las</w:t>
      </w:r>
      <w:r w:rsidR="008102A9" w:rsidRPr="000D25CB">
        <w:rPr>
          <w:rFonts w:ascii="Arial" w:hAnsi="Arial" w:cs="Arial"/>
          <w:b w:val="0"/>
          <w:sz w:val="22"/>
          <w:szCs w:val="22"/>
        </w:rPr>
        <w:t xml:space="preserve"> entidades o instituciones que implementan dichas </w:t>
      </w:r>
      <w:r w:rsidR="008102A9" w:rsidRPr="000D25CB">
        <w:rPr>
          <w:rFonts w:ascii="Arial" w:hAnsi="Arial" w:cs="Arial"/>
          <w:b w:val="0"/>
          <w:sz w:val="22"/>
          <w:szCs w:val="22"/>
        </w:rPr>
        <w:lastRenderedPageBreak/>
        <w:t>tecnologías, sino que también contribuyen en general a beneficios sociales implícitos como la confianza en las instituciones, el desarrollo económico y el efectivo manejo de los recursos públicos.</w:t>
      </w:r>
    </w:p>
    <w:p w14:paraId="3F22ACF0" w14:textId="77777777" w:rsidR="009A3D46" w:rsidRPr="00F30F48" w:rsidRDefault="009A3D46" w:rsidP="00A706F7">
      <w:pPr>
        <w:pStyle w:val="TitulopostI"/>
        <w:spacing w:line="240" w:lineRule="auto"/>
        <w:ind w:left="0" w:firstLine="0"/>
        <w:rPr>
          <w:rFonts w:ascii="Arial" w:hAnsi="Arial" w:cs="Arial"/>
          <w:sz w:val="22"/>
          <w:szCs w:val="22"/>
        </w:rPr>
      </w:pPr>
    </w:p>
    <w:p w14:paraId="5C8CE63A" w14:textId="70F2ACC6" w:rsidR="00254A70" w:rsidRPr="000D25CB" w:rsidRDefault="008102A9" w:rsidP="000D25CB">
      <w:pPr>
        <w:pStyle w:val="TitulopostI"/>
        <w:numPr>
          <w:ilvl w:val="1"/>
          <w:numId w:val="33"/>
        </w:numPr>
        <w:spacing w:line="240" w:lineRule="auto"/>
        <w:ind w:hanging="720"/>
        <w:rPr>
          <w:rFonts w:ascii="Arial" w:hAnsi="Arial" w:cs="Arial"/>
          <w:b w:val="0"/>
          <w:sz w:val="22"/>
          <w:szCs w:val="22"/>
        </w:rPr>
      </w:pPr>
      <w:r w:rsidRPr="000D25CB">
        <w:rPr>
          <w:rFonts w:ascii="Arial" w:hAnsi="Arial" w:cs="Arial"/>
          <w:b w:val="0"/>
          <w:sz w:val="22"/>
          <w:szCs w:val="22"/>
        </w:rPr>
        <w:t xml:space="preserve">Si bien la medida que se realiza en </w:t>
      </w:r>
      <w:r w:rsidR="00FE655C" w:rsidRPr="000D25CB">
        <w:rPr>
          <w:rFonts w:ascii="Arial" w:hAnsi="Arial" w:cs="Arial"/>
          <w:b w:val="0"/>
          <w:sz w:val="22"/>
          <w:szCs w:val="22"/>
        </w:rPr>
        <w:t>el presente análisis está supeditado</w:t>
      </w:r>
      <w:r w:rsidRPr="000D25CB">
        <w:rPr>
          <w:rFonts w:ascii="Arial" w:hAnsi="Arial" w:cs="Arial"/>
          <w:b w:val="0"/>
          <w:sz w:val="22"/>
          <w:szCs w:val="22"/>
        </w:rPr>
        <w:t xml:space="preserve"> al desarrollo de la metodología de Chemin, no deja de ser importante entender que existen beneficios no cuantificables derivados de la implementación de tecnologías en los sistemas de gestión</w:t>
      </w:r>
      <w:r w:rsidR="000B4042" w:rsidRPr="000D25CB">
        <w:rPr>
          <w:rFonts w:ascii="Arial" w:hAnsi="Arial" w:cs="Arial"/>
          <w:b w:val="0"/>
          <w:sz w:val="22"/>
          <w:szCs w:val="22"/>
        </w:rPr>
        <w:t xml:space="preserve"> e información</w:t>
      </w:r>
      <w:r w:rsidRPr="000D25CB">
        <w:rPr>
          <w:rFonts w:ascii="Arial" w:hAnsi="Arial" w:cs="Arial"/>
          <w:b w:val="0"/>
          <w:sz w:val="22"/>
          <w:szCs w:val="22"/>
        </w:rPr>
        <w:t>. La evidencia empírica desarrollada por Chemin</w:t>
      </w:r>
      <w:r w:rsidR="00FE655C" w:rsidRPr="000D25CB">
        <w:rPr>
          <w:rFonts w:ascii="Arial" w:hAnsi="Arial" w:cs="Arial"/>
          <w:b w:val="0"/>
          <w:sz w:val="22"/>
          <w:szCs w:val="22"/>
        </w:rPr>
        <w:t>,</w:t>
      </w:r>
      <w:r w:rsidRPr="000D25CB">
        <w:rPr>
          <w:rFonts w:ascii="Arial" w:hAnsi="Arial" w:cs="Arial"/>
          <w:b w:val="0"/>
          <w:sz w:val="22"/>
          <w:szCs w:val="22"/>
        </w:rPr>
        <w:t xml:space="preserve"> nos permite aproximar de forma robusta el impacto que se obtendría en la productividad a raíz de las capacitaciones en manejo y gestión de procesos. Se puede esperar entonces, que las mejoras previstas en el </w:t>
      </w:r>
      <w:r w:rsidR="009A3D46">
        <w:rPr>
          <w:rFonts w:ascii="Arial" w:hAnsi="Arial" w:cs="Arial"/>
          <w:b w:val="0"/>
          <w:sz w:val="22"/>
          <w:szCs w:val="22"/>
        </w:rPr>
        <w:t>p</w:t>
      </w:r>
      <w:bookmarkStart w:id="12" w:name="_GoBack"/>
      <w:bookmarkEnd w:id="12"/>
      <w:r w:rsidRPr="000D25CB">
        <w:rPr>
          <w:rFonts w:ascii="Arial" w:hAnsi="Arial" w:cs="Arial"/>
          <w:b w:val="0"/>
          <w:sz w:val="22"/>
          <w:szCs w:val="22"/>
        </w:rPr>
        <w:t xml:space="preserve">rograma impacten positivamente la productividad de los abogados de la Agencia y con ellos le generen un ahorro al Estado al cubrir más procesos </w:t>
      </w:r>
      <w:r w:rsidR="00BA6509" w:rsidRPr="000D25CB">
        <w:rPr>
          <w:rFonts w:ascii="Arial" w:hAnsi="Arial" w:cs="Arial"/>
          <w:b w:val="0"/>
          <w:sz w:val="22"/>
          <w:szCs w:val="22"/>
        </w:rPr>
        <w:t xml:space="preserve">por más pretensiones </w:t>
      </w:r>
      <w:r w:rsidRPr="000D25CB">
        <w:rPr>
          <w:rFonts w:ascii="Arial" w:hAnsi="Arial" w:cs="Arial"/>
          <w:b w:val="0"/>
          <w:sz w:val="22"/>
          <w:szCs w:val="22"/>
        </w:rPr>
        <w:t xml:space="preserve">con los mismos costos. </w:t>
      </w:r>
    </w:p>
    <w:p w14:paraId="6F54EFA8" w14:textId="77777777" w:rsidR="00EC062F" w:rsidRPr="00F30F48" w:rsidRDefault="00EC062F" w:rsidP="00A3246A">
      <w:pPr>
        <w:pStyle w:val="TitulopostI"/>
        <w:spacing w:line="240" w:lineRule="auto"/>
        <w:ind w:left="0" w:firstLine="0"/>
        <w:rPr>
          <w:rFonts w:ascii="Arial" w:hAnsi="Arial" w:cs="Arial"/>
          <w:sz w:val="22"/>
          <w:szCs w:val="22"/>
        </w:rPr>
      </w:pPr>
    </w:p>
    <w:p w14:paraId="12770787" w14:textId="43838354" w:rsidR="00B84211" w:rsidRPr="000D25CB" w:rsidRDefault="007B3237" w:rsidP="000D25CB">
      <w:pPr>
        <w:pStyle w:val="TitulopostI"/>
        <w:numPr>
          <w:ilvl w:val="1"/>
          <w:numId w:val="33"/>
        </w:numPr>
        <w:spacing w:line="240" w:lineRule="auto"/>
        <w:ind w:hanging="720"/>
        <w:rPr>
          <w:rFonts w:ascii="Arial" w:hAnsi="Arial" w:cs="Arial"/>
          <w:b w:val="0"/>
          <w:kern w:val="28"/>
          <w:sz w:val="22"/>
          <w:szCs w:val="22"/>
        </w:rPr>
      </w:pPr>
      <w:r w:rsidRPr="000D25CB">
        <w:rPr>
          <w:rFonts w:ascii="Arial" w:hAnsi="Arial" w:cs="Arial"/>
          <w:sz w:val="22"/>
          <w:szCs w:val="22"/>
        </w:rPr>
        <w:t>Supuesto</w:t>
      </w:r>
      <w:r w:rsidR="00543CE6" w:rsidRPr="000D25CB">
        <w:rPr>
          <w:rFonts w:ascii="Arial" w:hAnsi="Arial" w:cs="Arial"/>
          <w:sz w:val="22"/>
          <w:szCs w:val="22"/>
        </w:rPr>
        <w:t>s</w:t>
      </w:r>
      <w:r w:rsidR="000D25CB" w:rsidRPr="000D25CB">
        <w:rPr>
          <w:rFonts w:ascii="Arial" w:hAnsi="Arial" w:cs="Arial"/>
          <w:sz w:val="22"/>
          <w:szCs w:val="22"/>
        </w:rPr>
        <w:t xml:space="preserve">. </w:t>
      </w:r>
      <w:r w:rsidRPr="000D25CB">
        <w:rPr>
          <w:rFonts w:ascii="Arial" w:hAnsi="Arial" w:cs="Arial"/>
          <w:b w:val="0"/>
          <w:kern w:val="28"/>
          <w:sz w:val="22"/>
          <w:szCs w:val="22"/>
        </w:rPr>
        <w:t>El cálculo de los beneficios se efectúa utilizando los siguientes supuestos:</w:t>
      </w:r>
    </w:p>
    <w:p w14:paraId="7B688D12" w14:textId="77777777" w:rsidR="00543CE6" w:rsidRPr="00F30F48" w:rsidRDefault="00543CE6" w:rsidP="00543CE6">
      <w:pPr>
        <w:pStyle w:val="Paragraph"/>
        <w:numPr>
          <w:ilvl w:val="0"/>
          <w:numId w:val="0"/>
        </w:numPr>
        <w:spacing w:before="0" w:after="0"/>
        <w:ind w:left="720" w:hanging="720"/>
        <w:rPr>
          <w:rFonts w:ascii="Arial" w:hAnsi="Arial" w:cs="Arial"/>
          <w:kern w:val="28"/>
          <w:sz w:val="22"/>
          <w:szCs w:val="22"/>
        </w:rPr>
      </w:pPr>
    </w:p>
    <w:p w14:paraId="74F8F33B" w14:textId="77777777" w:rsidR="00543CE6" w:rsidRPr="00F30F48" w:rsidRDefault="007B3237" w:rsidP="000D25CB">
      <w:pPr>
        <w:pStyle w:val="Vieta"/>
        <w:numPr>
          <w:ilvl w:val="1"/>
          <w:numId w:val="35"/>
        </w:numPr>
        <w:spacing w:line="240" w:lineRule="auto"/>
        <w:rPr>
          <w:rFonts w:ascii="Arial" w:hAnsi="Arial" w:cs="Arial"/>
          <w:sz w:val="22"/>
          <w:szCs w:val="22"/>
        </w:rPr>
      </w:pPr>
      <w:r w:rsidRPr="00F30F48">
        <w:rPr>
          <w:rFonts w:ascii="Arial" w:hAnsi="Arial" w:cs="Arial"/>
          <w:sz w:val="22"/>
          <w:szCs w:val="22"/>
        </w:rPr>
        <w:t>La tasa de descuento utilizada es del 12%, según el estándar del Banco.</w:t>
      </w:r>
    </w:p>
    <w:p w14:paraId="0D981CD7" w14:textId="77777777" w:rsidR="00553645" w:rsidRPr="00F30F48" w:rsidRDefault="00553645" w:rsidP="001B5AC4">
      <w:pPr>
        <w:pStyle w:val="Vieta"/>
        <w:numPr>
          <w:ilvl w:val="0"/>
          <w:numId w:val="0"/>
        </w:numPr>
        <w:spacing w:line="240" w:lineRule="auto"/>
        <w:ind w:left="360"/>
        <w:rPr>
          <w:rFonts w:ascii="Arial" w:hAnsi="Arial" w:cs="Arial"/>
          <w:sz w:val="22"/>
          <w:szCs w:val="22"/>
        </w:rPr>
      </w:pPr>
    </w:p>
    <w:p w14:paraId="1F972811" w14:textId="75ED8DD1" w:rsidR="00EC062F" w:rsidRPr="00F30F48" w:rsidRDefault="00543CE6" w:rsidP="000D25CB">
      <w:pPr>
        <w:pStyle w:val="Vieta"/>
        <w:numPr>
          <w:ilvl w:val="1"/>
          <w:numId w:val="35"/>
        </w:numPr>
        <w:spacing w:line="240" w:lineRule="auto"/>
        <w:rPr>
          <w:rFonts w:ascii="Arial" w:hAnsi="Arial" w:cs="Arial"/>
          <w:sz w:val="22"/>
          <w:szCs w:val="22"/>
        </w:rPr>
      </w:pPr>
      <w:r w:rsidRPr="00F30F48">
        <w:rPr>
          <w:rFonts w:ascii="Arial" w:hAnsi="Arial" w:cs="Arial"/>
          <w:sz w:val="22"/>
          <w:szCs w:val="22"/>
        </w:rPr>
        <w:t xml:space="preserve">El número de abogados </w:t>
      </w:r>
      <w:r w:rsidR="006C0C06" w:rsidRPr="00F30F48">
        <w:rPr>
          <w:rFonts w:ascii="Arial" w:hAnsi="Arial" w:cs="Arial"/>
          <w:sz w:val="22"/>
          <w:szCs w:val="22"/>
        </w:rPr>
        <w:t xml:space="preserve">tomado como línea base </w:t>
      </w:r>
      <w:r w:rsidRPr="00F30F48">
        <w:rPr>
          <w:rFonts w:ascii="Arial" w:hAnsi="Arial" w:cs="Arial"/>
          <w:sz w:val="22"/>
          <w:szCs w:val="22"/>
        </w:rPr>
        <w:t>se mantiene fijo dura</w:t>
      </w:r>
      <w:r w:rsidR="006C0C06" w:rsidRPr="00F30F48">
        <w:rPr>
          <w:rFonts w:ascii="Arial" w:hAnsi="Arial" w:cs="Arial"/>
          <w:sz w:val="22"/>
          <w:szCs w:val="22"/>
        </w:rPr>
        <w:t xml:space="preserve">nte los </w:t>
      </w:r>
      <w:r w:rsidR="000D25CB">
        <w:rPr>
          <w:rFonts w:ascii="Arial" w:hAnsi="Arial" w:cs="Arial"/>
          <w:sz w:val="22"/>
          <w:szCs w:val="22"/>
        </w:rPr>
        <w:t>diez</w:t>
      </w:r>
      <w:r w:rsidR="006C0C06" w:rsidRPr="00F30F48">
        <w:rPr>
          <w:rFonts w:ascii="Arial" w:hAnsi="Arial" w:cs="Arial"/>
          <w:sz w:val="22"/>
          <w:szCs w:val="22"/>
        </w:rPr>
        <w:t xml:space="preserve"> años </w:t>
      </w:r>
      <w:r w:rsidR="00E87728" w:rsidRPr="00F30F48">
        <w:rPr>
          <w:rFonts w:ascii="Arial" w:hAnsi="Arial" w:cs="Arial"/>
          <w:sz w:val="22"/>
          <w:szCs w:val="22"/>
        </w:rPr>
        <w:t>para los que se calculan los beneficios</w:t>
      </w:r>
      <w:r w:rsidRPr="00F30F48">
        <w:rPr>
          <w:rFonts w:ascii="Arial" w:hAnsi="Arial" w:cs="Arial"/>
          <w:sz w:val="22"/>
          <w:szCs w:val="22"/>
        </w:rPr>
        <w:t xml:space="preserve">. Esto con el fin de entender el aumento en la productividad de los abogados. Es importante establecer que todo funcionario contratado con posterioridad o durante la operación y que se beneficie de las capacitaciones </w:t>
      </w:r>
      <w:r w:rsidR="00F740DE" w:rsidRPr="00F30F48">
        <w:rPr>
          <w:rFonts w:ascii="Arial" w:hAnsi="Arial" w:cs="Arial"/>
          <w:sz w:val="22"/>
          <w:szCs w:val="22"/>
        </w:rPr>
        <w:t>en el marco</w:t>
      </w:r>
      <w:r w:rsidRPr="00F30F48">
        <w:rPr>
          <w:rFonts w:ascii="Arial" w:hAnsi="Arial" w:cs="Arial"/>
          <w:sz w:val="22"/>
          <w:szCs w:val="22"/>
        </w:rPr>
        <w:t xml:space="preserve"> </w:t>
      </w:r>
      <w:r w:rsidR="00F740DE" w:rsidRPr="00F30F48">
        <w:rPr>
          <w:rFonts w:ascii="Arial" w:hAnsi="Arial" w:cs="Arial"/>
          <w:sz w:val="22"/>
          <w:szCs w:val="22"/>
        </w:rPr>
        <w:t>d</w:t>
      </w:r>
      <w:r w:rsidRPr="00F30F48">
        <w:rPr>
          <w:rFonts w:ascii="Arial" w:hAnsi="Arial" w:cs="Arial"/>
          <w:sz w:val="22"/>
          <w:szCs w:val="22"/>
        </w:rPr>
        <w:t xml:space="preserve">el </w:t>
      </w:r>
      <w:r w:rsidR="006C0C06" w:rsidRPr="00F30F48">
        <w:rPr>
          <w:rFonts w:ascii="Arial" w:hAnsi="Arial" w:cs="Arial"/>
          <w:sz w:val="22"/>
          <w:szCs w:val="22"/>
        </w:rPr>
        <w:t>P</w:t>
      </w:r>
      <w:r w:rsidRPr="00F30F48">
        <w:rPr>
          <w:rFonts w:ascii="Arial" w:hAnsi="Arial" w:cs="Arial"/>
          <w:sz w:val="22"/>
          <w:szCs w:val="22"/>
        </w:rPr>
        <w:t>rograma, verá un aumento de su productividad en un 25%.</w:t>
      </w:r>
    </w:p>
    <w:p w14:paraId="04E8E45A" w14:textId="77777777" w:rsidR="00553645" w:rsidRPr="00F30F48" w:rsidRDefault="00553645" w:rsidP="001B5AC4">
      <w:pPr>
        <w:pStyle w:val="Vieta"/>
        <w:numPr>
          <w:ilvl w:val="0"/>
          <w:numId w:val="0"/>
        </w:numPr>
        <w:spacing w:line="240" w:lineRule="auto"/>
        <w:rPr>
          <w:rFonts w:ascii="Arial" w:hAnsi="Arial" w:cs="Arial"/>
          <w:sz w:val="22"/>
          <w:szCs w:val="22"/>
        </w:rPr>
      </w:pPr>
    </w:p>
    <w:p w14:paraId="758D11CE" w14:textId="77777777" w:rsidR="00E675EC" w:rsidRPr="00F30F48" w:rsidRDefault="00543CE6" w:rsidP="000D25CB">
      <w:pPr>
        <w:pStyle w:val="Vieta"/>
        <w:numPr>
          <w:ilvl w:val="1"/>
          <w:numId w:val="35"/>
        </w:numPr>
        <w:spacing w:line="240" w:lineRule="auto"/>
        <w:rPr>
          <w:rFonts w:ascii="Arial" w:hAnsi="Arial" w:cs="Arial"/>
          <w:sz w:val="22"/>
          <w:szCs w:val="22"/>
        </w:rPr>
      </w:pPr>
      <w:r w:rsidRPr="00F30F48">
        <w:rPr>
          <w:rFonts w:ascii="Arial" w:hAnsi="Arial" w:cs="Arial"/>
          <w:sz w:val="22"/>
          <w:szCs w:val="22"/>
        </w:rPr>
        <w:t>El tipo de cambio utilizado para la conversión de acuerdo con el Ministerio de Hacienda y Crédito Público será de $3.151</w:t>
      </w:r>
      <w:r w:rsidRPr="00F30F48">
        <w:rPr>
          <w:rStyle w:val="FootnoteReference"/>
          <w:rFonts w:ascii="Arial" w:hAnsi="Arial" w:cs="Arial"/>
          <w:sz w:val="22"/>
          <w:szCs w:val="22"/>
        </w:rPr>
        <w:footnoteReference w:id="28"/>
      </w:r>
      <w:r w:rsidRPr="00F30F48">
        <w:rPr>
          <w:rFonts w:ascii="Arial" w:hAnsi="Arial" w:cs="Arial"/>
          <w:sz w:val="22"/>
          <w:szCs w:val="22"/>
        </w:rPr>
        <w:t xml:space="preserve"> pesos colombianos. Esta TRM es utilizada para la realización de la totalidad del análisis.</w:t>
      </w:r>
    </w:p>
    <w:p w14:paraId="3FF1061F" w14:textId="77777777" w:rsidR="00553645" w:rsidRPr="00F30F48" w:rsidRDefault="00553645" w:rsidP="001B5AC4">
      <w:pPr>
        <w:pStyle w:val="Vieta"/>
        <w:numPr>
          <w:ilvl w:val="0"/>
          <w:numId w:val="0"/>
        </w:numPr>
        <w:spacing w:line="240" w:lineRule="auto"/>
        <w:rPr>
          <w:rFonts w:ascii="Arial" w:hAnsi="Arial" w:cs="Arial"/>
          <w:sz w:val="22"/>
          <w:szCs w:val="22"/>
        </w:rPr>
      </w:pPr>
    </w:p>
    <w:p w14:paraId="1C849786" w14:textId="2B268CF1" w:rsidR="00E675EC" w:rsidRPr="00F30F48" w:rsidRDefault="00543CE6" w:rsidP="000D25CB">
      <w:pPr>
        <w:pStyle w:val="Vieta"/>
        <w:numPr>
          <w:ilvl w:val="1"/>
          <w:numId w:val="35"/>
        </w:numPr>
        <w:spacing w:line="240" w:lineRule="auto"/>
        <w:rPr>
          <w:rFonts w:ascii="Arial" w:hAnsi="Arial" w:cs="Arial"/>
          <w:sz w:val="22"/>
          <w:szCs w:val="22"/>
        </w:rPr>
      </w:pPr>
      <w:r w:rsidRPr="00F30F48">
        <w:rPr>
          <w:rFonts w:ascii="Arial" w:hAnsi="Arial" w:cs="Arial"/>
          <w:sz w:val="22"/>
          <w:szCs w:val="22"/>
        </w:rPr>
        <w:t>El incremento en el número de procesos se deriva de la evidencia empírica de Chemin (2009), en Pakistán. Se asume que</w:t>
      </w:r>
      <w:r w:rsidR="00615F56" w:rsidRPr="00F30F48">
        <w:rPr>
          <w:rFonts w:ascii="Arial" w:hAnsi="Arial" w:cs="Arial"/>
          <w:sz w:val="22"/>
          <w:szCs w:val="22"/>
        </w:rPr>
        <w:t>,</w:t>
      </w:r>
      <w:r w:rsidRPr="00F30F48">
        <w:rPr>
          <w:rFonts w:ascii="Arial" w:hAnsi="Arial" w:cs="Arial"/>
          <w:sz w:val="22"/>
          <w:szCs w:val="22"/>
        </w:rPr>
        <w:t xml:space="preserve"> una vez capacitados los abogados de la Agencia en el uso del sistema a implementar, su productividad se verá positivamente afectada en un 25% a partir del segundo año.</w:t>
      </w:r>
      <w:r w:rsidR="007E0C70" w:rsidRPr="00F30F48">
        <w:rPr>
          <w:rFonts w:ascii="Arial" w:hAnsi="Arial" w:cs="Arial"/>
          <w:sz w:val="22"/>
          <w:szCs w:val="22"/>
        </w:rPr>
        <w:t xml:space="preserve"> </w:t>
      </w:r>
    </w:p>
    <w:p w14:paraId="561175B9" w14:textId="77777777" w:rsidR="00C76BB2" w:rsidRPr="00F30F48" w:rsidRDefault="00C76BB2" w:rsidP="00C76BB2">
      <w:pPr>
        <w:pStyle w:val="Vieta"/>
        <w:numPr>
          <w:ilvl w:val="0"/>
          <w:numId w:val="0"/>
        </w:numPr>
        <w:spacing w:line="240" w:lineRule="auto"/>
        <w:rPr>
          <w:rFonts w:ascii="Arial" w:hAnsi="Arial" w:cs="Arial"/>
          <w:sz w:val="22"/>
          <w:szCs w:val="22"/>
        </w:rPr>
      </w:pPr>
    </w:p>
    <w:p w14:paraId="605272F8" w14:textId="406BB173" w:rsidR="00C76BB2" w:rsidRPr="00F30F48" w:rsidRDefault="00C76BB2" w:rsidP="000D25CB">
      <w:pPr>
        <w:pStyle w:val="Vieta"/>
        <w:numPr>
          <w:ilvl w:val="1"/>
          <w:numId w:val="35"/>
        </w:numPr>
        <w:spacing w:line="240" w:lineRule="auto"/>
        <w:rPr>
          <w:rFonts w:ascii="Arial" w:hAnsi="Arial" w:cs="Arial"/>
          <w:sz w:val="22"/>
          <w:szCs w:val="22"/>
        </w:rPr>
      </w:pPr>
      <w:r w:rsidRPr="00F30F48">
        <w:rPr>
          <w:rFonts w:ascii="Arial" w:hAnsi="Arial" w:cs="Arial"/>
          <w:sz w:val="22"/>
          <w:szCs w:val="22"/>
        </w:rPr>
        <w:t xml:space="preserve">Se prevé que el desembolso del crédito sea así: 0,5% (2019), 23% (2020), 36,7% (2021), 26,1 (2022); 13,7% (2023). </w:t>
      </w:r>
    </w:p>
    <w:p w14:paraId="25B5B55D" w14:textId="77777777" w:rsidR="00553645" w:rsidRPr="00F30F48" w:rsidRDefault="00553645" w:rsidP="001B5AC4">
      <w:pPr>
        <w:pStyle w:val="Vieta"/>
        <w:numPr>
          <w:ilvl w:val="0"/>
          <w:numId w:val="0"/>
        </w:numPr>
        <w:spacing w:line="240" w:lineRule="auto"/>
        <w:rPr>
          <w:rFonts w:ascii="Arial" w:hAnsi="Arial" w:cs="Arial"/>
          <w:sz w:val="22"/>
          <w:szCs w:val="22"/>
        </w:rPr>
      </w:pPr>
    </w:p>
    <w:p w14:paraId="46FB87C7" w14:textId="06E97282" w:rsidR="00543CE6" w:rsidRPr="00F30F48" w:rsidRDefault="00543CE6" w:rsidP="000D25CB">
      <w:pPr>
        <w:pStyle w:val="Vieta"/>
        <w:numPr>
          <w:ilvl w:val="1"/>
          <w:numId w:val="35"/>
        </w:numPr>
        <w:spacing w:line="240" w:lineRule="auto"/>
        <w:rPr>
          <w:rFonts w:ascii="Arial" w:hAnsi="Arial" w:cs="Arial"/>
          <w:sz w:val="22"/>
          <w:szCs w:val="22"/>
        </w:rPr>
      </w:pPr>
      <w:r w:rsidRPr="00F30F48">
        <w:rPr>
          <w:rFonts w:ascii="Arial" w:hAnsi="Arial" w:cs="Arial"/>
          <w:sz w:val="22"/>
          <w:szCs w:val="22"/>
        </w:rPr>
        <w:t xml:space="preserve">Para el cálculo del aumento salarial se realizó un promedio del aumento salarial de los últimos </w:t>
      </w:r>
      <w:r w:rsidR="00FE320B">
        <w:rPr>
          <w:rFonts w:ascii="Arial" w:hAnsi="Arial" w:cs="Arial"/>
          <w:sz w:val="22"/>
          <w:szCs w:val="22"/>
        </w:rPr>
        <w:t>cuatro</w:t>
      </w:r>
      <w:r w:rsidRPr="00F30F48">
        <w:rPr>
          <w:rFonts w:ascii="Arial" w:hAnsi="Arial" w:cs="Arial"/>
          <w:sz w:val="22"/>
          <w:szCs w:val="22"/>
        </w:rPr>
        <w:t xml:space="preserve"> años al interior de la ANDJE, el cual ha sido del 6</w:t>
      </w:r>
      <w:r w:rsidR="00FE320B">
        <w:rPr>
          <w:rFonts w:ascii="Arial" w:hAnsi="Arial" w:cs="Arial"/>
          <w:sz w:val="22"/>
          <w:szCs w:val="22"/>
        </w:rPr>
        <w:t>,</w:t>
      </w:r>
      <w:r w:rsidRPr="00F30F48">
        <w:rPr>
          <w:rFonts w:ascii="Arial" w:hAnsi="Arial" w:cs="Arial"/>
          <w:sz w:val="22"/>
          <w:szCs w:val="22"/>
        </w:rPr>
        <w:t>54%, de acuerdo a los Decretos 1099 de 2015, 228 de 2016, 998 de 2017 y 312 de 2018 del Departamento Administrativo de la Función Pública</w:t>
      </w:r>
      <w:r w:rsidR="00F740DE" w:rsidRPr="00F30F48">
        <w:rPr>
          <w:rFonts w:ascii="Arial" w:hAnsi="Arial" w:cs="Arial"/>
          <w:sz w:val="22"/>
          <w:szCs w:val="22"/>
        </w:rPr>
        <w:t xml:space="preserve"> (DAFP)</w:t>
      </w:r>
      <w:r w:rsidRPr="00F30F48">
        <w:rPr>
          <w:rFonts w:ascii="Arial" w:hAnsi="Arial" w:cs="Arial"/>
          <w:sz w:val="22"/>
          <w:szCs w:val="22"/>
        </w:rPr>
        <w:t>. Por consiguiente, para efectos de la presente evaluación, se utilizará como incremento salaria</w:t>
      </w:r>
      <w:r w:rsidR="00985845">
        <w:rPr>
          <w:rFonts w:ascii="Arial" w:hAnsi="Arial" w:cs="Arial"/>
          <w:sz w:val="22"/>
          <w:szCs w:val="22"/>
        </w:rPr>
        <w:t>l</w:t>
      </w:r>
      <w:r w:rsidRPr="00F30F48">
        <w:rPr>
          <w:rFonts w:ascii="Arial" w:hAnsi="Arial" w:cs="Arial"/>
          <w:sz w:val="22"/>
          <w:szCs w:val="22"/>
        </w:rPr>
        <w:t xml:space="preserve"> anual el valor de 6</w:t>
      </w:r>
      <w:r w:rsidR="00FE320B">
        <w:rPr>
          <w:rFonts w:ascii="Arial" w:hAnsi="Arial" w:cs="Arial"/>
          <w:sz w:val="22"/>
          <w:szCs w:val="22"/>
        </w:rPr>
        <w:t>,</w:t>
      </w:r>
      <w:r w:rsidRPr="00F30F48">
        <w:rPr>
          <w:rFonts w:ascii="Arial" w:hAnsi="Arial" w:cs="Arial"/>
          <w:sz w:val="22"/>
          <w:szCs w:val="22"/>
        </w:rPr>
        <w:t>54%.</w:t>
      </w:r>
    </w:p>
    <w:p w14:paraId="3A94B2B6" w14:textId="77777777" w:rsidR="00553645" w:rsidRPr="00F30F48" w:rsidRDefault="00553645" w:rsidP="001B5AC4">
      <w:pPr>
        <w:pStyle w:val="Vieta"/>
        <w:numPr>
          <w:ilvl w:val="0"/>
          <w:numId w:val="0"/>
        </w:numPr>
        <w:spacing w:line="240" w:lineRule="auto"/>
        <w:rPr>
          <w:rFonts w:ascii="Arial" w:hAnsi="Arial" w:cs="Arial"/>
          <w:sz w:val="22"/>
          <w:szCs w:val="22"/>
        </w:rPr>
      </w:pPr>
    </w:p>
    <w:p w14:paraId="7598CCA7" w14:textId="47CB32BA" w:rsidR="00D6450F" w:rsidRPr="00F30F48" w:rsidRDefault="00D6450F" w:rsidP="000D25CB">
      <w:pPr>
        <w:pStyle w:val="Vieta"/>
        <w:numPr>
          <w:ilvl w:val="1"/>
          <w:numId w:val="35"/>
        </w:numPr>
        <w:spacing w:line="240" w:lineRule="auto"/>
        <w:rPr>
          <w:rFonts w:ascii="Arial" w:hAnsi="Arial" w:cs="Arial"/>
          <w:sz w:val="22"/>
          <w:szCs w:val="22"/>
        </w:rPr>
      </w:pPr>
      <w:r w:rsidRPr="00F30F48">
        <w:rPr>
          <w:rFonts w:ascii="Arial" w:hAnsi="Arial" w:cs="Arial"/>
          <w:sz w:val="22"/>
          <w:szCs w:val="22"/>
        </w:rPr>
        <w:t xml:space="preserve">El </w:t>
      </w:r>
      <w:r w:rsidR="004B50D4" w:rsidRPr="00F30F48">
        <w:rPr>
          <w:rFonts w:ascii="Arial" w:hAnsi="Arial" w:cs="Arial"/>
          <w:sz w:val="22"/>
          <w:szCs w:val="22"/>
        </w:rPr>
        <w:t xml:space="preserve">periodo </w:t>
      </w:r>
      <w:r w:rsidR="00D3104D" w:rsidRPr="00F30F48">
        <w:rPr>
          <w:rFonts w:ascii="Arial" w:hAnsi="Arial" w:cs="Arial"/>
          <w:sz w:val="22"/>
          <w:szCs w:val="22"/>
        </w:rPr>
        <w:t>sobre el cual se</w:t>
      </w:r>
      <w:r w:rsidRPr="00F30F48">
        <w:rPr>
          <w:rFonts w:ascii="Arial" w:hAnsi="Arial" w:cs="Arial"/>
          <w:sz w:val="22"/>
          <w:szCs w:val="22"/>
        </w:rPr>
        <w:t xml:space="preserve"> calculan</w:t>
      </w:r>
      <w:r w:rsidR="00D3104D" w:rsidRPr="00F30F48">
        <w:rPr>
          <w:rFonts w:ascii="Arial" w:hAnsi="Arial" w:cs="Arial"/>
          <w:sz w:val="22"/>
          <w:szCs w:val="22"/>
        </w:rPr>
        <w:t xml:space="preserve"> los</w:t>
      </w:r>
      <w:r w:rsidRPr="00F30F48">
        <w:rPr>
          <w:rFonts w:ascii="Arial" w:hAnsi="Arial" w:cs="Arial"/>
          <w:sz w:val="22"/>
          <w:szCs w:val="22"/>
        </w:rPr>
        <w:t xml:space="preserve"> beneficios es de </w:t>
      </w:r>
      <w:r w:rsidR="00FE320B">
        <w:rPr>
          <w:rFonts w:ascii="Arial" w:hAnsi="Arial" w:cs="Arial"/>
          <w:sz w:val="22"/>
          <w:szCs w:val="22"/>
        </w:rPr>
        <w:t>diez</w:t>
      </w:r>
      <w:r w:rsidRPr="00F30F48">
        <w:rPr>
          <w:rFonts w:ascii="Arial" w:hAnsi="Arial" w:cs="Arial"/>
          <w:sz w:val="22"/>
          <w:szCs w:val="22"/>
        </w:rPr>
        <w:t xml:space="preserve"> años.</w:t>
      </w:r>
    </w:p>
    <w:p w14:paraId="675199DF" w14:textId="77777777" w:rsidR="003C5DEB" w:rsidRPr="00F30F48" w:rsidRDefault="003C5DEB" w:rsidP="003C5DEB">
      <w:pPr>
        <w:pStyle w:val="Vieta"/>
        <w:numPr>
          <w:ilvl w:val="0"/>
          <w:numId w:val="0"/>
        </w:numPr>
        <w:spacing w:line="240" w:lineRule="auto"/>
        <w:rPr>
          <w:rFonts w:ascii="Arial" w:hAnsi="Arial" w:cs="Arial"/>
          <w:sz w:val="22"/>
          <w:szCs w:val="22"/>
        </w:rPr>
      </w:pPr>
    </w:p>
    <w:p w14:paraId="01F00906" w14:textId="77777777" w:rsidR="00E675EC" w:rsidRPr="00F30F48" w:rsidRDefault="00E675EC" w:rsidP="001563F5">
      <w:pPr>
        <w:pStyle w:val="Vieta"/>
        <w:numPr>
          <w:ilvl w:val="0"/>
          <w:numId w:val="0"/>
        </w:numPr>
        <w:spacing w:line="240" w:lineRule="auto"/>
        <w:ind w:left="720" w:hanging="360"/>
        <w:rPr>
          <w:rFonts w:ascii="Arial" w:hAnsi="Arial" w:cs="Arial"/>
          <w:sz w:val="22"/>
          <w:szCs w:val="22"/>
        </w:rPr>
      </w:pPr>
    </w:p>
    <w:p w14:paraId="48DCC92D" w14:textId="0F087BBD" w:rsidR="00F71BDB" w:rsidRPr="00FE320B" w:rsidRDefault="007B3237" w:rsidP="00FE320B">
      <w:pPr>
        <w:pStyle w:val="TitulopostI"/>
        <w:numPr>
          <w:ilvl w:val="1"/>
          <w:numId w:val="33"/>
        </w:numPr>
        <w:spacing w:line="240" w:lineRule="auto"/>
        <w:ind w:hanging="720"/>
        <w:rPr>
          <w:rFonts w:ascii="Arial" w:hAnsi="Arial" w:cs="Arial"/>
          <w:b w:val="0"/>
          <w:sz w:val="22"/>
          <w:szCs w:val="22"/>
        </w:rPr>
      </w:pPr>
      <w:r w:rsidRPr="00F30F48">
        <w:rPr>
          <w:rFonts w:ascii="Arial" w:hAnsi="Arial" w:cs="Arial"/>
          <w:sz w:val="22"/>
          <w:szCs w:val="22"/>
        </w:rPr>
        <w:t>Cálculos</w:t>
      </w:r>
      <w:r w:rsidR="00FE320B">
        <w:rPr>
          <w:rFonts w:ascii="Arial" w:hAnsi="Arial" w:cs="Arial"/>
          <w:sz w:val="22"/>
          <w:szCs w:val="22"/>
        </w:rPr>
        <w:t xml:space="preserve">. </w:t>
      </w:r>
      <w:r w:rsidRPr="00FE320B">
        <w:rPr>
          <w:rFonts w:ascii="Arial" w:hAnsi="Arial" w:cs="Arial"/>
          <w:b w:val="0"/>
          <w:kern w:val="28"/>
          <w:sz w:val="22"/>
          <w:szCs w:val="22"/>
        </w:rPr>
        <w:t xml:space="preserve">Para estimar los beneficios totales se debe tener en cuenta </w:t>
      </w:r>
      <w:r w:rsidR="005E2971" w:rsidRPr="00FE320B">
        <w:rPr>
          <w:rFonts w:ascii="Arial" w:hAnsi="Arial" w:cs="Arial"/>
          <w:b w:val="0"/>
          <w:kern w:val="28"/>
          <w:sz w:val="22"/>
          <w:szCs w:val="22"/>
        </w:rPr>
        <w:t>que el cálculo de los beneficios se encuentra estimado en un horizonte de</w:t>
      </w:r>
      <w:r w:rsidRPr="00FE320B">
        <w:rPr>
          <w:rFonts w:ascii="Arial" w:hAnsi="Arial" w:cs="Arial"/>
          <w:b w:val="0"/>
          <w:kern w:val="28"/>
          <w:sz w:val="22"/>
          <w:szCs w:val="22"/>
        </w:rPr>
        <w:t xml:space="preserve"> </w:t>
      </w:r>
      <w:r w:rsidR="00A85B9A" w:rsidRPr="00FE320B">
        <w:rPr>
          <w:rFonts w:ascii="Arial" w:hAnsi="Arial" w:cs="Arial"/>
          <w:b w:val="0"/>
          <w:kern w:val="28"/>
          <w:sz w:val="22"/>
          <w:szCs w:val="22"/>
        </w:rPr>
        <w:t>10</w:t>
      </w:r>
      <w:r w:rsidR="0031026F" w:rsidRPr="00FE320B">
        <w:rPr>
          <w:rFonts w:ascii="Arial" w:hAnsi="Arial" w:cs="Arial"/>
          <w:b w:val="0"/>
          <w:kern w:val="28"/>
          <w:sz w:val="22"/>
          <w:szCs w:val="22"/>
        </w:rPr>
        <w:t xml:space="preserve"> </w:t>
      </w:r>
      <w:r w:rsidRPr="00FE320B">
        <w:rPr>
          <w:rFonts w:ascii="Arial" w:hAnsi="Arial" w:cs="Arial"/>
          <w:b w:val="0"/>
          <w:kern w:val="28"/>
          <w:sz w:val="22"/>
          <w:szCs w:val="22"/>
        </w:rPr>
        <w:t xml:space="preserve">años durante los cuales se consideran </w:t>
      </w:r>
      <w:r w:rsidR="00C92E6F" w:rsidRPr="00FE320B">
        <w:rPr>
          <w:rFonts w:ascii="Arial" w:hAnsi="Arial" w:cs="Arial"/>
          <w:b w:val="0"/>
          <w:kern w:val="28"/>
          <w:sz w:val="22"/>
          <w:szCs w:val="22"/>
        </w:rPr>
        <w:t xml:space="preserve">los </w:t>
      </w:r>
      <w:r w:rsidRPr="00FE320B">
        <w:rPr>
          <w:rFonts w:ascii="Arial" w:hAnsi="Arial" w:cs="Arial"/>
          <w:b w:val="0"/>
          <w:kern w:val="28"/>
          <w:sz w:val="22"/>
          <w:szCs w:val="22"/>
        </w:rPr>
        <w:t>efectos</w:t>
      </w:r>
      <w:r w:rsidR="00C102AC" w:rsidRPr="00FE320B">
        <w:rPr>
          <w:rFonts w:ascii="Arial" w:hAnsi="Arial" w:cs="Arial"/>
          <w:b w:val="0"/>
          <w:kern w:val="28"/>
          <w:sz w:val="22"/>
          <w:szCs w:val="22"/>
        </w:rPr>
        <w:t xml:space="preserve"> de los beneficios anuales derivados </w:t>
      </w:r>
      <w:r w:rsidR="00C102AC" w:rsidRPr="00FE320B">
        <w:rPr>
          <w:rFonts w:ascii="Arial" w:hAnsi="Arial" w:cs="Arial"/>
          <w:b w:val="0"/>
          <w:kern w:val="28"/>
          <w:sz w:val="22"/>
          <w:szCs w:val="22"/>
        </w:rPr>
        <w:lastRenderedPageBreak/>
        <w:t>del Programa</w:t>
      </w:r>
      <w:r w:rsidR="0025258C" w:rsidRPr="00FE320B">
        <w:rPr>
          <w:rFonts w:ascii="Arial" w:hAnsi="Arial" w:cs="Arial"/>
          <w:b w:val="0"/>
          <w:sz w:val="22"/>
          <w:szCs w:val="22"/>
        </w:rPr>
        <w:t>.</w:t>
      </w:r>
      <w:r w:rsidRPr="00FE320B">
        <w:rPr>
          <w:rFonts w:ascii="Arial" w:hAnsi="Arial" w:cs="Arial"/>
          <w:b w:val="0"/>
          <w:kern w:val="28"/>
          <w:sz w:val="22"/>
          <w:szCs w:val="22"/>
        </w:rPr>
        <w:t xml:space="preserve"> Sin embargo, a efe</w:t>
      </w:r>
      <w:r w:rsidR="006A4D9B" w:rsidRPr="00FE320B">
        <w:rPr>
          <w:rFonts w:ascii="Arial" w:hAnsi="Arial" w:cs="Arial"/>
          <w:b w:val="0"/>
          <w:kern w:val="28"/>
          <w:sz w:val="22"/>
          <w:szCs w:val="22"/>
        </w:rPr>
        <w:t xml:space="preserve">ctos de obtener el valor </w:t>
      </w:r>
      <w:r w:rsidR="0025258C" w:rsidRPr="00FE320B">
        <w:rPr>
          <w:rFonts w:ascii="Arial" w:hAnsi="Arial" w:cs="Arial"/>
          <w:b w:val="0"/>
          <w:kern w:val="28"/>
          <w:sz w:val="22"/>
          <w:szCs w:val="22"/>
        </w:rPr>
        <w:t xml:space="preserve">presente se tiene en cuenta </w:t>
      </w:r>
      <w:r w:rsidRPr="00FE320B">
        <w:rPr>
          <w:rFonts w:ascii="Arial" w:hAnsi="Arial" w:cs="Arial"/>
          <w:b w:val="0"/>
          <w:kern w:val="28"/>
          <w:sz w:val="22"/>
          <w:szCs w:val="22"/>
        </w:rPr>
        <w:t>la ta</w:t>
      </w:r>
      <w:r w:rsidR="006A4D9B" w:rsidRPr="00FE320B">
        <w:rPr>
          <w:rFonts w:ascii="Arial" w:hAnsi="Arial" w:cs="Arial"/>
          <w:b w:val="0"/>
          <w:kern w:val="28"/>
          <w:sz w:val="22"/>
          <w:szCs w:val="22"/>
        </w:rPr>
        <w:t>sa</w:t>
      </w:r>
      <w:r w:rsidR="005E2971" w:rsidRPr="00FE320B">
        <w:rPr>
          <w:rFonts w:ascii="Arial" w:hAnsi="Arial" w:cs="Arial"/>
          <w:b w:val="0"/>
          <w:kern w:val="28"/>
          <w:sz w:val="22"/>
          <w:szCs w:val="22"/>
        </w:rPr>
        <w:t xml:space="preserve"> de descuento</w:t>
      </w:r>
      <w:r w:rsidR="006A4D9B" w:rsidRPr="00FE320B">
        <w:rPr>
          <w:rFonts w:ascii="Arial" w:hAnsi="Arial" w:cs="Arial"/>
          <w:b w:val="0"/>
          <w:kern w:val="28"/>
          <w:sz w:val="22"/>
          <w:szCs w:val="22"/>
        </w:rPr>
        <w:t xml:space="preserve"> utilizada </w:t>
      </w:r>
      <w:r w:rsidR="0025258C" w:rsidRPr="00FE320B">
        <w:rPr>
          <w:rFonts w:ascii="Arial" w:hAnsi="Arial" w:cs="Arial"/>
          <w:b w:val="0"/>
          <w:kern w:val="28"/>
          <w:sz w:val="22"/>
          <w:szCs w:val="22"/>
        </w:rPr>
        <w:t>BID</w:t>
      </w:r>
      <w:r w:rsidR="006A4D9B" w:rsidRPr="00FE320B">
        <w:rPr>
          <w:rFonts w:ascii="Arial" w:hAnsi="Arial" w:cs="Arial"/>
          <w:b w:val="0"/>
          <w:kern w:val="28"/>
          <w:sz w:val="22"/>
          <w:szCs w:val="22"/>
        </w:rPr>
        <w:t xml:space="preserve"> del 12%. </w:t>
      </w:r>
      <w:r w:rsidR="0025258C" w:rsidRPr="00FE320B">
        <w:rPr>
          <w:rFonts w:ascii="Arial" w:hAnsi="Arial" w:cs="Arial"/>
          <w:b w:val="0"/>
          <w:kern w:val="28"/>
          <w:sz w:val="22"/>
          <w:szCs w:val="22"/>
        </w:rPr>
        <w:t>El cálculo de</w:t>
      </w:r>
      <w:r w:rsidRPr="00FE320B">
        <w:rPr>
          <w:rFonts w:ascii="Arial" w:hAnsi="Arial" w:cs="Arial"/>
          <w:b w:val="0"/>
          <w:kern w:val="28"/>
          <w:sz w:val="22"/>
          <w:szCs w:val="22"/>
        </w:rPr>
        <w:t xml:space="preserve"> los beneficios totales se </w:t>
      </w:r>
      <w:r w:rsidR="0025258C" w:rsidRPr="00FE320B">
        <w:rPr>
          <w:rFonts w:ascii="Arial" w:hAnsi="Arial" w:cs="Arial"/>
          <w:b w:val="0"/>
          <w:kern w:val="28"/>
          <w:sz w:val="22"/>
          <w:szCs w:val="22"/>
        </w:rPr>
        <w:t xml:space="preserve">hace mediante </w:t>
      </w:r>
      <w:r w:rsidRPr="00FE320B">
        <w:rPr>
          <w:rFonts w:ascii="Arial" w:hAnsi="Arial" w:cs="Arial"/>
          <w:b w:val="0"/>
          <w:kern w:val="28"/>
          <w:sz w:val="22"/>
          <w:szCs w:val="22"/>
        </w:rPr>
        <w:t>la siguiente formula:</w:t>
      </w:r>
    </w:p>
    <w:p w14:paraId="741CAEFF" w14:textId="77777777" w:rsidR="005E2971" w:rsidRPr="00F30F48" w:rsidRDefault="005E2971" w:rsidP="005E2971">
      <w:pPr>
        <w:pStyle w:val="Paragraph"/>
        <w:numPr>
          <w:ilvl w:val="0"/>
          <w:numId w:val="0"/>
        </w:numPr>
        <w:spacing w:before="0" w:after="0"/>
        <w:rPr>
          <w:rFonts w:ascii="Arial" w:hAnsi="Arial" w:cs="Arial"/>
          <w:kern w:val="28"/>
          <w:sz w:val="22"/>
          <w:szCs w:val="22"/>
        </w:rPr>
      </w:pPr>
    </w:p>
    <w:p w14:paraId="0B726E57" w14:textId="77777777" w:rsidR="00B84211" w:rsidRPr="00F30F48" w:rsidRDefault="00CD476B" w:rsidP="00A01DCD">
      <w:pPr>
        <w:spacing w:after="0" w:line="240" w:lineRule="auto"/>
        <w:ind w:left="567" w:hanging="567"/>
        <w:jc w:val="center"/>
        <w:rPr>
          <w:rFonts w:ascii="Arial" w:hAnsi="Arial" w:cs="Arial"/>
          <w:kern w:val="28"/>
          <w:lang w:val="es-ES"/>
        </w:rPr>
      </w:pPr>
      <w:r>
        <w:rPr>
          <w:rFonts w:ascii="Arial" w:hAnsi="Arial" w:cs="Arial"/>
          <w:noProof/>
        </w:rPr>
        <w:pict w14:anchorId="17E85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40.25pt;mso-width-percent:0;mso-height-percent:0;mso-width-percent:0;mso-height-percent:0" equationxml="&lt;?xml version=&quot;1.0&quot; encoding=&quot;UTF-8&quot; standalone=&quot;yes&quot;?&gt;&#10;&#10;&#10;&#10;&#10;&#10;&#10;&#10;&#10;&#10;&#10;&#10;&#10;&#10;&#10;&#10;&#10;&#10;&#10;&#10;&#10;&#10;&#10;&#10;&lt;?mso-application progid=&quot;Word.Document&quot;?&gt;&#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relyOnVML/&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2A84&quot;/&gt;&lt;wsp:rsid wsp:val=&quot;00000033&quot;/&gt;&lt;wsp:rsid wsp:val=&quot;00002450&quot;/&gt;&lt;wsp:rsid wsp:val=&quot;0000578A&quot;/&gt;&lt;wsp:rsid wsp:val=&quot;00005EDC&quot;/&gt;&lt;wsp:rsid wsp:val=&quot;00010E91&quot;/&gt;&lt;wsp:rsid wsp:val=&quot;00011434&quot;/&gt;&lt;wsp:rsid wsp:val=&quot;000117CA&quot;/&gt;&lt;wsp:rsid wsp:val=&quot;00012B9A&quot;/&gt;&lt;wsp:rsid wsp:val=&quot;00013012&quot;/&gt;&lt;wsp:rsid wsp:val=&quot;00013021&quot;/&gt;&lt;wsp:rsid wsp:val=&quot;00013EB1&quot;/&gt;&lt;wsp:rsid wsp:val=&quot;0001439F&quot;/&gt;&lt;wsp:rsid wsp:val=&quot;00014B7A&quot;/&gt;&lt;wsp:rsid wsp:val=&quot;000156EF&quot;/&gt;&lt;wsp:rsid wsp:val=&quot;00015C84&quot;/&gt;&lt;wsp:rsid wsp:val=&quot;000163C5&quot;/&gt;&lt;wsp:rsid wsp:val=&quot;00020C10&quot;/&gt;&lt;wsp:rsid wsp:val=&quot;0002367A&quot;/&gt;&lt;wsp:rsid wsp:val=&quot;0002382F&quot;/&gt;&lt;wsp:rsid wsp:val=&quot;00023DC1&quot;/&gt;&lt;wsp:rsid wsp:val=&quot;00024850&quot;/&gt;&lt;wsp:rsid wsp:val=&quot;000250B3&quot;/&gt;&lt;wsp:rsid wsp:val=&quot;000257C0&quot;/&gt;&lt;wsp:rsid wsp:val=&quot;00027BD0&quot;/&gt;&lt;wsp:rsid wsp:val=&quot;00030267&quot;/&gt;&lt;wsp:rsid wsp:val=&quot;00030B76&quot;/&gt;&lt;wsp:rsid wsp:val=&quot;00031E1C&quot;/&gt;&lt;wsp:rsid wsp:val=&quot;00040932&quot;/&gt;&lt;wsp:rsid wsp:val=&quot;00040CF1&quot;/&gt;&lt;wsp:rsid wsp:val=&quot;00040F7F&quot;/&gt;&lt;wsp:rsid wsp:val=&quot;00041856&quot;/&gt;&lt;wsp:rsid wsp:val=&quot;00043476&quot;/&gt;&lt;wsp:rsid wsp:val=&quot;000435C2&quot;/&gt;&lt;wsp:rsid wsp:val=&quot;00043F4B&quot;/&gt;&lt;wsp:rsid wsp:val=&quot;000447E8&quot;/&gt;&lt;wsp:rsid wsp:val=&quot;0004549A&quot;/&gt;&lt;wsp:rsid wsp:val=&quot;00045FAD&quot;/&gt;&lt;wsp:rsid wsp:val=&quot;000467EF&quot;/&gt;&lt;wsp:rsid wsp:val=&quot;00047F74&quot;/&gt;&lt;wsp:rsid wsp:val=&quot;0005034C&quot;/&gt;&lt;wsp:rsid wsp:val=&quot;0005267A&quot;/&gt;&lt;wsp:rsid wsp:val=&quot;00055C95&quot;/&gt;&lt;wsp:rsid wsp:val=&quot;00057937&quot;/&gt;&lt;wsp:rsid wsp:val=&quot;00057E88&quot;/&gt;&lt;wsp:rsid wsp:val=&quot;00060365&quot;/&gt;&lt;wsp:rsid wsp:val=&quot;0006103B&quot;/&gt;&lt;wsp:rsid wsp:val=&quot;000614DA&quot;/&gt;&lt;wsp:rsid wsp:val=&quot;000615C6&quot;/&gt;&lt;wsp:rsid wsp:val=&quot;00062917&quot;/&gt;&lt;wsp:rsid wsp:val=&quot;0006373A&quot;/&gt;&lt;wsp:rsid wsp:val=&quot;00064F37&quot;/&gt;&lt;wsp:rsid wsp:val=&quot;00065851&quot;/&gt;&lt;wsp:rsid wsp:val=&quot;0006705A&quot;/&gt;&lt;wsp:rsid wsp:val=&quot;0007214A&quot;/&gt;&lt;wsp:rsid wsp:val=&quot;000722A4&quot;/&gt;&lt;wsp:rsid wsp:val=&quot;00072EAB&quot;/&gt;&lt;wsp:rsid wsp:val=&quot;0007325F&quot;/&gt;&lt;wsp:rsid wsp:val=&quot;00073D06&quot;/&gt;&lt;wsp:rsid wsp:val=&quot;00080C5C&quot;/&gt;&lt;wsp:rsid wsp:val=&quot;00080F7E&quot;/&gt;&lt;wsp:rsid wsp:val=&quot;00083464&quot;/&gt;&lt;wsp:rsid wsp:val=&quot;00084A43&quot;/&gt;&lt;wsp:rsid wsp:val=&quot;00085E6F&quot;/&gt;&lt;wsp:rsid wsp:val=&quot;00086175&quot;/&gt;&lt;wsp:rsid wsp:val=&quot;00086A1C&quot;/&gt;&lt;wsp:rsid wsp:val=&quot;00086C0F&quot;/&gt;&lt;wsp:rsid wsp:val=&quot;000918F4&quot;/&gt;&lt;wsp:rsid wsp:val=&quot;000925C8&quot;/&gt;&lt;wsp:rsid wsp:val=&quot;00094F89&quot;/&gt;&lt;wsp:rsid wsp:val=&quot;00095862&quot;/&gt;&lt;wsp:rsid wsp:val=&quot;00096255&quot;/&gt;&lt;wsp:rsid wsp:val=&quot;00097D91&quot;/&gt;&lt;wsp:rsid wsp:val=&quot;00097F75&quot;/&gt;&lt;wsp:rsid wsp:val=&quot;000A005B&quot;/&gt;&lt;wsp:rsid wsp:val=&quot;000A2537&quot;/&gt;&lt;wsp:rsid wsp:val=&quot;000A254F&quot;/&gt;&lt;wsp:rsid wsp:val=&quot;000A474D&quot;/&gt;&lt;wsp:rsid wsp:val=&quot;000A57B1&quot;/&gt;&lt;wsp:rsid wsp:val=&quot;000A6211&quot;/&gt;&lt;wsp:rsid wsp:val=&quot;000A69B7&quot;/&gt;&lt;wsp:rsid wsp:val=&quot;000A7FC3&quot;/&gt;&lt;wsp:rsid wsp:val=&quot;000B0533&quot;/&gt;&lt;wsp:rsid wsp:val=&quot;000B0A43&quot;/&gt;&lt;wsp:rsid wsp:val=&quot;000B0C63&quot;/&gt;&lt;wsp:rsid wsp:val=&quot;000B389F&quot;/&gt;&lt;wsp:rsid wsp:val=&quot;000B3A68&quot;/&gt;&lt;wsp:rsid wsp:val=&quot;000B3F73&quot;/&gt;&lt;wsp:rsid wsp:val=&quot;000B6483&quot;/&gt;&lt;wsp:rsid wsp:val=&quot;000C0E70&quot;/&gt;&lt;wsp:rsid wsp:val=&quot;000C0FC8&quot;/&gt;&lt;wsp:rsid wsp:val=&quot;000C17DD&quot;/&gt;&lt;wsp:rsid wsp:val=&quot;000C2D25&quot;/&gt;&lt;wsp:rsid wsp:val=&quot;000C46A7&quot;/&gt;&lt;wsp:rsid wsp:val=&quot;000C46E0&quot;/&gt;&lt;wsp:rsid wsp:val=&quot;000C4732&quot;/&gt;&lt;wsp:rsid wsp:val=&quot;000C675A&quot;/&gt;&lt;wsp:rsid wsp:val=&quot;000C6E12&quot;/&gt;&lt;wsp:rsid wsp:val=&quot;000D3602&quot;/&gt;&lt;wsp:rsid wsp:val=&quot;000D3AFA&quot;/&gt;&lt;wsp:rsid wsp:val=&quot;000D575B&quot;/&gt;&lt;wsp:rsid wsp:val=&quot;000D64EC&quot;/&gt;&lt;wsp:rsid wsp:val=&quot;000D6C2A&quot;/&gt;&lt;wsp:rsid wsp:val=&quot;000D7B3F&quot;/&gt;&lt;wsp:rsid wsp:val=&quot;000E08D9&quot;/&gt;&lt;wsp:rsid wsp:val=&quot;000E3540&quot;/&gt;&lt;wsp:rsid wsp:val=&quot;000E505C&quot;/&gt;&lt;wsp:rsid wsp:val=&quot;000E5B7C&quot;/&gt;&lt;wsp:rsid wsp:val=&quot;000E5FFA&quot;/&gt;&lt;wsp:rsid wsp:val=&quot;000F4BF7&quot;/&gt;&lt;wsp:rsid wsp:val=&quot;000F4C37&quot;/&gt;&lt;wsp:rsid wsp:val=&quot;000F57E7&quot;/&gt;&lt;wsp:rsid wsp:val=&quot;000F5806&quot;/&gt;&lt;wsp:rsid wsp:val=&quot;00100AB6&quot;/&gt;&lt;wsp:rsid wsp:val=&quot;001024FC&quot;/&gt;&lt;wsp:rsid wsp:val=&quot;001034A1&quot;/&gt;&lt;wsp:rsid wsp:val=&quot;00106234&quot;/&gt;&lt;wsp:rsid wsp:val=&quot;00107A6D&quot;/&gt;&lt;wsp:rsid wsp:val=&quot;00107DB0&quot;/&gt;&lt;wsp:rsid wsp:val=&quot;00110CE8&quot;/&gt;&lt;wsp:rsid wsp:val=&quot;00111647&quot;/&gt;&lt;wsp:rsid wsp:val=&quot;001127C4&quot;/&gt;&lt;wsp:rsid wsp:val=&quot;00112CE5&quot;/&gt;&lt;wsp:rsid wsp:val=&quot;0011395A&quot;/&gt;&lt;wsp:rsid wsp:val=&quot;00113993&quot;/&gt;&lt;wsp:rsid wsp:val=&quot;001143E4&quot;/&gt;&lt;wsp:rsid wsp:val=&quot;001144BE&quot;/&gt;&lt;wsp:rsid wsp:val=&quot;00117D42&quot;/&gt;&lt;wsp:rsid wsp:val=&quot;00120318&quot;/&gt;&lt;wsp:rsid wsp:val=&quot;0012148E&quot;/&gt;&lt;wsp:rsid wsp:val=&quot;00123F4E&quot;/&gt;&lt;wsp:rsid wsp:val=&quot;001246EE&quot;/&gt;&lt;wsp:rsid wsp:val=&quot;0012509D&quot;/&gt;&lt;wsp:rsid wsp:val=&quot;0012683F&quot;/&gt;&lt;wsp:rsid wsp:val=&quot;00126F3F&quot;/&gt;&lt;wsp:rsid wsp:val=&quot;001315FD&quot;/&gt;&lt;wsp:rsid wsp:val=&quot;00131AD0&quot;/&gt;&lt;wsp:rsid wsp:val=&quot;00132D5C&quot;/&gt;&lt;wsp:rsid wsp:val=&quot;0013499E&quot;/&gt;&lt;wsp:rsid wsp:val=&quot;001351E8&quot;/&gt;&lt;wsp:rsid wsp:val=&quot;00135419&quot;/&gt;&lt;wsp:rsid wsp:val=&quot;00135879&quot;/&gt;&lt;wsp:rsid wsp:val=&quot;00140173&quot;/&gt;&lt;wsp:rsid wsp:val=&quot;001423A3&quot;/&gt;&lt;wsp:rsid wsp:val=&quot;001439C9&quot;/&gt;&lt;wsp:rsid wsp:val=&quot;001456B5&quot;/&gt;&lt;wsp:rsid wsp:val=&quot;00146B6D&quot;/&gt;&lt;wsp:rsid wsp:val=&quot;001472FC&quot;/&gt;&lt;wsp:rsid wsp:val=&quot;001503A5&quot;/&gt;&lt;wsp:rsid wsp:val=&quot;0015295A&quot;/&gt;&lt;wsp:rsid wsp:val=&quot;0015534D&quot;/&gt;&lt;wsp:rsid wsp:val=&quot;00155361&quot;/&gt;&lt;wsp:rsid wsp:val=&quot;00156D2A&quot;/&gt;&lt;wsp:rsid wsp:val=&quot;0016092D&quot;/&gt;&lt;wsp:rsid wsp:val=&quot;001633BC&quot;/&gt;&lt;wsp:rsid wsp:val=&quot;00163675&quot;/&gt;&lt;wsp:rsid wsp:val=&quot;0016597C&quot;/&gt;&lt;wsp:rsid wsp:val=&quot;00165A91&quot;/&gt;&lt;wsp:rsid wsp:val=&quot;00166F59&quot;/&gt;&lt;wsp:rsid wsp:val=&quot;00167B44&quot;/&gt;&lt;wsp:rsid wsp:val=&quot;00170F5E&quot;/&gt;&lt;wsp:rsid wsp:val=&quot;00171377&quot;/&gt;&lt;wsp:rsid wsp:val=&quot;001720BB&quot;/&gt;&lt;wsp:rsid wsp:val=&quot;00173607&quot;/&gt;&lt;wsp:rsid wsp:val=&quot;00173B6F&quot;/&gt;&lt;wsp:rsid wsp:val=&quot;001747B2&quot;/&gt;&lt;wsp:rsid wsp:val=&quot;00174B82&quot;/&gt;&lt;wsp:rsid wsp:val=&quot;001767D4&quot;/&gt;&lt;wsp:rsid wsp:val=&quot;00177C3F&quot;/&gt;&lt;wsp:rsid wsp:val=&quot;0018179A&quot;/&gt;&lt;wsp:rsid wsp:val=&quot;00182F7A&quot;/&gt;&lt;wsp:rsid wsp:val=&quot;00182FF9&quot;/&gt;&lt;wsp:rsid wsp:val=&quot;00183F9E&quot;/&gt;&lt;wsp:rsid wsp:val=&quot;00184F99&quot;/&gt;&lt;wsp:rsid wsp:val=&quot;0018538F&quot;/&gt;&lt;wsp:rsid wsp:val=&quot;001865CF&quot;/&gt;&lt;wsp:rsid wsp:val=&quot;00187201&quot;/&gt;&lt;wsp:rsid wsp:val=&quot;0019307D&quot;/&gt;&lt;wsp:rsid wsp:val=&quot;00193D7A&quot;/&gt;&lt;wsp:rsid wsp:val=&quot;001A2ED1&quot;/&gt;&lt;wsp:rsid wsp:val=&quot;001A5BC7&quot;/&gt;&lt;wsp:rsid wsp:val=&quot;001A631D&quot;/&gt;&lt;wsp:rsid wsp:val=&quot;001A7BB1&quot;/&gt;&lt;wsp:rsid wsp:val=&quot;001B0001&quot;/&gt;&lt;wsp:rsid wsp:val=&quot;001B02F9&quot;/&gt;&lt;wsp:rsid wsp:val=&quot;001B0A90&quot;/&gt;&lt;wsp:rsid wsp:val=&quot;001B46D2&quot;/&gt;&lt;wsp:rsid wsp:val=&quot;001B5785&quot;/&gt;&lt;wsp:rsid wsp:val=&quot;001B6084&quot;/&gt;&lt;wsp:rsid wsp:val=&quot;001C0414&quot;/&gt;&lt;wsp:rsid wsp:val=&quot;001C20A4&quot;/&gt;&lt;wsp:rsid wsp:val=&quot;001C268B&quot;/&gt;&lt;wsp:rsid wsp:val=&quot;001C2F21&quot;/&gt;&lt;wsp:rsid wsp:val=&quot;001C3DCA&quot;/&gt;&lt;wsp:rsid wsp:val=&quot;001D0054&quot;/&gt;&lt;wsp:rsid wsp:val=&quot;001D162B&quot;/&gt;&lt;wsp:rsid wsp:val=&quot;001D28A0&quot;/&gt;&lt;wsp:rsid wsp:val=&quot;001D40EA&quot;/&gt;&lt;wsp:rsid wsp:val=&quot;001D419B&quot;/&gt;&lt;wsp:rsid wsp:val=&quot;001D6B92&quot;/&gt;&lt;wsp:rsid wsp:val=&quot;001D7ADC&quot;/&gt;&lt;wsp:rsid wsp:val=&quot;001D7F81&quot;/&gt;&lt;wsp:rsid wsp:val=&quot;001E0AA0&quot;/&gt;&lt;wsp:rsid wsp:val=&quot;001E1015&quot;/&gt;&lt;wsp:rsid wsp:val=&quot;001E150A&quot;/&gt;&lt;wsp:rsid wsp:val=&quot;001F09BA&quot;/&gt;&lt;wsp:rsid wsp:val=&quot;001F0D61&quot;/&gt;&lt;wsp:rsid wsp:val=&quot;001F36D4&quot;/&gt;&lt;wsp:rsid wsp:val=&quot;001F5569&quot;/&gt;&lt;wsp:rsid wsp:val=&quot;00200D80&quot;/&gt;&lt;wsp:rsid wsp:val=&quot;00201A8D&quot;/&gt;&lt;wsp:rsid wsp:val=&quot;00203219&quot;/&gt;&lt;wsp:rsid wsp:val=&quot;00203AA9&quot;/&gt;&lt;wsp:rsid wsp:val=&quot;00204652&quot;/&gt;&lt;wsp:rsid wsp:val=&quot;00205916&quot;/&gt;&lt;wsp:rsid wsp:val=&quot;0020598C&quot;/&gt;&lt;wsp:rsid wsp:val=&quot;00207204&quot;/&gt;&lt;wsp:rsid wsp:val=&quot;00207486&quot;/&gt;&lt;wsp:rsid wsp:val=&quot;0021056E&quot;/&gt;&lt;wsp:rsid wsp:val=&quot;00211A0F&quot;/&gt;&lt;wsp:rsid wsp:val=&quot;00212AE0&quot;/&gt;&lt;wsp:rsid wsp:val=&quot;00215D5A&quot;/&gt;&lt;wsp:rsid wsp:val=&quot;002168BA&quot;/&gt;&lt;wsp:rsid wsp:val=&quot;00217F46&quot;/&gt;&lt;wsp:rsid wsp:val=&quot;002216F9&quot;/&gt;&lt;wsp:rsid wsp:val=&quot;002217F5&quot;/&gt;&lt;wsp:rsid wsp:val=&quot;00223D0A&quot;/&gt;&lt;wsp:rsid wsp:val=&quot;00224144&quot;/&gt;&lt;wsp:rsid wsp:val=&quot;00224867&quot;/&gt;&lt;wsp:rsid wsp:val=&quot;002306A0&quot;/&gt;&lt;wsp:rsid wsp:val=&quot;002308DC&quot;/&gt;&lt;wsp:rsid wsp:val=&quot;00230968&quot;/&gt;&lt;wsp:rsid wsp:val=&quot;0023096C&quot;/&gt;&lt;wsp:rsid wsp:val=&quot;00232169&quot;/&gt;&lt;wsp:rsid wsp:val=&quot;002341D5&quot;/&gt;&lt;wsp:rsid wsp:val=&quot;002363CE&quot;/&gt;&lt;wsp:rsid wsp:val=&quot;002366E5&quot;/&gt;&lt;wsp:rsid wsp:val=&quot;0023775E&quot;/&gt;&lt;wsp:rsid wsp:val=&quot;00240208&quot;/&gt;&lt;wsp:rsid wsp:val=&quot;00243A11&quot;/&gt;&lt;wsp:rsid wsp:val=&quot;00245F30&quot;/&gt;&lt;wsp:rsid wsp:val=&quot;002463B2&quot;/&gt;&lt;wsp:rsid wsp:val=&quot;0025036F&quot;/&gt;&lt;wsp:rsid wsp:val=&quot;002523AA&quot;/&gt;&lt;wsp:rsid wsp:val=&quot;00252502&quot;/&gt;&lt;wsp:rsid wsp:val=&quot;0025338C&quot;/&gt;&lt;wsp:rsid wsp:val=&quot;00253B58&quot;/&gt;&lt;wsp:rsid wsp:val=&quot;00255116&quot;/&gt;&lt;wsp:rsid wsp:val=&quot;00256146&quot;/&gt;&lt;wsp:rsid wsp:val=&quot;00256D81&quot;/&gt;&lt;wsp:rsid wsp:val=&quot;0025778E&quot;/&gt;&lt;wsp:rsid wsp:val=&quot;00260D92&quot;/&gt;&lt;wsp:rsid wsp:val=&quot;00261879&quot;/&gt;&lt;wsp:rsid wsp:val=&quot;00263BC4&quot;/&gt;&lt;wsp:rsid wsp:val=&quot;00263D21&quot;/&gt;&lt;wsp:rsid wsp:val=&quot;00265B09&quot;/&gt;&lt;wsp:rsid wsp:val=&quot;00266113&quot;/&gt;&lt;wsp:rsid wsp:val=&quot;00271E5A&quot;/&gt;&lt;wsp:rsid wsp:val=&quot;0027433B&quot;/&gt;&lt;wsp:rsid wsp:val=&quot;002743B9&quot;/&gt;&lt;wsp:rsid wsp:val=&quot;002743F5&quot;/&gt;&lt;wsp:rsid wsp:val=&quot;00274C02&quot;/&gt;&lt;wsp:rsid wsp:val=&quot;00276369&quot;/&gt;&lt;wsp:rsid wsp:val=&quot;00277B05&quot;/&gt;&lt;wsp:rsid wsp:val=&quot;00277D36&quot;/&gt;&lt;wsp:rsid wsp:val=&quot;00277E59&quot;/&gt;&lt;wsp:rsid wsp:val=&quot;0028401C&quot;/&gt;&lt;wsp:rsid wsp:val=&quot;00286534&quot;/&gt;&lt;wsp:rsid wsp:val=&quot;002868A9&quot;/&gt;&lt;wsp:rsid wsp:val=&quot;002873E1&quot;/&gt;&lt;wsp:rsid wsp:val=&quot;00290761&quot;/&gt;&lt;wsp:rsid wsp:val=&quot;00293CBD&quot;/&gt;&lt;wsp:rsid wsp:val=&quot;00294B33&quot;/&gt;&lt;wsp:rsid wsp:val=&quot;0029622F&quot;/&gt;&lt;wsp:rsid wsp:val=&quot;00296F07&quot;/&gt;&lt;wsp:rsid wsp:val=&quot;002979CE&quot;/&gt;&lt;wsp:rsid wsp:val=&quot;002A075A&quot;/&gt;&lt;wsp:rsid wsp:val=&quot;002A07F8&quot;/&gt;&lt;wsp:rsid wsp:val=&quot;002A1FC4&quot;/&gt;&lt;wsp:rsid wsp:val=&quot;002A2073&quot;/&gt;&lt;wsp:rsid wsp:val=&quot;002A21EA&quot;/&gt;&lt;wsp:rsid wsp:val=&quot;002A275D&quot;/&gt;&lt;wsp:rsid wsp:val=&quot;002A3610&quot;/&gt;&lt;wsp:rsid wsp:val=&quot;002A4399&quot;/&gt;&lt;wsp:rsid wsp:val=&quot;002A45C2&quot;/&gt;&lt;wsp:rsid wsp:val=&quot;002B18ED&quot;/&gt;&lt;wsp:rsid wsp:val=&quot;002B2363&quot;/&gt;&lt;wsp:rsid wsp:val=&quot;002B2FCB&quot;/&gt;&lt;wsp:rsid wsp:val=&quot;002B31BC&quot;/&gt;&lt;wsp:rsid wsp:val=&quot;002B59C1&quot;/&gt;&lt;wsp:rsid wsp:val=&quot;002B6B10&quot;/&gt;&lt;wsp:rsid wsp:val=&quot;002B7111&quot;/&gt;&lt;wsp:rsid wsp:val=&quot;002C1CD6&quot;/&gt;&lt;wsp:rsid wsp:val=&quot;002C3AEE&quot;/&gt;&lt;wsp:rsid wsp:val=&quot;002C4E0A&quot;/&gt;&lt;wsp:rsid wsp:val=&quot;002C4E45&quot;/&gt;&lt;wsp:rsid wsp:val=&quot;002C5167&quot;/&gt;&lt;wsp:rsid wsp:val=&quot;002C54E7&quot;/&gt;&lt;wsp:rsid wsp:val=&quot;002C571F&quot;/&gt;&lt;wsp:rsid wsp:val=&quot;002D29C7&quot;/&gt;&lt;wsp:rsid wsp:val=&quot;002D4369&quot;/&gt;&lt;wsp:rsid wsp:val=&quot;002D4E00&quot;/&gt;&lt;wsp:rsid wsp:val=&quot;002D63D4&quot;/&gt;&lt;wsp:rsid wsp:val=&quot;002D6F93&quot;/&gt;&lt;wsp:rsid wsp:val=&quot;002D7156&quot;/&gt;&lt;wsp:rsid wsp:val=&quot;002D7584&quot;/&gt;&lt;wsp:rsid wsp:val=&quot;002D7864&quot;/&gt;&lt;wsp:rsid wsp:val=&quot;002D78F7&quot;/&gt;&lt;wsp:rsid wsp:val=&quot;002E1368&quot;/&gt;&lt;wsp:rsid wsp:val=&quot;002E147E&quot;/&gt;&lt;wsp:rsid wsp:val=&quot;002E2141&quot;/&gt;&lt;wsp:rsid wsp:val=&quot;002E4202&quot;/&gt;&lt;wsp:rsid wsp:val=&quot;002E4618&quot;/&gt;&lt;wsp:rsid wsp:val=&quot;002E68B4&quot;/&gt;&lt;wsp:rsid wsp:val=&quot;002E6B84&quot;/&gt;&lt;wsp:rsid wsp:val=&quot;002E6BE0&quot;/&gt;&lt;wsp:rsid wsp:val=&quot;002E7C5D&quot;/&gt;&lt;wsp:rsid wsp:val=&quot;002E7D19&quot;/&gt;&lt;wsp:rsid wsp:val=&quot;002F1652&quot;/&gt;&lt;wsp:rsid wsp:val=&quot;002F1A86&quot;/&gt;&lt;wsp:rsid wsp:val=&quot;002F1A99&quot;/&gt;&lt;wsp:rsid wsp:val=&quot;002F27CA&quot;/&gt;&lt;wsp:rsid wsp:val=&quot;002F4237&quot;/&gt;&lt;wsp:rsid wsp:val=&quot;002F50C6&quot;/&gt;&lt;wsp:rsid wsp:val=&quot;002F607A&quot;/&gt;&lt;wsp:rsid wsp:val=&quot;002F7EA4&quot;/&gt;&lt;wsp:rsid wsp:val=&quot;00300939&quot;/&gt;&lt;wsp:rsid wsp:val=&quot;00300D75&quot;/&gt;&lt;wsp:rsid wsp:val=&quot;00303C83&quot;/&gt;&lt;wsp:rsid wsp:val=&quot;0030518D&quot;/&gt;&lt;wsp:rsid wsp:val=&quot;00305FBE&quot;/&gt;&lt;wsp:rsid wsp:val=&quot;0030608C&quot;/&gt;&lt;wsp:rsid wsp:val=&quot;00307417&quot;/&gt;&lt;wsp:rsid wsp:val=&quot;0031026F&quot;/&gt;&lt;wsp:rsid wsp:val=&quot;003129AE&quot;/&gt;&lt;wsp:rsid wsp:val=&quot;00313101&quot;/&gt;&lt;wsp:rsid wsp:val=&quot;00313961&quot;/&gt;&lt;wsp:rsid wsp:val=&quot;00317175&quot;/&gt;&lt;wsp:rsid wsp:val=&quot;003208FA&quot;/&gt;&lt;wsp:rsid wsp:val=&quot;0032279A&quot;/&gt;&lt;wsp:rsid wsp:val=&quot;00323CBD&quot;/&gt;&lt;wsp:rsid wsp:val=&quot;00323F4D&quot;/&gt;&lt;wsp:rsid wsp:val=&quot;0032488E&quot;/&gt;&lt;wsp:rsid wsp:val=&quot;0032554A&quot;/&gt;&lt;wsp:rsid wsp:val=&quot;00325940&quot;/&gt;&lt;wsp:rsid wsp:val=&quot;00327543&quot;/&gt;&lt;wsp:rsid wsp:val=&quot;003311E6&quot;/&gt;&lt;wsp:rsid wsp:val=&quot;003319DE&quot;/&gt;&lt;wsp:rsid wsp:val=&quot;00332AA0&quot;/&gt;&lt;wsp:rsid wsp:val=&quot;003332AB&quot;/&gt;&lt;wsp:rsid wsp:val=&quot;00337021&quot;/&gt;&lt;wsp:rsid wsp:val=&quot;003376DF&quot;/&gt;&lt;wsp:rsid wsp:val=&quot;00340BD9&quot;/&gt;&lt;wsp:rsid wsp:val=&quot;0034132F&quot;/&gt;&lt;wsp:rsid wsp:val=&quot;00341701&quot;/&gt;&lt;wsp:rsid wsp:val=&quot;00343381&quot;/&gt;&lt;wsp:rsid wsp:val=&quot;003436D1&quot;/&gt;&lt;wsp:rsid wsp:val=&quot;00344621&quot;/&gt;&lt;wsp:rsid wsp:val=&quot;00345F41&quot;/&gt;&lt;wsp:rsid wsp:val=&quot;003464B9&quot;/&gt;&lt;wsp:rsid wsp:val=&quot;003477BB&quot;/&gt;&lt;wsp:rsid wsp:val=&quot;00350002&quot;/&gt;&lt;wsp:rsid wsp:val=&quot;003501B6&quot;/&gt;&lt;wsp:rsid wsp:val=&quot;0035041C&quot;/&gt;&lt;wsp:rsid wsp:val=&quot;00356AD0&quot;/&gt;&lt;wsp:rsid wsp:val=&quot;00356FCF&quot;/&gt;&lt;wsp:rsid wsp:val=&quot;00357556&quot;/&gt;&lt;wsp:rsid wsp:val=&quot;00357790&quot;/&gt;&lt;wsp:rsid wsp:val=&quot;00360C5E&quot;/&gt;&lt;wsp:rsid wsp:val=&quot;00362D8A&quot;/&gt;&lt;wsp:rsid wsp:val=&quot;00362D98&quot;/&gt;&lt;wsp:rsid wsp:val=&quot;00364F9A&quot;/&gt;&lt;wsp:rsid wsp:val=&quot;0036507D&quot;/&gt;&lt;wsp:rsid wsp:val=&quot;00365153&quot;/&gt;&lt;wsp:rsid wsp:val=&quot;00365758&quot;/&gt;&lt;wsp:rsid wsp:val=&quot;0037134F&quot;/&gt;&lt;wsp:rsid wsp:val=&quot;003714B4&quot;/&gt;&lt;wsp:rsid wsp:val=&quot;00376FC1&quot;/&gt;&lt;wsp:rsid wsp:val=&quot;003804C9&quot;/&gt;&lt;wsp:rsid wsp:val=&quot;003805D2&quot;/&gt;&lt;wsp:rsid wsp:val=&quot;0038100F&quot;/&gt;&lt;wsp:rsid wsp:val=&quot;0038121D&quot;/&gt;&lt;wsp:rsid wsp:val=&quot;00381F8D&quot;/&gt;&lt;wsp:rsid wsp:val=&quot;003823BF&quot;/&gt;&lt;wsp:rsid wsp:val=&quot;003826EE&quot;/&gt;&lt;wsp:rsid wsp:val=&quot;00384560&quot;/&gt;&lt;wsp:rsid wsp:val=&quot;00386B8A&quot;/&gt;&lt;wsp:rsid wsp:val=&quot;0039137B&quot;/&gt;&lt;wsp:rsid wsp:val=&quot;003922D7&quot;/&gt;&lt;wsp:rsid wsp:val=&quot;00392749&quot;/&gt;&lt;wsp:rsid wsp:val=&quot;00392B9C&quot;/&gt;&lt;wsp:rsid wsp:val=&quot;00392EF8&quot;/&gt;&lt;wsp:rsid wsp:val=&quot;00393C04&quot;/&gt;&lt;wsp:rsid wsp:val=&quot;00395746&quot;/&gt;&lt;wsp:rsid wsp:val=&quot;00395F8D&quot;/&gt;&lt;wsp:rsid wsp:val=&quot;003963C4&quot;/&gt;&lt;wsp:rsid wsp:val=&quot;00397008&quot;/&gt;&lt;wsp:rsid wsp:val=&quot;003970BE&quot;/&gt;&lt;wsp:rsid wsp:val=&quot;003A04DA&quot;/&gt;&lt;wsp:rsid wsp:val=&quot;003A068D&quot;/&gt;&lt;wsp:rsid wsp:val=&quot;003A0E30&quot;/&gt;&lt;wsp:rsid wsp:val=&quot;003A3D54&quot;/&gt;&lt;wsp:rsid wsp:val=&quot;003A44B4&quot;/&gt;&lt;wsp:rsid wsp:val=&quot;003A453B&quot;/&gt;&lt;wsp:rsid wsp:val=&quot;003A4F00&quot;/&gt;&lt;wsp:rsid wsp:val=&quot;003A52E6&quot;/&gt;&lt;wsp:rsid wsp:val=&quot;003A70D6&quot;/&gt;&lt;wsp:rsid wsp:val=&quot;003B0030&quot;/&gt;&lt;wsp:rsid wsp:val=&quot;003B0AAC&quot;/&gt;&lt;wsp:rsid wsp:val=&quot;003B386A&quot;/&gt;&lt;wsp:rsid wsp:val=&quot;003C0446&quot;/&gt;&lt;wsp:rsid wsp:val=&quot;003C08A4&quot;/&gt;&lt;wsp:rsid wsp:val=&quot;003C0E3B&quot;/&gt;&lt;wsp:rsid wsp:val=&quot;003C1BA3&quot;/&gt;&lt;wsp:rsid wsp:val=&quot;003C286E&quot;/&gt;&lt;wsp:rsid wsp:val=&quot;003C3C2F&quot;/&gt;&lt;wsp:rsid wsp:val=&quot;003C531B&quot;/&gt;&lt;wsp:rsid wsp:val=&quot;003C64D3&quot;/&gt;&lt;wsp:rsid wsp:val=&quot;003C64E0&quot;/&gt;&lt;wsp:rsid wsp:val=&quot;003D182A&quot;/&gt;&lt;wsp:rsid wsp:val=&quot;003D308B&quot;/&gt;&lt;wsp:rsid wsp:val=&quot;003D469B&quot;/&gt;&lt;wsp:rsid wsp:val=&quot;003D4E74&quot;/&gt;&lt;wsp:rsid wsp:val=&quot;003D5EC2&quot;/&gt;&lt;wsp:rsid wsp:val=&quot;003D6624&quot;/&gt;&lt;wsp:rsid wsp:val=&quot;003D7F8D&quot;/&gt;&lt;wsp:rsid wsp:val=&quot;003E07CA&quot;/&gt;&lt;wsp:rsid wsp:val=&quot;003E23FF&quot;/&gt;&lt;wsp:rsid wsp:val=&quot;003E494A&quot;/&gt;&lt;wsp:rsid wsp:val=&quot;003E61DA&quot;/&gt;&lt;wsp:rsid wsp:val=&quot;003E71C0&quot;/&gt;&lt;wsp:rsid wsp:val=&quot;003E774E&quot;/&gt;&lt;wsp:rsid wsp:val=&quot;003F0640&quot;/&gt;&lt;wsp:rsid wsp:val=&quot;003F4B4D&quot;/&gt;&lt;wsp:rsid wsp:val=&quot;003F4FFF&quot;/&gt;&lt;wsp:rsid wsp:val=&quot;003F5F59&quot;/&gt;&lt;wsp:rsid wsp:val=&quot;003F7517&quot;/&gt;&lt;wsp:rsid wsp:val=&quot;003F76E1&quot;/&gt;&lt;wsp:rsid wsp:val=&quot;004020B3&quot;/&gt;&lt;wsp:rsid wsp:val=&quot;00402721&quot;/&gt;&lt;wsp:rsid wsp:val=&quot;004029BB&quot;/&gt;&lt;wsp:rsid wsp:val=&quot;00403432&quot;/&gt;&lt;wsp:rsid wsp:val=&quot;00406444&quot;/&gt;&lt;wsp:rsid wsp:val=&quot;00406498&quot;/&gt;&lt;wsp:rsid wsp:val=&quot;00406BE6&quot;/&gt;&lt;wsp:rsid wsp:val=&quot;004078AA&quot;/&gt;&lt;wsp:rsid wsp:val=&quot;00407DA8&quot;/&gt;&lt;wsp:rsid wsp:val=&quot;0041238D&quot;/&gt;&lt;wsp:rsid wsp:val=&quot;00414834&quot;/&gt;&lt;wsp:rsid wsp:val=&quot;00415D21&quot;/&gt;&lt;wsp:rsid wsp:val=&quot;0041681B&quot;/&gt;&lt;wsp:rsid wsp:val=&quot;0041785D&quot;/&gt;&lt;wsp:rsid wsp:val=&quot;00420840&quot;/&gt;&lt;wsp:rsid wsp:val=&quot;004210C5&quot;/&gt;&lt;wsp:rsid wsp:val=&quot;00422863&quot;/&gt;&lt;wsp:rsid wsp:val=&quot;00422AE0&quot;/&gt;&lt;wsp:rsid wsp:val=&quot;00423EB8&quot;/&gt;&lt;wsp:rsid wsp:val=&quot;004242E7&quot;/&gt;&lt;wsp:rsid wsp:val=&quot;00424539&quot;/&gt;&lt;wsp:rsid wsp:val=&quot;004249B4&quot;/&gt;&lt;wsp:rsid wsp:val=&quot;0042561E&quot;/&gt;&lt;wsp:rsid wsp:val=&quot;0042581D&quot;/&gt;&lt;wsp:rsid wsp:val=&quot;0042672D&quot;/&gt;&lt;wsp:rsid wsp:val=&quot;00426736&quot;/&gt;&lt;wsp:rsid wsp:val=&quot;0042796B&quot;/&gt;&lt;wsp:rsid wsp:val=&quot;00427DDD&quot;/&gt;&lt;wsp:rsid wsp:val=&quot;0043099F&quot;/&gt;&lt;wsp:rsid wsp:val=&quot;00431689&quot;/&gt;&lt;wsp:rsid wsp:val=&quot;0043368E&quot;/&gt;&lt;wsp:rsid wsp:val=&quot;00434198&quot;/&gt;&lt;wsp:rsid wsp:val=&quot;00434773&quot;/&gt;&lt;wsp:rsid wsp:val=&quot;00435054&quot;/&gt;&lt;wsp:rsid wsp:val=&quot;0043555F&quot;/&gt;&lt;wsp:rsid wsp:val=&quot;00435E75&quot;/&gt;&lt;wsp:rsid wsp:val=&quot;004416F7&quot;/&gt;&lt;wsp:rsid wsp:val=&quot;004421F2&quot;/&gt;&lt;wsp:rsid wsp:val=&quot;0044222B&quot;/&gt;&lt;wsp:rsid wsp:val=&quot;00442B47&quot;/&gt;&lt;wsp:rsid wsp:val=&quot;00445382&quot;/&gt;&lt;wsp:rsid wsp:val=&quot;004463E8&quot;/&gt;&lt;wsp:rsid wsp:val=&quot;00447402&quot;/&gt;&lt;wsp:rsid wsp:val=&quot;004478AE&quot;/&gt;&lt;wsp:rsid wsp:val=&quot;00450BC1&quot;/&gt;&lt;wsp:rsid wsp:val=&quot;00450F8D&quot;/&gt;&lt;wsp:rsid wsp:val=&quot;00451B0C&quot;/&gt;&lt;wsp:rsid wsp:val=&quot;00451FD3&quot;/&gt;&lt;wsp:rsid wsp:val=&quot;00455A69&quot;/&gt;&lt;wsp:rsid wsp:val=&quot;00455B45&quot;/&gt;&lt;wsp:rsid wsp:val=&quot;00456A59&quot;/&gt;&lt;wsp:rsid wsp:val=&quot;004605A7&quot;/&gt;&lt;wsp:rsid wsp:val=&quot;00460F68&quot;/&gt;&lt;wsp:rsid wsp:val=&quot;0046105C&quot;/&gt;&lt;wsp:rsid wsp:val=&quot;004616E7&quot;/&gt;&lt;wsp:rsid wsp:val=&quot;004617EA&quot;/&gt;&lt;wsp:rsid wsp:val=&quot;0046186B&quot;/&gt;&lt;wsp:rsid wsp:val=&quot;00462308&quot;/&gt;&lt;wsp:rsid wsp:val=&quot;00464FD1&quot;/&gt;&lt;wsp:rsid wsp:val=&quot;004652EF&quot;/&gt;&lt;wsp:rsid wsp:val=&quot;00467669&quot;/&gt;&lt;wsp:rsid wsp:val=&quot;00470BD4&quot;/&gt;&lt;wsp:rsid wsp:val=&quot;00470D03&quot;/&gt;&lt;wsp:rsid wsp:val=&quot;0047251F&quot;/&gt;&lt;wsp:rsid wsp:val=&quot;00473037&quot;/&gt;&lt;wsp:rsid wsp:val=&quot;00473371&quot;/&gt;&lt;wsp:rsid wsp:val=&quot;00473E76&quot;/&gt;&lt;wsp:rsid wsp:val=&quot;00474B5D&quot;/&gt;&lt;wsp:rsid wsp:val=&quot;00477507&quot;/&gt;&lt;wsp:rsid wsp:val=&quot;004807B4&quot;/&gt;&lt;wsp:rsid wsp:val=&quot;00481225&quot;/&gt;&lt;wsp:rsid wsp:val=&quot;00483327&quot;/&gt;&lt;wsp:rsid wsp:val=&quot;00484351&quot;/&gt;&lt;wsp:rsid wsp:val=&quot;00484DB6&quot;/&gt;&lt;wsp:rsid wsp:val=&quot;004857AE&quot;/&gt;&lt;wsp:rsid wsp:val=&quot;004862B0&quot;/&gt;&lt;wsp:rsid wsp:val=&quot;004869E4&quot;/&gt;&lt;wsp:rsid wsp:val=&quot;00487425&quot;/&gt;&lt;wsp:rsid wsp:val=&quot;00487558&quot;/&gt;&lt;wsp:rsid wsp:val=&quot;004876EE&quot;/&gt;&lt;wsp:rsid wsp:val=&quot;00487742&quot;/&gt;&lt;wsp:rsid wsp:val=&quot;004927EB&quot;/&gt;&lt;wsp:rsid wsp:val=&quot;0049291F&quot;/&gt;&lt;wsp:rsid wsp:val=&quot;00493DE6&quot;/&gt;&lt;wsp:rsid wsp:val=&quot;00493FE5&quot;/&gt;&lt;wsp:rsid wsp:val=&quot;0049433A&quot;/&gt;&lt;wsp:rsid wsp:val=&quot;00494BDC&quot;/&gt;&lt;wsp:rsid wsp:val=&quot;00494E6E&quot;/&gt;&lt;wsp:rsid wsp:val=&quot;00495C1F&quot;/&gt;&lt;wsp:rsid wsp:val=&quot;0049738C&quot;/&gt;&lt;wsp:rsid wsp:val=&quot;004975A2&quot;/&gt;&lt;wsp:rsid wsp:val=&quot;004A1160&quot;/&gt;&lt;wsp:rsid wsp:val=&quot;004A2F7B&quot;/&gt;&lt;wsp:rsid wsp:val=&quot;004A458B&quot;/&gt;&lt;wsp:rsid wsp:val=&quot;004A7491&quot;/&gt;&lt;wsp:rsid wsp:val=&quot;004B311B&quot;/&gt;&lt;wsp:rsid wsp:val=&quot;004B371F&quot;/&gt;&lt;wsp:rsid wsp:val=&quot;004B3A59&quot;/&gt;&lt;wsp:rsid wsp:val=&quot;004B3A79&quot;/&gt;&lt;wsp:rsid wsp:val=&quot;004B451F&quot;/&gt;&lt;wsp:rsid wsp:val=&quot;004B4A7A&quot;/&gt;&lt;wsp:rsid wsp:val=&quot;004B52C3&quot;/&gt;&lt;wsp:rsid wsp:val=&quot;004B5559&quot;/&gt;&lt;wsp:rsid wsp:val=&quot;004B6558&quot;/&gt;&lt;wsp:rsid wsp:val=&quot;004B7A5A&quot;/&gt;&lt;wsp:rsid wsp:val=&quot;004C1201&quot;/&gt;&lt;wsp:rsid wsp:val=&quot;004C19AB&quot;/&gt;&lt;wsp:rsid wsp:val=&quot;004C3C2F&quot;/&gt;&lt;wsp:rsid wsp:val=&quot;004C3FBA&quot;/&gt;&lt;wsp:rsid wsp:val=&quot;004C43FE&quot;/&gt;&lt;wsp:rsid wsp:val=&quot;004C613C&quot;/&gt;&lt;wsp:rsid wsp:val=&quot;004C7D80&quot;/&gt;&lt;wsp:rsid wsp:val=&quot;004D0522&quot;/&gt;&lt;wsp:rsid wsp:val=&quot;004D0A04&quot;/&gt;&lt;wsp:rsid wsp:val=&quot;004D2C56&quot;/&gt;&lt;wsp:rsid wsp:val=&quot;004D396D&quot;/&gt;&lt;wsp:rsid wsp:val=&quot;004D3E6C&quot;/&gt;&lt;wsp:rsid wsp:val=&quot;004D4BD0&quot;/&gt;&lt;wsp:rsid wsp:val=&quot;004D5EFD&quot;/&gt;&lt;wsp:rsid wsp:val=&quot;004D5F1D&quot;/&gt;&lt;wsp:rsid wsp:val=&quot;004D6A36&quot;/&gt;&lt;wsp:rsid wsp:val=&quot;004E084F&quot;/&gt;&lt;wsp:rsid wsp:val=&quot;004E1875&quot;/&gt;&lt;wsp:rsid wsp:val=&quot;004E20F6&quot;/&gt;&lt;wsp:rsid wsp:val=&quot;004E300A&quot;/&gt;&lt;wsp:rsid wsp:val=&quot;004E34CD&quot;/&gt;&lt;wsp:rsid wsp:val=&quot;004E3F85&quot;/&gt;&lt;wsp:rsid wsp:val=&quot;004E4612&quot;/&gt;&lt;wsp:rsid wsp:val=&quot;004E4981&quot;/&gt;&lt;wsp:rsid wsp:val=&quot;004E4DAC&quot;/&gt;&lt;wsp:rsid wsp:val=&quot;004E5AFD&quot;/&gt;&lt;wsp:rsid wsp:val=&quot;004F08F8&quot;/&gt;&lt;wsp:rsid wsp:val=&quot;004F3763&quot;/&gt;&lt;wsp:rsid wsp:val=&quot;004F4C0D&quot;/&gt;&lt;wsp:rsid wsp:val=&quot;004F5B95&quot;/&gt;&lt;wsp:rsid wsp:val=&quot;004F6CED&quot;/&gt;&lt;wsp:rsid wsp:val=&quot;00500101&quot;/&gt;&lt;wsp:rsid wsp:val=&quot;00500538&quot;/&gt;&lt;wsp:rsid wsp:val=&quot;0050079D&quot;/&gt;&lt;wsp:rsid wsp:val=&quot;00503448&quot;/&gt;&lt;wsp:rsid wsp:val=&quot;0050552A&quot;/&gt;&lt;wsp:rsid wsp:val=&quot;00505CE7&quot;/&gt;&lt;wsp:rsid wsp:val=&quot;0050796D&quot;/&gt;&lt;wsp:rsid wsp:val=&quot;005117E4&quot;/&gt;&lt;wsp:rsid wsp:val=&quot;00512170&quot;/&gt;&lt;wsp:rsid wsp:val=&quot;005121F3&quot;/&gt;&lt;wsp:rsid wsp:val=&quot;00514048&quot;/&gt;&lt;wsp:rsid wsp:val=&quot;00515DF9&quot;/&gt;&lt;wsp:rsid wsp:val=&quot;00522062&quot;/&gt;&lt;wsp:rsid wsp:val=&quot;0052321D&quot;/&gt;&lt;wsp:rsid wsp:val=&quot;0052640E&quot;/&gt;&lt;wsp:rsid wsp:val=&quot;0052734A&quot;/&gt;&lt;wsp:rsid wsp:val=&quot;00527A94&quot;/&gt;&lt;wsp:rsid wsp:val=&quot;0053084E&quot;/&gt;&lt;wsp:rsid wsp:val=&quot;00530CB6&quot;/&gt;&lt;wsp:rsid wsp:val=&quot;00531850&quot;/&gt;&lt;wsp:rsid wsp:val=&quot;00531FC8&quot;/&gt;&lt;wsp:rsid wsp:val=&quot;005345AD&quot;/&gt;&lt;wsp:rsid wsp:val=&quot;00535F75&quot;/&gt;&lt;wsp:rsid wsp:val=&quot;005365B2&quot;/&gt;&lt;wsp:rsid wsp:val=&quot;00536B0A&quot;/&gt;&lt;wsp:rsid wsp:val=&quot;0053746A&quot;/&gt;&lt;wsp:rsid wsp:val=&quot;005406EA&quot;/&gt;&lt;wsp:rsid wsp:val=&quot;00540CE0&quot;/&gt;&lt;wsp:rsid wsp:val=&quot;00540EFC&quot;/&gt;&lt;wsp:rsid wsp:val=&quot;00541132&quot;/&gt;&lt;wsp:rsid wsp:val=&quot;0054153B&quot;/&gt;&lt;wsp:rsid wsp:val=&quot;005444A9&quot;/&gt;&lt;wsp:rsid wsp:val=&quot;005472A2&quot;/&gt;&lt;wsp:rsid wsp:val=&quot;0054751A&quot;/&gt;&lt;wsp:rsid wsp:val=&quot;0054785D&quot;/&gt;&lt;wsp:rsid wsp:val=&quot;00547BAD&quot;/&gt;&lt;wsp:rsid wsp:val=&quot;005525E3&quot;/&gt;&lt;wsp:rsid wsp:val=&quot;00553641&quot;/&gt;&lt;wsp:rsid wsp:val=&quot;00554F38&quot;/&gt;&lt;wsp:rsid wsp:val=&quot;00555355&quot;/&gt;&lt;wsp:rsid wsp:val=&quot;00555F58&quot;/&gt;&lt;wsp:rsid wsp:val=&quot;0055695F&quot;/&gt;&lt;wsp:rsid wsp:val=&quot;00556A21&quot;/&gt;&lt;wsp:rsid wsp:val=&quot;00556E87&quot;/&gt;&lt;wsp:rsid wsp:val=&quot;00560CD8&quot;/&gt;&lt;wsp:rsid wsp:val=&quot;00561458&quot;/&gt;&lt;wsp:rsid wsp:val=&quot;0056189C&quot;/&gt;&lt;wsp:rsid wsp:val=&quot;00561975&quot;/&gt;&lt;wsp:rsid wsp:val=&quot;005627A6&quot;/&gt;&lt;wsp:rsid wsp:val=&quot;00562F67&quot;/&gt;&lt;wsp:rsid wsp:val=&quot;00564A23&quot;/&gt;&lt;wsp:rsid wsp:val=&quot;00565115&quot;/&gt;&lt;wsp:rsid wsp:val=&quot;005657FD&quot;/&gt;&lt;wsp:rsid wsp:val=&quot;005733C4&quot;/&gt;&lt;wsp:rsid wsp:val=&quot;0057752B&quot;/&gt;&lt;wsp:rsid wsp:val=&quot;005809E3&quot;/&gt;&lt;wsp:rsid wsp:val=&quot;00581D67&quot;/&gt;&lt;wsp:rsid wsp:val=&quot;005820FB&quot;/&gt;&lt;wsp:rsid wsp:val=&quot;00582BAA&quot;/&gt;&lt;wsp:rsid wsp:val=&quot;005855F5&quot;/&gt;&lt;wsp:rsid wsp:val=&quot;00585D0A&quot;/&gt;&lt;wsp:rsid wsp:val=&quot;00585DBC&quot;/&gt;&lt;wsp:rsid wsp:val=&quot;00585E7B&quot;/&gt;&lt;wsp:rsid wsp:val=&quot;005870DE&quot;/&gt;&lt;wsp:rsid wsp:val=&quot;00587377&quot;/&gt;&lt;wsp:rsid wsp:val=&quot;005907BE&quot;/&gt;&lt;wsp:rsid wsp:val=&quot;00591D6A&quot;/&gt;&lt;wsp:rsid wsp:val=&quot;0059204C&quot;/&gt;&lt;wsp:rsid wsp:val=&quot;005922B4&quot;/&gt;&lt;wsp:rsid wsp:val=&quot;00594670&quot;/&gt;&lt;wsp:rsid wsp:val=&quot;00594C97&quot;/&gt;&lt;wsp:rsid wsp:val=&quot;00596C8E&quot;/&gt;&lt;wsp:rsid wsp:val=&quot;005A0FB9&quot;/&gt;&lt;wsp:rsid wsp:val=&quot;005A14BF&quot;/&gt;&lt;wsp:rsid wsp:val=&quot;005A1FDD&quot;/&gt;&lt;wsp:rsid wsp:val=&quot;005A44FF&quot;/&gt;&lt;wsp:rsid wsp:val=&quot;005A4675&quot;/&gt;&lt;wsp:rsid wsp:val=&quot;005A60EF&quot;/&gt;&lt;wsp:rsid wsp:val=&quot;005A62B7&quot;/&gt;&lt;wsp:rsid wsp:val=&quot;005A729A&quot;/&gt;&lt;wsp:rsid wsp:val=&quot;005A7D28&quot;/&gt;&lt;wsp:rsid wsp:val=&quot;005B1889&quot;/&gt;&lt;wsp:rsid wsp:val=&quot;005B4203&quot;/&gt;&lt;wsp:rsid wsp:val=&quot;005B50E7&quot;/&gt;&lt;wsp:rsid wsp:val=&quot;005B552B&quot;/&gt;&lt;wsp:rsid wsp:val=&quot;005B5560&quot;/&gt;&lt;wsp:rsid wsp:val=&quot;005B7D48&quot;/&gt;&lt;wsp:rsid wsp:val=&quot;005C20F8&quot;/&gt;&lt;wsp:rsid wsp:val=&quot;005C25A0&quot;/&gt;&lt;wsp:rsid wsp:val=&quot;005C4489&quot;/&gt;&lt;wsp:rsid wsp:val=&quot;005C5ED1&quot;/&gt;&lt;wsp:rsid wsp:val=&quot;005C769A&quot;/&gt;&lt;wsp:rsid wsp:val=&quot;005D1407&quot;/&gt;&lt;wsp:rsid wsp:val=&quot;005D1BF1&quot;/&gt;&lt;wsp:rsid wsp:val=&quot;005D1FF0&quot;/&gt;&lt;wsp:rsid wsp:val=&quot;005D2407&quot;/&gt;&lt;wsp:rsid wsp:val=&quot;005D430F&quot;/&gt;&lt;wsp:rsid wsp:val=&quot;005D471C&quot;/&gt;&lt;wsp:rsid wsp:val=&quot;005D4979&quot;/&gt;&lt;wsp:rsid wsp:val=&quot;005D58EE&quot;/&gt;&lt;wsp:rsid wsp:val=&quot;005D61CC&quot;/&gt;&lt;wsp:rsid wsp:val=&quot;005D626A&quot;/&gt;&lt;wsp:rsid wsp:val=&quot;005D6FE2&quot;/&gt;&lt;wsp:rsid wsp:val=&quot;005D7A35&quot;/&gt;&lt;wsp:rsid wsp:val=&quot;005E0AC0&quot;/&gt;&lt;wsp:rsid wsp:val=&quot;005E12BF&quot;/&gt;&lt;wsp:rsid wsp:val=&quot;005E1BF9&quot;/&gt;&lt;wsp:rsid wsp:val=&quot;005E2C6A&quot;/&gt;&lt;wsp:rsid wsp:val=&quot;005E393C&quot;/&gt;&lt;wsp:rsid wsp:val=&quot;005E3B8C&quot;/&gt;&lt;wsp:rsid wsp:val=&quot;005E51D4&quot;/&gt;&lt;wsp:rsid wsp:val=&quot;005E6BF5&quot;/&gt;&lt;wsp:rsid wsp:val=&quot;005F075B&quot;/&gt;&lt;wsp:rsid wsp:val=&quot;005F219A&quot;/&gt;&lt;wsp:rsid wsp:val=&quot;005F2399&quot;/&gt;&lt;wsp:rsid wsp:val=&quot;005F24B3&quot;/&gt;&lt;wsp:rsid wsp:val=&quot;005F317A&quot;/&gt;&lt;wsp:rsid wsp:val=&quot;005F6FA6&quot;/&gt;&lt;wsp:rsid wsp:val=&quot;005F7A38&quot;/&gt;&lt;wsp:rsid wsp:val=&quot;0060241A&quot;/&gt;&lt;wsp:rsid wsp:val=&quot;00602B69&quot;/&gt;&lt;wsp:rsid wsp:val=&quot;006035E1&quot;/&gt;&lt;wsp:rsid wsp:val=&quot;00606FC3&quot;/&gt;&lt;wsp:rsid wsp:val=&quot;00610781&quot;/&gt;&lt;wsp:rsid wsp:val=&quot;00611904&quot;/&gt;&lt;wsp:rsid wsp:val=&quot;00613D8D&quot;/&gt;&lt;wsp:rsid wsp:val=&quot;00615AA5&quot;/&gt;&lt;wsp:rsid wsp:val=&quot;00616D01&quot;/&gt;&lt;wsp:rsid wsp:val=&quot;00616FEE&quot;/&gt;&lt;wsp:rsid wsp:val=&quot;006225CF&quot;/&gt;&lt;wsp:rsid wsp:val=&quot;00630148&quot;/&gt;&lt;wsp:rsid wsp:val=&quot;006333A4&quot;/&gt;&lt;wsp:rsid wsp:val=&quot;00633D23&quot;/&gt;&lt;wsp:rsid wsp:val=&quot;00635193&quot;/&gt;&lt;wsp:rsid wsp:val=&quot;00637A31&quot;/&gt;&lt;wsp:rsid wsp:val=&quot;0064058B&quot;/&gt;&lt;wsp:rsid wsp:val=&quot;00641DCD&quot;/&gt;&lt;wsp:rsid wsp:val=&quot;00643CF0&quot;/&gt;&lt;wsp:rsid wsp:val=&quot;00644464&quot;/&gt;&lt;wsp:rsid wsp:val=&quot;00644B26&quot;/&gt;&lt;wsp:rsid wsp:val=&quot;00644BD2&quot;/&gt;&lt;wsp:rsid wsp:val=&quot;0064567E&quot;/&gt;&lt;wsp:rsid wsp:val=&quot;00647ECD&quot;/&gt;&lt;wsp:rsid wsp:val=&quot;00650041&quot;/&gt;&lt;wsp:rsid wsp:val=&quot;00650062&quot;/&gt;&lt;wsp:rsid wsp:val=&quot;00652A91&quot;/&gt;&lt;wsp:rsid wsp:val=&quot;00655149&quot;/&gt;&lt;wsp:rsid wsp:val=&quot;00655622&quot;/&gt;&lt;wsp:rsid wsp:val=&quot;00656301&quot;/&gt;&lt;wsp:rsid wsp:val=&quot;00660E3A&quot;/&gt;&lt;wsp:rsid wsp:val=&quot;00661C9D&quot;/&gt;&lt;wsp:rsid wsp:val=&quot;0066373D&quot;/&gt;&lt;wsp:rsid wsp:val=&quot;006675C8&quot;/&gt;&lt;wsp:rsid wsp:val=&quot;00673804&quot;/&gt;&lt;wsp:rsid wsp:val=&quot;00674CA7&quot;/&gt;&lt;wsp:rsid wsp:val=&quot;0067514B&quot;/&gt;&lt;wsp:rsid wsp:val=&quot;00676A1C&quot;/&gt;&lt;wsp:rsid wsp:val=&quot;0068043E&quot;/&gt;&lt;wsp:rsid wsp:val=&quot;00682E42&quot;/&gt;&lt;wsp:rsid wsp:val=&quot;00686499&quot;/&gt;&lt;wsp:rsid wsp:val=&quot;00687A6D&quot;/&gt;&lt;wsp:rsid wsp:val=&quot;006901EF&quot;/&gt;&lt;wsp:rsid wsp:val=&quot;00691245&quot;/&gt;&lt;wsp:rsid wsp:val=&quot;006920F7&quot;/&gt;&lt;wsp:rsid wsp:val=&quot;00693534&quot;/&gt;&lt;wsp:rsid wsp:val=&quot;00693EDE&quot;/&gt;&lt;wsp:rsid wsp:val=&quot;0069414B&quot;/&gt;&lt;wsp:rsid wsp:val=&quot;00694696&quot;/&gt;&lt;wsp:rsid wsp:val=&quot;006947ED&quot;/&gt;&lt;wsp:rsid wsp:val=&quot;00695E2F&quot;/&gt;&lt;wsp:rsid wsp:val=&quot;006970B1&quot;/&gt;&lt;wsp:rsid wsp:val=&quot;006A1D50&quot;/&gt;&lt;wsp:rsid wsp:val=&quot;006A2923&quot;/&gt;&lt;wsp:rsid wsp:val=&quot;006A2F52&quot;/&gt;&lt;wsp:rsid wsp:val=&quot;006A3973&quot;/&gt;&lt;wsp:rsid wsp:val=&quot;006A4B26&quot;/&gt;&lt;wsp:rsid wsp:val=&quot;006A4CC7&quot;/&gt;&lt;wsp:rsid wsp:val=&quot;006A4D9B&quot;/&gt;&lt;wsp:rsid wsp:val=&quot;006A6F3A&quot;/&gt;&lt;wsp:rsid wsp:val=&quot;006A7086&quot;/&gt;&lt;wsp:rsid wsp:val=&quot;006B12E9&quot;/&gt;&lt;wsp:rsid wsp:val=&quot;006B2EE6&quot;/&gt;&lt;wsp:rsid wsp:val=&quot;006B4A02&quot;/&gt;&lt;wsp:rsid wsp:val=&quot;006B7C14&quot;/&gt;&lt;wsp:rsid wsp:val=&quot;006C10CF&quot;/&gt;&lt;wsp:rsid wsp:val=&quot;006C159C&quot;/&gt;&lt;wsp:rsid wsp:val=&quot;006C4F30&quot;/&gt;&lt;wsp:rsid wsp:val=&quot;006C6081&quot;/&gt;&lt;wsp:rsid wsp:val=&quot;006C6185&quot;/&gt;&lt;wsp:rsid wsp:val=&quot;006C74D3&quot;/&gt;&lt;wsp:rsid wsp:val=&quot;006D2177&quot;/&gt;&lt;wsp:rsid wsp:val=&quot;006D2F82&quot;/&gt;&lt;wsp:rsid wsp:val=&quot;006D4733&quot;/&gt;&lt;wsp:rsid wsp:val=&quot;006E0E90&quot;/&gt;&lt;wsp:rsid wsp:val=&quot;006E23DC&quot;/&gt;&lt;wsp:rsid wsp:val=&quot;006E3238&quot;/&gt;&lt;wsp:rsid wsp:val=&quot;006E4B83&quot;/&gt;&lt;wsp:rsid wsp:val=&quot;006E4C85&quot;/&gt;&lt;wsp:rsid wsp:val=&quot;006E56CD&quot;/&gt;&lt;wsp:rsid wsp:val=&quot;006E627F&quot;/&gt;&lt;wsp:rsid wsp:val=&quot;006F1335&quot;/&gt;&lt;wsp:rsid wsp:val=&quot;006F1DBA&quot;/&gt;&lt;wsp:rsid wsp:val=&quot;006F4A03&quot;/&gt;&lt;wsp:rsid wsp:val=&quot;006F5BA4&quot;/&gt;&lt;wsp:rsid wsp:val=&quot;006F7FA4&quot;/&gt;&lt;wsp:rsid wsp:val=&quot;006F7FCE&quot;/&gt;&lt;wsp:rsid wsp:val=&quot;007008C4&quot;/&gt;&lt;wsp:rsid wsp:val=&quot;0070240E&quot;/&gt;&lt;wsp:rsid wsp:val=&quot;007050ED&quot;/&gt;&lt;wsp:rsid wsp:val=&quot;00706FAB&quot;/&gt;&lt;wsp:rsid wsp:val=&quot;0070703D&quot;/&gt;&lt;wsp:rsid wsp:val=&quot;007113A9&quot;/&gt;&lt;wsp:rsid wsp:val=&quot;00713086&quot;/&gt;&lt;wsp:rsid wsp:val=&quot;00714298&quot;/&gt;&lt;wsp:rsid wsp:val=&quot;0071464D&quot;/&gt;&lt;wsp:rsid wsp:val=&quot;007156F1&quot;/&gt;&lt;wsp:rsid wsp:val=&quot;0072034B&quot;/&gt;&lt;wsp:rsid wsp:val=&quot;007206C7&quot;/&gt;&lt;wsp:rsid wsp:val=&quot;007207F3&quot;/&gt;&lt;wsp:rsid wsp:val=&quot;007233D8&quot;/&gt;&lt;wsp:rsid wsp:val=&quot;00723F82&quot;/&gt;&lt;wsp:rsid wsp:val=&quot;00724814&quot;/&gt;&lt;wsp:rsid wsp:val=&quot;00726740&quot;/&gt;&lt;wsp:rsid wsp:val=&quot;00727D7D&quot;/&gt;&lt;wsp:rsid wsp:val=&quot;0073491B&quot;/&gt;&lt;wsp:rsid wsp:val=&quot;00735129&quot;/&gt;&lt;wsp:rsid wsp:val=&quot;0073585A&quot;/&gt;&lt;wsp:rsid wsp:val=&quot;00735B51&quot;/&gt;&lt;wsp:rsid wsp:val=&quot;0073637F&quot;/&gt;&lt;wsp:rsid wsp:val=&quot;00737A5A&quot;/&gt;&lt;wsp:rsid wsp:val=&quot;00737E64&quot;/&gt;&lt;wsp:rsid wsp:val=&quot;007421EB&quot;/&gt;&lt;wsp:rsid wsp:val=&quot;00742F6D&quot;/&gt;&lt;wsp:rsid wsp:val=&quot;00744952&quot;/&gt;&lt;wsp:rsid wsp:val=&quot;00745C05&quot;/&gt;&lt;wsp:rsid wsp:val=&quot;00746A2E&quot;/&gt;&lt;wsp:rsid wsp:val=&quot;00747A62&quot;/&gt;&lt;wsp:rsid wsp:val=&quot;00747E11&quot;/&gt;&lt;wsp:rsid wsp:val=&quot;00753456&quot;/&gt;&lt;wsp:rsid wsp:val=&quot;00753A4E&quot;/&gt;&lt;wsp:rsid wsp:val=&quot;007548CD&quot;/&gt;&lt;wsp:rsid wsp:val=&quot;00754F54&quot;/&gt;&lt;wsp:rsid wsp:val=&quot;00755D01&quot;/&gt;&lt;wsp:rsid wsp:val=&quot;00756BC7&quot;/&gt;&lt;wsp:rsid wsp:val=&quot;007576F3&quot;/&gt;&lt;wsp:rsid wsp:val=&quot;0076009F&quot;/&gt;&lt;wsp:rsid wsp:val=&quot;00761160&quot;/&gt;&lt;wsp:rsid wsp:val=&quot;0076199C&quot;/&gt;&lt;wsp:rsid wsp:val=&quot;00761AE7&quot;/&gt;&lt;wsp:rsid wsp:val=&quot;00762208&quot;/&gt;&lt;wsp:rsid wsp:val=&quot;00762226&quot;/&gt;&lt;wsp:rsid wsp:val=&quot;00764181&quot;/&gt;&lt;wsp:rsid wsp:val=&quot;00765476&quot;/&gt;&lt;wsp:rsid wsp:val=&quot;007661BC&quot;/&gt;&lt;wsp:rsid wsp:val=&quot;007705AA&quot;/&gt;&lt;wsp:rsid wsp:val=&quot;00771C06&quot;/&gt;&lt;wsp:rsid wsp:val=&quot;0077209E&quot;/&gt;&lt;wsp:rsid wsp:val=&quot;0077338B&quot;/&gt;&lt;wsp:rsid wsp:val=&quot;00775EDE&quot;/&gt;&lt;wsp:rsid wsp:val=&quot;00781F2B&quot;/&gt;&lt;wsp:rsid wsp:val=&quot;00783D86&quot;/&gt;&lt;wsp:rsid wsp:val=&quot;00786DDF&quot;/&gt;&lt;wsp:rsid wsp:val=&quot;0078704A&quot;/&gt;&lt;wsp:rsid wsp:val=&quot;00787D25&quot;/&gt;&lt;wsp:rsid wsp:val=&quot;0079324F&quot;/&gt;&lt;wsp:rsid wsp:val=&quot;00794002&quot;/&gt;&lt;wsp:rsid wsp:val=&quot;00794A2B&quot;/&gt;&lt;wsp:rsid wsp:val=&quot;00794DED&quot;/&gt;&lt;wsp:rsid wsp:val=&quot;007A1860&quot;/&gt;&lt;wsp:rsid wsp:val=&quot;007A2BF3&quot;/&gt;&lt;wsp:rsid wsp:val=&quot;007A2EB7&quot;/&gt;&lt;wsp:rsid wsp:val=&quot;007A3E89&quot;/&gt;&lt;wsp:rsid wsp:val=&quot;007A4688&quot;/&gt;&lt;wsp:rsid wsp:val=&quot;007A4DEC&quot;/&gt;&lt;wsp:rsid wsp:val=&quot;007A5122&quot;/&gt;&lt;wsp:rsid wsp:val=&quot;007A5AB1&quot;/&gt;&lt;wsp:rsid wsp:val=&quot;007B3205&quot;/&gt;&lt;wsp:rsid wsp:val=&quot;007B3237&quot;/&gt;&lt;wsp:rsid wsp:val=&quot;007B5A16&quot;/&gt;&lt;wsp:rsid wsp:val=&quot;007C00FA&quot;/&gt;&lt;wsp:rsid wsp:val=&quot;007C0A5D&quot;/&gt;&lt;wsp:rsid wsp:val=&quot;007C10BC&quot;/&gt;&lt;wsp:rsid wsp:val=&quot;007C2226&quot;/&gt;&lt;wsp:rsid wsp:val=&quot;007C3FE6&quot;/&gt;&lt;wsp:rsid wsp:val=&quot;007C5385&quot;/&gt;&lt;wsp:rsid wsp:val=&quot;007C6EC6&quot;/&gt;&lt;wsp:rsid wsp:val=&quot;007C7748&quot;/&gt;&lt;wsp:rsid wsp:val=&quot;007D03A1&quot;/&gt;&lt;wsp:rsid wsp:val=&quot;007D396A&quot;/&gt;&lt;wsp:rsid wsp:val=&quot;007D7037&quot;/&gt;&lt;wsp:rsid wsp:val=&quot;007E059C&quot;/&gt;&lt;wsp:rsid wsp:val=&quot;007E05E0&quot;/&gt;&lt;wsp:rsid wsp:val=&quot;007E0C70&quot;/&gt;&lt;wsp:rsid wsp:val=&quot;007E0EDD&quot;/&gt;&lt;wsp:rsid wsp:val=&quot;007E2918&quot;/&gt;&lt;wsp:rsid wsp:val=&quot;007E3939&quot;/&gt;&lt;wsp:rsid wsp:val=&quot;007E4510&quot;/&gt;&lt;wsp:rsid wsp:val=&quot;007E5F1E&quot;/&gt;&lt;wsp:rsid wsp:val=&quot;007E6104&quot;/&gt;&lt;wsp:rsid wsp:val=&quot;007E69D2&quot;/&gt;&lt;wsp:rsid wsp:val=&quot;007E6BEA&quot;/&gt;&lt;wsp:rsid wsp:val=&quot;007F0085&quot;/&gt;&lt;wsp:rsid wsp:val=&quot;007F1482&quot;/&gt;&lt;wsp:rsid wsp:val=&quot;007F3457&quot;/&gt;&lt;wsp:rsid wsp:val=&quot;007F5638&quot;/&gt;&lt;wsp:rsid wsp:val=&quot;007F5F25&quot;/&gt;&lt;wsp:rsid wsp:val=&quot;0080063D&quot;/&gt;&lt;wsp:rsid wsp:val=&quot;00800DFF&quot;/&gt;&lt;wsp:rsid wsp:val=&quot;00801DB9&quot;/&gt;&lt;wsp:rsid wsp:val=&quot;00802A5A&quot;/&gt;&lt;wsp:rsid wsp:val=&quot;00803086&quot;/&gt;&lt;wsp:rsid wsp:val=&quot;00803677&quot;/&gt;&lt;wsp:rsid wsp:val=&quot;00804A5A&quot;/&gt;&lt;wsp:rsid wsp:val=&quot;00804E39&quot;/&gt;&lt;wsp:rsid wsp:val=&quot;0080650D&quot;/&gt;&lt;wsp:rsid wsp:val=&quot;00806E5D&quot;/&gt;&lt;wsp:rsid wsp:val=&quot;00812835&quot;/&gt;&lt;wsp:rsid wsp:val=&quot;00813877&quot;/&gt;&lt;wsp:rsid wsp:val=&quot;00813CCF&quot;/&gt;&lt;wsp:rsid wsp:val=&quot;00814B33&quot;/&gt;&lt;wsp:rsid wsp:val=&quot;008160A7&quot;/&gt;&lt;wsp:rsid wsp:val=&quot;00816159&quot;/&gt;&lt;wsp:rsid wsp:val=&quot;0081697B&quot;/&gt;&lt;wsp:rsid wsp:val=&quot;00820714&quot;/&gt;&lt;wsp:rsid wsp:val=&quot;00821327&quot;/&gt;&lt;wsp:rsid wsp:val=&quot;00821A61&quot;/&gt;&lt;wsp:rsid wsp:val=&quot;00821A94&quot;/&gt;&lt;wsp:rsid wsp:val=&quot;00823012&quot;/&gt;&lt;wsp:rsid wsp:val=&quot;0082652B&quot;/&gt;&lt;wsp:rsid wsp:val=&quot;00827589&quot;/&gt;&lt;wsp:rsid wsp:val=&quot;00830578&quot;/&gt;&lt;wsp:rsid wsp:val=&quot;008342BD&quot;/&gt;&lt;wsp:rsid wsp:val=&quot;008400FD&quot;/&gt;&lt;wsp:rsid wsp:val=&quot;008411C0&quot;/&gt;&lt;wsp:rsid wsp:val=&quot;008420C0&quot;/&gt;&lt;wsp:rsid wsp:val=&quot;008421E0&quot;/&gt;&lt;wsp:rsid wsp:val=&quot;00844712&quot;/&gt;&lt;wsp:rsid wsp:val=&quot;00845A0D&quot;/&gt;&lt;wsp:rsid wsp:val=&quot;00845DA1&quot;/&gt;&lt;wsp:rsid wsp:val=&quot;00847203&quot;/&gt;&lt;wsp:rsid wsp:val=&quot;00850F9E&quot;/&gt;&lt;wsp:rsid wsp:val=&quot;00851537&quot;/&gt;&lt;wsp:rsid wsp:val=&quot;008531B3&quot;/&gt;&lt;wsp:rsid wsp:val=&quot;00853632&quot;/&gt;&lt;wsp:rsid wsp:val=&quot;008544A7&quot;/&gt;&lt;wsp:rsid wsp:val=&quot;008545AC&quot;/&gt;&lt;wsp:rsid wsp:val=&quot;00854BEE&quot;/&gt;&lt;wsp:rsid wsp:val=&quot;008562A6&quot;/&gt;&lt;wsp:rsid wsp:val=&quot;008565FD&quot;/&gt;&lt;wsp:rsid wsp:val=&quot;00856D83&quot;/&gt;&lt;wsp:rsid wsp:val=&quot;00857E5B&quot;/&gt;&lt;wsp:rsid wsp:val=&quot;00860164&quot;/&gt;&lt;wsp:rsid wsp:val=&quot;008612C1&quot;/&gt;&lt;wsp:rsid wsp:val=&quot;0086359C&quot;/&gt;&lt;wsp:rsid wsp:val=&quot;008655A5&quot;/&gt;&lt;wsp:rsid wsp:val=&quot;00865B82&quot;/&gt;&lt;wsp:rsid wsp:val=&quot;008666CA&quot;/&gt;&lt;wsp:rsid wsp:val=&quot;00867419&quot;/&gt;&lt;wsp:rsid wsp:val=&quot;00872416&quot;/&gt;&lt;wsp:rsid wsp:val=&quot;00872ACC&quot;/&gt;&lt;wsp:rsid wsp:val=&quot;00872DDA&quot;/&gt;&lt;wsp:rsid wsp:val=&quot;00873423&quot;/&gt;&lt;wsp:rsid wsp:val=&quot;00882279&quot;/&gt;&lt;wsp:rsid wsp:val=&quot;00882457&quot;/&gt;&lt;wsp:rsid wsp:val=&quot;00887F82&quot;/&gt;&lt;wsp:rsid wsp:val=&quot;00890E4A&quot;/&gt;&lt;wsp:rsid wsp:val=&quot;00890F73&quot;/&gt;&lt;wsp:rsid wsp:val=&quot;00891479&quot;/&gt;&lt;wsp:rsid wsp:val=&quot;00891BA0&quot;/&gt;&lt;wsp:rsid wsp:val=&quot;00892643&quot;/&gt;&lt;wsp:rsid wsp:val=&quot;008944F0&quot;/&gt;&lt;wsp:rsid wsp:val=&quot;008964CD&quot;/&gt;&lt;wsp:rsid wsp:val=&quot;00896682&quot;/&gt;&lt;wsp:rsid wsp:val=&quot;00896E57&quot;/&gt;&lt;wsp:rsid wsp:val=&quot;008A0563&quot;/&gt;&lt;wsp:rsid wsp:val=&quot;008A0F20&quot;/&gt;&lt;wsp:rsid wsp:val=&quot;008A1308&quot;/&gt;&lt;wsp:rsid wsp:val=&quot;008A17D7&quot;/&gt;&lt;wsp:rsid wsp:val=&quot;008A367D&quot;/&gt;&lt;wsp:rsid wsp:val=&quot;008A3DC6&quot;/&gt;&lt;wsp:rsid wsp:val=&quot;008A4318&quot;/&gt;&lt;wsp:rsid wsp:val=&quot;008A4F02&quot;/&gt;&lt;wsp:rsid wsp:val=&quot;008A63BB&quot;/&gt;&lt;wsp:rsid wsp:val=&quot;008A7E16&quot;/&gt;&lt;wsp:rsid wsp:val=&quot;008B12CE&quot;/&gt;&lt;wsp:rsid wsp:val=&quot;008B459C&quot;/&gt;&lt;wsp:rsid wsp:val=&quot;008B4FC8&quot;/&gt;&lt;wsp:rsid wsp:val=&quot;008B69F9&quot;/&gt;&lt;wsp:rsid wsp:val=&quot;008B7AB8&quot;/&gt;&lt;wsp:rsid wsp:val=&quot;008C25C2&quot;/&gt;&lt;wsp:rsid wsp:val=&quot;008C2D30&quot;/&gt;&lt;wsp:rsid wsp:val=&quot;008C3E60&quot;/&gt;&lt;wsp:rsid wsp:val=&quot;008C6979&quot;/&gt;&lt;wsp:rsid wsp:val=&quot;008C76D7&quot;/&gt;&lt;wsp:rsid wsp:val=&quot;008C7A94&quot;/&gt;&lt;wsp:rsid wsp:val=&quot;008D0D1F&quot;/&gt;&lt;wsp:rsid wsp:val=&quot;008D249D&quot;/&gt;&lt;wsp:rsid wsp:val=&quot;008D3D73&quot;/&gt;&lt;wsp:rsid wsp:val=&quot;008D4059&quot;/&gt;&lt;wsp:rsid wsp:val=&quot;008E0408&quot;/&gt;&lt;wsp:rsid wsp:val=&quot;008E3746&quot;/&gt;&lt;wsp:rsid wsp:val=&quot;008E3EE0&quot;/&gt;&lt;wsp:rsid wsp:val=&quot;008E522D&quot;/&gt;&lt;wsp:rsid wsp:val=&quot;008E72AB&quot;/&gt;&lt;wsp:rsid wsp:val=&quot;008E7C3E&quot;/&gt;&lt;wsp:rsid wsp:val=&quot;008F115E&quot;/&gt;&lt;wsp:rsid wsp:val=&quot;008F1C90&quot;/&gt;&lt;wsp:rsid wsp:val=&quot;008F4543&quot;/&gt;&lt;wsp:rsid wsp:val=&quot;008F47C0&quot;/&gt;&lt;wsp:rsid wsp:val=&quot;008F4EC2&quot;/&gt;&lt;wsp:rsid wsp:val=&quot;008F68AE&quot;/&gt;&lt;wsp:rsid wsp:val=&quot;00900812&quot;/&gt;&lt;wsp:rsid wsp:val=&quot;00907BAE&quot;/&gt;&lt;wsp:rsid wsp:val=&quot;00910594&quot;/&gt;&lt;wsp:rsid wsp:val=&quot;00911C97&quot;/&gt;&lt;wsp:rsid wsp:val=&quot;0091247D&quot;/&gt;&lt;wsp:rsid wsp:val=&quot;00914524&quot;/&gt;&lt;wsp:rsid wsp:val=&quot;0091507A&quot;/&gt;&lt;wsp:rsid wsp:val=&quot;00915BD2&quot;/&gt;&lt;wsp:rsid wsp:val=&quot;00916829&quot;/&gt;&lt;wsp:rsid wsp:val=&quot;00920841&quot;/&gt;&lt;wsp:rsid wsp:val=&quot;00920A10&quot;/&gt;&lt;wsp:rsid wsp:val=&quot;00920B6A&quot;/&gt;&lt;wsp:rsid wsp:val=&quot;00920CA6&quot;/&gt;&lt;wsp:rsid wsp:val=&quot;00920D5A&quot;/&gt;&lt;wsp:rsid wsp:val=&quot;00921462&quot;/&gt;&lt;wsp:rsid wsp:val=&quot;0092321C&quot;/&gt;&lt;wsp:rsid wsp:val=&quot;0092482A&quot;/&gt;&lt;wsp:rsid wsp:val=&quot;00925598&quot;/&gt;&lt;wsp:rsid wsp:val=&quot;00925E70&quot;/&gt;&lt;wsp:rsid wsp:val=&quot;0092631B&quot;/&gt;&lt;wsp:rsid wsp:val=&quot;009263C1&quot;/&gt;&lt;wsp:rsid wsp:val=&quot;00926C85&quot;/&gt;&lt;wsp:rsid wsp:val=&quot;00927096&quot;/&gt;&lt;wsp:rsid wsp:val=&quot;009307E2&quot;/&gt;&lt;wsp:rsid wsp:val=&quot;00930885&quot;/&gt;&lt;wsp:rsid wsp:val=&quot;009314B4&quot;/&gt;&lt;wsp:rsid wsp:val=&quot;00932AF4&quot;/&gt;&lt;wsp:rsid wsp:val=&quot;009332ED&quot;/&gt;&lt;wsp:rsid wsp:val=&quot;00933BD5&quot;/&gt;&lt;wsp:rsid wsp:val=&quot;00934177&quot;/&gt;&lt;wsp:rsid wsp:val=&quot;009343CE&quot;/&gt;&lt;wsp:rsid wsp:val=&quot;00934A94&quot;/&gt;&lt;wsp:rsid wsp:val=&quot;00935A5B&quot;/&gt;&lt;wsp:rsid wsp:val=&quot;009370D5&quot;/&gt;&lt;wsp:rsid wsp:val=&quot;00937224&quot;/&gt;&lt;wsp:rsid wsp:val=&quot;00937C74&quot;/&gt;&lt;wsp:rsid wsp:val=&quot;00940623&quot;/&gt;&lt;wsp:rsid wsp:val=&quot;009419B9&quot;/&gt;&lt;wsp:rsid wsp:val=&quot;00941AE5&quot;/&gt;&lt;wsp:rsid wsp:val=&quot;009423CA&quot;/&gt;&lt;wsp:rsid wsp:val=&quot;00942E03&quot;/&gt;&lt;wsp:rsid wsp:val=&quot;00944B1F&quot;/&gt;&lt;wsp:rsid wsp:val=&quot;00945199&quot;/&gt;&lt;wsp:rsid wsp:val=&quot;009466BC&quot;/&gt;&lt;wsp:rsid wsp:val=&quot;00946BAC&quot;/&gt;&lt;wsp:rsid wsp:val=&quot;00950D15&quot;/&gt;&lt;wsp:rsid wsp:val=&quot;00953137&quot;/&gt;&lt;wsp:rsid wsp:val=&quot;0095645D&quot;/&gt;&lt;wsp:rsid wsp:val=&quot;00961843&quot;/&gt;&lt;wsp:rsid wsp:val=&quot;00961A68&quot;/&gt;&lt;wsp:rsid wsp:val=&quot;00961D7D&quot;/&gt;&lt;wsp:rsid wsp:val=&quot;00961FAB&quot;/&gt;&lt;wsp:rsid wsp:val=&quot;00962BB2&quot;/&gt;&lt;wsp:rsid wsp:val=&quot;00962D5E&quot;/&gt;&lt;wsp:rsid wsp:val=&quot;0096316F&quot;/&gt;&lt;wsp:rsid wsp:val=&quot;009631D7&quot;/&gt;&lt;wsp:rsid wsp:val=&quot;00963526&quot;/&gt;&lt;wsp:rsid wsp:val=&quot;00964EA4&quot;/&gt;&lt;wsp:rsid wsp:val=&quot;00965CEF&quot;/&gt;&lt;wsp:rsid wsp:val=&quot;00966650&quot;/&gt;&lt;wsp:rsid wsp:val=&quot;009666E7&quot;/&gt;&lt;wsp:rsid wsp:val=&quot;00967D93&quot;/&gt;&lt;wsp:rsid wsp:val=&quot;00972C35&quot;/&gt;&lt;wsp:rsid wsp:val=&quot;00974805&quot;/&gt;&lt;wsp:rsid wsp:val=&quot;00975398&quot;/&gt;&lt;wsp:rsid wsp:val=&quot;00975FC6&quot;/&gt;&lt;wsp:rsid wsp:val=&quot;009776F0&quot;/&gt;&lt;wsp:rsid wsp:val=&quot;00977940&quot;/&gt;&lt;wsp:rsid wsp:val=&quot;00980792&quot;/&gt;&lt;wsp:rsid wsp:val=&quot;00980972&quot;/&gt;&lt;wsp:rsid wsp:val=&quot;00981783&quot;/&gt;&lt;wsp:rsid wsp:val=&quot;00982BD1&quot;/&gt;&lt;wsp:rsid wsp:val=&quot;00983703&quot;/&gt;&lt;wsp:rsid wsp:val=&quot;009859C5&quot;/&gt;&lt;wsp:rsid wsp:val=&quot;00990A2D&quot;/&gt;&lt;wsp:rsid wsp:val=&quot;009918CD&quot;/&gt;&lt;wsp:rsid wsp:val=&quot;00991F14&quot;/&gt;&lt;wsp:rsid wsp:val=&quot;00991FB6&quot;/&gt;&lt;wsp:rsid wsp:val=&quot;00992C30&quot;/&gt;&lt;wsp:rsid wsp:val=&quot;00993354&quot;/&gt;&lt;wsp:rsid wsp:val=&quot;00993463&quot;/&gt;&lt;wsp:rsid wsp:val=&quot;00993B65&quot;/&gt;&lt;wsp:rsid wsp:val=&quot;0099563B&quot;/&gt;&lt;wsp:rsid wsp:val=&quot;009A1E1E&quot;/&gt;&lt;wsp:rsid wsp:val=&quot;009A4966&quot;/&gt;&lt;wsp:rsid wsp:val=&quot;009A4A07&quot;/&gt;&lt;wsp:rsid wsp:val=&quot;009A56E6&quot;/&gt;&lt;wsp:rsid wsp:val=&quot;009A5E1A&quot;/&gt;&lt;wsp:rsid wsp:val=&quot;009A65E9&quot;/&gt;&lt;wsp:rsid wsp:val=&quot;009B0486&quot;/&gt;&lt;wsp:rsid wsp:val=&quot;009B04E7&quot;/&gt;&lt;wsp:rsid wsp:val=&quot;009B0AF7&quot;/&gt;&lt;wsp:rsid wsp:val=&quot;009B0D79&quot;/&gt;&lt;wsp:rsid wsp:val=&quot;009B0F27&quot;/&gt;&lt;wsp:rsid wsp:val=&quot;009B370F&quot;/&gt;&lt;wsp:rsid wsp:val=&quot;009B4C36&quot;/&gt;&lt;wsp:rsid wsp:val=&quot;009C18D2&quot;/&gt;&lt;wsp:rsid wsp:val=&quot;009C282A&quot;/&gt;&lt;wsp:rsid wsp:val=&quot;009C2917&quot;/&gt;&lt;wsp:rsid wsp:val=&quot;009C65AC&quot;/&gt;&lt;wsp:rsid wsp:val=&quot;009D0005&quot;/&gt;&lt;wsp:rsid wsp:val=&quot;009D0CF9&quot;/&gt;&lt;wsp:rsid wsp:val=&quot;009D13D5&quot;/&gt;&lt;wsp:rsid wsp:val=&quot;009D173F&quot;/&gt;&lt;wsp:rsid wsp:val=&quot;009D40C4&quot;/&gt;&lt;wsp:rsid wsp:val=&quot;009D413B&quot;/&gt;&lt;wsp:rsid wsp:val=&quot;009D42E9&quot;/&gt;&lt;wsp:rsid wsp:val=&quot;009D4D7F&quot;/&gt;&lt;wsp:rsid wsp:val=&quot;009D50EA&quot;/&gt;&lt;wsp:rsid wsp:val=&quot;009D5338&quot;/&gt;&lt;wsp:rsid wsp:val=&quot;009D645B&quot;/&gt;&lt;wsp:rsid wsp:val=&quot;009D7517&quot;/&gt;&lt;wsp:rsid wsp:val=&quot;009D7700&quot;/&gt;&lt;wsp:rsid wsp:val=&quot;009E022D&quot;/&gt;&lt;wsp:rsid wsp:val=&quot;009E028C&quot;/&gt;&lt;wsp:rsid wsp:val=&quot;009E1EC8&quot;/&gt;&lt;wsp:rsid wsp:val=&quot;009E3F16&quot;/&gt;&lt;wsp:rsid wsp:val=&quot;009E4ACB&quot;/&gt;&lt;wsp:rsid wsp:val=&quot;009E6A82&quot;/&gt;&lt;wsp:rsid wsp:val=&quot;009E7625&quot;/&gt;&lt;wsp:rsid wsp:val=&quot;009F09D0&quot;/&gt;&lt;wsp:rsid wsp:val=&quot;009F58A4&quot;/&gt;&lt;wsp:rsid wsp:val=&quot;009F5E8E&quot;/&gt;&lt;wsp:rsid wsp:val=&quot;009F63DC&quot;/&gt;&lt;wsp:rsid wsp:val=&quot;009F7935&quot;/&gt;&lt;wsp:rsid wsp:val=&quot;00A00FF6&quot;/&gt;&lt;wsp:rsid wsp:val=&quot;00A0126B&quot;/&gt;&lt;wsp:rsid wsp:val=&quot;00A01685&quot;/&gt;&lt;wsp:rsid wsp:val=&quot;00A02038&quot;/&gt;&lt;wsp:rsid wsp:val=&quot;00A0230B&quot;/&gt;&lt;wsp:rsid wsp:val=&quot;00A0259C&quot;/&gt;&lt;wsp:rsid wsp:val=&quot;00A0293B&quot;/&gt;&lt;wsp:rsid wsp:val=&quot;00A02B1D&quot;/&gt;&lt;wsp:rsid wsp:val=&quot;00A0398E&quot;/&gt;&lt;wsp:rsid wsp:val=&quot;00A04200&quot;/&gt;&lt;wsp:rsid wsp:val=&quot;00A04CB3&quot;/&gt;&lt;wsp:rsid wsp:val=&quot;00A073D0&quot;/&gt;&lt;wsp:rsid wsp:val=&quot;00A12EB9&quot;/&gt;&lt;wsp:rsid wsp:val=&quot;00A13DCB&quot;/&gt;&lt;wsp:rsid wsp:val=&quot;00A14CEE&quot;/&gt;&lt;wsp:rsid wsp:val=&quot;00A1566C&quot;/&gt;&lt;wsp:rsid wsp:val=&quot;00A1699D&quot;/&gt;&lt;wsp:rsid wsp:val=&quot;00A172F8&quot;/&gt;&lt;wsp:rsid wsp:val=&quot;00A1751E&quot;/&gt;&lt;wsp:rsid wsp:val=&quot;00A20734&quot;/&gt;&lt;wsp:rsid wsp:val=&quot;00A20D2B&quot;/&gt;&lt;wsp:rsid wsp:val=&quot;00A223B6&quot;/&gt;&lt;wsp:rsid wsp:val=&quot;00A257D9&quot;/&gt;&lt;wsp:rsid wsp:val=&quot;00A26883&quot;/&gt;&lt;wsp:rsid wsp:val=&quot;00A2721E&quot;/&gt;&lt;wsp:rsid wsp:val=&quot;00A32B3D&quot;/&gt;&lt;wsp:rsid wsp:val=&quot;00A33C47&quot;/&gt;&lt;wsp:rsid wsp:val=&quot;00A35086&quot;/&gt;&lt;wsp:rsid wsp:val=&quot;00A433A3&quot;/&gt;&lt;wsp:rsid wsp:val=&quot;00A460A1&quot;/&gt;&lt;wsp:rsid wsp:val=&quot;00A47BDF&quot;/&gt;&lt;wsp:rsid wsp:val=&quot;00A516F6&quot;/&gt;&lt;wsp:rsid wsp:val=&quot;00A549A0&quot;/&gt;&lt;wsp:rsid wsp:val=&quot;00A54F3E&quot;/&gt;&lt;wsp:rsid wsp:val=&quot;00A550A8&quot;/&gt;&lt;wsp:rsid wsp:val=&quot;00A55137&quot;/&gt;&lt;wsp:rsid wsp:val=&quot;00A603AC&quot;/&gt;&lt;wsp:rsid wsp:val=&quot;00A607B6&quot;/&gt;&lt;wsp:rsid wsp:val=&quot;00A608E4&quot;/&gt;&lt;wsp:rsid wsp:val=&quot;00A61C24&quot;/&gt;&lt;wsp:rsid wsp:val=&quot;00A61DE9&quot;/&gt;&lt;wsp:rsid wsp:val=&quot;00A62FF6&quot;/&gt;&lt;wsp:rsid wsp:val=&quot;00A66C13&quot;/&gt;&lt;wsp:rsid wsp:val=&quot;00A70DC1&quot;/&gt;&lt;wsp:rsid wsp:val=&quot;00A72576&quot;/&gt;&lt;wsp:rsid wsp:val=&quot;00A74324&quot;/&gt;&lt;wsp:rsid wsp:val=&quot;00A76FBF&quot;/&gt;&lt;wsp:rsid wsp:val=&quot;00A77092&quot;/&gt;&lt;wsp:rsid wsp:val=&quot;00A81295&quot;/&gt;&lt;wsp:rsid wsp:val=&quot;00A813DF&quot;/&gt;&lt;wsp:rsid wsp:val=&quot;00A81CE3&quot;/&gt;&lt;wsp:rsid wsp:val=&quot;00A82D67&quot;/&gt;&lt;wsp:rsid wsp:val=&quot;00A83752&quot;/&gt;&lt;wsp:rsid wsp:val=&quot;00A84ECC&quot;/&gt;&lt;wsp:rsid wsp:val=&quot;00A855AD&quot;/&gt;&lt;wsp:rsid wsp:val=&quot;00A85B9A&quot;/&gt;&lt;wsp:rsid wsp:val=&quot;00A860A0&quot;/&gt;&lt;wsp:rsid wsp:val=&quot;00A864B0&quot;/&gt;&lt;wsp:rsid wsp:val=&quot;00A87A33&quot;/&gt;&lt;wsp:rsid wsp:val=&quot;00A90AEF&quot;/&gt;&lt;wsp:rsid wsp:val=&quot;00A93CD2&quot;/&gt;&lt;wsp:rsid wsp:val=&quot;00A93FC3&quot;/&gt;&lt;wsp:rsid wsp:val=&quot;00A9449D&quot;/&gt;&lt;wsp:rsid wsp:val=&quot;00A95107&quot;/&gt;&lt;wsp:rsid wsp:val=&quot;00A95476&quot;/&gt;&lt;wsp:rsid wsp:val=&quot;00A955A2&quot;/&gt;&lt;wsp:rsid wsp:val=&quot;00A9787E&quot;/&gt;&lt;wsp:rsid wsp:val=&quot;00A978AC&quot;/&gt;&lt;wsp:rsid wsp:val=&quot;00A97B69&quot;/&gt;&lt;wsp:rsid wsp:val=&quot;00A97E3C&quot;/&gt;&lt;wsp:rsid wsp:val=&quot;00AA0BF9&quot;/&gt;&lt;wsp:rsid wsp:val=&quot;00AA1166&quot;/&gt;&lt;wsp:rsid wsp:val=&quot;00AA11B5&quot;/&gt;&lt;wsp:rsid wsp:val=&quot;00AA5C3E&quot;/&gt;&lt;wsp:rsid wsp:val=&quot;00AA7352&quot;/&gt;&lt;wsp:rsid wsp:val=&quot;00AB0E28&quot;/&gt;&lt;wsp:rsid wsp:val=&quot;00AB1713&quot;/&gt;&lt;wsp:rsid wsp:val=&quot;00AB2757&quot;/&gt;&lt;wsp:rsid wsp:val=&quot;00AB2BA1&quot;/&gt;&lt;wsp:rsid wsp:val=&quot;00AB4B14&quot;/&gt;&lt;wsp:rsid wsp:val=&quot;00AB6CD8&quot;/&gt;&lt;wsp:rsid wsp:val=&quot;00AC07DB&quot;/&gt;&lt;wsp:rsid wsp:val=&quot;00AC0A66&quot;/&gt;&lt;wsp:rsid wsp:val=&quot;00AC13A6&quot;/&gt;&lt;wsp:rsid wsp:val=&quot;00AC466A&quot;/&gt;&lt;wsp:rsid wsp:val=&quot;00AC5430&quot;/&gt;&lt;wsp:rsid wsp:val=&quot;00AD0FC3&quot;/&gt;&lt;wsp:rsid wsp:val=&quot;00AD23EB&quot;/&gt;&lt;wsp:rsid wsp:val=&quot;00AD3B25&quot;/&gt;&lt;wsp:rsid wsp:val=&quot;00AD3F87&quot;/&gt;&lt;wsp:rsid wsp:val=&quot;00AD4BFC&quot;/&gt;&lt;wsp:rsid wsp:val=&quot;00AD7025&quot;/&gt;&lt;wsp:rsid wsp:val=&quot;00AD73E4&quot;/&gt;&lt;wsp:rsid wsp:val=&quot;00AD7D22&quot;/&gt;&lt;wsp:rsid wsp:val=&quot;00AE0F64&quot;/&gt;&lt;wsp:rsid wsp:val=&quot;00AE1E4C&quot;/&gt;&lt;wsp:rsid wsp:val=&quot;00AE3564&quot;/&gt;&lt;wsp:rsid wsp:val=&quot;00AE58EE&quot;/&gt;&lt;wsp:rsid wsp:val=&quot;00AE67F5&quot;/&gt;&lt;wsp:rsid wsp:val=&quot;00AE6DE6&quot;/&gt;&lt;wsp:rsid wsp:val=&quot;00AE726F&quot;/&gt;&lt;wsp:rsid wsp:val=&quot;00AE7557&quot;/&gt;&lt;wsp:rsid wsp:val=&quot;00AF4DCA&quot;/&gt;&lt;wsp:rsid wsp:val=&quot;00AF70F4&quot;/&gt;&lt;wsp:rsid wsp:val=&quot;00AF7D8C&quot;/&gt;&lt;wsp:rsid wsp:val=&quot;00B000F6&quot;/&gt;&lt;wsp:rsid wsp:val=&quot;00B00914&quot;/&gt;&lt;wsp:rsid wsp:val=&quot;00B01AF3&quot;/&gt;&lt;wsp:rsid wsp:val=&quot;00B01B77&quot;/&gt;&lt;wsp:rsid wsp:val=&quot;00B0284F&quot;/&gt;&lt;wsp:rsid wsp:val=&quot;00B04792&quot;/&gt;&lt;wsp:rsid wsp:val=&quot;00B04E21&quot;/&gt;&lt;wsp:rsid wsp:val=&quot;00B05BE1&quot;/&gt;&lt;wsp:rsid wsp:val=&quot;00B07174&quot;/&gt;&lt;wsp:rsid wsp:val=&quot;00B12527&quot;/&gt;&lt;wsp:rsid wsp:val=&quot;00B155B4&quot;/&gt;&lt;wsp:rsid wsp:val=&quot;00B15D32&quot;/&gt;&lt;wsp:rsid wsp:val=&quot;00B15E5E&quot;/&gt;&lt;wsp:rsid wsp:val=&quot;00B166BF&quot;/&gt;&lt;wsp:rsid wsp:val=&quot;00B17F8B&quot;/&gt;&lt;wsp:rsid wsp:val=&quot;00B2552C&quot;/&gt;&lt;wsp:rsid wsp:val=&quot;00B255FA&quot;/&gt;&lt;wsp:rsid wsp:val=&quot;00B27409&quot;/&gt;&lt;wsp:rsid wsp:val=&quot;00B27900&quot;/&gt;&lt;wsp:rsid wsp:val=&quot;00B30804&quot;/&gt;&lt;wsp:rsid wsp:val=&quot;00B31AC1&quot;/&gt;&lt;wsp:rsid wsp:val=&quot;00B31C08&quot;/&gt;&lt;wsp:rsid wsp:val=&quot;00B31CE3&quot;/&gt;&lt;wsp:rsid wsp:val=&quot;00B327D1&quot;/&gt;&lt;wsp:rsid wsp:val=&quot;00B3348B&quot;/&gt;&lt;wsp:rsid wsp:val=&quot;00B33F2C&quot;/&gt;&lt;wsp:rsid wsp:val=&quot;00B3481C&quot;/&gt;&lt;wsp:rsid wsp:val=&quot;00B35BC5&quot;/&gt;&lt;wsp:rsid wsp:val=&quot;00B365D7&quot;/&gt;&lt;wsp:rsid wsp:val=&quot;00B37B5D&quot;/&gt;&lt;wsp:rsid wsp:val=&quot;00B41B79&quot;/&gt;&lt;wsp:rsid wsp:val=&quot;00B436A7&quot;/&gt;&lt;wsp:rsid wsp:val=&quot;00B44A5B&quot;/&gt;&lt;wsp:rsid wsp:val=&quot;00B44DED&quot;/&gt;&lt;wsp:rsid wsp:val=&quot;00B47225&quot;/&gt;&lt;wsp:rsid wsp:val=&quot;00B5091F&quot;/&gt;&lt;wsp:rsid wsp:val=&quot;00B5093D&quot;/&gt;&lt;wsp:rsid wsp:val=&quot;00B517AE&quot;/&gt;&lt;wsp:rsid wsp:val=&quot;00B52224&quot;/&gt;&lt;wsp:rsid wsp:val=&quot;00B53D28&quot;/&gt;&lt;wsp:rsid wsp:val=&quot;00B62558&quot;/&gt;&lt;wsp:rsid wsp:val=&quot;00B630E4&quot;/&gt;&lt;wsp:rsid wsp:val=&quot;00B63B95&quot;/&gt;&lt;wsp:rsid wsp:val=&quot;00B66648&quot;/&gt;&lt;wsp:rsid wsp:val=&quot;00B675FC&quot;/&gt;&lt;wsp:rsid wsp:val=&quot;00B67967&quot;/&gt;&lt;wsp:rsid wsp:val=&quot;00B715FC&quot;/&gt;&lt;wsp:rsid wsp:val=&quot;00B74B48&quot;/&gt;&lt;wsp:rsid wsp:val=&quot;00B77242&quot;/&gt;&lt;wsp:rsid wsp:val=&quot;00B80436&quot;/&gt;&lt;wsp:rsid wsp:val=&quot;00B80BC4&quot;/&gt;&lt;wsp:rsid wsp:val=&quot;00B80DCB&quot;/&gt;&lt;wsp:rsid wsp:val=&quot;00B819E4&quot;/&gt;&lt;wsp:rsid wsp:val=&quot;00B84170&quot;/&gt;&lt;wsp:rsid wsp:val=&quot;00B84211&quot;/&gt;&lt;wsp:rsid wsp:val=&quot;00B84846&quot;/&gt;&lt;wsp:rsid wsp:val=&quot;00B84935&quot;/&gt;&lt;wsp:rsid wsp:val=&quot;00B851FE&quot;/&gt;&lt;wsp:rsid wsp:val=&quot;00B90D94&quot;/&gt;&lt;wsp:rsid wsp:val=&quot;00B91090&quot;/&gt;&lt;wsp:rsid wsp:val=&quot;00B9185D&quot;/&gt;&lt;wsp:rsid wsp:val=&quot;00B91CE5&quot;/&gt;&lt;wsp:rsid wsp:val=&quot;00B936EF&quot;/&gt;&lt;wsp:rsid wsp:val=&quot;00B937D9&quot;/&gt;&lt;wsp:rsid wsp:val=&quot;00B93BAE&quot;/&gt;&lt;wsp:rsid wsp:val=&quot;00B94BCF&quot;/&gt;&lt;wsp:rsid wsp:val=&quot;00B966FD&quot;/&gt;&lt;wsp:rsid wsp:val=&quot;00B97D21&quot;/&gt;&lt;wsp:rsid wsp:val=&quot;00BA0115&quot;/&gt;&lt;wsp:rsid wsp:val=&quot;00BA2275&quot;/&gt;&lt;wsp:rsid wsp:val=&quot;00BA263C&quot;/&gt;&lt;wsp:rsid wsp:val=&quot;00BA2700&quot;/&gt;&lt;wsp:rsid wsp:val=&quot;00BA3E35&quot;/&gt;&lt;wsp:rsid wsp:val=&quot;00BA59C6&quot;/&gt;&lt;wsp:rsid wsp:val=&quot;00BA63B6&quot;/&gt;&lt;wsp:rsid wsp:val=&quot;00BA6CE0&quot;/&gt;&lt;wsp:rsid wsp:val=&quot;00BA6EAC&quot;/&gt;&lt;wsp:rsid wsp:val=&quot;00BB1949&quot;/&gt;&lt;wsp:rsid wsp:val=&quot;00BB26A9&quot;/&gt;&lt;wsp:rsid wsp:val=&quot;00BB39B4&quot;/&gt;&lt;wsp:rsid wsp:val=&quot;00BB51DD&quot;/&gt;&lt;wsp:rsid wsp:val=&quot;00BB5656&quot;/&gt;&lt;wsp:rsid wsp:val=&quot;00BB64E6&quot;/&gt;&lt;wsp:rsid wsp:val=&quot;00BB6E97&quot;/&gt;&lt;wsp:rsid wsp:val=&quot;00BB78BA&quot;/&gt;&lt;wsp:rsid wsp:val=&quot;00BC01D6&quot;/&gt;&lt;wsp:rsid wsp:val=&quot;00BC03A6&quot;/&gt;&lt;wsp:rsid wsp:val=&quot;00BC212A&quot;/&gt;&lt;wsp:rsid wsp:val=&quot;00BC232B&quot;/&gt;&lt;wsp:rsid wsp:val=&quot;00BC2797&quot;/&gt;&lt;wsp:rsid wsp:val=&quot;00BC3EE3&quot;/&gt;&lt;wsp:rsid wsp:val=&quot;00BC43C4&quot;/&gt;&lt;wsp:rsid wsp:val=&quot;00BC55BE&quot;/&gt;&lt;wsp:rsid wsp:val=&quot;00BC5634&quot;/&gt;&lt;wsp:rsid wsp:val=&quot;00BC635B&quot;/&gt;&lt;wsp:rsid wsp:val=&quot;00BC6CE8&quot;/&gt;&lt;wsp:rsid wsp:val=&quot;00BC71F0&quot;/&gt;&lt;wsp:rsid wsp:val=&quot;00BC7784&quot;/&gt;&lt;wsp:rsid wsp:val=&quot;00BC7E94&quot;/&gt;&lt;wsp:rsid wsp:val=&quot;00BD0F5A&quot;/&gt;&lt;wsp:rsid wsp:val=&quot;00BD2111&quot;/&gt;&lt;wsp:rsid wsp:val=&quot;00BD5D60&quot;/&gt;&lt;wsp:rsid wsp:val=&quot;00BD5D9B&quot;/&gt;&lt;wsp:rsid wsp:val=&quot;00BD6299&quot;/&gt;&lt;wsp:rsid wsp:val=&quot;00BE2119&quot;/&gt;&lt;wsp:rsid wsp:val=&quot;00BE2AA0&quot;/&gt;&lt;wsp:rsid wsp:val=&quot;00BE31DE&quot;/&gt;&lt;wsp:rsid wsp:val=&quot;00BE3F32&quot;/&gt;&lt;wsp:rsid wsp:val=&quot;00BE4543&quot;/&gt;&lt;wsp:rsid wsp:val=&quot;00BE4820&quot;/&gt;&lt;wsp:rsid wsp:val=&quot;00BE762A&quot;/&gt;&lt;wsp:rsid wsp:val=&quot;00BE76EC&quot;/&gt;&lt;wsp:rsid wsp:val=&quot;00BE7A8D&quot;/&gt;&lt;wsp:rsid wsp:val=&quot;00BF32A4&quot;/&gt;&lt;wsp:rsid wsp:val=&quot;00BF3D88&quot;/&gt;&lt;wsp:rsid wsp:val=&quot;00BF4BF9&quot;/&gt;&lt;wsp:rsid wsp:val=&quot;00BF4D56&quot;/&gt;&lt;wsp:rsid wsp:val=&quot;00BF5A48&quot;/&gt;&lt;wsp:rsid wsp:val=&quot;00BF7239&quot;/&gt;&lt;wsp:rsid wsp:val=&quot;00BF7BCB&quot;/&gt;&lt;wsp:rsid wsp:val=&quot;00C01BC9&quot;/&gt;&lt;wsp:rsid wsp:val=&quot;00C031B1&quot;/&gt;&lt;wsp:rsid wsp:val=&quot;00C03FBB&quot;/&gt;&lt;wsp:rsid wsp:val=&quot;00C04A88&quot;/&gt;&lt;wsp:rsid wsp:val=&quot;00C0546D&quot;/&gt;&lt;wsp:rsid wsp:val=&quot;00C05A30&quot;/&gt;&lt;wsp:rsid wsp:val=&quot;00C05CBC&quot;/&gt;&lt;wsp:rsid wsp:val=&quot;00C06015&quot;/&gt;&lt;wsp:rsid wsp:val=&quot;00C071A9&quot;/&gt;&lt;wsp:rsid wsp:val=&quot;00C115D2&quot;/&gt;&lt;wsp:rsid wsp:val=&quot;00C125F7&quot;/&gt;&lt;wsp:rsid wsp:val=&quot;00C13665&quot;/&gt;&lt;wsp:rsid wsp:val=&quot;00C14659&quot;/&gt;&lt;wsp:rsid wsp:val=&quot;00C1484C&quot;/&gt;&lt;wsp:rsid wsp:val=&quot;00C14D67&quot;/&gt;&lt;wsp:rsid wsp:val=&quot;00C14EFA&quot;/&gt;&lt;wsp:rsid wsp:val=&quot;00C15D8B&quot;/&gt;&lt;wsp:rsid wsp:val=&quot;00C1665B&quot;/&gt;&lt;wsp:rsid wsp:val=&quot;00C22A4D&quot;/&gt;&lt;wsp:rsid wsp:val=&quot;00C23152&quot;/&gt;&lt;wsp:rsid wsp:val=&quot;00C2366A&quot;/&gt;&lt;wsp:rsid wsp:val=&quot;00C23DDB&quot;/&gt;&lt;wsp:rsid wsp:val=&quot;00C25CE5&quot;/&gt;&lt;wsp:rsid wsp:val=&quot;00C2629D&quot;/&gt;&lt;wsp:rsid wsp:val=&quot;00C27CF2&quot;/&gt;&lt;wsp:rsid wsp:val=&quot;00C27FA0&quot;/&gt;&lt;wsp:rsid wsp:val=&quot;00C319BC&quot;/&gt;&lt;wsp:rsid wsp:val=&quot;00C32A84&quot;/&gt;&lt;wsp:rsid wsp:val=&quot;00C34460&quot;/&gt;&lt;wsp:rsid wsp:val=&quot;00C355F9&quot;/&gt;&lt;wsp:rsid wsp:val=&quot;00C36786&quot;/&gt;&lt;wsp:rsid wsp:val=&quot;00C404AF&quot;/&gt;&lt;wsp:rsid wsp:val=&quot;00C40814&quot;/&gt;&lt;wsp:rsid wsp:val=&quot;00C45B91&quot;/&gt;&lt;wsp:rsid wsp:val=&quot;00C46051&quot;/&gt;&lt;wsp:rsid wsp:val=&quot;00C4637E&quot;/&gt;&lt;wsp:rsid wsp:val=&quot;00C477F4&quot;/&gt;&lt;wsp:rsid wsp:val=&quot;00C47DEE&quot;/&gt;&lt;wsp:rsid wsp:val=&quot;00C47DEF&quot;/&gt;&lt;wsp:rsid wsp:val=&quot;00C50195&quot;/&gt;&lt;wsp:rsid wsp:val=&quot;00C5211C&quot;/&gt;&lt;wsp:rsid wsp:val=&quot;00C52307&quot;/&gt;&lt;wsp:rsid wsp:val=&quot;00C53279&quot;/&gt;&lt;wsp:rsid wsp:val=&quot;00C532DF&quot;/&gt;&lt;wsp:rsid wsp:val=&quot;00C54F41&quot;/&gt;&lt;wsp:rsid wsp:val=&quot;00C55882&quot;/&gt;&lt;wsp:rsid wsp:val=&quot;00C577C1&quot;/&gt;&lt;wsp:rsid wsp:val=&quot;00C578B0&quot;/&gt;&lt;wsp:rsid wsp:val=&quot;00C60479&quot;/&gt;&lt;wsp:rsid wsp:val=&quot;00C6226B&quot;/&gt;&lt;wsp:rsid wsp:val=&quot;00C627C5&quot;/&gt;&lt;wsp:rsid wsp:val=&quot;00C63D35&quot;/&gt;&lt;wsp:rsid wsp:val=&quot;00C650E5&quot;/&gt;&lt;wsp:rsid wsp:val=&quot;00C66157&quot;/&gt;&lt;wsp:rsid wsp:val=&quot;00C66239&quot;/&gt;&lt;wsp:rsid wsp:val=&quot;00C6639D&quot;/&gt;&lt;wsp:rsid wsp:val=&quot;00C67595&quot;/&gt;&lt;wsp:rsid wsp:val=&quot;00C70BC8&quot;/&gt;&lt;wsp:rsid wsp:val=&quot;00C71725&quot;/&gt;&lt;wsp:rsid wsp:val=&quot;00C71A4D&quot;/&gt;&lt;wsp:rsid wsp:val=&quot;00C721C5&quot;/&gt;&lt;wsp:rsid wsp:val=&quot;00C7418A&quot;/&gt;&lt;wsp:rsid wsp:val=&quot;00C76D16&quot;/&gt;&lt;wsp:rsid wsp:val=&quot;00C773D0&quot;/&gt;&lt;wsp:rsid wsp:val=&quot;00C80D1D&quot;/&gt;&lt;wsp:rsid wsp:val=&quot;00C82BAF&quot;/&gt;&lt;wsp:rsid wsp:val=&quot;00C8418E&quot;/&gt;&lt;wsp:rsid wsp:val=&quot;00C846E4&quot;/&gt;&lt;wsp:rsid wsp:val=&quot;00C85A38&quot;/&gt;&lt;wsp:rsid wsp:val=&quot;00C87956&quot;/&gt;&lt;wsp:rsid wsp:val=&quot;00C87A29&quot;/&gt;&lt;wsp:rsid wsp:val=&quot;00C92E6F&quot;/&gt;&lt;wsp:rsid wsp:val=&quot;00C9352C&quot;/&gt;&lt;wsp:rsid wsp:val=&quot;00C9392E&quot;/&gt;&lt;wsp:rsid wsp:val=&quot;00C93EFA&quot;/&gt;&lt;wsp:rsid wsp:val=&quot;00C957C4&quot;/&gt;&lt;wsp:rsid wsp:val=&quot;00C960AB&quot;/&gt;&lt;wsp:rsid wsp:val=&quot;00C9681A&quot;/&gt;&lt;wsp:rsid wsp:val=&quot;00CA0D08&quot;/&gt;&lt;wsp:rsid wsp:val=&quot;00CA10B2&quot;/&gt;&lt;wsp:rsid wsp:val=&quot;00CA176C&quot;/&gt;&lt;wsp:rsid wsp:val=&quot;00CA2349&quot;/&gt;&lt;wsp:rsid wsp:val=&quot;00CA565D&quot;/&gt;&lt;wsp:rsid wsp:val=&quot;00CA6182&quot;/&gt;&lt;wsp:rsid wsp:val=&quot;00CA6562&quot;/&gt;&lt;wsp:rsid wsp:val=&quot;00CA6DA4&quot;/&gt;&lt;wsp:rsid wsp:val=&quot;00CA72C8&quot;/&gt;&lt;wsp:rsid wsp:val=&quot;00CA7F7D&quot;/&gt;&lt;wsp:rsid wsp:val=&quot;00CB2372&quot;/&gt;&lt;wsp:rsid wsp:val=&quot;00CB48F1&quot;/&gt;&lt;wsp:rsid wsp:val=&quot;00CB4E36&quot;/&gt;&lt;wsp:rsid wsp:val=&quot;00CB53E6&quot;/&gt;&lt;wsp:rsid wsp:val=&quot;00CB5CCB&quot;/&gt;&lt;wsp:rsid wsp:val=&quot;00CB7E8F&quot;/&gt;&lt;wsp:rsid wsp:val=&quot;00CB7E91&quot;/&gt;&lt;wsp:rsid wsp:val=&quot;00CC0509&quot;/&gt;&lt;wsp:rsid wsp:val=&quot;00CC0FA2&quot;/&gt;&lt;wsp:rsid wsp:val=&quot;00CC18C4&quot;/&gt;&lt;wsp:rsid wsp:val=&quot;00CC22E0&quot;/&gt;&lt;wsp:rsid wsp:val=&quot;00CC3953&quot;/&gt;&lt;wsp:rsid wsp:val=&quot;00CC5225&quot;/&gt;&lt;wsp:rsid wsp:val=&quot;00CC64BF&quot;/&gt;&lt;wsp:rsid wsp:val=&quot;00CD02A4&quot;/&gt;&lt;wsp:rsid wsp:val=&quot;00CD0C4B&quot;/&gt;&lt;wsp:rsid wsp:val=&quot;00CD3ED4&quot;/&gt;&lt;wsp:rsid wsp:val=&quot;00CD5FF8&quot;/&gt;&lt;wsp:rsid wsp:val=&quot;00CD66BA&quot;/&gt;&lt;wsp:rsid wsp:val=&quot;00CE5086&quot;/&gt;&lt;wsp:rsid wsp:val=&quot;00CE6897&quot;/&gt;&lt;wsp:rsid wsp:val=&quot;00CE7D0F&quot;/&gt;&lt;wsp:rsid wsp:val=&quot;00CF015C&quot;/&gt;&lt;wsp:rsid wsp:val=&quot;00CF1B34&quot;/&gt;&lt;wsp:rsid wsp:val=&quot;00CF2DD8&quot;/&gt;&lt;wsp:rsid wsp:val=&quot;00CF3A39&quot;/&gt;&lt;wsp:rsid wsp:val=&quot;00CF4102&quot;/&gt;&lt;wsp:rsid wsp:val=&quot;00CF5271&quot;/&gt;&lt;wsp:rsid wsp:val=&quot;00CF60DF&quot;/&gt;&lt;wsp:rsid wsp:val=&quot;00CF6D7D&quot;/&gt;&lt;wsp:rsid wsp:val=&quot;00CF7330&quot;/&gt;&lt;wsp:rsid wsp:val=&quot;00D00C63&quot;/&gt;&lt;wsp:rsid wsp:val=&quot;00D00D89&quot;/&gt;&lt;wsp:rsid wsp:val=&quot;00D00E2D&quot;/&gt;&lt;wsp:rsid wsp:val=&quot;00D01597&quot;/&gt;&lt;wsp:rsid wsp:val=&quot;00D03452&quot;/&gt;&lt;wsp:rsid wsp:val=&quot;00D038FF&quot;/&gt;&lt;wsp:rsid wsp:val=&quot;00D0461E&quot;/&gt;&lt;wsp:rsid wsp:val=&quot;00D05B59&quot;/&gt;&lt;wsp:rsid wsp:val=&quot;00D05DFB&quot;/&gt;&lt;wsp:rsid wsp:val=&quot;00D07137&quot;/&gt;&lt;wsp:rsid wsp:val=&quot;00D103FA&quot;/&gt;&lt;wsp:rsid wsp:val=&quot;00D1040C&quot;/&gt;&lt;wsp:rsid wsp:val=&quot;00D106A1&quot;/&gt;&lt;wsp:rsid wsp:val=&quot;00D13462&quot;/&gt;&lt;wsp:rsid wsp:val=&quot;00D13AAB&quot;/&gt;&lt;wsp:rsid wsp:val=&quot;00D2112D&quot;/&gt;&lt;wsp:rsid wsp:val=&quot;00D226F4&quot;/&gt;&lt;wsp:rsid wsp:val=&quot;00D2420F&quot;/&gt;&lt;wsp:rsid wsp:val=&quot;00D2458A&quot;/&gt;&lt;wsp:rsid wsp:val=&quot;00D25F0C&quot;/&gt;&lt;wsp:rsid wsp:val=&quot;00D30299&quot;/&gt;&lt;wsp:rsid wsp:val=&quot;00D31C27&quot;/&gt;&lt;wsp:rsid wsp:val=&quot;00D332FF&quot;/&gt;&lt;wsp:rsid wsp:val=&quot;00D33AE2&quot;/&gt;&lt;wsp:rsid wsp:val=&quot;00D36723&quot;/&gt;&lt;wsp:rsid wsp:val=&quot;00D3688C&quot;/&gt;&lt;wsp:rsid wsp:val=&quot;00D42405&quot;/&gt;&lt;wsp:rsid wsp:val=&quot;00D45384&quot;/&gt;&lt;wsp:rsid wsp:val=&quot;00D46ACA&quot;/&gt;&lt;wsp:rsid wsp:val=&quot;00D50779&quot;/&gt;&lt;wsp:rsid wsp:val=&quot;00D50E32&quot;/&gt;&lt;wsp:rsid wsp:val=&quot;00D54711&quot;/&gt;&lt;wsp:rsid wsp:val=&quot;00D54DA0&quot;/&gt;&lt;wsp:rsid wsp:val=&quot;00D55D30&quot;/&gt;&lt;wsp:rsid wsp:val=&quot;00D571CD&quot;/&gt;&lt;wsp:rsid wsp:val=&quot;00D60630&quot;/&gt;&lt;wsp:rsid wsp:val=&quot;00D62A83&quot;/&gt;&lt;wsp:rsid wsp:val=&quot;00D63057&quot;/&gt;&lt;wsp:rsid wsp:val=&quot;00D6450F&quot;/&gt;&lt;wsp:rsid wsp:val=&quot;00D64D02&quot;/&gt;&lt;wsp:rsid wsp:val=&quot;00D66965&quot;/&gt;&lt;wsp:rsid wsp:val=&quot;00D7219E&quot;/&gt;&lt;wsp:rsid wsp:val=&quot;00D74199&quot;/&gt;&lt;wsp:rsid wsp:val=&quot;00D74CFA&quot;/&gt;&lt;wsp:rsid wsp:val=&quot;00D778E1&quot;/&gt;&lt;wsp:rsid wsp:val=&quot;00D80714&quot;/&gt;&lt;wsp:rsid wsp:val=&quot;00D81FB2&quot;/&gt;&lt;wsp:rsid wsp:val=&quot;00D8256F&quot;/&gt;&lt;wsp:rsid wsp:val=&quot;00D82D04&quot;/&gt;&lt;wsp:rsid wsp:val=&quot;00D873E2&quot;/&gt;&lt;wsp:rsid wsp:val=&quot;00D87D38&quot;/&gt;&lt;wsp:rsid wsp:val=&quot;00D91720&quot;/&gt;&lt;wsp:rsid wsp:val=&quot;00D92085&quot;/&gt;&lt;wsp:rsid wsp:val=&quot;00D929E6&quot;/&gt;&lt;wsp:rsid wsp:val=&quot;00D935D8&quot;/&gt;&lt;wsp:rsid wsp:val=&quot;00D94082&quot;/&gt;&lt;wsp:rsid wsp:val=&quot;00D94C54&quot;/&gt;&lt;wsp:rsid wsp:val=&quot;00D9571A&quot;/&gt;&lt;wsp:rsid wsp:val=&quot;00D96F65&quot;/&gt;&lt;wsp:rsid wsp:val=&quot;00D973E5&quot;/&gt;&lt;wsp:rsid wsp:val=&quot;00DA03C6&quot;/&gt;&lt;wsp:rsid wsp:val=&quot;00DA0515&quot;/&gt;&lt;wsp:rsid wsp:val=&quot;00DA353D&quot;/&gt;&lt;wsp:rsid wsp:val=&quot;00DA42C2&quot;/&gt;&lt;wsp:rsid wsp:val=&quot;00DA4A02&quot;/&gt;&lt;wsp:rsid wsp:val=&quot;00DA4EAC&quot;/&gt;&lt;wsp:rsid wsp:val=&quot;00DA6C88&quot;/&gt;&lt;wsp:rsid wsp:val=&quot;00DA7B73&quot;/&gt;&lt;wsp:rsid wsp:val=&quot;00DB04A9&quot;/&gt;&lt;wsp:rsid wsp:val=&quot;00DB06D2&quot;/&gt;&lt;wsp:rsid wsp:val=&quot;00DB0AC0&quot;/&gt;&lt;wsp:rsid wsp:val=&quot;00DB1E63&quot;/&gt;&lt;wsp:rsid wsp:val=&quot;00DB1E70&quot;/&gt;&lt;wsp:rsid wsp:val=&quot;00DB2945&quot;/&gt;&lt;wsp:rsid wsp:val=&quot;00DB4774&quot;/&gt;&lt;wsp:rsid wsp:val=&quot;00DB55CC&quot;/&gt;&lt;wsp:rsid wsp:val=&quot;00DB6A84&quot;/&gt;&lt;wsp:rsid wsp:val=&quot;00DB7D60&quot;/&gt;&lt;wsp:rsid wsp:val=&quot;00DC111A&quot;/&gt;&lt;wsp:rsid wsp:val=&quot;00DC2972&quot;/&gt;&lt;wsp:rsid wsp:val=&quot;00DC3F16&quot;/&gt;&lt;wsp:rsid wsp:val=&quot;00DC451D&quot;/&gt;&lt;wsp:rsid wsp:val=&quot;00DC4A76&quot;/&gt;&lt;wsp:rsid wsp:val=&quot;00DC5A20&quot;/&gt;&lt;wsp:rsid wsp:val=&quot;00DD0124&quot;/&gt;&lt;wsp:rsid wsp:val=&quot;00DD4545&quot;/&gt;&lt;wsp:rsid wsp:val=&quot;00DD5F33&quot;/&gt;&lt;wsp:rsid wsp:val=&quot;00DE0CB5&quot;/&gt;&lt;wsp:rsid wsp:val=&quot;00DE0EDB&quot;/&gt;&lt;wsp:rsid wsp:val=&quot;00DE30CB&quot;/&gt;&lt;wsp:rsid wsp:val=&quot;00DE4343&quot;/&gt;&lt;wsp:rsid wsp:val=&quot;00DE4381&quot;/&gt;&lt;wsp:rsid wsp:val=&quot;00DE45F3&quot;/&gt;&lt;wsp:rsid wsp:val=&quot;00DE5A93&quot;/&gt;&lt;wsp:rsid wsp:val=&quot;00DE5E12&quot;/&gt;&lt;wsp:rsid wsp:val=&quot;00DE67E6&quot;/&gt;&lt;wsp:rsid wsp:val=&quot;00DF01D2&quot;/&gt;&lt;wsp:rsid wsp:val=&quot;00DF08CC&quot;/&gt;&lt;wsp:rsid wsp:val=&quot;00DF08EA&quot;/&gt;&lt;wsp:rsid wsp:val=&quot;00DF33B8&quot;/&gt;&lt;wsp:rsid wsp:val=&quot;00DF3C59&quot;/&gt;&lt;wsp:rsid wsp:val=&quot;00DF5014&quot;/&gt;&lt;wsp:rsid wsp:val=&quot;00DF5FCB&quot;/&gt;&lt;wsp:rsid wsp:val=&quot;00DF712D&quot;/&gt;&lt;wsp:rsid wsp:val=&quot;00E0052C&quot;/&gt;&lt;wsp:rsid wsp:val=&quot;00E01B5E&quot;/&gt;&lt;wsp:rsid wsp:val=&quot;00E034AD&quot;/&gt;&lt;wsp:rsid wsp:val=&quot;00E0395C&quot;/&gt;&lt;wsp:rsid wsp:val=&quot;00E05BAC&quot;/&gt;&lt;wsp:rsid wsp:val=&quot;00E05FCF&quot;/&gt;&lt;wsp:rsid wsp:val=&quot;00E0652C&quot;/&gt;&lt;wsp:rsid wsp:val=&quot;00E075D7&quot;/&gt;&lt;wsp:rsid wsp:val=&quot;00E100A9&quot;/&gt;&lt;wsp:rsid wsp:val=&quot;00E105AC&quot;/&gt;&lt;wsp:rsid wsp:val=&quot;00E113B0&quot;/&gt;&lt;wsp:rsid wsp:val=&quot;00E12022&quot;/&gt;&lt;wsp:rsid wsp:val=&quot;00E12856&quot;/&gt;&lt;wsp:rsid wsp:val=&quot;00E13251&quot;/&gt;&lt;wsp:rsid wsp:val=&quot;00E15B0C&quot;/&gt;&lt;wsp:rsid wsp:val=&quot;00E1680F&quot;/&gt;&lt;wsp:rsid wsp:val=&quot;00E1793E&quot;/&gt;&lt;wsp:rsid wsp:val=&quot;00E17FBC&quot;/&gt;&lt;wsp:rsid wsp:val=&quot;00E20373&quot;/&gt;&lt;wsp:rsid wsp:val=&quot;00E208D2&quot;/&gt;&lt;wsp:rsid wsp:val=&quot;00E2153E&quot;/&gt;&lt;wsp:rsid wsp:val=&quot;00E21DC0&quot;/&gt;&lt;wsp:rsid wsp:val=&quot;00E22658&quot;/&gt;&lt;wsp:rsid wsp:val=&quot;00E22A0C&quot;/&gt;&lt;wsp:rsid wsp:val=&quot;00E22BFA&quot;/&gt;&lt;wsp:rsid wsp:val=&quot;00E23B5D&quot;/&gt;&lt;wsp:rsid wsp:val=&quot;00E24CC2&quot;/&gt;&lt;wsp:rsid wsp:val=&quot;00E25A0A&quot;/&gt;&lt;wsp:rsid wsp:val=&quot;00E25C4D&quot;/&gt;&lt;wsp:rsid wsp:val=&quot;00E261D6&quot;/&gt;&lt;wsp:rsid wsp:val=&quot;00E26B67&quot;/&gt;&lt;wsp:rsid wsp:val=&quot;00E27276&quot;/&gt;&lt;wsp:rsid wsp:val=&quot;00E27F2E&quot;/&gt;&lt;wsp:rsid wsp:val=&quot;00E3050A&quot;/&gt;&lt;wsp:rsid wsp:val=&quot;00E30F57&quot;/&gt;&lt;wsp:rsid wsp:val=&quot;00E3177A&quot;/&gt;&lt;wsp:rsid wsp:val=&quot;00E31FCD&quot;/&gt;&lt;wsp:rsid wsp:val=&quot;00E338D8&quot;/&gt;&lt;wsp:rsid wsp:val=&quot;00E341AE&quot;/&gt;&lt;wsp:rsid wsp:val=&quot;00E36C31&quot;/&gt;&lt;wsp:rsid wsp:val=&quot;00E400E8&quot;/&gt;&lt;wsp:rsid wsp:val=&quot;00E4022E&quot;/&gt;&lt;wsp:rsid wsp:val=&quot;00E4066B&quot;/&gt;&lt;wsp:rsid wsp:val=&quot;00E41662&quot;/&gt;&lt;wsp:rsid wsp:val=&quot;00E44BC2&quot;/&gt;&lt;wsp:rsid wsp:val=&quot;00E44C94&quot;/&gt;&lt;wsp:rsid wsp:val=&quot;00E50DF3&quot;/&gt;&lt;wsp:rsid wsp:val=&quot;00E512F7&quot;/&gt;&lt;wsp:rsid wsp:val=&quot;00E52118&quot;/&gt;&lt;wsp:rsid wsp:val=&quot;00E522DD&quot;/&gt;&lt;wsp:rsid wsp:val=&quot;00E52A02&quot;/&gt;&lt;wsp:rsid wsp:val=&quot;00E557A8&quot;/&gt;&lt;wsp:rsid wsp:val=&quot;00E56253&quot;/&gt;&lt;wsp:rsid wsp:val=&quot;00E57C9B&quot;/&gt;&lt;wsp:rsid wsp:val=&quot;00E60766&quot;/&gt;&lt;wsp:rsid wsp:val=&quot;00E60F8D&quot;/&gt;&lt;wsp:rsid wsp:val=&quot;00E61986&quot;/&gt;&lt;wsp:rsid wsp:val=&quot;00E61E99&quot;/&gt;&lt;wsp:rsid wsp:val=&quot;00E62F03&quot;/&gt;&lt;wsp:rsid wsp:val=&quot;00E67426&quot;/&gt;&lt;wsp:rsid wsp:val=&quot;00E709CF&quot;/&gt;&lt;wsp:rsid wsp:val=&quot;00E70A2A&quot;/&gt;&lt;wsp:rsid wsp:val=&quot;00E70C96&quot;/&gt;&lt;wsp:rsid wsp:val=&quot;00E71EE4&quot;/&gt;&lt;wsp:rsid wsp:val=&quot;00E72081&quot;/&gt;&lt;wsp:rsid wsp:val=&quot;00E72531&quot;/&gt;&lt;wsp:rsid wsp:val=&quot;00E75009&quot;/&gt;&lt;wsp:rsid wsp:val=&quot;00E750DC&quot;/&gt;&lt;wsp:rsid wsp:val=&quot;00E756FF&quot;/&gt;&lt;wsp:rsid wsp:val=&quot;00E76D3C&quot;/&gt;&lt;wsp:rsid wsp:val=&quot;00E90276&quot;/&gt;&lt;wsp:rsid wsp:val=&quot;00E923D7&quot;/&gt;&lt;wsp:rsid wsp:val=&quot;00E9266B&quot;/&gt;&lt;wsp:rsid wsp:val=&quot;00E937A6&quot;/&gt;&lt;wsp:rsid wsp:val=&quot;00E93EC4&quot;/&gt;&lt;wsp:rsid wsp:val=&quot;00E94D1A&quot;/&gt;&lt;wsp:rsid wsp:val=&quot;00E9507C&quot;/&gt;&lt;wsp:rsid wsp:val=&quot;00E96630&quot;/&gt;&lt;wsp:rsid wsp:val=&quot;00E970EB&quot;/&gt;&lt;wsp:rsid wsp:val=&quot;00E97233&quot;/&gt;&lt;wsp:rsid wsp:val=&quot;00EA153D&quot;/&gt;&lt;wsp:rsid wsp:val=&quot;00EA23A2&quot;/&gt;&lt;wsp:rsid wsp:val=&quot;00EA3A74&quot;/&gt;&lt;wsp:rsid wsp:val=&quot;00EA3C7B&quot;/&gt;&lt;wsp:rsid wsp:val=&quot;00EA5935&quot;/&gt;&lt;wsp:rsid wsp:val=&quot;00EA5AB9&quot;/&gt;&lt;wsp:rsid wsp:val=&quot;00EA62A9&quot;/&gt;&lt;wsp:rsid wsp:val=&quot;00EA6605&quot;/&gt;&lt;wsp:rsid wsp:val=&quot;00EA66B8&quot;/&gt;&lt;wsp:rsid wsp:val=&quot;00EA6DE8&quot;/&gt;&lt;wsp:rsid wsp:val=&quot;00EA797A&quot;/&gt;&lt;wsp:rsid wsp:val=&quot;00EB0DA5&quot;/&gt;&lt;wsp:rsid wsp:val=&quot;00EB0E1A&quot;/&gt;&lt;wsp:rsid wsp:val=&quot;00EB0ED7&quot;/&gt;&lt;wsp:rsid wsp:val=&quot;00EB2191&quot;/&gt;&lt;wsp:rsid wsp:val=&quot;00EB21E9&quot;/&gt;&lt;wsp:rsid wsp:val=&quot;00EB3481&quot;/&gt;&lt;wsp:rsid wsp:val=&quot;00EB38E3&quot;/&gt;&lt;wsp:rsid wsp:val=&quot;00EB5C9A&quot;/&gt;&lt;wsp:rsid wsp:val=&quot;00EB7535&quot;/&gt;&lt;wsp:rsid wsp:val=&quot;00EB7821&quot;/&gt;&lt;wsp:rsid wsp:val=&quot;00EC01E1&quot;/&gt;&lt;wsp:rsid wsp:val=&quot;00EC0C69&quot;/&gt;&lt;wsp:rsid wsp:val=&quot;00EC1595&quot;/&gt;&lt;wsp:rsid wsp:val=&quot;00EC17E2&quot;/&gt;&lt;wsp:rsid wsp:val=&quot;00EC2D81&quot;/&gt;&lt;wsp:rsid wsp:val=&quot;00EC494D&quot;/&gt;&lt;wsp:rsid wsp:val=&quot;00EC4EF0&quot;/&gt;&lt;wsp:rsid wsp:val=&quot;00EC7258&quot;/&gt;&lt;wsp:rsid wsp:val=&quot;00ED0246&quot;/&gt;&lt;wsp:rsid wsp:val=&quot;00ED1AEF&quot;/&gt;&lt;wsp:rsid wsp:val=&quot;00ED23E9&quot;/&gt;&lt;wsp:rsid wsp:val=&quot;00ED3D07&quot;/&gt;&lt;wsp:rsid wsp:val=&quot;00ED3D81&quot;/&gt;&lt;wsp:rsid wsp:val=&quot;00ED575B&quot;/&gt;&lt;wsp:rsid wsp:val=&quot;00ED5D18&quot;/&gt;&lt;wsp:rsid wsp:val=&quot;00EE0318&quot;/&gt;&lt;wsp:rsid wsp:val=&quot;00EE39AF&quot;/&gt;&lt;wsp:rsid wsp:val=&quot;00EE5D02&quot;/&gt;&lt;wsp:rsid wsp:val=&quot;00EE6148&quot;/&gt;&lt;wsp:rsid wsp:val=&quot;00EE7C33&quot;/&gt;&lt;wsp:rsid wsp:val=&quot;00EF0196&quot;/&gt;&lt;wsp:rsid wsp:val=&quot;00EF10FB&quot;/&gt;&lt;wsp:rsid wsp:val=&quot;00EF1461&quot;/&gt;&lt;wsp:rsid wsp:val=&quot;00EF3BF6&quot;/&gt;&lt;wsp:rsid wsp:val=&quot;00EF592D&quot;/&gt;&lt;wsp:rsid wsp:val=&quot;00EF5AB0&quot;/&gt;&lt;wsp:rsid wsp:val=&quot;00EF7A1B&quot;/&gt;&lt;wsp:rsid wsp:val=&quot;00EF7F66&quot;/&gt;&lt;wsp:rsid wsp:val=&quot;00F01653&quot;/&gt;&lt;wsp:rsid wsp:val=&quot;00F025D9&quot;/&gt;&lt;wsp:rsid wsp:val=&quot;00F039DF&quot;/&gt;&lt;wsp:rsid wsp:val=&quot;00F0446A&quot;/&gt;&lt;wsp:rsid wsp:val=&quot;00F04C96&quot;/&gt;&lt;wsp:rsid wsp:val=&quot;00F05CE4&quot;/&gt;&lt;wsp:rsid wsp:val=&quot;00F062DC&quot;/&gt;&lt;wsp:rsid wsp:val=&quot;00F07DCE&quot;/&gt;&lt;wsp:rsid wsp:val=&quot;00F10A0B&quot;/&gt;&lt;wsp:rsid wsp:val=&quot;00F13A04&quot;/&gt;&lt;wsp:rsid wsp:val=&quot;00F156F5&quot;/&gt;&lt;wsp:rsid wsp:val=&quot;00F157DC&quot;/&gt;&lt;wsp:rsid wsp:val=&quot;00F171DA&quot;/&gt;&lt;wsp:rsid wsp:val=&quot;00F178E2&quot;/&gt;&lt;wsp:rsid wsp:val=&quot;00F2161B&quot;/&gt;&lt;wsp:rsid wsp:val=&quot;00F24360&quot;/&gt;&lt;wsp:rsid wsp:val=&quot;00F33301&quot;/&gt;&lt;wsp:rsid wsp:val=&quot;00F3509F&quot;/&gt;&lt;wsp:rsid wsp:val=&quot;00F35EFB&quot;/&gt;&lt;wsp:rsid wsp:val=&quot;00F37AA9&quot;/&gt;&lt;wsp:rsid wsp:val=&quot;00F4038D&quot;/&gt;&lt;wsp:rsid wsp:val=&quot;00F404DD&quot;/&gt;&lt;wsp:rsid wsp:val=&quot;00F40502&quot;/&gt;&lt;wsp:rsid wsp:val=&quot;00F407E2&quot;/&gt;&lt;wsp:rsid wsp:val=&quot;00F412C8&quot;/&gt;&lt;wsp:rsid wsp:val=&quot;00F423FB&quot;/&gt;&lt;wsp:rsid wsp:val=&quot;00F43063&quot;/&gt;&lt;wsp:rsid wsp:val=&quot;00F4692D&quot;/&gt;&lt;wsp:rsid wsp:val=&quot;00F4712C&quot;/&gt;&lt;wsp:rsid wsp:val=&quot;00F50CE0&quot;/&gt;&lt;wsp:rsid wsp:val=&quot;00F50D3D&quot;/&gt;&lt;wsp:rsid wsp:val=&quot;00F57611&quot;/&gt;&lt;wsp:rsid wsp:val=&quot;00F57E3E&quot;/&gt;&lt;wsp:rsid wsp:val=&quot;00F62F2A&quot;/&gt;&lt;wsp:rsid wsp:val=&quot;00F655EB&quot;/&gt;&lt;wsp:rsid wsp:val=&quot;00F65C7B&quot;/&gt;&lt;wsp:rsid wsp:val=&quot;00F65CEE&quot;/&gt;&lt;wsp:rsid wsp:val=&quot;00F6741C&quot;/&gt;&lt;wsp:rsid wsp:val=&quot;00F67CDA&quot;/&gt;&lt;wsp:rsid wsp:val=&quot;00F70B80&quot;/&gt;&lt;wsp:rsid wsp:val=&quot;00F71CF0&quot;/&gt;&lt;wsp:rsid wsp:val=&quot;00F72B00&quot;/&gt;&lt;wsp:rsid wsp:val=&quot;00F7328B&quot;/&gt;&lt;wsp:rsid wsp:val=&quot;00F7338E&quot;/&gt;&lt;wsp:rsid wsp:val=&quot;00F7751C&quot;/&gt;&lt;wsp:rsid wsp:val=&quot;00F80206&quot;/&gt;&lt;wsp:rsid wsp:val=&quot;00F8090C&quot;/&gt;&lt;wsp:rsid wsp:val=&quot;00F822B6&quot;/&gt;&lt;wsp:rsid wsp:val=&quot;00F82303&quot;/&gt;&lt;wsp:rsid wsp:val=&quot;00F832B2&quot;/&gt;&lt;wsp:rsid wsp:val=&quot;00F83868&quot;/&gt;&lt;wsp:rsid wsp:val=&quot;00F84141&quot;/&gt;&lt;wsp:rsid wsp:val=&quot;00F841EB&quot;/&gt;&lt;wsp:rsid wsp:val=&quot;00F8625B&quot;/&gt;&lt;wsp:rsid wsp:val=&quot;00F8691D&quot;/&gt;&lt;wsp:rsid wsp:val=&quot;00F87077&quot;/&gt;&lt;wsp:rsid wsp:val=&quot;00F877F9&quot;/&gt;&lt;wsp:rsid wsp:val=&quot;00F9183B&quot;/&gt;&lt;wsp:rsid wsp:val=&quot;00F91CCC&quot;/&gt;&lt;wsp:rsid wsp:val=&quot;00F91EE6&quot;/&gt;&lt;wsp:rsid wsp:val=&quot;00F955E2&quot;/&gt;&lt;wsp:rsid wsp:val=&quot;00F97609&quot;/&gt;&lt;wsp:rsid wsp:val=&quot;00FA3356&quot;/&gt;&lt;wsp:rsid wsp:val=&quot;00FA3871&quot;/&gt;&lt;wsp:rsid wsp:val=&quot;00FA557C&quot;/&gt;&lt;wsp:rsid wsp:val=&quot;00FA6C39&quot;/&gt;&lt;wsp:rsid wsp:val=&quot;00FA7520&quot;/&gt;&lt;wsp:rsid wsp:val=&quot;00FA76AF&quot;/&gt;&lt;wsp:rsid wsp:val=&quot;00FB0227&quot;/&gt;&lt;wsp:rsid wsp:val=&quot;00FB10C9&quot;/&gt;&lt;wsp:rsid wsp:val=&quot;00FB19B7&quot;/&gt;&lt;wsp:rsid wsp:val=&quot;00FB1C2D&quot;/&gt;&lt;wsp:rsid wsp:val=&quot;00FB2394&quot;/&gt;&lt;wsp:rsid wsp:val=&quot;00FB31DF&quot;/&gt;&lt;wsp:rsid wsp:val=&quot;00FB326F&quot;/&gt;&lt;wsp:rsid wsp:val=&quot;00FB5168&quot;/&gt;&lt;wsp:rsid wsp:val=&quot;00FB67F8&quot;/&gt;&lt;wsp:rsid wsp:val=&quot;00FB6E81&quot;/&gt;&lt;wsp:rsid wsp:val=&quot;00FB7E51&quot;/&gt;&lt;wsp:rsid wsp:val=&quot;00FC1232&quot;/&gt;&lt;wsp:rsid wsp:val=&quot;00FC1D84&quot;/&gt;&lt;wsp:rsid wsp:val=&quot;00FC51E7&quot;/&gt;&lt;wsp:rsid wsp:val=&quot;00FC64D5&quot;/&gt;&lt;wsp:rsid wsp:val=&quot;00FC6601&quot;/&gt;&lt;wsp:rsid wsp:val=&quot;00FC6669&quot;/&gt;&lt;wsp:rsid wsp:val=&quot;00FD2BE4&quot;/&gt;&lt;wsp:rsid wsp:val=&quot;00FD2FC9&quot;/&gt;&lt;wsp:rsid wsp:val=&quot;00FD3666&quot;/&gt;&lt;wsp:rsid wsp:val=&quot;00FD413B&quot;/&gt;&lt;wsp:rsid wsp:val=&quot;00FD56CF&quot;/&gt;&lt;wsp:rsid wsp:val=&quot;00FD5FB9&quot;/&gt;&lt;wsp:rsid wsp:val=&quot;00FD68F7&quot;/&gt;&lt;wsp:rsid wsp:val=&quot;00FD764A&quot;/&gt;&lt;wsp:rsid wsp:val=&quot;00FE01C3&quot;/&gt;&lt;wsp:rsid wsp:val=&quot;00FE0824&quot;/&gt;&lt;wsp:rsid wsp:val=&quot;00FE2B21&quot;/&gt;&lt;wsp:rsid wsp:val=&quot;00FE3694&quot;/&gt;&lt;wsp:rsid wsp:val=&quot;00FE3831&quot;/&gt;&lt;wsp:rsid wsp:val=&quot;00FE4470&quot;/&gt;&lt;wsp:rsid wsp:val=&quot;00FE4942&quot;/&gt;&lt;wsp:rsid wsp:val=&quot;00FE5501&quot;/&gt;&lt;wsp:rsid wsp:val=&quot;00FE6672&quot;/&gt;&lt;wsp:rsid wsp:val=&quot;00FF1BB3&quot;/&gt;&lt;wsp:rsid wsp:val=&quot;00FF1EA7&quot;/&gt;&lt;wsp:rsid wsp:val=&quot;00FF3EFC&quot;/&gt;&lt;wsp:rsid wsp:val=&quot;00FF564A&quot;/&gt;&lt;wsp:rsid wsp:val=&quot;00FF5E4E&quot;/&gt;&lt;wsp:rsid wsp:val=&quot;00FF5E57&quot;/&gt;&lt;wsp:rsid wsp:val=&quot;00FF65AB&quot;/&gt;&lt;wsp:rsid wsp:val=&quot;00FF798B&quot;/&gt;&lt;/wsp:rsids&gt;&lt;/w:docPr&gt;&lt;w:body&gt;&lt;wx:sect&gt;&lt;w:p wsp:rsidR=&quot;00000000&quot; wsp:rsidRPr=&quot;00477507&quot; wsp:rsidRDefault=&quot;00477507&quot; wsp:rsidP=&quot;00477507&quot;&gt;&lt;m:oMathPara&gt;&lt;m:oMath&gt;&lt;m:sSub&gt;&lt;m:sSubPr&gt;&lt;m:ctrlPr&gt;&lt;w:rPr&gt;&lt;w:rFonts w:ascii=&quot;Cambria Math&quot; w:h-ansi=&quot;Cambria Math&quot;/&gt;&lt;wx:font wx:val=&quot;Cambria Math&quot;/&gt;&lt;w:i/&gt;&lt;w:kern w:val=&quot;28&quot;/&gt;&lt;w:sz-cs w:val=&quot;24&quot;/&gt;&lt;w:lang w:val=&quot;ES&quot;/&gt;&lt;/w:rPr&gt;&lt;/m:ctrlPr&gt;&lt;/m:sSubPr&gt;&lt;m:e&gt;&lt;m:r&gt;&lt;w:rPr&gt;&lt;w:rFonts w:ascii=&quot;Cambria Math&quot; w:h-ansi=&quot;Cambria Math&quot;/&gt;&lt;wx:font wx:val=&quot;Cambria Math&quot;/&gt;&lt;w:i/&gt;&lt;w:kern w:val=&quot;28&quot;/&gt;&lt;w:sz-cs w:val=&quot;24&quot;/&gt;&lt;w:lang w:val=&quot;ES&quot;/&gt;&lt;/w:rPr&gt;&lt;m:t&gt;B&lt;/m:t&gt;&lt;/m:r&gt;&lt;/m:e&gt;&lt;m:sub&gt;&lt;m:r&gt;&lt;w:rPr&gt;&lt;w:rFonts w:ascii=&quot;Cambria Math&quot; w:h-ansi=&quot;Cambria Math&quot;/&gt;&lt;wx:font wx:val=&quot;Cambria Math&quot;/&gt;&lt;w:i/&gt;&lt;w:kern w:val=&quot;28&quot;/&gt;&lt;w:sz-cs w:val=&quot;24&quot;/&gt;&lt;w:lang w:val=&quot;ES&quot;/&gt;&lt;/w:rPr&gt;&lt;m:t&gt;t&lt;/m:t&gt;&lt;/m:r&gt;&lt;/m:sub&gt;&lt;/m:sSub&gt;&lt;m:r&gt;&lt;w:rPr&gt;&lt;w:rFonts w:ascii=&quot;Cambria Math&quot; w:h-ansi=&quot;Cambria Math&quot;/&gt;&lt;wx:font wx:val=&quot;Cambria Math&quot;/&gt;&lt;w:i/&gt;&lt;w:kern w:val=&quot;28&quot;/&gt;&lt;w:sz-cs w:val=&quot;24&quot;/&gt;&lt;w:lang w:val=&quot;ES&quot;/&gt;&lt;/w:rPr&gt;&lt;m:t&gt;=&lt;/m:t&gt;&lt;/m:r&gt;&lt;m:nary&gt;&lt;m:naryPr&gt;&lt;m:chr m:val=&quot;‚àë&quot;/&gt;&lt;m:limLoc m:val=&quot;undOvr&quot;/&gt;&lt;m:ctrlPr&gt;&lt;w:rPr&gt;&lt;w:rFonts w:ascii=&quot;Cambria Math&quot; w:h-ansi=&quot;Cambria Math&quot;/&gt;&lt;wx:font wx:val=&quot;Cambria Math&quot;/&gt;&lt;w:i/&gt;&lt;w:kern w:val=&quot;28&quot;/&gt;&lt;w:sz-cs w:val=&quot;24&quot;/&gt;&lt;w:lang w:val=&quot;ES&quot;/&gt;&lt;/w:rPr&gt;&lt;/m:ctrlPr&gt;&lt;/m:naryPr&gt;&lt;m:sub&gt;&lt;m:r&gt;&lt;w:rPr&gt;&lt;w:rFonts w:ascii=&quot;Cambria Math&quot; w:h-ansi=&quot;Cambria Math&quot;/&gt;&lt;wx:font wx:val=&quot;Cambria Math&quot;/&gt;&lt;w:i/&gt;&lt;w:kern w:val=&quot;28&quot;/&gt;&lt;w:sz-cs w:val=&quot;24&quot;/&gt;&lt;w:lang w:val=&quot;ES&quot;/&gt;&lt;/w:rPr&gt;&lt;m:t&gt;t=1&lt;/m:t&gt;&lt;/m:r&gt;&lt;/m:sub&gt;&lt;m:sup&gt;&lt;m:r&gt;&lt;w:rPr&gt;&lt;w:rFonts w:ascii=&quot;Cambria Math&quot; w:h-ansi=&quot;Cambria Math&quot;/&gt;&lt;wx:font wx:val=&quot;Cambria Math&quot;/&gt;&lt;w:i/&gt;&lt;w:kern w:val=&quot;28&quot;/&gt;&lt;w:sz-cs w:val=&quot;24&quot;/&gt;&lt;w:lang w:val=&quot;ES&quot;/&gt;&lt;/w:rPr&gt;&lt;m:t&gt;10&lt;/m:t&gt;&lt;/m:r&gt;&lt;/m:sup&gt;&lt;m:e&gt;&lt;m:f&gt;&lt;m:fPr&gt;&lt;m:ctrlPr&gt;&lt;w:rPr&gt;&lt;w:rFonts w:ascii=&quot;Cambria Math&quot; w:h-ansi=&quot;Cambria Math&quot;/&gt;&lt;wx:font wx:val=&quot;Cambria Math&quot;/&gt;&lt;w:i/&gt;&lt;w:kern w:val=&quot;28&quot;/&gt;&lt;w:sz-cs w:val=&quot;24&quot;/&gt;&lt;w:lang w:val=&quot;ES&quot;/&gt;&lt;/w:rPr&gt;&lt;/m:ctrlPr&gt;&lt;/m:fPr&gt;&lt;m:num&gt;&lt;m:sSub&gt;&lt;m:sSubPr&gt;&lt;m:ctrlPr&gt;&lt;w:rPr&gt;&lt;w:rFonts w:ascii=&quot;Cambria Math&quot; w:h-ansi=&quot;Cambria Math&quot;/&gt;&lt;wx:font wx:val=&quot;Cambria Math&quot;/&gt;&lt;w:i/&gt;&lt;w:kern w:val=&quot;28&quot;/&gt;&lt;w:sz-cs w:val=&quot;24&quot;/&gt;&lt;w:lang w:val=&quot;ES&quot;/&gt;&lt;/w:rPr&gt;&lt;/m:ctrlPr&gt;&lt;/m:sSubPr&gt;&lt;m:e&gt;&lt;m:r&gt;&lt;w:rPr&gt;&lt;w:rFonts w:ascii=&quot;Cambria Math&quot; w:h-ansi=&quot;Cambria Math&quot;/&gt;&lt;wx:font wx:val=&quot;Cambria Math&quot;/&gt;&lt;w:i/&gt;&lt;w:kern w:val=&quot;28&quot;/&gt;&lt;w:sz-cs w:val=&quot;24&quot;/&gt;&lt;w:lang w:val=&quot;ES&quot;/&gt;&lt;/w:rPr&gt;&lt;m:t&gt;B&lt;/m:t&gt;&lt;/m:r&gt;&lt;/m:e&gt;&lt;m:sub&gt;&lt;m:r&gt;&lt;w:rPr&gt;&lt;w:rFonts w:ascii=&quot;Cambria Math&quot; w:h-ansi=&quot;Cambria Math&quot;/&gt;&lt;wx:font wx:val=&quot;Cambria Math&quot;/&gt;&lt;w:i/&gt;&lt;w:kern w:val=&quot;28&quot;/&gt;&lt;w:sz-cs w:val=&quot;24&quot;/&gt;&lt;w:lang w:val=&quot;ES&quot;/&gt;&lt;/w:rPr&gt;&lt;m:t&gt;t&lt;/m:t&gt;&lt;/m:r&gt;&lt;/m:sub&gt;&lt;/m:sSub&gt;&lt;/m:num&gt;&lt;m:den&gt;&lt;m:sSup&gt;&lt;m:sSupPr&gt;&lt;m:ctrlPr&gt;&lt;w:rPr&gt;&lt;w:rFonts w:ascii=&quot;Cambria Math&quot; w:h-ansi=&quot;Cambria Math&quot;/&gt;&lt;wx:font wx:val=&quot;Cambria Math&quot;/&gt;&lt;w:i/&gt;&lt;w:kern w:val=&quot;28&quot;/&gt;&lt;w:sz-cs w:val=&quot;24&quot;/&gt;&lt;w:lang w:val=&quot;ES&quot;/&gt;&lt;/w:rPr&gt;&lt;/m:ctrlPr&gt;&lt;/m:sSupPr&gt;&lt;m:e&gt;&lt;m:r&gt;&lt;w:rPr&gt;&lt;w:rFonts w:ascii=&quot;Cambria Math&quot; w:h-ansi=&quot;Cambria Math&quot;/&gt;&lt;wx:font wx:val=&quot;Cambria Math&quot;/&gt;&lt;w:i/&gt;&lt;w:kern w:val=&quot;28&quot;/&gt;&lt;w:sz-cs w:val=&quot;24&quot;/&gt;&lt;w:lang w:val=&quot;ES&quot;/&gt;&lt;/w:rPr&gt;&lt;m:t&gt;1,12&lt;/m:t&gt;&lt;/m:r&gt;&lt;/m:e&gt;&lt;m:sup&gt;&lt;m:r&gt;&lt;w:rPr&gt;&lt;w:rFonts w:ascii=&quot;Cambria Math&quot; w:h-ansi=&quot;Cambria Math&quot;/&gt;&lt;wx:font wx:val=&quot;Cambria Math&quot;/&gt;&lt;w:i/&gt;&lt;w:kern w:val=&quot;28&quot;/&gt;&lt;w:sz-cs w:val=&quot;24&quot;/&gt;&lt;w:lang w:val=&quot;ES&quot;/&gt;&lt;/w:rPr&gt;&lt;m:t&gt;t&lt;/m:t&gt;&lt;/m:r&gt;&lt;/m:sup&gt;&lt;/m:sSup&gt;&lt;/m:den&gt;&lt;/m:f&gt;&lt;/m:e&gt;&lt;/m:nary&gt;&lt;/m:oMath&gt;&lt;/m:oMathPara&gt;&lt;/w:p&gt;&lt;w:sectPr wsp:rsidR=&quot;00000000&quot; wsp:rsidRPr=&quot;00477507&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p>
    <w:p w14:paraId="38C6CECF" w14:textId="108642AB" w:rsidR="00E675EC" w:rsidRPr="00F30F48" w:rsidRDefault="00FD764A" w:rsidP="00A3246A">
      <w:pPr>
        <w:pStyle w:val="Paragraph"/>
        <w:numPr>
          <w:ilvl w:val="0"/>
          <w:numId w:val="0"/>
        </w:numPr>
        <w:spacing w:before="0" w:after="0"/>
        <w:ind w:left="990" w:hanging="567"/>
        <w:rPr>
          <w:rFonts w:ascii="Arial" w:hAnsi="Arial" w:cs="Arial"/>
          <w:kern w:val="28"/>
          <w:sz w:val="22"/>
          <w:szCs w:val="22"/>
        </w:rPr>
      </w:pPr>
      <w:r w:rsidRPr="00F30F48">
        <w:rPr>
          <w:rFonts w:ascii="Arial" w:hAnsi="Arial" w:cs="Arial"/>
          <w:kern w:val="28"/>
          <w:sz w:val="22"/>
          <w:szCs w:val="22"/>
        </w:rPr>
        <w:tab/>
      </w:r>
      <w:r w:rsidR="000F5806" w:rsidRPr="00F30F48">
        <w:rPr>
          <w:rFonts w:ascii="Arial" w:hAnsi="Arial" w:cs="Arial"/>
          <w:kern w:val="28"/>
          <w:sz w:val="22"/>
          <w:szCs w:val="22"/>
        </w:rPr>
        <w:t>d</w:t>
      </w:r>
      <w:r w:rsidR="007B3237" w:rsidRPr="00F30F48">
        <w:rPr>
          <w:rFonts w:ascii="Arial" w:hAnsi="Arial" w:cs="Arial"/>
          <w:kern w:val="28"/>
          <w:sz w:val="22"/>
          <w:szCs w:val="22"/>
        </w:rPr>
        <w:t>onde</w:t>
      </w:r>
      <w:r w:rsidR="004605A7" w:rsidRPr="00F30F48">
        <w:rPr>
          <w:rFonts w:ascii="Arial" w:hAnsi="Arial" w:cs="Arial"/>
          <w:kern w:val="28"/>
          <w:sz w:val="22"/>
          <w:szCs w:val="22"/>
        </w:rPr>
        <w:t xml:space="preserve"> </w:t>
      </w:r>
      <w:r w:rsidR="007B3237" w:rsidRPr="00F30F48">
        <w:rPr>
          <w:rFonts w:ascii="Arial" w:hAnsi="Arial" w:cs="Arial"/>
          <w:kern w:val="28"/>
          <w:sz w:val="22"/>
          <w:szCs w:val="22"/>
        </w:rPr>
        <w:t xml:space="preserve"> </w:t>
      </w:r>
      <m:oMath>
        <m:r>
          <w:rPr>
            <w:rFonts w:ascii="Cambria Math" w:hAnsi="Cambria Math"/>
            <w:kern w:val="28"/>
            <w:szCs w:val="24"/>
          </w:rPr>
          <m:t>B</m:t>
        </m:r>
      </m:oMath>
      <w:r w:rsidR="007B3237" w:rsidRPr="00F30F48">
        <w:rPr>
          <w:rFonts w:ascii="Arial" w:hAnsi="Arial" w:cs="Arial"/>
          <w:kern w:val="28"/>
          <w:sz w:val="22"/>
          <w:szCs w:val="22"/>
        </w:rPr>
        <w:t xml:space="preserve"> denota</w:t>
      </w:r>
      <w:r w:rsidR="00DF5014" w:rsidRPr="00F30F48">
        <w:rPr>
          <w:rFonts w:ascii="Arial" w:hAnsi="Arial" w:cs="Arial"/>
          <w:kern w:val="28"/>
          <w:sz w:val="22"/>
          <w:szCs w:val="22"/>
        </w:rPr>
        <w:t xml:space="preserve"> los</w:t>
      </w:r>
      <w:r w:rsidR="007B3237" w:rsidRPr="00F30F48">
        <w:rPr>
          <w:rFonts w:ascii="Arial" w:hAnsi="Arial" w:cs="Arial"/>
          <w:kern w:val="28"/>
          <w:sz w:val="22"/>
          <w:szCs w:val="22"/>
        </w:rPr>
        <w:t xml:space="preserve"> beneficios y </w:t>
      </w:r>
      <m:oMath>
        <m:r>
          <w:rPr>
            <w:rFonts w:ascii="Cambria Math" w:hAnsi="Cambria Math"/>
            <w:kern w:val="28"/>
            <w:szCs w:val="24"/>
          </w:rPr>
          <m:t>t</m:t>
        </m:r>
      </m:oMath>
      <w:r w:rsidR="007B3237" w:rsidRPr="00F30F48">
        <w:rPr>
          <w:rFonts w:ascii="Arial" w:hAnsi="Arial" w:cs="Arial"/>
          <w:kern w:val="28"/>
          <w:sz w:val="22"/>
          <w:szCs w:val="22"/>
        </w:rPr>
        <w:t xml:space="preserve"> indica el año corriente. </w:t>
      </w:r>
    </w:p>
    <w:p w14:paraId="4F4915BE" w14:textId="44DA969B" w:rsidR="00A3246A" w:rsidRDefault="00A3246A" w:rsidP="00A3246A">
      <w:pPr>
        <w:pStyle w:val="Paragraph"/>
        <w:numPr>
          <w:ilvl w:val="0"/>
          <w:numId w:val="0"/>
        </w:numPr>
        <w:spacing w:before="0" w:after="0"/>
        <w:ind w:left="990" w:hanging="567"/>
        <w:rPr>
          <w:rFonts w:ascii="Arial" w:hAnsi="Arial" w:cs="Arial"/>
          <w:kern w:val="28"/>
          <w:sz w:val="22"/>
          <w:szCs w:val="22"/>
        </w:rPr>
      </w:pPr>
    </w:p>
    <w:p w14:paraId="10D086B0" w14:textId="2ACBC144" w:rsidR="00985845" w:rsidRDefault="00985845" w:rsidP="00A3246A">
      <w:pPr>
        <w:pStyle w:val="Paragraph"/>
        <w:numPr>
          <w:ilvl w:val="0"/>
          <w:numId w:val="0"/>
        </w:numPr>
        <w:spacing w:before="0" w:after="0"/>
        <w:ind w:left="990" w:hanging="567"/>
        <w:rPr>
          <w:rFonts w:ascii="Arial" w:hAnsi="Arial" w:cs="Arial"/>
          <w:kern w:val="28"/>
          <w:sz w:val="22"/>
          <w:szCs w:val="22"/>
        </w:rPr>
      </w:pPr>
    </w:p>
    <w:p w14:paraId="65C21170" w14:textId="77777777" w:rsidR="00985845" w:rsidRPr="00F30F48" w:rsidRDefault="00985845" w:rsidP="00A3246A">
      <w:pPr>
        <w:pStyle w:val="Paragraph"/>
        <w:numPr>
          <w:ilvl w:val="0"/>
          <w:numId w:val="0"/>
        </w:numPr>
        <w:spacing w:before="0" w:after="0"/>
        <w:ind w:left="990" w:hanging="567"/>
        <w:rPr>
          <w:rFonts w:ascii="Arial" w:hAnsi="Arial" w:cs="Arial"/>
          <w:kern w:val="28"/>
          <w:sz w:val="22"/>
          <w:szCs w:val="22"/>
        </w:rPr>
      </w:pPr>
    </w:p>
    <w:p w14:paraId="3DF8AD8C" w14:textId="7EE64CFC" w:rsidR="00EC062F" w:rsidRPr="007B39F9" w:rsidRDefault="00EC062F" w:rsidP="007B39F9">
      <w:pPr>
        <w:spacing w:after="0" w:line="240" w:lineRule="auto"/>
        <w:jc w:val="center"/>
        <w:rPr>
          <w:rFonts w:ascii="Arial" w:eastAsia="Times New Roman" w:hAnsi="Arial" w:cs="Arial"/>
          <w:b/>
          <w:bCs/>
          <w:color w:val="000000"/>
          <w:sz w:val="18"/>
          <w:szCs w:val="18"/>
          <w:lang w:val="es-ES"/>
        </w:rPr>
      </w:pPr>
      <w:r w:rsidRPr="007B39F9">
        <w:rPr>
          <w:rFonts w:ascii="Arial" w:eastAsia="Times New Roman" w:hAnsi="Arial" w:cs="Arial"/>
          <w:b/>
          <w:bCs/>
          <w:color w:val="000000"/>
          <w:sz w:val="18"/>
          <w:szCs w:val="18"/>
          <w:lang w:val="es-ES"/>
        </w:rPr>
        <w:t xml:space="preserve">Tabla </w:t>
      </w:r>
      <w:r w:rsidR="006C0C06" w:rsidRPr="007B39F9">
        <w:rPr>
          <w:rFonts w:ascii="Arial" w:eastAsia="Times New Roman" w:hAnsi="Arial" w:cs="Arial"/>
          <w:b/>
          <w:bCs/>
          <w:color w:val="000000"/>
          <w:sz w:val="18"/>
          <w:szCs w:val="18"/>
          <w:lang w:val="es-ES"/>
        </w:rPr>
        <w:t>1</w:t>
      </w:r>
      <w:r w:rsidRPr="007B39F9">
        <w:rPr>
          <w:rFonts w:ascii="Arial" w:eastAsia="Times New Roman" w:hAnsi="Arial" w:cs="Arial"/>
          <w:b/>
          <w:bCs/>
          <w:color w:val="000000"/>
          <w:sz w:val="18"/>
          <w:szCs w:val="18"/>
          <w:lang w:val="es-ES"/>
        </w:rPr>
        <w:t xml:space="preserve">. Cálculo </w:t>
      </w:r>
      <w:r w:rsidR="005E2971" w:rsidRPr="007B39F9">
        <w:rPr>
          <w:rFonts w:ascii="Arial" w:eastAsia="Times New Roman" w:hAnsi="Arial" w:cs="Arial"/>
          <w:b/>
          <w:bCs/>
          <w:color w:val="000000"/>
          <w:sz w:val="18"/>
          <w:szCs w:val="18"/>
          <w:lang w:val="es-ES"/>
        </w:rPr>
        <w:t xml:space="preserve">de </w:t>
      </w:r>
      <w:r w:rsidRPr="007B39F9">
        <w:rPr>
          <w:rFonts w:ascii="Arial" w:eastAsia="Times New Roman" w:hAnsi="Arial" w:cs="Arial"/>
          <w:b/>
          <w:bCs/>
          <w:color w:val="000000"/>
          <w:sz w:val="18"/>
          <w:szCs w:val="18"/>
          <w:lang w:val="es-ES"/>
        </w:rPr>
        <w:t xml:space="preserve">los beneficios </w:t>
      </w:r>
      <w:r w:rsidR="005E2971" w:rsidRPr="007B39F9">
        <w:rPr>
          <w:rFonts w:ascii="Arial" w:eastAsia="Times New Roman" w:hAnsi="Arial" w:cs="Arial"/>
          <w:b/>
          <w:bCs/>
          <w:color w:val="000000"/>
          <w:sz w:val="18"/>
          <w:szCs w:val="18"/>
          <w:lang w:val="es-ES"/>
        </w:rPr>
        <w:t>por</w:t>
      </w:r>
      <w:r w:rsidR="0025258C" w:rsidRPr="007B39F9">
        <w:rPr>
          <w:rFonts w:ascii="Arial" w:eastAsia="Times New Roman" w:hAnsi="Arial" w:cs="Arial"/>
          <w:b/>
          <w:bCs/>
          <w:color w:val="000000"/>
          <w:sz w:val="18"/>
          <w:szCs w:val="18"/>
          <w:lang w:val="es-ES"/>
        </w:rPr>
        <w:t xml:space="preserve"> proceso por</w:t>
      </w:r>
      <w:r w:rsidR="005E2971" w:rsidRPr="007B39F9">
        <w:rPr>
          <w:rFonts w:ascii="Arial" w:eastAsia="Times New Roman" w:hAnsi="Arial" w:cs="Arial"/>
          <w:b/>
          <w:bCs/>
          <w:color w:val="000000"/>
          <w:sz w:val="18"/>
          <w:szCs w:val="18"/>
          <w:lang w:val="es-ES"/>
        </w:rPr>
        <w:t xml:space="preserve"> abogado</w:t>
      </w:r>
      <w:r w:rsidRPr="007B39F9">
        <w:rPr>
          <w:rFonts w:ascii="Arial" w:eastAsia="Times New Roman" w:hAnsi="Arial" w:cs="Arial"/>
          <w:b/>
          <w:bCs/>
          <w:color w:val="000000"/>
          <w:sz w:val="18"/>
          <w:szCs w:val="18"/>
          <w:lang w:val="es-ES"/>
        </w:rPr>
        <w:t xml:space="preserve"> por </w:t>
      </w:r>
      <w:r w:rsidR="005E2971" w:rsidRPr="007B39F9">
        <w:rPr>
          <w:rFonts w:ascii="Arial" w:eastAsia="Times New Roman" w:hAnsi="Arial" w:cs="Arial"/>
          <w:b/>
          <w:bCs/>
          <w:color w:val="000000"/>
          <w:sz w:val="18"/>
          <w:szCs w:val="18"/>
          <w:lang w:val="es-ES"/>
        </w:rPr>
        <w:t>aumento e</w:t>
      </w:r>
      <w:r w:rsidR="0025258C" w:rsidRPr="007B39F9">
        <w:rPr>
          <w:rFonts w:ascii="Arial" w:eastAsia="Times New Roman" w:hAnsi="Arial" w:cs="Arial"/>
          <w:b/>
          <w:bCs/>
          <w:color w:val="000000"/>
          <w:sz w:val="18"/>
          <w:szCs w:val="18"/>
          <w:lang w:val="es-ES"/>
        </w:rPr>
        <w:t>n productividad</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83"/>
        <w:gridCol w:w="1458"/>
        <w:gridCol w:w="3189"/>
      </w:tblGrid>
      <w:tr w:rsidR="00EC062F" w:rsidRPr="007B39F9" w14:paraId="3068C49F" w14:textId="77777777" w:rsidTr="007B39F9">
        <w:trPr>
          <w:trHeight w:val="197"/>
          <w:jc w:val="center"/>
        </w:trPr>
        <w:tc>
          <w:tcPr>
            <w:tcW w:w="567" w:type="dxa"/>
            <w:shd w:val="clear" w:color="auto" w:fill="D9D9D9" w:themeFill="background1" w:themeFillShade="D9"/>
            <w:noWrap/>
            <w:vAlign w:val="bottom"/>
          </w:tcPr>
          <w:p w14:paraId="08269F3E" w14:textId="77777777" w:rsidR="00EC062F" w:rsidRPr="007B39F9" w:rsidRDefault="00EC062F" w:rsidP="00BC272B">
            <w:pPr>
              <w:spacing w:after="0" w:line="240" w:lineRule="auto"/>
              <w:jc w:val="center"/>
              <w:rPr>
                <w:rFonts w:ascii="Arial" w:eastAsia="Times New Roman" w:hAnsi="Arial" w:cs="Arial"/>
                <w:color w:val="000000"/>
                <w:sz w:val="18"/>
                <w:szCs w:val="18"/>
                <w:lang w:val="es-ES"/>
              </w:rPr>
            </w:pPr>
          </w:p>
        </w:tc>
        <w:tc>
          <w:tcPr>
            <w:tcW w:w="3383" w:type="dxa"/>
            <w:shd w:val="clear" w:color="auto" w:fill="D9D9D9" w:themeFill="background1" w:themeFillShade="D9"/>
            <w:noWrap/>
          </w:tcPr>
          <w:p w14:paraId="4CB7B6A9" w14:textId="77777777" w:rsidR="00EC062F" w:rsidRPr="007B39F9" w:rsidRDefault="00EC062F" w:rsidP="00BC272B">
            <w:pPr>
              <w:spacing w:after="0" w:line="240" w:lineRule="auto"/>
              <w:jc w:val="center"/>
              <w:rPr>
                <w:rFonts w:ascii="Arial" w:eastAsia="Times New Roman" w:hAnsi="Arial" w:cs="Arial"/>
                <w:b/>
                <w:color w:val="000000"/>
                <w:sz w:val="18"/>
                <w:szCs w:val="18"/>
                <w:lang w:val="es-ES"/>
              </w:rPr>
            </w:pPr>
            <w:r w:rsidRPr="007B39F9">
              <w:rPr>
                <w:rFonts w:ascii="Arial" w:eastAsia="Times New Roman" w:hAnsi="Arial" w:cs="Arial"/>
                <w:b/>
                <w:color w:val="000000"/>
                <w:sz w:val="18"/>
                <w:szCs w:val="18"/>
                <w:lang w:val="es-ES"/>
              </w:rPr>
              <w:t>Variable</w:t>
            </w:r>
          </w:p>
        </w:tc>
        <w:tc>
          <w:tcPr>
            <w:tcW w:w="1458" w:type="dxa"/>
            <w:shd w:val="clear" w:color="auto" w:fill="D9D9D9" w:themeFill="background1" w:themeFillShade="D9"/>
            <w:noWrap/>
          </w:tcPr>
          <w:p w14:paraId="3EE74085" w14:textId="77777777" w:rsidR="00EC062F" w:rsidRPr="007B39F9" w:rsidRDefault="00EC062F" w:rsidP="00BC272B">
            <w:pPr>
              <w:spacing w:after="0" w:line="240" w:lineRule="auto"/>
              <w:jc w:val="center"/>
              <w:rPr>
                <w:rFonts w:ascii="Arial" w:eastAsia="Times New Roman" w:hAnsi="Arial" w:cs="Arial"/>
                <w:b/>
                <w:color w:val="000000"/>
                <w:sz w:val="18"/>
                <w:szCs w:val="18"/>
                <w:lang w:val="es-ES"/>
              </w:rPr>
            </w:pPr>
            <w:r w:rsidRPr="007B39F9">
              <w:rPr>
                <w:rFonts w:ascii="Arial" w:eastAsia="Times New Roman" w:hAnsi="Arial" w:cs="Arial"/>
                <w:b/>
                <w:color w:val="000000"/>
                <w:sz w:val="18"/>
                <w:szCs w:val="18"/>
                <w:lang w:val="es-ES"/>
              </w:rPr>
              <w:t>Valor</w:t>
            </w:r>
          </w:p>
        </w:tc>
        <w:tc>
          <w:tcPr>
            <w:tcW w:w="3189" w:type="dxa"/>
            <w:shd w:val="clear" w:color="auto" w:fill="D9D9D9" w:themeFill="background1" w:themeFillShade="D9"/>
            <w:noWrap/>
          </w:tcPr>
          <w:p w14:paraId="48A300F6" w14:textId="77777777" w:rsidR="00EC062F" w:rsidRPr="007B39F9" w:rsidRDefault="00EC062F" w:rsidP="00BC272B">
            <w:pPr>
              <w:spacing w:after="0" w:line="240" w:lineRule="auto"/>
              <w:jc w:val="center"/>
              <w:rPr>
                <w:rFonts w:ascii="Arial" w:eastAsia="Times New Roman" w:hAnsi="Arial" w:cs="Arial"/>
                <w:b/>
                <w:color w:val="000000"/>
                <w:sz w:val="18"/>
                <w:szCs w:val="18"/>
                <w:lang w:val="es-ES"/>
              </w:rPr>
            </w:pPr>
            <w:r w:rsidRPr="007B39F9">
              <w:rPr>
                <w:rFonts w:ascii="Arial" w:eastAsia="Times New Roman" w:hAnsi="Arial" w:cs="Arial"/>
                <w:b/>
                <w:color w:val="000000"/>
                <w:sz w:val="18"/>
                <w:szCs w:val="18"/>
                <w:lang w:val="es-ES"/>
              </w:rPr>
              <w:t>Fuente</w:t>
            </w:r>
          </w:p>
        </w:tc>
      </w:tr>
      <w:tr w:rsidR="00EC062F" w:rsidRPr="007B39F9" w14:paraId="2F622532" w14:textId="77777777" w:rsidTr="00BC272B">
        <w:trPr>
          <w:trHeight w:val="197"/>
          <w:jc w:val="center"/>
        </w:trPr>
        <w:tc>
          <w:tcPr>
            <w:tcW w:w="567" w:type="dxa"/>
            <w:shd w:val="clear" w:color="auto" w:fill="auto"/>
            <w:noWrap/>
            <w:vAlign w:val="center"/>
            <w:hideMark/>
          </w:tcPr>
          <w:p w14:paraId="3E4BC6C7" w14:textId="53A2ED80" w:rsidR="00EC062F" w:rsidRPr="007B39F9" w:rsidRDefault="008D6FA8" w:rsidP="00BC272B">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00EC062F" w:rsidRPr="007B39F9">
              <w:rPr>
                <w:rFonts w:ascii="Arial" w:eastAsia="Times New Roman" w:hAnsi="Arial" w:cs="Arial"/>
                <w:color w:val="000000"/>
                <w:sz w:val="18"/>
                <w:szCs w:val="18"/>
                <w:lang w:val="es-ES"/>
              </w:rPr>
              <w:t>1</w:t>
            </w:r>
            <w:r>
              <w:rPr>
                <w:rFonts w:ascii="Arial" w:eastAsia="Times New Roman" w:hAnsi="Arial" w:cs="Arial"/>
                <w:color w:val="000000"/>
                <w:sz w:val="18"/>
                <w:szCs w:val="18"/>
                <w:lang w:val="es-ES"/>
              </w:rPr>
              <w:t>)</w:t>
            </w:r>
          </w:p>
        </w:tc>
        <w:tc>
          <w:tcPr>
            <w:tcW w:w="3383" w:type="dxa"/>
            <w:shd w:val="clear" w:color="auto" w:fill="auto"/>
            <w:noWrap/>
            <w:vAlign w:val="center"/>
            <w:hideMark/>
          </w:tcPr>
          <w:p w14:paraId="7C1590EA" w14:textId="7630051B" w:rsidR="00EC062F" w:rsidRPr="007B39F9" w:rsidRDefault="005E2971" w:rsidP="00BC272B">
            <w:pPr>
              <w:spacing w:after="0" w:line="240" w:lineRule="auto"/>
              <w:rPr>
                <w:rFonts w:ascii="Arial" w:eastAsia="Times New Roman" w:hAnsi="Arial" w:cs="Arial"/>
                <w:color w:val="000000"/>
                <w:sz w:val="18"/>
                <w:szCs w:val="18"/>
                <w:lang w:val="es-ES"/>
              </w:rPr>
            </w:pPr>
            <w:r w:rsidRPr="007B39F9">
              <w:rPr>
                <w:rFonts w:ascii="Arial" w:eastAsia="Times New Roman" w:hAnsi="Arial" w:cs="Arial"/>
                <w:color w:val="000000"/>
                <w:sz w:val="18"/>
                <w:szCs w:val="18"/>
                <w:lang w:val="es-ES"/>
              </w:rPr>
              <w:t xml:space="preserve">Valor </w:t>
            </w:r>
            <w:r w:rsidR="004D47C3">
              <w:rPr>
                <w:rFonts w:ascii="Arial" w:eastAsia="Times New Roman" w:hAnsi="Arial" w:cs="Arial"/>
                <w:color w:val="000000"/>
                <w:sz w:val="18"/>
                <w:szCs w:val="18"/>
                <w:lang w:val="es-ES"/>
              </w:rPr>
              <w:t xml:space="preserve"> promed</w:t>
            </w:r>
            <w:r w:rsidR="00FC1B92">
              <w:rPr>
                <w:rFonts w:ascii="Arial" w:eastAsia="Times New Roman" w:hAnsi="Arial" w:cs="Arial"/>
                <w:color w:val="000000"/>
                <w:sz w:val="18"/>
                <w:szCs w:val="18"/>
                <w:lang w:val="es-ES"/>
              </w:rPr>
              <w:t xml:space="preserve">io por </w:t>
            </w:r>
            <w:r w:rsidRPr="007B39F9">
              <w:rPr>
                <w:rFonts w:ascii="Arial" w:eastAsia="Times New Roman" w:hAnsi="Arial" w:cs="Arial"/>
                <w:color w:val="000000"/>
                <w:sz w:val="18"/>
                <w:szCs w:val="18"/>
                <w:lang w:val="es-ES"/>
              </w:rPr>
              <w:t>proces</w:t>
            </w:r>
            <w:r w:rsidR="00FC1B92">
              <w:rPr>
                <w:rFonts w:ascii="Arial" w:eastAsia="Times New Roman" w:hAnsi="Arial" w:cs="Arial"/>
                <w:color w:val="000000"/>
                <w:sz w:val="18"/>
                <w:szCs w:val="18"/>
                <w:lang w:val="es-ES"/>
              </w:rPr>
              <w:t>o</w:t>
            </w:r>
          </w:p>
        </w:tc>
        <w:tc>
          <w:tcPr>
            <w:tcW w:w="1458" w:type="dxa"/>
            <w:shd w:val="clear" w:color="auto" w:fill="auto"/>
            <w:noWrap/>
            <w:vAlign w:val="center"/>
            <w:hideMark/>
          </w:tcPr>
          <w:p w14:paraId="53FBAD2D" w14:textId="77777777" w:rsidR="00BD48B0" w:rsidRPr="007B39F9" w:rsidRDefault="00BD48B0" w:rsidP="00BA58EB">
            <w:pPr>
              <w:spacing w:after="0" w:line="240" w:lineRule="auto"/>
              <w:jc w:val="right"/>
              <w:rPr>
                <w:rFonts w:ascii="Arial" w:eastAsia="Times New Roman" w:hAnsi="Arial" w:cs="Arial"/>
                <w:color w:val="000000"/>
                <w:sz w:val="18"/>
                <w:szCs w:val="18"/>
              </w:rPr>
            </w:pPr>
          </w:p>
          <w:p w14:paraId="62654BEE" w14:textId="6FDA8450" w:rsidR="00EC062F" w:rsidRPr="007B39F9" w:rsidRDefault="000C03C6" w:rsidP="00BA58EB">
            <w:pPr>
              <w:spacing w:after="0" w:line="240" w:lineRule="auto"/>
              <w:jc w:val="right"/>
              <w:rPr>
                <w:rFonts w:ascii="Arial" w:eastAsia="Times New Roman" w:hAnsi="Arial" w:cs="Arial"/>
                <w:color w:val="000000"/>
                <w:sz w:val="18"/>
                <w:szCs w:val="18"/>
              </w:rPr>
            </w:pPr>
            <w:r w:rsidRPr="007B39F9">
              <w:rPr>
                <w:rFonts w:ascii="Arial" w:eastAsia="Times New Roman" w:hAnsi="Arial" w:cs="Arial"/>
                <w:color w:val="000000"/>
                <w:sz w:val="18"/>
                <w:szCs w:val="18"/>
              </w:rPr>
              <w:t>US</w:t>
            </w:r>
            <w:r w:rsidR="007B39F9">
              <w:rPr>
                <w:rFonts w:ascii="Arial" w:eastAsia="Times New Roman" w:hAnsi="Arial" w:cs="Arial"/>
                <w:color w:val="000000"/>
                <w:sz w:val="18"/>
                <w:szCs w:val="18"/>
              </w:rPr>
              <w:t>$</w:t>
            </w:r>
            <w:r w:rsidR="00582EDF" w:rsidRPr="007B39F9">
              <w:rPr>
                <w:rFonts w:ascii="Arial" w:eastAsia="Times New Roman" w:hAnsi="Arial" w:cs="Arial"/>
                <w:color w:val="000000"/>
                <w:sz w:val="18"/>
                <w:szCs w:val="18"/>
              </w:rPr>
              <w:t>74</w:t>
            </w:r>
            <w:r w:rsidR="007B39F9">
              <w:rPr>
                <w:rFonts w:ascii="Arial" w:eastAsia="Times New Roman" w:hAnsi="Arial" w:cs="Arial"/>
                <w:color w:val="000000"/>
                <w:sz w:val="18"/>
                <w:szCs w:val="18"/>
              </w:rPr>
              <w:t>.</w:t>
            </w:r>
            <w:r w:rsidR="00582EDF" w:rsidRPr="007B39F9">
              <w:rPr>
                <w:rFonts w:ascii="Arial" w:eastAsia="Times New Roman" w:hAnsi="Arial" w:cs="Arial"/>
                <w:color w:val="000000"/>
                <w:sz w:val="18"/>
                <w:szCs w:val="18"/>
              </w:rPr>
              <w:t>032</w:t>
            </w:r>
          </w:p>
        </w:tc>
        <w:tc>
          <w:tcPr>
            <w:tcW w:w="3189" w:type="dxa"/>
            <w:shd w:val="clear" w:color="auto" w:fill="auto"/>
            <w:noWrap/>
            <w:vAlign w:val="bottom"/>
            <w:hideMark/>
          </w:tcPr>
          <w:p w14:paraId="631ECB17" w14:textId="77777777" w:rsidR="00EC062F" w:rsidRPr="007B39F9" w:rsidRDefault="005E2971" w:rsidP="00BC272B">
            <w:pPr>
              <w:spacing w:after="0" w:line="240" w:lineRule="auto"/>
              <w:rPr>
                <w:rFonts w:ascii="Arial" w:eastAsia="Times New Roman" w:hAnsi="Arial" w:cs="Arial"/>
                <w:color w:val="000000"/>
                <w:sz w:val="18"/>
                <w:szCs w:val="18"/>
                <w:lang w:val="es-ES"/>
              </w:rPr>
            </w:pPr>
            <w:r w:rsidRPr="007B39F9">
              <w:rPr>
                <w:rFonts w:ascii="Arial" w:eastAsia="Times New Roman" w:hAnsi="Arial" w:cs="Arial"/>
                <w:color w:val="000000"/>
                <w:sz w:val="18"/>
                <w:szCs w:val="18"/>
                <w:lang w:val="es-ES"/>
              </w:rPr>
              <w:t>Agencia Nacional de Defensa Jurídica del Estado</w:t>
            </w:r>
          </w:p>
        </w:tc>
      </w:tr>
      <w:tr w:rsidR="00EC062F" w:rsidRPr="00A706F7" w14:paraId="2BF1BAD5" w14:textId="77777777" w:rsidTr="00BC272B">
        <w:trPr>
          <w:trHeight w:val="280"/>
          <w:jc w:val="center"/>
        </w:trPr>
        <w:tc>
          <w:tcPr>
            <w:tcW w:w="567" w:type="dxa"/>
            <w:shd w:val="clear" w:color="auto" w:fill="auto"/>
            <w:noWrap/>
            <w:vAlign w:val="center"/>
            <w:hideMark/>
          </w:tcPr>
          <w:p w14:paraId="6339C1F5" w14:textId="00B4970B" w:rsidR="00EC062F" w:rsidRPr="007B39F9" w:rsidRDefault="008D6FA8" w:rsidP="00BC272B">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00EC062F" w:rsidRPr="007B39F9">
              <w:rPr>
                <w:rFonts w:ascii="Arial" w:eastAsia="Times New Roman" w:hAnsi="Arial" w:cs="Arial"/>
                <w:color w:val="000000"/>
                <w:sz w:val="18"/>
                <w:szCs w:val="18"/>
                <w:lang w:val="es-ES"/>
              </w:rPr>
              <w:t>2</w:t>
            </w:r>
            <w:r>
              <w:rPr>
                <w:rFonts w:ascii="Arial" w:eastAsia="Times New Roman" w:hAnsi="Arial" w:cs="Arial"/>
                <w:color w:val="000000"/>
                <w:sz w:val="18"/>
                <w:szCs w:val="18"/>
                <w:lang w:val="es-ES"/>
              </w:rPr>
              <w:t>)</w:t>
            </w:r>
          </w:p>
        </w:tc>
        <w:tc>
          <w:tcPr>
            <w:tcW w:w="3383" w:type="dxa"/>
            <w:shd w:val="clear" w:color="auto" w:fill="auto"/>
            <w:noWrap/>
            <w:vAlign w:val="bottom"/>
            <w:hideMark/>
          </w:tcPr>
          <w:p w14:paraId="39D2C931" w14:textId="77777777" w:rsidR="00EC062F" w:rsidRPr="007B39F9" w:rsidRDefault="00EC062F" w:rsidP="00BC272B">
            <w:pPr>
              <w:spacing w:after="0" w:line="240" w:lineRule="auto"/>
              <w:rPr>
                <w:rFonts w:ascii="Arial" w:eastAsia="Times New Roman" w:hAnsi="Arial" w:cs="Arial"/>
                <w:color w:val="000000"/>
                <w:sz w:val="18"/>
                <w:szCs w:val="18"/>
                <w:lang w:val="es-ES"/>
              </w:rPr>
            </w:pPr>
            <w:r w:rsidRPr="007B39F9">
              <w:rPr>
                <w:rFonts w:ascii="Arial" w:eastAsia="Times New Roman" w:hAnsi="Arial" w:cs="Arial"/>
                <w:color w:val="000000"/>
                <w:sz w:val="18"/>
                <w:szCs w:val="18"/>
                <w:lang w:val="es-ES"/>
              </w:rPr>
              <w:t xml:space="preserve">Tasa de </w:t>
            </w:r>
            <w:r w:rsidR="005E2971" w:rsidRPr="007B39F9">
              <w:rPr>
                <w:rFonts w:ascii="Arial" w:eastAsia="Times New Roman" w:hAnsi="Arial" w:cs="Arial"/>
                <w:color w:val="000000"/>
                <w:sz w:val="18"/>
                <w:szCs w:val="18"/>
                <w:lang w:val="es-ES"/>
              </w:rPr>
              <w:t>incremento en la productividad</w:t>
            </w:r>
          </w:p>
        </w:tc>
        <w:tc>
          <w:tcPr>
            <w:tcW w:w="1458" w:type="dxa"/>
            <w:shd w:val="clear" w:color="auto" w:fill="auto"/>
            <w:noWrap/>
            <w:vAlign w:val="center"/>
            <w:hideMark/>
          </w:tcPr>
          <w:p w14:paraId="667D39EF" w14:textId="77777777" w:rsidR="00EC062F" w:rsidRPr="007B39F9" w:rsidRDefault="005E2971" w:rsidP="00BC272B">
            <w:pPr>
              <w:spacing w:after="0" w:line="240" w:lineRule="auto"/>
              <w:jc w:val="right"/>
              <w:rPr>
                <w:rFonts w:ascii="Arial" w:eastAsia="Times New Roman" w:hAnsi="Arial" w:cs="Arial"/>
                <w:color w:val="000000"/>
                <w:sz w:val="18"/>
                <w:szCs w:val="18"/>
                <w:lang w:val="es-ES"/>
              </w:rPr>
            </w:pPr>
            <w:r w:rsidRPr="007B39F9">
              <w:rPr>
                <w:rFonts w:ascii="Arial" w:eastAsia="Times New Roman" w:hAnsi="Arial" w:cs="Arial"/>
                <w:color w:val="000000"/>
                <w:sz w:val="18"/>
                <w:szCs w:val="18"/>
                <w:lang w:val="es-ES"/>
              </w:rPr>
              <w:t>25</w:t>
            </w:r>
            <w:r w:rsidR="00EC062F" w:rsidRPr="007B39F9">
              <w:rPr>
                <w:rFonts w:ascii="Arial" w:eastAsia="Times New Roman" w:hAnsi="Arial" w:cs="Arial"/>
                <w:color w:val="000000"/>
                <w:sz w:val="18"/>
                <w:szCs w:val="18"/>
                <w:lang w:val="es-ES"/>
              </w:rPr>
              <w:t>%</w:t>
            </w:r>
          </w:p>
        </w:tc>
        <w:tc>
          <w:tcPr>
            <w:tcW w:w="3189" w:type="dxa"/>
            <w:shd w:val="clear" w:color="auto" w:fill="auto"/>
            <w:noWrap/>
            <w:vAlign w:val="center"/>
            <w:hideMark/>
          </w:tcPr>
          <w:p w14:paraId="6D247D8F" w14:textId="77777777" w:rsidR="00EC062F" w:rsidRPr="007B39F9" w:rsidRDefault="00EC062F" w:rsidP="00BC272B">
            <w:pPr>
              <w:spacing w:after="0" w:line="240" w:lineRule="auto"/>
              <w:rPr>
                <w:rFonts w:ascii="Arial" w:eastAsia="Times New Roman" w:hAnsi="Arial" w:cs="Arial"/>
                <w:color w:val="000000"/>
                <w:sz w:val="18"/>
                <w:szCs w:val="18"/>
                <w:lang w:val="es-ES"/>
              </w:rPr>
            </w:pPr>
            <w:r w:rsidRPr="007B39F9">
              <w:rPr>
                <w:rFonts w:ascii="Arial" w:eastAsia="Times New Roman" w:hAnsi="Arial" w:cs="Arial"/>
                <w:color w:val="000000"/>
                <w:sz w:val="18"/>
                <w:szCs w:val="18"/>
                <w:lang w:val="es-ES"/>
              </w:rPr>
              <w:t xml:space="preserve">Supuesto </w:t>
            </w:r>
            <w:r w:rsidR="005E2971" w:rsidRPr="007B39F9">
              <w:rPr>
                <w:rFonts w:ascii="Arial" w:eastAsia="Times New Roman" w:hAnsi="Arial" w:cs="Arial"/>
                <w:color w:val="000000"/>
                <w:sz w:val="18"/>
                <w:szCs w:val="18"/>
                <w:lang w:val="es-ES"/>
              </w:rPr>
              <w:t>co</w:t>
            </w:r>
            <w:r w:rsidRPr="007B39F9">
              <w:rPr>
                <w:rFonts w:ascii="Arial" w:eastAsia="Times New Roman" w:hAnsi="Arial" w:cs="Arial"/>
                <w:color w:val="000000"/>
                <w:sz w:val="18"/>
                <w:szCs w:val="18"/>
                <w:lang w:val="es-ES"/>
              </w:rPr>
              <w:t xml:space="preserve">n base a </w:t>
            </w:r>
            <w:r w:rsidR="005E2971" w:rsidRPr="007B39F9">
              <w:rPr>
                <w:rFonts w:ascii="Arial" w:eastAsia="Times New Roman" w:hAnsi="Arial" w:cs="Arial"/>
                <w:color w:val="000000"/>
                <w:sz w:val="18"/>
                <w:szCs w:val="18"/>
                <w:lang w:val="es-ES"/>
              </w:rPr>
              <w:t>Chemin</w:t>
            </w:r>
            <w:r w:rsidRPr="007B39F9">
              <w:rPr>
                <w:rFonts w:ascii="Arial" w:eastAsia="Times New Roman" w:hAnsi="Arial" w:cs="Arial"/>
                <w:color w:val="000000"/>
                <w:sz w:val="18"/>
                <w:szCs w:val="18"/>
                <w:lang w:val="es-ES"/>
              </w:rPr>
              <w:t xml:space="preserve"> (200</w:t>
            </w:r>
            <w:r w:rsidR="005E2971" w:rsidRPr="007B39F9">
              <w:rPr>
                <w:rFonts w:ascii="Arial" w:eastAsia="Times New Roman" w:hAnsi="Arial" w:cs="Arial"/>
                <w:color w:val="000000"/>
                <w:sz w:val="18"/>
                <w:szCs w:val="18"/>
                <w:lang w:val="es-ES"/>
              </w:rPr>
              <w:t>9</w:t>
            </w:r>
            <w:r w:rsidRPr="007B39F9">
              <w:rPr>
                <w:rFonts w:ascii="Arial" w:eastAsia="Times New Roman" w:hAnsi="Arial" w:cs="Arial"/>
                <w:color w:val="000000"/>
                <w:sz w:val="18"/>
                <w:szCs w:val="18"/>
                <w:lang w:val="es-ES"/>
              </w:rPr>
              <w:t>)</w:t>
            </w:r>
          </w:p>
        </w:tc>
      </w:tr>
      <w:tr w:rsidR="00EC062F" w:rsidRPr="007B39F9" w14:paraId="6964D4D8" w14:textId="77777777" w:rsidTr="00BC272B">
        <w:trPr>
          <w:trHeight w:val="280"/>
          <w:jc w:val="center"/>
        </w:trPr>
        <w:tc>
          <w:tcPr>
            <w:tcW w:w="567" w:type="dxa"/>
            <w:shd w:val="clear" w:color="auto" w:fill="auto"/>
            <w:noWrap/>
            <w:vAlign w:val="bottom"/>
            <w:hideMark/>
          </w:tcPr>
          <w:p w14:paraId="739935CC" w14:textId="1D015E6A" w:rsidR="00EC062F" w:rsidRPr="007B39F9" w:rsidRDefault="008D6FA8" w:rsidP="00BC272B">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00EC062F" w:rsidRPr="007B39F9">
              <w:rPr>
                <w:rFonts w:ascii="Arial" w:eastAsia="Times New Roman" w:hAnsi="Arial" w:cs="Arial"/>
                <w:color w:val="000000"/>
                <w:sz w:val="18"/>
                <w:szCs w:val="18"/>
                <w:lang w:val="es-ES"/>
              </w:rPr>
              <w:t>3</w:t>
            </w:r>
            <w:r>
              <w:rPr>
                <w:rFonts w:ascii="Arial" w:eastAsia="Times New Roman" w:hAnsi="Arial" w:cs="Arial"/>
                <w:color w:val="000000"/>
                <w:sz w:val="18"/>
                <w:szCs w:val="18"/>
                <w:lang w:val="es-ES"/>
              </w:rPr>
              <w:t>)</w:t>
            </w:r>
          </w:p>
        </w:tc>
        <w:tc>
          <w:tcPr>
            <w:tcW w:w="3383" w:type="dxa"/>
            <w:shd w:val="clear" w:color="auto" w:fill="auto"/>
            <w:noWrap/>
            <w:vAlign w:val="bottom"/>
            <w:hideMark/>
          </w:tcPr>
          <w:p w14:paraId="57B1CAB2" w14:textId="3B641572" w:rsidR="00EC062F" w:rsidRPr="007B39F9" w:rsidRDefault="00EC062F" w:rsidP="00BC272B">
            <w:pPr>
              <w:spacing w:after="0" w:line="240" w:lineRule="auto"/>
              <w:rPr>
                <w:rFonts w:ascii="Arial" w:eastAsia="Times New Roman" w:hAnsi="Arial" w:cs="Arial"/>
                <w:color w:val="000000"/>
                <w:sz w:val="18"/>
                <w:szCs w:val="18"/>
                <w:lang w:val="es-ES"/>
              </w:rPr>
            </w:pPr>
            <w:r w:rsidRPr="007B39F9">
              <w:rPr>
                <w:rFonts w:ascii="Arial" w:eastAsia="Times New Roman" w:hAnsi="Arial" w:cs="Arial"/>
                <w:color w:val="000000"/>
                <w:sz w:val="18"/>
                <w:szCs w:val="18"/>
                <w:lang w:val="es-ES"/>
              </w:rPr>
              <w:t xml:space="preserve">Beneficios por </w:t>
            </w:r>
            <w:r w:rsidR="005E2971" w:rsidRPr="007B39F9">
              <w:rPr>
                <w:rFonts w:ascii="Arial" w:eastAsia="Times New Roman" w:hAnsi="Arial" w:cs="Arial"/>
                <w:color w:val="000000"/>
                <w:sz w:val="18"/>
                <w:szCs w:val="18"/>
                <w:lang w:val="es-ES"/>
              </w:rPr>
              <w:t>incremento en la productividad</w:t>
            </w:r>
            <w:r w:rsidR="00383C83" w:rsidRPr="007B39F9">
              <w:rPr>
                <w:rFonts w:ascii="Arial" w:eastAsia="Times New Roman" w:hAnsi="Arial" w:cs="Arial"/>
                <w:color w:val="000000"/>
                <w:sz w:val="18"/>
                <w:szCs w:val="18"/>
                <w:lang w:val="es-ES"/>
              </w:rPr>
              <w:t xml:space="preserve"> por proceso po</w:t>
            </w:r>
            <w:r w:rsidR="00BA58EB" w:rsidRPr="007B39F9">
              <w:rPr>
                <w:rFonts w:ascii="Arial" w:eastAsia="Times New Roman" w:hAnsi="Arial" w:cs="Arial"/>
                <w:color w:val="000000"/>
                <w:sz w:val="18"/>
                <w:szCs w:val="18"/>
                <w:lang w:val="es-ES"/>
              </w:rPr>
              <w:t>r abogado</w:t>
            </w:r>
          </w:p>
        </w:tc>
        <w:tc>
          <w:tcPr>
            <w:tcW w:w="1458" w:type="dxa"/>
            <w:shd w:val="clear" w:color="auto" w:fill="auto"/>
            <w:noWrap/>
            <w:vAlign w:val="center"/>
            <w:hideMark/>
          </w:tcPr>
          <w:p w14:paraId="5AB9E49B" w14:textId="0D93289B" w:rsidR="00EC062F" w:rsidRPr="007B39F9" w:rsidRDefault="000C03C6" w:rsidP="00582EDF">
            <w:pPr>
              <w:spacing w:after="0" w:line="240" w:lineRule="auto"/>
              <w:jc w:val="right"/>
              <w:rPr>
                <w:rFonts w:ascii="Arial" w:eastAsia="Times New Roman" w:hAnsi="Arial" w:cs="Arial"/>
                <w:color w:val="000000"/>
                <w:sz w:val="18"/>
                <w:szCs w:val="18"/>
              </w:rPr>
            </w:pPr>
            <w:r w:rsidRPr="007B39F9">
              <w:rPr>
                <w:rFonts w:ascii="Arial" w:eastAsia="Times New Roman" w:hAnsi="Arial" w:cs="Arial"/>
                <w:color w:val="000000"/>
                <w:sz w:val="18"/>
                <w:szCs w:val="18"/>
              </w:rPr>
              <w:t>US</w:t>
            </w:r>
            <w:r w:rsidR="007B39F9">
              <w:rPr>
                <w:rFonts w:ascii="Arial" w:eastAsia="Times New Roman" w:hAnsi="Arial" w:cs="Arial"/>
                <w:color w:val="000000"/>
                <w:sz w:val="18"/>
                <w:szCs w:val="18"/>
              </w:rPr>
              <w:t>$</w:t>
            </w:r>
            <w:r w:rsidR="00582EDF" w:rsidRPr="007B39F9">
              <w:rPr>
                <w:rFonts w:ascii="Arial" w:eastAsia="Times New Roman" w:hAnsi="Arial" w:cs="Arial"/>
                <w:color w:val="000000"/>
                <w:sz w:val="18"/>
                <w:szCs w:val="18"/>
              </w:rPr>
              <w:t>18</w:t>
            </w:r>
            <w:r w:rsidR="007B39F9">
              <w:rPr>
                <w:rFonts w:ascii="Arial" w:eastAsia="Times New Roman" w:hAnsi="Arial" w:cs="Arial"/>
                <w:color w:val="000000"/>
                <w:sz w:val="18"/>
                <w:szCs w:val="18"/>
              </w:rPr>
              <w:t>.</w:t>
            </w:r>
            <w:r w:rsidR="00582EDF" w:rsidRPr="007B39F9">
              <w:rPr>
                <w:rFonts w:ascii="Arial" w:eastAsia="Times New Roman" w:hAnsi="Arial" w:cs="Arial"/>
                <w:color w:val="000000"/>
                <w:sz w:val="18"/>
                <w:szCs w:val="18"/>
              </w:rPr>
              <w:t>508</w:t>
            </w:r>
          </w:p>
        </w:tc>
        <w:tc>
          <w:tcPr>
            <w:tcW w:w="3189" w:type="dxa"/>
            <w:shd w:val="clear" w:color="auto" w:fill="auto"/>
            <w:noWrap/>
            <w:vAlign w:val="bottom"/>
            <w:hideMark/>
          </w:tcPr>
          <w:p w14:paraId="2883F543" w14:textId="4BB75471" w:rsidR="00EC062F" w:rsidRPr="007B39F9" w:rsidRDefault="005E2971" w:rsidP="00BC272B">
            <w:pPr>
              <w:spacing w:after="0" w:line="240" w:lineRule="auto"/>
              <w:rPr>
                <w:rFonts w:ascii="Arial" w:eastAsia="Times New Roman" w:hAnsi="Arial" w:cs="Arial"/>
                <w:color w:val="000000"/>
                <w:sz w:val="18"/>
                <w:szCs w:val="18"/>
                <w:lang w:val="es-ES"/>
              </w:rPr>
            </w:pPr>
            <w:r w:rsidRPr="007B39F9">
              <w:rPr>
                <w:rFonts w:ascii="Arial" w:eastAsia="Times New Roman" w:hAnsi="Arial" w:cs="Arial"/>
                <w:color w:val="000000"/>
                <w:sz w:val="18"/>
                <w:szCs w:val="18"/>
                <w:lang w:val="es-ES"/>
              </w:rPr>
              <w:t xml:space="preserve">Productividad expresada en </w:t>
            </w:r>
            <w:r w:rsidR="000C03C6" w:rsidRPr="007B39F9">
              <w:rPr>
                <w:rFonts w:ascii="Arial" w:eastAsia="Times New Roman" w:hAnsi="Arial" w:cs="Arial"/>
                <w:color w:val="000000"/>
                <w:sz w:val="18"/>
                <w:szCs w:val="18"/>
                <w:lang w:val="es-ES"/>
              </w:rPr>
              <w:t xml:space="preserve">dólares </w:t>
            </w:r>
            <w:r w:rsidR="00BA58EB" w:rsidRPr="007B39F9">
              <w:rPr>
                <w:rFonts w:ascii="Arial" w:eastAsia="Times New Roman" w:hAnsi="Arial" w:cs="Arial"/>
                <w:color w:val="000000"/>
                <w:sz w:val="18"/>
                <w:szCs w:val="18"/>
                <w:lang w:val="es-ES"/>
              </w:rPr>
              <w:t>(1)*[1+(2)] - (1)</w:t>
            </w:r>
          </w:p>
        </w:tc>
      </w:tr>
    </w:tbl>
    <w:p w14:paraId="5C464393" w14:textId="77777777" w:rsidR="00BA58EB" w:rsidRPr="007B39F9" w:rsidRDefault="002932E4" w:rsidP="007B39F9">
      <w:pPr>
        <w:spacing w:after="0" w:line="480" w:lineRule="auto"/>
        <w:ind w:left="90"/>
        <w:rPr>
          <w:rFonts w:ascii="Arial" w:hAnsi="Arial" w:cs="Arial"/>
          <w:sz w:val="16"/>
          <w:szCs w:val="16"/>
          <w:lang w:val="es-ES"/>
        </w:rPr>
      </w:pPr>
      <w:r w:rsidRPr="007B39F9">
        <w:rPr>
          <w:rFonts w:ascii="Arial" w:hAnsi="Arial" w:cs="Arial"/>
          <w:sz w:val="16"/>
          <w:szCs w:val="16"/>
          <w:lang w:val="es-ES"/>
        </w:rPr>
        <w:t>Fuente. Estimaciones propias</w:t>
      </w:r>
      <w:r w:rsidR="00DE60D0" w:rsidRPr="007B39F9">
        <w:rPr>
          <w:rFonts w:ascii="Arial" w:hAnsi="Arial" w:cs="Arial"/>
          <w:sz w:val="16"/>
          <w:szCs w:val="16"/>
          <w:lang w:val="es-ES"/>
        </w:rPr>
        <w:t xml:space="preserve"> con base en información de la ANDJE</w:t>
      </w:r>
    </w:p>
    <w:p w14:paraId="7A321ADC" w14:textId="77777777" w:rsidR="004B4723" w:rsidRPr="00F30F48" w:rsidRDefault="004B4723" w:rsidP="00BA58EB">
      <w:pPr>
        <w:spacing w:after="0" w:line="240" w:lineRule="auto"/>
        <w:jc w:val="both"/>
        <w:rPr>
          <w:rFonts w:ascii="Arial" w:eastAsia="Times New Roman" w:hAnsi="Arial" w:cs="Arial"/>
          <w:kern w:val="28"/>
          <w:lang w:val="es-ES"/>
        </w:rPr>
      </w:pPr>
    </w:p>
    <w:p w14:paraId="3427B148" w14:textId="73F81B59" w:rsidR="0008751A" w:rsidRPr="007B39F9" w:rsidRDefault="0008751A" w:rsidP="007B39F9">
      <w:pPr>
        <w:pStyle w:val="TitulopostI"/>
        <w:numPr>
          <w:ilvl w:val="1"/>
          <w:numId w:val="33"/>
        </w:numPr>
        <w:spacing w:line="240" w:lineRule="auto"/>
        <w:ind w:hanging="720"/>
        <w:rPr>
          <w:rFonts w:ascii="Arial" w:hAnsi="Arial" w:cs="Arial"/>
          <w:b w:val="0"/>
          <w:sz w:val="22"/>
          <w:szCs w:val="22"/>
        </w:rPr>
      </w:pPr>
      <w:r w:rsidRPr="007B39F9">
        <w:rPr>
          <w:rFonts w:ascii="Arial" w:hAnsi="Arial" w:cs="Arial"/>
          <w:b w:val="0"/>
          <w:sz w:val="22"/>
          <w:szCs w:val="22"/>
        </w:rPr>
        <w:t>El cálculo de los beneficios brutos está relacionado con el costo del personal involucrado en relacionamiento directo de 157</w:t>
      </w:r>
      <w:r w:rsidRPr="00901A2E">
        <w:rPr>
          <w:rFonts w:ascii="Arial" w:hAnsi="Arial" w:cs="Arial"/>
          <w:b w:val="0"/>
          <w:sz w:val="22"/>
          <w:szCs w:val="22"/>
          <w:vertAlign w:val="superscript"/>
        </w:rPr>
        <w:footnoteReference w:id="29"/>
      </w:r>
      <w:r w:rsidRPr="007B39F9">
        <w:rPr>
          <w:rFonts w:ascii="Arial" w:hAnsi="Arial" w:cs="Arial"/>
          <w:b w:val="0"/>
          <w:sz w:val="22"/>
          <w:szCs w:val="22"/>
        </w:rPr>
        <w:t xml:space="preserve"> casos y la relación derivada del incremento en la productividad de dicho personal, manteniendo la planta constante. Así</w:t>
      </w:r>
      <w:r w:rsidR="006C0C06" w:rsidRPr="007B39F9">
        <w:rPr>
          <w:rFonts w:ascii="Arial" w:hAnsi="Arial" w:cs="Arial"/>
          <w:b w:val="0"/>
          <w:sz w:val="22"/>
          <w:szCs w:val="22"/>
        </w:rPr>
        <w:t>,</w:t>
      </w:r>
      <w:r w:rsidRPr="007B39F9">
        <w:rPr>
          <w:rFonts w:ascii="Arial" w:hAnsi="Arial" w:cs="Arial"/>
          <w:b w:val="0"/>
          <w:sz w:val="22"/>
          <w:szCs w:val="22"/>
        </w:rPr>
        <w:t xml:space="preserve"> al encontrar un costo promedio por proceso, </w:t>
      </w:r>
      <w:r w:rsidR="001563F5" w:rsidRPr="007B39F9">
        <w:rPr>
          <w:rFonts w:ascii="Arial" w:hAnsi="Arial" w:cs="Arial"/>
          <w:b w:val="0"/>
          <w:sz w:val="22"/>
          <w:szCs w:val="22"/>
        </w:rPr>
        <w:t xml:space="preserve">se puede </w:t>
      </w:r>
      <w:r w:rsidRPr="007B39F9">
        <w:rPr>
          <w:rFonts w:ascii="Arial" w:hAnsi="Arial" w:cs="Arial"/>
          <w:b w:val="0"/>
          <w:sz w:val="22"/>
          <w:szCs w:val="22"/>
        </w:rPr>
        <w:t>calcular el beneficio neto en productividad asociado a la reducción promedio de dicha variable.</w:t>
      </w:r>
    </w:p>
    <w:p w14:paraId="412C0257" w14:textId="77777777" w:rsidR="0008751A" w:rsidRPr="007B39F9" w:rsidRDefault="0008751A" w:rsidP="007B39F9">
      <w:pPr>
        <w:pStyle w:val="TitulopostI"/>
        <w:spacing w:line="240" w:lineRule="auto"/>
        <w:ind w:left="720" w:firstLine="0"/>
        <w:rPr>
          <w:rFonts w:ascii="Arial" w:hAnsi="Arial" w:cs="Arial"/>
          <w:b w:val="0"/>
          <w:sz w:val="22"/>
          <w:szCs w:val="22"/>
        </w:rPr>
      </w:pPr>
    </w:p>
    <w:p w14:paraId="0E9B47D4" w14:textId="103E2384" w:rsidR="00BA58EB" w:rsidRPr="007B39F9" w:rsidRDefault="0008751A" w:rsidP="007B39F9">
      <w:pPr>
        <w:pStyle w:val="TitulopostI"/>
        <w:numPr>
          <w:ilvl w:val="1"/>
          <w:numId w:val="33"/>
        </w:numPr>
        <w:spacing w:line="240" w:lineRule="auto"/>
        <w:ind w:hanging="720"/>
        <w:rPr>
          <w:rFonts w:ascii="Arial" w:eastAsia="Times New Roman" w:hAnsi="Arial" w:cs="Arial"/>
          <w:b w:val="0"/>
          <w:kern w:val="28"/>
          <w:sz w:val="22"/>
          <w:szCs w:val="22"/>
        </w:rPr>
      </w:pPr>
      <w:r w:rsidRPr="007B39F9">
        <w:rPr>
          <w:rFonts w:ascii="Arial" w:hAnsi="Arial" w:cs="Arial"/>
          <w:b w:val="0"/>
          <w:sz w:val="22"/>
          <w:szCs w:val="22"/>
        </w:rPr>
        <w:t>Al</w:t>
      </w:r>
      <w:r w:rsidR="00BA58EB" w:rsidRPr="007B39F9">
        <w:rPr>
          <w:rFonts w:ascii="Arial" w:hAnsi="Arial" w:cs="Arial"/>
          <w:b w:val="0"/>
          <w:sz w:val="22"/>
          <w:szCs w:val="22"/>
        </w:rPr>
        <w:t xml:space="preserve"> relacionar el incremento en el número de procesos promedio por abogado</w:t>
      </w:r>
      <w:r w:rsidR="004A7999" w:rsidRPr="007B39F9">
        <w:rPr>
          <w:rFonts w:ascii="Arial" w:hAnsi="Arial" w:cs="Arial"/>
          <w:b w:val="0"/>
          <w:sz w:val="22"/>
          <w:szCs w:val="22"/>
        </w:rPr>
        <w:t xml:space="preserve"> al interior de la Agencia</w:t>
      </w:r>
      <w:r w:rsidRPr="007B39F9">
        <w:rPr>
          <w:rFonts w:ascii="Arial" w:hAnsi="Arial" w:cs="Arial"/>
          <w:b w:val="0"/>
          <w:sz w:val="22"/>
          <w:szCs w:val="22"/>
        </w:rPr>
        <w:t>,</w:t>
      </w:r>
      <w:r w:rsidR="004A7999" w:rsidRPr="007B39F9">
        <w:rPr>
          <w:rFonts w:ascii="Arial" w:hAnsi="Arial" w:cs="Arial"/>
          <w:b w:val="0"/>
          <w:sz w:val="22"/>
          <w:szCs w:val="22"/>
        </w:rPr>
        <w:t xml:space="preserve"> con el número </w:t>
      </w:r>
      <w:r w:rsidR="0025258C" w:rsidRPr="007B39F9">
        <w:rPr>
          <w:rFonts w:ascii="Arial" w:hAnsi="Arial" w:cs="Arial"/>
          <w:b w:val="0"/>
          <w:sz w:val="22"/>
          <w:szCs w:val="22"/>
        </w:rPr>
        <w:t>de procesos por mayores pretensiones totales</w:t>
      </w:r>
      <w:r w:rsidR="004A7999" w:rsidRPr="007B39F9">
        <w:rPr>
          <w:rFonts w:ascii="Arial" w:hAnsi="Arial" w:cs="Arial"/>
          <w:b w:val="0"/>
          <w:sz w:val="22"/>
          <w:szCs w:val="22"/>
        </w:rPr>
        <w:t xml:space="preserve">, </w:t>
      </w:r>
      <w:r w:rsidR="001563F5" w:rsidRPr="007B39F9">
        <w:rPr>
          <w:rFonts w:ascii="Arial" w:hAnsi="Arial" w:cs="Arial"/>
          <w:b w:val="0"/>
          <w:sz w:val="22"/>
          <w:szCs w:val="22"/>
        </w:rPr>
        <w:t xml:space="preserve">se puede </w:t>
      </w:r>
      <w:r w:rsidR="004A7999" w:rsidRPr="007B39F9">
        <w:rPr>
          <w:rFonts w:ascii="Arial" w:hAnsi="Arial" w:cs="Arial"/>
          <w:b w:val="0"/>
          <w:sz w:val="22"/>
          <w:szCs w:val="22"/>
        </w:rPr>
        <w:t>calcular</w:t>
      </w:r>
      <w:r w:rsidR="004A7999" w:rsidRPr="007B39F9">
        <w:rPr>
          <w:rFonts w:ascii="Arial" w:eastAsia="Times New Roman" w:hAnsi="Arial" w:cs="Arial"/>
          <w:b w:val="0"/>
          <w:kern w:val="28"/>
          <w:sz w:val="22"/>
          <w:szCs w:val="22"/>
        </w:rPr>
        <w:t xml:space="preserve"> el incremento en la cobertura de la Agencia en el</w:t>
      </w:r>
      <w:r w:rsidR="0025258C" w:rsidRPr="007B39F9">
        <w:rPr>
          <w:rFonts w:ascii="Arial" w:eastAsia="Times New Roman" w:hAnsi="Arial" w:cs="Arial"/>
          <w:b w:val="0"/>
          <w:kern w:val="28"/>
          <w:sz w:val="22"/>
          <w:szCs w:val="22"/>
        </w:rPr>
        <w:t xml:space="preserve"> total de los procesos con mayores pretensiones</w:t>
      </w:r>
      <w:r w:rsidR="004A7999" w:rsidRPr="007B39F9">
        <w:rPr>
          <w:rFonts w:ascii="Arial" w:eastAsia="Times New Roman" w:hAnsi="Arial" w:cs="Arial"/>
          <w:b w:val="0"/>
          <w:kern w:val="28"/>
          <w:sz w:val="22"/>
          <w:szCs w:val="22"/>
        </w:rPr>
        <w:t xml:space="preserve">. Para esto </w:t>
      </w:r>
      <w:r w:rsidR="004B4723" w:rsidRPr="007B39F9">
        <w:rPr>
          <w:rFonts w:ascii="Arial" w:eastAsia="Times New Roman" w:hAnsi="Arial" w:cs="Arial"/>
          <w:b w:val="0"/>
          <w:kern w:val="28"/>
          <w:sz w:val="22"/>
          <w:szCs w:val="22"/>
        </w:rPr>
        <w:t>se considera</w:t>
      </w:r>
      <w:r w:rsidR="004A7999" w:rsidRPr="007B39F9">
        <w:rPr>
          <w:rFonts w:ascii="Arial" w:eastAsia="Times New Roman" w:hAnsi="Arial" w:cs="Arial"/>
          <w:b w:val="0"/>
          <w:kern w:val="28"/>
          <w:sz w:val="22"/>
          <w:szCs w:val="22"/>
        </w:rPr>
        <w:t xml:space="preserve"> el promedio de número de procesos por abogado y el promedio de </w:t>
      </w:r>
      <w:r w:rsidR="0025258C" w:rsidRPr="007B39F9">
        <w:rPr>
          <w:rFonts w:ascii="Arial" w:eastAsia="Times New Roman" w:hAnsi="Arial" w:cs="Arial"/>
          <w:b w:val="0"/>
          <w:kern w:val="28"/>
          <w:sz w:val="22"/>
          <w:szCs w:val="22"/>
        </w:rPr>
        <w:t>los costos de estos procesos</w:t>
      </w:r>
      <w:r w:rsidRPr="007B39F9">
        <w:rPr>
          <w:rFonts w:ascii="Arial" w:eastAsia="Times New Roman" w:hAnsi="Arial" w:cs="Arial"/>
          <w:b w:val="0"/>
          <w:kern w:val="28"/>
          <w:sz w:val="22"/>
          <w:szCs w:val="22"/>
        </w:rPr>
        <w:t xml:space="preserve"> en el año 0</w:t>
      </w:r>
      <w:r w:rsidR="0025258C" w:rsidRPr="007B39F9">
        <w:rPr>
          <w:rFonts w:ascii="Arial" w:eastAsia="Times New Roman" w:hAnsi="Arial" w:cs="Arial"/>
          <w:b w:val="0"/>
          <w:kern w:val="28"/>
          <w:sz w:val="22"/>
          <w:szCs w:val="22"/>
        </w:rPr>
        <w:t xml:space="preserve"> (2019)</w:t>
      </w:r>
      <w:r w:rsidRPr="007B39F9">
        <w:rPr>
          <w:rFonts w:ascii="Arial" w:eastAsia="Times New Roman" w:hAnsi="Arial" w:cs="Arial"/>
          <w:b w:val="0"/>
          <w:kern w:val="28"/>
          <w:sz w:val="22"/>
          <w:szCs w:val="22"/>
        </w:rPr>
        <w:t xml:space="preserve"> y </w:t>
      </w:r>
      <w:r w:rsidR="004B4723" w:rsidRPr="007B39F9">
        <w:rPr>
          <w:rFonts w:ascii="Arial" w:eastAsia="Times New Roman" w:hAnsi="Arial" w:cs="Arial"/>
          <w:b w:val="0"/>
          <w:kern w:val="28"/>
          <w:sz w:val="22"/>
          <w:szCs w:val="22"/>
        </w:rPr>
        <w:t>se compara</w:t>
      </w:r>
      <w:r w:rsidRPr="007B39F9">
        <w:rPr>
          <w:rFonts w:ascii="Arial" w:eastAsia="Times New Roman" w:hAnsi="Arial" w:cs="Arial"/>
          <w:b w:val="0"/>
          <w:kern w:val="28"/>
          <w:sz w:val="22"/>
          <w:szCs w:val="22"/>
        </w:rPr>
        <w:t xml:space="preserve"> con las proyecciones en los años futuros</w:t>
      </w:r>
      <w:r w:rsidR="004A7999" w:rsidRPr="007B39F9">
        <w:rPr>
          <w:rFonts w:ascii="Arial" w:eastAsia="Times New Roman" w:hAnsi="Arial" w:cs="Arial"/>
          <w:b w:val="0"/>
          <w:kern w:val="28"/>
          <w:sz w:val="22"/>
          <w:szCs w:val="22"/>
        </w:rPr>
        <w:t xml:space="preserve">. Al relacionar los dos resultados, </w:t>
      </w:r>
      <w:r w:rsidR="004B4723" w:rsidRPr="007B39F9">
        <w:rPr>
          <w:rFonts w:ascii="Arial" w:eastAsia="Times New Roman" w:hAnsi="Arial" w:cs="Arial"/>
          <w:b w:val="0"/>
          <w:kern w:val="28"/>
          <w:sz w:val="22"/>
          <w:szCs w:val="22"/>
        </w:rPr>
        <w:t xml:space="preserve">se puede </w:t>
      </w:r>
      <w:r w:rsidR="004A7999" w:rsidRPr="007B39F9">
        <w:rPr>
          <w:rFonts w:ascii="Arial" w:eastAsia="Times New Roman" w:hAnsi="Arial" w:cs="Arial"/>
          <w:b w:val="0"/>
          <w:kern w:val="28"/>
          <w:sz w:val="22"/>
          <w:szCs w:val="22"/>
        </w:rPr>
        <w:t>calcular el incremento en l</w:t>
      </w:r>
      <w:r w:rsidR="0025258C" w:rsidRPr="007B39F9">
        <w:rPr>
          <w:rFonts w:ascii="Arial" w:eastAsia="Times New Roman" w:hAnsi="Arial" w:cs="Arial"/>
          <w:b w:val="0"/>
          <w:kern w:val="28"/>
          <w:sz w:val="22"/>
          <w:szCs w:val="22"/>
        </w:rPr>
        <w:t>os procesos sobre lo</w:t>
      </w:r>
      <w:r w:rsidR="004A7999" w:rsidRPr="007B39F9">
        <w:rPr>
          <w:rFonts w:ascii="Arial" w:eastAsia="Times New Roman" w:hAnsi="Arial" w:cs="Arial"/>
          <w:b w:val="0"/>
          <w:kern w:val="28"/>
          <w:sz w:val="22"/>
          <w:szCs w:val="22"/>
        </w:rPr>
        <w:t>s cuales la ANDJE tiene directa incidencia</w:t>
      </w:r>
      <w:r w:rsidR="004A7999" w:rsidRPr="007B39F9">
        <w:rPr>
          <w:rStyle w:val="FootnoteReference"/>
          <w:rFonts w:ascii="Arial" w:eastAsia="Times New Roman" w:hAnsi="Arial" w:cs="Arial"/>
          <w:b w:val="0"/>
          <w:kern w:val="28"/>
          <w:sz w:val="22"/>
          <w:szCs w:val="22"/>
        </w:rPr>
        <w:footnoteReference w:id="30"/>
      </w:r>
      <w:r w:rsidR="004A7999" w:rsidRPr="007B39F9">
        <w:rPr>
          <w:rFonts w:ascii="Arial" w:eastAsia="Times New Roman" w:hAnsi="Arial" w:cs="Arial"/>
          <w:b w:val="0"/>
          <w:kern w:val="28"/>
          <w:sz w:val="22"/>
          <w:szCs w:val="22"/>
        </w:rPr>
        <w:t>.</w:t>
      </w:r>
    </w:p>
    <w:p w14:paraId="761F594B" w14:textId="77777777" w:rsidR="00BA58EB" w:rsidRPr="00F30F48" w:rsidRDefault="00BA58EB" w:rsidP="00422AE0">
      <w:pPr>
        <w:spacing w:after="0" w:line="480" w:lineRule="auto"/>
        <w:jc w:val="both"/>
        <w:rPr>
          <w:rFonts w:ascii="Arial" w:hAnsi="Arial" w:cs="Arial"/>
          <w:lang w:val="es-ES"/>
        </w:rPr>
      </w:pPr>
    </w:p>
    <w:p w14:paraId="2BB184D0" w14:textId="77777777" w:rsidR="00B84211" w:rsidRPr="00F30F48" w:rsidRDefault="00474B5D" w:rsidP="007B39F9">
      <w:pPr>
        <w:numPr>
          <w:ilvl w:val="0"/>
          <w:numId w:val="1"/>
        </w:numPr>
        <w:spacing w:after="0" w:line="480" w:lineRule="auto"/>
        <w:ind w:left="720" w:hanging="720"/>
        <w:jc w:val="both"/>
        <w:rPr>
          <w:rFonts w:ascii="Arial" w:hAnsi="Arial" w:cs="Arial"/>
          <w:b/>
          <w:lang w:val="es-ES"/>
        </w:rPr>
      </w:pPr>
      <w:r w:rsidRPr="00F30F48">
        <w:rPr>
          <w:rFonts w:ascii="Arial" w:hAnsi="Arial" w:cs="Arial"/>
          <w:b/>
          <w:lang w:val="es-ES"/>
        </w:rPr>
        <w:t xml:space="preserve">Resultados, </w:t>
      </w:r>
      <w:r w:rsidR="00714298" w:rsidRPr="00F30F48">
        <w:rPr>
          <w:rFonts w:ascii="Arial" w:hAnsi="Arial" w:cs="Arial"/>
          <w:b/>
          <w:lang w:val="es-ES"/>
        </w:rPr>
        <w:t>análisis</w:t>
      </w:r>
      <w:r w:rsidR="00FA3356" w:rsidRPr="00F30F48">
        <w:rPr>
          <w:rFonts w:ascii="Arial" w:hAnsi="Arial" w:cs="Arial"/>
          <w:b/>
          <w:lang w:val="es-ES"/>
        </w:rPr>
        <w:t xml:space="preserve"> de sensibilidad</w:t>
      </w:r>
      <w:r w:rsidRPr="00F30F48">
        <w:rPr>
          <w:rFonts w:ascii="Arial" w:hAnsi="Arial" w:cs="Arial"/>
          <w:b/>
          <w:lang w:val="es-ES"/>
        </w:rPr>
        <w:t xml:space="preserve"> y </w:t>
      </w:r>
      <w:r w:rsidR="00714298" w:rsidRPr="00F30F48">
        <w:rPr>
          <w:rFonts w:ascii="Arial" w:hAnsi="Arial" w:cs="Arial"/>
          <w:b/>
          <w:lang w:val="es-ES"/>
        </w:rPr>
        <w:t>discusión</w:t>
      </w:r>
    </w:p>
    <w:p w14:paraId="3ABD8640" w14:textId="3CA170D5" w:rsidR="00582EDF" w:rsidRPr="00F30F48" w:rsidRDefault="00FA3356" w:rsidP="007B39F9">
      <w:pPr>
        <w:pStyle w:val="Paragraph"/>
        <w:numPr>
          <w:ilvl w:val="1"/>
          <w:numId w:val="1"/>
        </w:numPr>
        <w:spacing w:before="0" w:after="0"/>
        <w:ind w:left="720" w:hanging="720"/>
        <w:rPr>
          <w:rFonts w:ascii="Arial" w:hAnsi="Arial" w:cs="Arial"/>
          <w:sz w:val="22"/>
          <w:szCs w:val="22"/>
        </w:rPr>
      </w:pPr>
      <w:r w:rsidRPr="00F30F48">
        <w:rPr>
          <w:rFonts w:ascii="Arial" w:hAnsi="Arial" w:cs="Arial"/>
          <w:sz w:val="22"/>
          <w:szCs w:val="22"/>
        </w:rPr>
        <w:t xml:space="preserve">Debido a la </w:t>
      </w:r>
      <w:r w:rsidR="00C34A85" w:rsidRPr="00F30F48">
        <w:rPr>
          <w:rFonts w:ascii="Arial" w:hAnsi="Arial" w:cs="Arial"/>
          <w:sz w:val="22"/>
          <w:szCs w:val="22"/>
        </w:rPr>
        <w:t>magnitud</w:t>
      </w:r>
      <w:r w:rsidR="00845A0D" w:rsidRPr="00F30F48">
        <w:rPr>
          <w:rFonts w:ascii="Arial" w:hAnsi="Arial" w:cs="Arial"/>
          <w:sz w:val="22"/>
          <w:szCs w:val="22"/>
        </w:rPr>
        <w:t xml:space="preserve"> de</w:t>
      </w:r>
      <w:r w:rsidR="00C34A85" w:rsidRPr="00F30F48">
        <w:rPr>
          <w:rFonts w:ascii="Arial" w:hAnsi="Arial" w:cs="Arial"/>
          <w:sz w:val="22"/>
          <w:szCs w:val="22"/>
        </w:rPr>
        <w:t xml:space="preserve"> l</w:t>
      </w:r>
      <w:r w:rsidR="003F4FFF" w:rsidRPr="00F30F48">
        <w:rPr>
          <w:rFonts w:ascii="Arial" w:hAnsi="Arial" w:cs="Arial"/>
          <w:sz w:val="22"/>
          <w:szCs w:val="22"/>
        </w:rPr>
        <w:t>os distintos supuestos realizados</w:t>
      </w:r>
      <w:r w:rsidRPr="00F30F48">
        <w:rPr>
          <w:rFonts w:ascii="Arial" w:hAnsi="Arial" w:cs="Arial"/>
          <w:sz w:val="22"/>
          <w:szCs w:val="22"/>
        </w:rPr>
        <w:t xml:space="preserve">, </w:t>
      </w:r>
      <w:r w:rsidR="009A6312" w:rsidRPr="00F30F48">
        <w:rPr>
          <w:rFonts w:ascii="Arial" w:hAnsi="Arial" w:cs="Arial"/>
          <w:sz w:val="22"/>
          <w:szCs w:val="22"/>
        </w:rPr>
        <w:t>se presentan</w:t>
      </w:r>
      <w:r w:rsidR="006C0C06" w:rsidRPr="00F30F48">
        <w:rPr>
          <w:rFonts w:ascii="Arial" w:hAnsi="Arial" w:cs="Arial"/>
          <w:sz w:val="22"/>
          <w:szCs w:val="22"/>
        </w:rPr>
        <w:t xml:space="preserve"> los resultados en paralelo a</w:t>
      </w:r>
      <w:r w:rsidR="00845A0D" w:rsidRPr="00F30F48">
        <w:rPr>
          <w:rFonts w:ascii="Arial" w:hAnsi="Arial" w:cs="Arial"/>
          <w:sz w:val="22"/>
          <w:szCs w:val="22"/>
        </w:rPr>
        <w:t xml:space="preserve">l análisis de sensibilidad, en donde se incluyen </w:t>
      </w:r>
      <w:r w:rsidR="00935A5B" w:rsidRPr="00F30F48">
        <w:rPr>
          <w:rFonts w:ascii="Arial" w:hAnsi="Arial" w:cs="Arial"/>
          <w:sz w:val="22"/>
          <w:szCs w:val="22"/>
        </w:rPr>
        <w:t>dos</w:t>
      </w:r>
      <w:r w:rsidR="00845A0D" w:rsidRPr="00F30F48">
        <w:rPr>
          <w:rFonts w:ascii="Arial" w:hAnsi="Arial" w:cs="Arial"/>
          <w:sz w:val="22"/>
          <w:szCs w:val="22"/>
        </w:rPr>
        <w:t xml:space="preserve"> escenarios </w:t>
      </w:r>
      <w:r w:rsidR="009A6312" w:rsidRPr="00F30F48">
        <w:rPr>
          <w:rFonts w:ascii="Arial" w:hAnsi="Arial" w:cs="Arial"/>
          <w:sz w:val="22"/>
          <w:szCs w:val="22"/>
        </w:rPr>
        <w:t>alternativos al</w:t>
      </w:r>
      <w:r w:rsidR="00414834" w:rsidRPr="00F30F48">
        <w:rPr>
          <w:rFonts w:ascii="Arial" w:hAnsi="Arial" w:cs="Arial"/>
          <w:sz w:val="22"/>
          <w:szCs w:val="22"/>
        </w:rPr>
        <w:t xml:space="preserve"> </w:t>
      </w:r>
      <w:r w:rsidR="00845A0D" w:rsidRPr="00F30F48">
        <w:rPr>
          <w:rFonts w:ascii="Arial" w:hAnsi="Arial" w:cs="Arial"/>
          <w:sz w:val="22"/>
          <w:szCs w:val="22"/>
        </w:rPr>
        <w:t xml:space="preserve">base (uno </w:t>
      </w:r>
      <w:r w:rsidR="001563F5" w:rsidRPr="00F30F48">
        <w:rPr>
          <w:rFonts w:ascii="Arial" w:hAnsi="Arial" w:cs="Arial"/>
          <w:sz w:val="22"/>
          <w:szCs w:val="22"/>
        </w:rPr>
        <w:t>conservador</w:t>
      </w:r>
      <w:r w:rsidR="001371D4" w:rsidRPr="00F30F48">
        <w:rPr>
          <w:rFonts w:ascii="Arial" w:hAnsi="Arial" w:cs="Arial"/>
          <w:sz w:val="22"/>
          <w:szCs w:val="22"/>
        </w:rPr>
        <w:t>, con un incremento en productividad del 2</w:t>
      </w:r>
      <w:r w:rsidR="00CF36C9" w:rsidRPr="00F30F48">
        <w:rPr>
          <w:rFonts w:ascii="Arial" w:hAnsi="Arial" w:cs="Arial"/>
          <w:sz w:val="22"/>
          <w:szCs w:val="22"/>
        </w:rPr>
        <w:t>2</w:t>
      </w:r>
      <w:r w:rsidR="007B39F9">
        <w:rPr>
          <w:rFonts w:ascii="Arial" w:hAnsi="Arial" w:cs="Arial"/>
          <w:sz w:val="22"/>
          <w:szCs w:val="22"/>
        </w:rPr>
        <w:t>,</w:t>
      </w:r>
      <w:r w:rsidR="00CF36C9" w:rsidRPr="00F30F48">
        <w:rPr>
          <w:rFonts w:ascii="Arial" w:hAnsi="Arial" w:cs="Arial"/>
          <w:sz w:val="22"/>
          <w:szCs w:val="22"/>
        </w:rPr>
        <w:t>5</w:t>
      </w:r>
      <w:r w:rsidR="001371D4" w:rsidRPr="00F30F48">
        <w:rPr>
          <w:rFonts w:ascii="Arial" w:hAnsi="Arial" w:cs="Arial"/>
          <w:sz w:val="22"/>
          <w:szCs w:val="22"/>
        </w:rPr>
        <w:t>%</w:t>
      </w:r>
      <w:r w:rsidR="00845A0D" w:rsidRPr="00F30F48">
        <w:rPr>
          <w:rFonts w:ascii="Arial" w:hAnsi="Arial" w:cs="Arial"/>
          <w:sz w:val="22"/>
          <w:szCs w:val="22"/>
        </w:rPr>
        <w:t xml:space="preserve"> y otro </w:t>
      </w:r>
      <w:r w:rsidR="008C76D7" w:rsidRPr="00F30F48">
        <w:rPr>
          <w:rFonts w:ascii="Arial" w:hAnsi="Arial" w:cs="Arial"/>
          <w:sz w:val="22"/>
          <w:szCs w:val="22"/>
        </w:rPr>
        <w:t>optimista</w:t>
      </w:r>
      <w:r w:rsidR="001371D4" w:rsidRPr="00F30F48">
        <w:rPr>
          <w:rFonts w:ascii="Arial" w:hAnsi="Arial" w:cs="Arial"/>
          <w:sz w:val="22"/>
          <w:szCs w:val="22"/>
        </w:rPr>
        <w:t xml:space="preserve"> con un in</w:t>
      </w:r>
      <w:r w:rsidR="009A6312" w:rsidRPr="00F30F48">
        <w:rPr>
          <w:rFonts w:ascii="Arial" w:hAnsi="Arial" w:cs="Arial"/>
          <w:sz w:val="22"/>
          <w:szCs w:val="22"/>
        </w:rPr>
        <w:t>cremento en productividad del 2</w:t>
      </w:r>
      <w:r w:rsidR="00CF36C9" w:rsidRPr="00F30F48">
        <w:rPr>
          <w:rFonts w:ascii="Arial" w:hAnsi="Arial" w:cs="Arial"/>
          <w:sz w:val="22"/>
          <w:szCs w:val="22"/>
        </w:rPr>
        <w:t>7</w:t>
      </w:r>
      <w:r w:rsidR="007B39F9">
        <w:rPr>
          <w:rFonts w:ascii="Arial" w:hAnsi="Arial" w:cs="Arial"/>
          <w:sz w:val="22"/>
          <w:szCs w:val="22"/>
        </w:rPr>
        <w:t>,</w:t>
      </w:r>
      <w:r w:rsidR="00CF36C9" w:rsidRPr="00F30F48">
        <w:rPr>
          <w:rFonts w:ascii="Arial" w:hAnsi="Arial" w:cs="Arial"/>
          <w:sz w:val="22"/>
          <w:szCs w:val="22"/>
        </w:rPr>
        <w:t>5</w:t>
      </w:r>
      <w:r w:rsidR="001371D4" w:rsidRPr="00F30F48">
        <w:rPr>
          <w:rFonts w:ascii="Arial" w:hAnsi="Arial" w:cs="Arial"/>
          <w:sz w:val="22"/>
          <w:szCs w:val="22"/>
        </w:rPr>
        <w:t>%</w:t>
      </w:r>
      <w:r w:rsidR="00845A0D" w:rsidRPr="00F30F48">
        <w:rPr>
          <w:rFonts w:ascii="Arial" w:hAnsi="Arial" w:cs="Arial"/>
          <w:sz w:val="22"/>
          <w:szCs w:val="22"/>
        </w:rPr>
        <w:t>),</w:t>
      </w:r>
      <w:r w:rsidR="009918CD" w:rsidRPr="00F30F48">
        <w:rPr>
          <w:rFonts w:ascii="Arial" w:hAnsi="Arial" w:cs="Arial"/>
          <w:sz w:val="22"/>
          <w:szCs w:val="22"/>
        </w:rPr>
        <w:t xml:space="preserve"> en la Tabla </w:t>
      </w:r>
      <w:r w:rsidR="006C0C06" w:rsidRPr="00F30F48">
        <w:rPr>
          <w:rFonts w:ascii="Arial" w:hAnsi="Arial" w:cs="Arial"/>
          <w:sz w:val="22"/>
          <w:szCs w:val="22"/>
        </w:rPr>
        <w:t>2</w:t>
      </w:r>
      <w:r w:rsidRPr="00F30F48">
        <w:rPr>
          <w:rFonts w:ascii="Arial" w:hAnsi="Arial" w:cs="Arial"/>
          <w:sz w:val="22"/>
          <w:szCs w:val="22"/>
        </w:rPr>
        <w:t>.</w:t>
      </w:r>
      <w:r w:rsidR="00B04E21" w:rsidRPr="00F30F48">
        <w:rPr>
          <w:rFonts w:ascii="Arial" w:hAnsi="Arial" w:cs="Arial"/>
          <w:sz w:val="22"/>
          <w:szCs w:val="22"/>
        </w:rPr>
        <w:t xml:space="preserve"> Los cos</w:t>
      </w:r>
      <w:r w:rsidR="006C0C06" w:rsidRPr="00F30F48">
        <w:rPr>
          <w:rFonts w:ascii="Arial" w:hAnsi="Arial" w:cs="Arial"/>
          <w:sz w:val="22"/>
          <w:szCs w:val="22"/>
        </w:rPr>
        <w:t>tos del P</w:t>
      </w:r>
      <w:r w:rsidR="00755D73" w:rsidRPr="00F30F48">
        <w:rPr>
          <w:rFonts w:ascii="Arial" w:hAnsi="Arial" w:cs="Arial"/>
          <w:sz w:val="22"/>
          <w:szCs w:val="22"/>
        </w:rPr>
        <w:t xml:space="preserve">rograma ascienden a </w:t>
      </w:r>
      <w:r w:rsidR="00D3104D" w:rsidRPr="00F30F48">
        <w:rPr>
          <w:rFonts w:ascii="Arial" w:hAnsi="Arial" w:cs="Arial"/>
          <w:sz w:val="22"/>
          <w:szCs w:val="22"/>
        </w:rPr>
        <w:t>US</w:t>
      </w:r>
      <w:r w:rsidR="00C34A85" w:rsidRPr="00F30F48">
        <w:rPr>
          <w:rFonts w:ascii="Arial" w:hAnsi="Arial" w:cs="Arial"/>
          <w:sz w:val="22"/>
          <w:szCs w:val="22"/>
        </w:rPr>
        <w:t>$</w:t>
      </w:r>
      <w:r w:rsidR="0025258C" w:rsidRPr="00F30F48">
        <w:rPr>
          <w:rFonts w:ascii="Arial" w:hAnsi="Arial" w:cs="Arial"/>
          <w:sz w:val="22"/>
          <w:szCs w:val="22"/>
        </w:rPr>
        <w:t xml:space="preserve">14.022.079 </w:t>
      </w:r>
      <w:r w:rsidR="00B04E21" w:rsidRPr="00F30F48">
        <w:rPr>
          <w:rFonts w:ascii="Arial" w:hAnsi="Arial" w:cs="Arial"/>
          <w:sz w:val="22"/>
          <w:szCs w:val="22"/>
        </w:rPr>
        <w:t xml:space="preserve">y serán </w:t>
      </w:r>
      <w:r w:rsidR="00303C83" w:rsidRPr="00F30F48">
        <w:rPr>
          <w:rFonts w:ascii="Arial" w:hAnsi="Arial" w:cs="Arial"/>
          <w:sz w:val="22"/>
          <w:szCs w:val="22"/>
        </w:rPr>
        <w:t>distribuidos</w:t>
      </w:r>
      <w:r w:rsidR="0008751A" w:rsidRPr="00F30F48">
        <w:rPr>
          <w:rFonts w:ascii="Arial" w:hAnsi="Arial" w:cs="Arial"/>
          <w:sz w:val="22"/>
          <w:szCs w:val="22"/>
        </w:rPr>
        <w:t>,</w:t>
      </w:r>
      <w:r w:rsidR="00303C83" w:rsidRPr="00F30F48">
        <w:rPr>
          <w:rFonts w:ascii="Arial" w:hAnsi="Arial" w:cs="Arial"/>
          <w:sz w:val="22"/>
          <w:szCs w:val="22"/>
        </w:rPr>
        <w:t xml:space="preserve"> </w:t>
      </w:r>
      <w:r w:rsidR="0025258C" w:rsidRPr="00F30F48">
        <w:rPr>
          <w:rFonts w:ascii="Arial" w:hAnsi="Arial" w:cs="Arial"/>
          <w:sz w:val="22"/>
          <w:szCs w:val="22"/>
        </w:rPr>
        <w:t xml:space="preserve">así: </w:t>
      </w:r>
      <w:r w:rsidR="007B39F9">
        <w:rPr>
          <w:rFonts w:ascii="Arial" w:hAnsi="Arial" w:cs="Arial"/>
          <w:sz w:val="22"/>
          <w:szCs w:val="22"/>
        </w:rPr>
        <w:t>A</w:t>
      </w:r>
      <w:r w:rsidR="0025258C" w:rsidRPr="00F30F48">
        <w:rPr>
          <w:rFonts w:ascii="Arial" w:hAnsi="Arial" w:cs="Arial"/>
          <w:sz w:val="22"/>
          <w:szCs w:val="22"/>
        </w:rPr>
        <w:t>ño 0, 0</w:t>
      </w:r>
      <w:r w:rsidR="007B39F9">
        <w:rPr>
          <w:rFonts w:ascii="Arial" w:hAnsi="Arial" w:cs="Arial"/>
          <w:sz w:val="22"/>
          <w:szCs w:val="22"/>
        </w:rPr>
        <w:t>,</w:t>
      </w:r>
      <w:r w:rsidR="0025258C" w:rsidRPr="00F30F48">
        <w:rPr>
          <w:rFonts w:ascii="Arial" w:hAnsi="Arial" w:cs="Arial"/>
          <w:sz w:val="22"/>
          <w:szCs w:val="22"/>
        </w:rPr>
        <w:t>5</w:t>
      </w:r>
      <w:r w:rsidR="00C34A85" w:rsidRPr="00F30F48">
        <w:rPr>
          <w:rFonts w:ascii="Arial" w:hAnsi="Arial" w:cs="Arial"/>
          <w:sz w:val="22"/>
          <w:szCs w:val="22"/>
        </w:rPr>
        <w:t xml:space="preserve">%; </w:t>
      </w:r>
      <w:r w:rsidR="007B39F9">
        <w:rPr>
          <w:rFonts w:ascii="Arial" w:hAnsi="Arial" w:cs="Arial"/>
          <w:sz w:val="22"/>
          <w:szCs w:val="22"/>
        </w:rPr>
        <w:t>A</w:t>
      </w:r>
      <w:r w:rsidR="00C34A85" w:rsidRPr="00F30F48">
        <w:rPr>
          <w:rFonts w:ascii="Arial" w:hAnsi="Arial" w:cs="Arial"/>
          <w:sz w:val="22"/>
          <w:szCs w:val="22"/>
        </w:rPr>
        <w:t>ño 1</w:t>
      </w:r>
      <w:r w:rsidR="0025258C" w:rsidRPr="00F30F48">
        <w:rPr>
          <w:rFonts w:ascii="Arial" w:hAnsi="Arial" w:cs="Arial"/>
          <w:sz w:val="22"/>
          <w:szCs w:val="22"/>
        </w:rPr>
        <w:t xml:space="preserve">, 23%; </w:t>
      </w:r>
      <w:r w:rsidR="007B39F9">
        <w:rPr>
          <w:rFonts w:ascii="Arial" w:hAnsi="Arial" w:cs="Arial"/>
          <w:sz w:val="22"/>
          <w:szCs w:val="22"/>
        </w:rPr>
        <w:t>A</w:t>
      </w:r>
      <w:r w:rsidR="0025258C" w:rsidRPr="00F30F48">
        <w:rPr>
          <w:rFonts w:ascii="Arial" w:hAnsi="Arial" w:cs="Arial"/>
          <w:sz w:val="22"/>
          <w:szCs w:val="22"/>
        </w:rPr>
        <w:t>ño 2, 36</w:t>
      </w:r>
      <w:r w:rsidR="007B39F9">
        <w:rPr>
          <w:rFonts w:ascii="Arial" w:hAnsi="Arial" w:cs="Arial"/>
          <w:sz w:val="22"/>
          <w:szCs w:val="22"/>
        </w:rPr>
        <w:t>,</w:t>
      </w:r>
      <w:r w:rsidR="0025258C" w:rsidRPr="00F30F48">
        <w:rPr>
          <w:rFonts w:ascii="Arial" w:hAnsi="Arial" w:cs="Arial"/>
          <w:sz w:val="22"/>
          <w:szCs w:val="22"/>
        </w:rPr>
        <w:t xml:space="preserve">7%; </w:t>
      </w:r>
      <w:r w:rsidR="007B39F9">
        <w:rPr>
          <w:rFonts w:ascii="Arial" w:hAnsi="Arial" w:cs="Arial"/>
          <w:sz w:val="22"/>
          <w:szCs w:val="22"/>
        </w:rPr>
        <w:t>A</w:t>
      </w:r>
      <w:r w:rsidR="0025258C" w:rsidRPr="00F30F48">
        <w:rPr>
          <w:rFonts w:ascii="Arial" w:hAnsi="Arial" w:cs="Arial"/>
          <w:sz w:val="22"/>
          <w:szCs w:val="22"/>
        </w:rPr>
        <w:t>ño 3, 26</w:t>
      </w:r>
      <w:r w:rsidR="007B39F9">
        <w:rPr>
          <w:rFonts w:ascii="Arial" w:hAnsi="Arial" w:cs="Arial"/>
          <w:sz w:val="22"/>
          <w:szCs w:val="22"/>
        </w:rPr>
        <w:t>,</w:t>
      </w:r>
      <w:r w:rsidR="0025258C" w:rsidRPr="00F30F48">
        <w:rPr>
          <w:rFonts w:ascii="Arial" w:hAnsi="Arial" w:cs="Arial"/>
          <w:sz w:val="22"/>
          <w:szCs w:val="22"/>
        </w:rPr>
        <w:t xml:space="preserve">1%; y </w:t>
      </w:r>
      <w:r w:rsidR="007B39F9">
        <w:rPr>
          <w:rFonts w:ascii="Arial" w:hAnsi="Arial" w:cs="Arial"/>
          <w:sz w:val="22"/>
          <w:szCs w:val="22"/>
        </w:rPr>
        <w:t>A</w:t>
      </w:r>
      <w:r w:rsidR="0025258C" w:rsidRPr="00F30F48">
        <w:rPr>
          <w:rFonts w:ascii="Arial" w:hAnsi="Arial" w:cs="Arial"/>
          <w:sz w:val="22"/>
          <w:szCs w:val="22"/>
        </w:rPr>
        <w:t>ño 4, 23</w:t>
      </w:r>
      <w:r w:rsidR="00C34A85" w:rsidRPr="00F30F48">
        <w:rPr>
          <w:rFonts w:ascii="Arial" w:hAnsi="Arial" w:cs="Arial"/>
          <w:sz w:val="22"/>
          <w:szCs w:val="22"/>
        </w:rPr>
        <w:t>%.</w:t>
      </w:r>
      <w:r w:rsidR="00B04E21" w:rsidRPr="00F30F48">
        <w:rPr>
          <w:rFonts w:ascii="Arial" w:hAnsi="Arial" w:cs="Arial"/>
          <w:sz w:val="22"/>
          <w:szCs w:val="22"/>
        </w:rPr>
        <w:t xml:space="preserve"> </w:t>
      </w:r>
      <w:r w:rsidR="00C34A85" w:rsidRPr="00F30F48">
        <w:rPr>
          <w:rFonts w:ascii="Arial" w:hAnsi="Arial" w:cs="Arial"/>
          <w:sz w:val="22"/>
          <w:szCs w:val="22"/>
        </w:rPr>
        <w:t>D</w:t>
      </w:r>
      <w:r w:rsidR="00B04E21" w:rsidRPr="00F30F48">
        <w:rPr>
          <w:rFonts w:ascii="Arial" w:hAnsi="Arial" w:cs="Arial"/>
          <w:sz w:val="22"/>
          <w:szCs w:val="22"/>
        </w:rPr>
        <w:t xml:space="preserve">urante el </w:t>
      </w:r>
      <w:r w:rsidR="00303C83" w:rsidRPr="00F30F48">
        <w:rPr>
          <w:rFonts w:ascii="Arial" w:hAnsi="Arial" w:cs="Arial"/>
          <w:sz w:val="22"/>
          <w:szCs w:val="22"/>
        </w:rPr>
        <w:t>período</w:t>
      </w:r>
      <w:r w:rsidR="00B04E21" w:rsidRPr="00F30F48">
        <w:rPr>
          <w:rFonts w:ascii="Arial" w:hAnsi="Arial" w:cs="Arial"/>
          <w:sz w:val="22"/>
          <w:szCs w:val="22"/>
        </w:rPr>
        <w:t xml:space="preserve"> 201</w:t>
      </w:r>
      <w:r w:rsidR="00C34A85" w:rsidRPr="00F30F48">
        <w:rPr>
          <w:rFonts w:ascii="Arial" w:hAnsi="Arial" w:cs="Arial"/>
          <w:sz w:val="22"/>
          <w:szCs w:val="22"/>
        </w:rPr>
        <w:t>9</w:t>
      </w:r>
      <w:r w:rsidR="00755D73" w:rsidRPr="00F30F48">
        <w:rPr>
          <w:rFonts w:ascii="Arial" w:hAnsi="Arial" w:cs="Arial"/>
          <w:sz w:val="22"/>
          <w:szCs w:val="22"/>
        </w:rPr>
        <w:noBreakHyphen/>
      </w:r>
      <w:r w:rsidR="00303C83" w:rsidRPr="00F30F48">
        <w:rPr>
          <w:rFonts w:ascii="Arial" w:hAnsi="Arial" w:cs="Arial"/>
          <w:sz w:val="22"/>
          <w:szCs w:val="22"/>
        </w:rPr>
        <w:t>202</w:t>
      </w:r>
      <w:r w:rsidR="00C34A85" w:rsidRPr="00F30F48">
        <w:rPr>
          <w:rFonts w:ascii="Arial" w:hAnsi="Arial" w:cs="Arial"/>
          <w:sz w:val="22"/>
          <w:szCs w:val="22"/>
        </w:rPr>
        <w:t>3</w:t>
      </w:r>
      <w:r w:rsidR="009A6312" w:rsidRPr="00F30F48">
        <w:rPr>
          <w:rFonts w:ascii="Arial" w:hAnsi="Arial" w:cs="Arial"/>
          <w:sz w:val="22"/>
          <w:szCs w:val="22"/>
        </w:rPr>
        <w:t>.</w:t>
      </w:r>
    </w:p>
    <w:p w14:paraId="04C72315" w14:textId="77777777" w:rsidR="007B39F9" w:rsidRPr="00F30F48" w:rsidRDefault="007B39F9" w:rsidP="00755D73">
      <w:pPr>
        <w:pStyle w:val="Paragraph"/>
        <w:numPr>
          <w:ilvl w:val="0"/>
          <w:numId w:val="0"/>
        </w:numPr>
        <w:spacing w:before="0" w:after="0"/>
        <w:ind w:left="562"/>
        <w:rPr>
          <w:rFonts w:ascii="Arial" w:hAnsi="Arial" w:cs="Arial"/>
          <w:sz w:val="22"/>
          <w:szCs w:val="22"/>
        </w:rPr>
      </w:pPr>
    </w:p>
    <w:p w14:paraId="19DD54D6" w14:textId="702CC9A1" w:rsidR="00755D73" w:rsidRPr="007B39F9" w:rsidRDefault="006C0C06" w:rsidP="00755D73">
      <w:pPr>
        <w:pStyle w:val="Paragraph"/>
        <w:numPr>
          <w:ilvl w:val="0"/>
          <w:numId w:val="0"/>
        </w:numPr>
        <w:spacing w:before="0" w:after="0"/>
        <w:ind w:left="562"/>
        <w:jc w:val="center"/>
        <w:rPr>
          <w:rFonts w:ascii="Arial" w:hAnsi="Arial" w:cs="Arial"/>
          <w:b/>
          <w:sz w:val="18"/>
          <w:szCs w:val="18"/>
        </w:rPr>
      </w:pPr>
      <w:r w:rsidRPr="007B39F9">
        <w:rPr>
          <w:rFonts w:ascii="Arial" w:hAnsi="Arial" w:cs="Arial"/>
          <w:b/>
          <w:sz w:val="18"/>
          <w:szCs w:val="18"/>
        </w:rPr>
        <w:t>Tabla 2</w:t>
      </w:r>
      <w:r w:rsidR="00755D73" w:rsidRPr="007B39F9">
        <w:rPr>
          <w:rFonts w:ascii="Arial" w:hAnsi="Arial" w:cs="Arial"/>
          <w:b/>
          <w:sz w:val="18"/>
          <w:szCs w:val="18"/>
        </w:rPr>
        <w:t xml:space="preserve">. </w:t>
      </w:r>
      <w:r w:rsidR="00EC062F" w:rsidRPr="007B39F9">
        <w:rPr>
          <w:rFonts w:ascii="Arial" w:hAnsi="Arial" w:cs="Arial"/>
          <w:b/>
          <w:sz w:val="18"/>
          <w:szCs w:val="18"/>
        </w:rPr>
        <w:t xml:space="preserve">Análisis </w:t>
      </w:r>
      <w:r w:rsidR="00755D73" w:rsidRPr="007B39F9">
        <w:rPr>
          <w:rFonts w:ascii="Arial" w:hAnsi="Arial" w:cs="Arial"/>
          <w:b/>
          <w:sz w:val="18"/>
          <w:szCs w:val="18"/>
        </w:rPr>
        <w:t>Costo-beneficio</w:t>
      </w:r>
      <w:r w:rsidR="00EC062F" w:rsidRPr="007B39F9">
        <w:rPr>
          <w:rFonts w:ascii="Arial" w:hAnsi="Arial" w:cs="Arial"/>
          <w:b/>
          <w:sz w:val="18"/>
          <w:szCs w:val="18"/>
        </w:rPr>
        <w:t>, con</w:t>
      </w:r>
      <w:r w:rsidR="00755D73" w:rsidRPr="007B39F9">
        <w:rPr>
          <w:rFonts w:ascii="Arial" w:hAnsi="Arial" w:cs="Arial"/>
          <w:b/>
          <w:sz w:val="18"/>
          <w:szCs w:val="18"/>
        </w:rPr>
        <w:t xml:space="preserve"> escenarios</w:t>
      </w:r>
    </w:p>
    <w:p w14:paraId="34462CB7" w14:textId="77777777" w:rsidR="00DD5ADC" w:rsidRPr="00F30F48" w:rsidRDefault="00DD5ADC" w:rsidP="00795B8D">
      <w:pPr>
        <w:pStyle w:val="Paragraph"/>
        <w:numPr>
          <w:ilvl w:val="0"/>
          <w:numId w:val="0"/>
        </w:numPr>
        <w:spacing w:before="0" w:after="0"/>
        <w:ind w:left="562"/>
        <w:rPr>
          <w:rFonts w:ascii="Arial" w:hAnsi="Arial" w:cs="Arial"/>
          <w:b/>
          <w:sz w:val="22"/>
          <w:szCs w:val="22"/>
        </w:rPr>
      </w:pPr>
    </w:p>
    <w:tbl>
      <w:tblPr>
        <w:tblW w:w="7702" w:type="dxa"/>
        <w:jc w:val="center"/>
        <w:tblLayout w:type="fixed"/>
        <w:tblCellMar>
          <w:left w:w="70" w:type="dxa"/>
          <w:right w:w="70" w:type="dxa"/>
        </w:tblCellMar>
        <w:tblLook w:val="04A0" w:firstRow="1" w:lastRow="0" w:firstColumn="1" w:lastColumn="0" w:noHBand="0" w:noVBand="1"/>
      </w:tblPr>
      <w:tblGrid>
        <w:gridCol w:w="3037"/>
        <w:gridCol w:w="1555"/>
        <w:gridCol w:w="1555"/>
        <w:gridCol w:w="1555"/>
      </w:tblGrid>
      <w:tr w:rsidR="00582EDF" w:rsidRPr="007B39F9" w14:paraId="12FFFAC5" w14:textId="77777777" w:rsidTr="007B39F9">
        <w:trPr>
          <w:trHeight w:val="300"/>
          <w:jc w:val="center"/>
        </w:trPr>
        <w:tc>
          <w:tcPr>
            <w:tcW w:w="3037" w:type="dxa"/>
            <w:vMerge w:val="restart"/>
            <w:tcBorders>
              <w:top w:val="single" w:sz="8" w:space="0" w:color="auto"/>
              <w:left w:val="single" w:sz="8" w:space="0" w:color="auto"/>
              <w:right w:val="single" w:sz="4" w:space="0" w:color="auto"/>
            </w:tcBorders>
            <w:shd w:val="clear" w:color="auto" w:fill="D9D9D9" w:themeFill="background1" w:themeFillShade="D9"/>
            <w:vAlign w:val="center"/>
            <w:hideMark/>
          </w:tcPr>
          <w:p w14:paraId="04703ECD" w14:textId="77777777" w:rsidR="00582EDF" w:rsidRPr="007B39F9" w:rsidRDefault="00582EDF" w:rsidP="00582EDF">
            <w:pPr>
              <w:spacing w:after="0" w:line="240" w:lineRule="auto"/>
              <w:jc w:val="center"/>
              <w:rPr>
                <w:rFonts w:ascii="Arial" w:eastAsia="Times New Roman" w:hAnsi="Arial" w:cs="Arial"/>
                <w:b/>
                <w:bCs/>
                <w:color w:val="000000"/>
                <w:sz w:val="18"/>
                <w:szCs w:val="18"/>
                <w:lang w:val="es-CO" w:eastAsia="es-ES"/>
              </w:rPr>
            </w:pPr>
            <w:r w:rsidRPr="007B39F9">
              <w:rPr>
                <w:rFonts w:ascii="Arial" w:eastAsia="Times New Roman" w:hAnsi="Arial" w:cs="Arial"/>
                <w:b/>
                <w:bCs/>
                <w:color w:val="000000"/>
                <w:sz w:val="18"/>
                <w:szCs w:val="18"/>
                <w:lang w:val="es-CO" w:eastAsia="es-ES"/>
              </w:rPr>
              <w:lastRenderedPageBreak/>
              <w:t>Indicador</w:t>
            </w:r>
          </w:p>
        </w:tc>
        <w:tc>
          <w:tcPr>
            <w:tcW w:w="1555" w:type="dxa"/>
            <w:tcBorders>
              <w:top w:val="single" w:sz="8" w:space="0" w:color="auto"/>
              <w:left w:val="nil"/>
              <w:bottom w:val="nil"/>
              <w:right w:val="single" w:sz="4" w:space="0" w:color="auto"/>
            </w:tcBorders>
            <w:shd w:val="clear" w:color="auto" w:fill="D9D9D9" w:themeFill="background1" w:themeFillShade="D9"/>
            <w:vAlign w:val="center"/>
            <w:hideMark/>
          </w:tcPr>
          <w:p w14:paraId="612602BB" w14:textId="0C75C4A1" w:rsidR="00582EDF" w:rsidRPr="007B39F9" w:rsidRDefault="00582EDF" w:rsidP="00582EDF">
            <w:pPr>
              <w:spacing w:after="0" w:line="240" w:lineRule="auto"/>
              <w:jc w:val="center"/>
              <w:rPr>
                <w:rFonts w:ascii="Arial" w:eastAsia="Times New Roman" w:hAnsi="Arial" w:cs="Arial"/>
                <w:b/>
                <w:bCs/>
                <w:color w:val="000000"/>
                <w:sz w:val="18"/>
                <w:szCs w:val="18"/>
                <w:lang w:val="es-CO" w:eastAsia="es-ES"/>
              </w:rPr>
            </w:pPr>
            <w:r w:rsidRPr="007B39F9">
              <w:rPr>
                <w:rFonts w:ascii="Arial" w:eastAsia="Times New Roman" w:hAnsi="Arial" w:cs="Arial"/>
                <w:b/>
                <w:bCs/>
                <w:color w:val="000000"/>
                <w:sz w:val="18"/>
                <w:szCs w:val="18"/>
                <w:lang w:val="es-CO" w:eastAsia="es-ES"/>
              </w:rPr>
              <w:t>Optimista</w:t>
            </w:r>
          </w:p>
        </w:tc>
        <w:tc>
          <w:tcPr>
            <w:tcW w:w="1555" w:type="dxa"/>
            <w:tcBorders>
              <w:top w:val="single" w:sz="8" w:space="0" w:color="auto"/>
              <w:left w:val="nil"/>
              <w:bottom w:val="nil"/>
              <w:right w:val="single" w:sz="4" w:space="0" w:color="auto"/>
            </w:tcBorders>
            <w:shd w:val="clear" w:color="auto" w:fill="D9D9D9" w:themeFill="background1" w:themeFillShade="D9"/>
            <w:vAlign w:val="center"/>
            <w:hideMark/>
          </w:tcPr>
          <w:p w14:paraId="0A43ABFC" w14:textId="59DEEE1C" w:rsidR="00582EDF" w:rsidRPr="007B39F9" w:rsidRDefault="00582EDF" w:rsidP="00582EDF">
            <w:pPr>
              <w:spacing w:after="0" w:line="240" w:lineRule="auto"/>
              <w:jc w:val="center"/>
              <w:rPr>
                <w:rFonts w:ascii="Arial" w:eastAsia="Times New Roman" w:hAnsi="Arial" w:cs="Arial"/>
                <w:b/>
                <w:bCs/>
                <w:color w:val="000000"/>
                <w:sz w:val="18"/>
                <w:szCs w:val="18"/>
                <w:lang w:val="es-CO" w:eastAsia="es-ES"/>
              </w:rPr>
            </w:pPr>
            <w:r w:rsidRPr="007B39F9">
              <w:rPr>
                <w:rFonts w:ascii="Arial" w:eastAsia="Times New Roman" w:hAnsi="Arial" w:cs="Arial"/>
                <w:b/>
                <w:bCs/>
                <w:color w:val="000000"/>
                <w:sz w:val="18"/>
                <w:szCs w:val="18"/>
                <w:lang w:val="es-CO" w:eastAsia="es-ES"/>
              </w:rPr>
              <w:t>Base</w:t>
            </w:r>
          </w:p>
        </w:tc>
        <w:tc>
          <w:tcPr>
            <w:tcW w:w="1555" w:type="dxa"/>
            <w:tcBorders>
              <w:top w:val="single" w:sz="8" w:space="0" w:color="auto"/>
              <w:left w:val="nil"/>
              <w:bottom w:val="nil"/>
              <w:right w:val="single" w:sz="4" w:space="0" w:color="auto"/>
            </w:tcBorders>
            <w:shd w:val="clear" w:color="auto" w:fill="D9D9D9" w:themeFill="background1" w:themeFillShade="D9"/>
            <w:vAlign w:val="center"/>
            <w:hideMark/>
          </w:tcPr>
          <w:p w14:paraId="6129932C" w14:textId="3664F384" w:rsidR="00582EDF" w:rsidRPr="007B39F9" w:rsidRDefault="00582EDF" w:rsidP="00582EDF">
            <w:pPr>
              <w:spacing w:after="0" w:line="240" w:lineRule="auto"/>
              <w:jc w:val="center"/>
              <w:rPr>
                <w:rFonts w:ascii="Arial" w:eastAsia="Times New Roman" w:hAnsi="Arial" w:cs="Arial"/>
                <w:b/>
                <w:bCs/>
                <w:color w:val="000000"/>
                <w:sz w:val="18"/>
                <w:szCs w:val="18"/>
                <w:lang w:val="es-CO" w:eastAsia="es-ES"/>
              </w:rPr>
            </w:pPr>
            <w:r w:rsidRPr="007B39F9">
              <w:rPr>
                <w:rFonts w:ascii="Arial" w:eastAsia="Times New Roman" w:hAnsi="Arial" w:cs="Arial"/>
                <w:b/>
                <w:bCs/>
                <w:color w:val="000000"/>
                <w:sz w:val="18"/>
                <w:szCs w:val="18"/>
                <w:lang w:val="es-CO" w:eastAsia="es-ES"/>
              </w:rPr>
              <w:t>Conservador</w:t>
            </w:r>
          </w:p>
        </w:tc>
      </w:tr>
      <w:tr w:rsidR="00582EDF" w:rsidRPr="007B39F9" w14:paraId="6E79CE7A" w14:textId="77777777" w:rsidTr="007B39F9">
        <w:trPr>
          <w:trHeight w:val="300"/>
          <w:jc w:val="center"/>
        </w:trPr>
        <w:tc>
          <w:tcPr>
            <w:tcW w:w="3037" w:type="dxa"/>
            <w:vMerge/>
            <w:tcBorders>
              <w:left w:val="single" w:sz="8" w:space="0" w:color="auto"/>
              <w:bottom w:val="single" w:sz="4" w:space="0" w:color="auto"/>
              <w:right w:val="single" w:sz="4" w:space="0" w:color="auto"/>
            </w:tcBorders>
            <w:shd w:val="clear" w:color="auto" w:fill="D9D9D9" w:themeFill="background1" w:themeFillShade="D9"/>
            <w:vAlign w:val="center"/>
          </w:tcPr>
          <w:p w14:paraId="69F6A39C" w14:textId="77777777" w:rsidR="00582EDF" w:rsidRPr="007B39F9" w:rsidRDefault="00582EDF" w:rsidP="00582EDF">
            <w:pPr>
              <w:spacing w:after="0" w:line="240" w:lineRule="auto"/>
              <w:jc w:val="center"/>
              <w:rPr>
                <w:rFonts w:ascii="Arial" w:eastAsia="Times New Roman" w:hAnsi="Arial" w:cs="Arial"/>
                <w:b/>
                <w:bCs/>
                <w:color w:val="000000"/>
                <w:sz w:val="18"/>
                <w:szCs w:val="18"/>
                <w:lang w:val="es-CO" w:eastAsia="es-ES"/>
              </w:rPr>
            </w:pPr>
          </w:p>
        </w:tc>
        <w:tc>
          <w:tcPr>
            <w:tcW w:w="1555" w:type="dxa"/>
            <w:tcBorders>
              <w:top w:val="single" w:sz="8" w:space="0" w:color="auto"/>
              <w:left w:val="nil"/>
              <w:bottom w:val="nil"/>
              <w:right w:val="single" w:sz="4" w:space="0" w:color="auto"/>
            </w:tcBorders>
            <w:shd w:val="clear" w:color="auto" w:fill="D9D9D9" w:themeFill="background1" w:themeFillShade="D9"/>
            <w:vAlign w:val="center"/>
          </w:tcPr>
          <w:p w14:paraId="35EF8A63" w14:textId="2CCB814C" w:rsidR="00582EDF" w:rsidRPr="007B39F9" w:rsidRDefault="00CF36C9" w:rsidP="00582EDF">
            <w:pPr>
              <w:spacing w:after="0" w:line="240" w:lineRule="auto"/>
              <w:jc w:val="center"/>
              <w:rPr>
                <w:rFonts w:ascii="Arial" w:eastAsia="Times New Roman" w:hAnsi="Arial" w:cs="Arial"/>
                <w:b/>
                <w:bCs/>
                <w:color w:val="000000"/>
                <w:sz w:val="18"/>
                <w:szCs w:val="18"/>
                <w:lang w:val="es-CO" w:eastAsia="es-ES"/>
              </w:rPr>
            </w:pPr>
            <w:r w:rsidRPr="007B39F9">
              <w:rPr>
                <w:rFonts w:ascii="Arial" w:eastAsia="Times New Roman" w:hAnsi="Arial" w:cs="Arial"/>
                <w:b/>
                <w:bCs/>
                <w:color w:val="000000"/>
                <w:sz w:val="18"/>
                <w:szCs w:val="18"/>
                <w:lang w:val="es-CO" w:eastAsia="es-ES"/>
              </w:rPr>
              <w:t>27</w:t>
            </w:r>
            <w:r w:rsidR="007B39F9">
              <w:rPr>
                <w:rFonts w:ascii="Arial" w:eastAsia="Times New Roman" w:hAnsi="Arial" w:cs="Arial"/>
                <w:b/>
                <w:bCs/>
                <w:color w:val="000000"/>
                <w:sz w:val="18"/>
                <w:szCs w:val="18"/>
                <w:lang w:val="es-CO" w:eastAsia="es-ES"/>
              </w:rPr>
              <w:t>,</w:t>
            </w:r>
            <w:r w:rsidRPr="007B39F9">
              <w:rPr>
                <w:rFonts w:ascii="Arial" w:eastAsia="Times New Roman" w:hAnsi="Arial" w:cs="Arial"/>
                <w:b/>
                <w:bCs/>
                <w:color w:val="000000"/>
                <w:sz w:val="18"/>
                <w:szCs w:val="18"/>
                <w:lang w:val="es-CO" w:eastAsia="es-ES"/>
              </w:rPr>
              <w:t>5</w:t>
            </w:r>
            <w:r w:rsidR="00582EDF" w:rsidRPr="007B39F9">
              <w:rPr>
                <w:rFonts w:ascii="Arial" w:eastAsia="Times New Roman" w:hAnsi="Arial" w:cs="Arial"/>
                <w:b/>
                <w:bCs/>
                <w:color w:val="000000"/>
                <w:sz w:val="18"/>
                <w:szCs w:val="18"/>
                <w:lang w:val="es-CO" w:eastAsia="es-ES"/>
              </w:rPr>
              <w:t>%</w:t>
            </w:r>
          </w:p>
        </w:tc>
        <w:tc>
          <w:tcPr>
            <w:tcW w:w="1555" w:type="dxa"/>
            <w:tcBorders>
              <w:top w:val="single" w:sz="8" w:space="0" w:color="auto"/>
              <w:left w:val="nil"/>
              <w:bottom w:val="nil"/>
              <w:right w:val="single" w:sz="4" w:space="0" w:color="auto"/>
            </w:tcBorders>
            <w:shd w:val="clear" w:color="auto" w:fill="D9D9D9" w:themeFill="background1" w:themeFillShade="D9"/>
            <w:vAlign w:val="center"/>
          </w:tcPr>
          <w:p w14:paraId="419CD553" w14:textId="73ABA5FE" w:rsidR="00582EDF" w:rsidRPr="007B39F9" w:rsidRDefault="00582EDF" w:rsidP="00582EDF">
            <w:pPr>
              <w:spacing w:after="0" w:line="240" w:lineRule="auto"/>
              <w:jc w:val="center"/>
              <w:rPr>
                <w:rFonts w:ascii="Arial" w:eastAsia="Times New Roman" w:hAnsi="Arial" w:cs="Arial"/>
                <w:b/>
                <w:bCs/>
                <w:color w:val="000000"/>
                <w:sz w:val="18"/>
                <w:szCs w:val="18"/>
                <w:lang w:val="es-CO" w:eastAsia="es-ES"/>
              </w:rPr>
            </w:pPr>
            <w:r w:rsidRPr="007B39F9">
              <w:rPr>
                <w:rFonts w:ascii="Arial" w:eastAsia="Times New Roman" w:hAnsi="Arial" w:cs="Arial"/>
                <w:b/>
                <w:bCs/>
                <w:color w:val="000000"/>
                <w:sz w:val="18"/>
                <w:szCs w:val="18"/>
                <w:lang w:val="es-CO" w:eastAsia="es-ES"/>
              </w:rPr>
              <w:t>25%</w:t>
            </w:r>
          </w:p>
        </w:tc>
        <w:tc>
          <w:tcPr>
            <w:tcW w:w="1555" w:type="dxa"/>
            <w:tcBorders>
              <w:top w:val="single" w:sz="8" w:space="0" w:color="auto"/>
              <w:left w:val="nil"/>
              <w:bottom w:val="nil"/>
              <w:right w:val="single" w:sz="4" w:space="0" w:color="auto"/>
            </w:tcBorders>
            <w:shd w:val="clear" w:color="auto" w:fill="D9D9D9" w:themeFill="background1" w:themeFillShade="D9"/>
            <w:vAlign w:val="center"/>
          </w:tcPr>
          <w:p w14:paraId="38B0B76E" w14:textId="300618BE" w:rsidR="00582EDF" w:rsidRPr="007B39F9" w:rsidRDefault="00582EDF" w:rsidP="00582EDF">
            <w:pPr>
              <w:spacing w:after="0" w:line="240" w:lineRule="auto"/>
              <w:jc w:val="center"/>
              <w:rPr>
                <w:rFonts w:ascii="Arial" w:eastAsia="Times New Roman" w:hAnsi="Arial" w:cs="Arial"/>
                <w:b/>
                <w:bCs/>
                <w:color w:val="000000"/>
                <w:sz w:val="18"/>
                <w:szCs w:val="18"/>
                <w:lang w:val="es-CO" w:eastAsia="es-ES"/>
              </w:rPr>
            </w:pPr>
            <w:r w:rsidRPr="007B39F9">
              <w:rPr>
                <w:rFonts w:ascii="Arial" w:eastAsia="Times New Roman" w:hAnsi="Arial" w:cs="Arial"/>
                <w:b/>
                <w:bCs/>
                <w:color w:val="000000"/>
                <w:sz w:val="18"/>
                <w:szCs w:val="18"/>
                <w:lang w:val="es-CO" w:eastAsia="es-ES"/>
              </w:rPr>
              <w:t>2</w:t>
            </w:r>
            <w:r w:rsidR="00CF36C9" w:rsidRPr="007B39F9">
              <w:rPr>
                <w:rFonts w:ascii="Arial" w:eastAsia="Times New Roman" w:hAnsi="Arial" w:cs="Arial"/>
                <w:b/>
                <w:bCs/>
                <w:color w:val="000000"/>
                <w:sz w:val="18"/>
                <w:szCs w:val="18"/>
                <w:lang w:val="es-CO" w:eastAsia="es-ES"/>
              </w:rPr>
              <w:t>2</w:t>
            </w:r>
            <w:r w:rsidR="007B39F9">
              <w:rPr>
                <w:rFonts w:ascii="Arial" w:eastAsia="Times New Roman" w:hAnsi="Arial" w:cs="Arial"/>
                <w:b/>
                <w:bCs/>
                <w:color w:val="000000"/>
                <w:sz w:val="18"/>
                <w:szCs w:val="18"/>
                <w:lang w:val="es-CO" w:eastAsia="es-ES"/>
              </w:rPr>
              <w:t>,</w:t>
            </w:r>
            <w:r w:rsidR="00CF36C9" w:rsidRPr="007B39F9">
              <w:rPr>
                <w:rFonts w:ascii="Arial" w:eastAsia="Times New Roman" w:hAnsi="Arial" w:cs="Arial"/>
                <w:b/>
                <w:bCs/>
                <w:color w:val="000000"/>
                <w:sz w:val="18"/>
                <w:szCs w:val="18"/>
                <w:lang w:val="es-CO" w:eastAsia="es-ES"/>
              </w:rPr>
              <w:t>5</w:t>
            </w:r>
            <w:r w:rsidRPr="007B39F9">
              <w:rPr>
                <w:rFonts w:ascii="Arial" w:eastAsia="Times New Roman" w:hAnsi="Arial" w:cs="Arial"/>
                <w:b/>
                <w:bCs/>
                <w:color w:val="000000"/>
                <w:sz w:val="18"/>
                <w:szCs w:val="18"/>
                <w:lang w:val="es-CO" w:eastAsia="es-ES"/>
              </w:rPr>
              <w:t>%</w:t>
            </w:r>
          </w:p>
        </w:tc>
      </w:tr>
      <w:tr w:rsidR="00CF36C9" w:rsidRPr="007B39F9" w14:paraId="688A451C" w14:textId="77777777" w:rsidTr="00795B8D">
        <w:trPr>
          <w:trHeight w:val="300"/>
          <w:jc w:val="center"/>
        </w:trPr>
        <w:tc>
          <w:tcPr>
            <w:tcW w:w="3037" w:type="dxa"/>
            <w:tcBorders>
              <w:top w:val="nil"/>
              <w:left w:val="single" w:sz="8" w:space="0" w:color="auto"/>
              <w:bottom w:val="nil"/>
              <w:right w:val="nil"/>
            </w:tcBorders>
            <w:shd w:val="clear" w:color="auto" w:fill="auto"/>
            <w:noWrap/>
            <w:vAlign w:val="bottom"/>
            <w:hideMark/>
          </w:tcPr>
          <w:p w14:paraId="01440DBE" w14:textId="356DCE06" w:rsidR="00CF36C9" w:rsidRPr="007B39F9" w:rsidRDefault="00CF36C9" w:rsidP="00CF36C9">
            <w:pPr>
              <w:spacing w:after="0" w:line="240" w:lineRule="auto"/>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VP Beneficios totales US</w:t>
            </w:r>
            <w:r w:rsidR="007B39F9">
              <w:rPr>
                <w:rFonts w:ascii="Arial" w:eastAsia="Times New Roman" w:hAnsi="Arial" w:cs="Arial"/>
                <w:color w:val="000000"/>
                <w:sz w:val="18"/>
                <w:szCs w:val="18"/>
                <w:lang w:val="es-CO" w:eastAsia="es-ES"/>
              </w:rPr>
              <w:t>$</w:t>
            </w:r>
          </w:p>
        </w:tc>
        <w:tc>
          <w:tcPr>
            <w:tcW w:w="1555" w:type="dxa"/>
            <w:tcBorders>
              <w:top w:val="single" w:sz="4" w:space="0" w:color="auto"/>
              <w:left w:val="single" w:sz="4" w:space="0" w:color="auto"/>
              <w:bottom w:val="nil"/>
              <w:right w:val="single" w:sz="4" w:space="0" w:color="auto"/>
            </w:tcBorders>
            <w:shd w:val="clear" w:color="auto" w:fill="auto"/>
            <w:noWrap/>
            <w:vAlign w:val="bottom"/>
            <w:hideMark/>
          </w:tcPr>
          <w:p w14:paraId="2ACFF204" w14:textId="5FE8D076"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$24</w:t>
            </w:r>
            <w:r w:rsidR="00286419">
              <w:rPr>
                <w:rFonts w:ascii="Arial" w:hAnsi="Arial" w:cs="Arial"/>
                <w:color w:val="000000"/>
                <w:sz w:val="18"/>
                <w:szCs w:val="18"/>
              </w:rPr>
              <w:t>.</w:t>
            </w:r>
            <w:r w:rsidR="00CF36C9" w:rsidRPr="007B39F9">
              <w:rPr>
                <w:rFonts w:ascii="Arial" w:hAnsi="Arial" w:cs="Arial"/>
                <w:color w:val="000000"/>
                <w:sz w:val="18"/>
                <w:szCs w:val="18"/>
              </w:rPr>
              <w:t>852</w:t>
            </w:r>
            <w:r w:rsidR="00286419">
              <w:rPr>
                <w:rFonts w:ascii="Arial" w:hAnsi="Arial" w:cs="Arial"/>
                <w:color w:val="000000"/>
                <w:sz w:val="18"/>
                <w:szCs w:val="18"/>
              </w:rPr>
              <w:t>.</w:t>
            </w:r>
            <w:r w:rsidR="00CF36C9" w:rsidRPr="007B39F9">
              <w:rPr>
                <w:rFonts w:ascii="Arial" w:hAnsi="Arial" w:cs="Arial"/>
                <w:color w:val="000000"/>
                <w:sz w:val="18"/>
                <w:szCs w:val="18"/>
              </w:rPr>
              <w:t>031</w:t>
            </w:r>
          </w:p>
        </w:tc>
        <w:tc>
          <w:tcPr>
            <w:tcW w:w="1555" w:type="dxa"/>
            <w:tcBorders>
              <w:top w:val="single" w:sz="4" w:space="0" w:color="auto"/>
              <w:left w:val="nil"/>
              <w:bottom w:val="nil"/>
              <w:right w:val="single" w:sz="4" w:space="0" w:color="auto"/>
            </w:tcBorders>
            <w:shd w:val="clear" w:color="auto" w:fill="auto"/>
            <w:noWrap/>
            <w:vAlign w:val="bottom"/>
            <w:hideMark/>
          </w:tcPr>
          <w:p w14:paraId="06843B94" w14:textId="2E90B67C"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U</w:t>
            </w:r>
            <w:r w:rsidR="00CF36C9" w:rsidRPr="007B39F9">
              <w:rPr>
                <w:rFonts w:ascii="Arial" w:eastAsia="Times New Roman" w:hAnsi="Arial" w:cs="Arial"/>
                <w:color w:val="000000"/>
                <w:sz w:val="18"/>
                <w:szCs w:val="18"/>
                <w:lang w:val="es-CO" w:eastAsia="es-ES"/>
              </w:rPr>
              <w:t>$22.592.755</w:t>
            </w:r>
          </w:p>
        </w:tc>
        <w:tc>
          <w:tcPr>
            <w:tcW w:w="1555" w:type="dxa"/>
            <w:tcBorders>
              <w:top w:val="single" w:sz="4" w:space="0" w:color="auto"/>
              <w:left w:val="nil"/>
              <w:bottom w:val="nil"/>
              <w:right w:val="single" w:sz="8" w:space="0" w:color="auto"/>
            </w:tcBorders>
            <w:shd w:val="clear" w:color="auto" w:fill="auto"/>
            <w:noWrap/>
            <w:vAlign w:val="bottom"/>
            <w:hideMark/>
          </w:tcPr>
          <w:p w14:paraId="19EE5D9E" w14:textId="12539965"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$20</w:t>
            </w:r>
            <w:r w:rsidR="00286419">
              <w:rPr>
                <w:rFonts w:ascii="Arial" w:hAnsi="Arial" w:cs="Arial"/>
                <w:color w:val="000000"/>
                <w:sz w:val="18"/>
                <w:szCs w:val="18"/>
              </w:rPr>
              <w:t>.</w:t>
            </w:r>
            <w:r w:rsidR="00CF36C9" w:rsidRPr="007B39F9">
              <w:rPr>
                <w:rFonts w:ascii="Arial" w:hAnsi="Arial" w:cs="Arial"/>
                <w:color w:val="000000"/>
                <w:sz w:val="18"/>
                <w:szCs w:val="18"/>
              </w:rPr>
              <w:t>333</w:t>
            </w:r>
            <w:r w:rsidR="00286419">
              <w:rPr>
                <w:rFonts w:ascii="Arial" w:hAnsi="Arial" w:cs="Arial"/>
                <w:color w:val="000000"/>
                <w:sz w:val="18"/>
                <w:szCs w:val="18"/>
              </w:rPr>
              <w:t>.</w:t>
            </w:r>
            <w:r w:rsidR="00CF36C9" w:rsidRPr="007B39F9">
              <w:rPr>
                <w:rFonts w:ascii="Arial" w:hAnsi="Arial" w:cs="Arial"/>
                <w:color w:val="000000"/>
                <w:sz w:val="18"/>
                <w:szCs w:val="18"/>
              </w:rPr>
              <w:t>480</w:t>
            </w:r>
          </w:p>
        </w:tc>
      </w:tr>
      <w:tr w:rsidR="00CF36C9" w:rsidRPr="007B39F9" w14:paraId="7DD311C4" w14:textId="77777777" w:rsidTr="00795B8D">
        <w:trPr>
          <w:trHeight w:val="300"/>
          <w:jc w:val="center"/>
        </w:trPr>
        <w:tc>
          <w:tcPr>
            <w:tcW w:w="3037" w:type="dxa"/>
            <w:tcBorders>
              <w:top w:val="nil"/>
              <w:left w:val="single" w:sz="8" w:space="0" w:color="auto"/>
              <w:bottom w:val="nil"/>
              <w:right w:val="nil"/>
            </w:tcBorders>
            <w:shd w:val="clear" w:color="auto" w:fill="auto"/>
            <w:noWrap/>
            <w:vAlign w:val="bottom"/>
            <w:hideMark/>
          </w:tcPr>
          <w:p w14:paraId="1B8A290A" w14:textId="2BD3FDCA" w:rsidR="00CF36C9" w:rsidRPr="007B39F9" w:rsidRDefault="00CF36C9" w:rsidP="00CF36C9">
            <w:pPr>
              <w:spacing w:after="0" w:line="240" w:lineRule="auto"/>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VP Costos US</w:t>
            </w:r>
            <w:r w:rsidR="007B39F9">
              <w:rPr>
                <w:rFonts w:ascii="Arial" w:eastAsia="Times New Roman" w:hAnsi="Arial" w:cs="Arial"/>
                <w:color w:val="000000"/>
                <w:sz w:val="18"/>
                <w:szCs w:val="18"/>
                <w:lang w:val="es-CO" w:eastAsia="es-ES"/>
              </w:rPr>
              <w:t>$</w:t>
            </w:r>
          </w:p>
        </w:tc>
        <w:tc>
          <w:tcPr>
            <w:tcW w:w="1555" w:type="dxa"/>
            <w:tcBorders>
              <w:top w:val="nil"/>
              <w:left w:val="single" w:sz="4" w:space="0" w:color="auto"/>
              <w:bottom w:val="nil"/>
              <w:right w:val="single" w:sz="4" w:space="0" w:color="auto"/>
            </w:tcBorders>
            <w:shd w:val="clear" w:color="auto" w:fill="auto"/>
            <w:noWrap/>
            <w:vAlign w:val="bottom"/>
            <w:hideMark/>
          </w:tcPr>
          <w:p w14:paraId="1E5528F8" w14:textId="340D9BC8"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$14</w:t>
            </w:r>
            <w:r w:rsidR="00286419">
              <w:rPr>
                <w:rFonts w:ascii="Arial" w:hAnsi="Arial" w:cs="Arial"/>
                <w:color w:val="000000"/>
                <w:sz w:val="18"/>
                <w:szCs w:val="18"/>
              </w:rPr>
              <w:t>.</w:t>
            </w:r>
            <w:r w:rsidR="00CF36C9" w:rsidRPr="007B39F9">
              <w:rPr>
                <w:rFonts w:ascii="Arial" w:hAnsi="Arial" w:cs="Arial"/>
                <w:color w:val="000000"/>
                <w:sz w:val="18"/>
                <w:szCs w:val="18"/>
              </w:rPr>
              <w:t>022</w:t>
            </w:r>
            <w:r w:rsidR="00286419">
              <w:rPr>
                <w:rFonts w:ascii="Arial" w:hAnsi="Arial" w:cs="Arial"/>
                <w:color w:val="000000"/>
                <w:sz w:val="18"/>
                <w:szCs w:val="18"/>
              </w:rPr>
              <w:t>.</w:t>
            </w:r>
            <w:r w:rsidR="00CF36C9" w:rsidRPr="007B39F9">
              <w:rPr>
                <w:rFonts w:ascii="Arial" w:hAnsi="Arial" w:cs="Arial"/>
                <w:color w:val="000000"/>
                <w:sz w:val="18"/>
                <w:szCs w:val="18"/>
              </w:rPr>
              <w:t>079</w:t>
            </w:r>
          </w:p>
        </w:tc>
        <w:tc>
          <w:tcPr>
            <w:tcW w:w="1555" w:type="dxa"/>
            <w:tcBorders>
              <w:top w:val="nil"/>
              <w:left w:val="nil"/>
              <w:bottom w:val="nil"/>
              <w:right w:val="single" w:sz="4" w:space="0" w:color="auto"/>
            </w:tcBorders>
            <w:shd w:val="clear" w:color="auto" w:fill="auto"/>
            <w:noWrap/>
            <w:vAlign w:val="bottom"/>
            <w:hideMark/>
          </w:tcPr>
          <w:p w14:paraId="44117EBF" w14:textId="00B58E50"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U</w:t>
            </w:r>
            <w:r w:rsidR="00CF36C9" w:rsidRPr="007B39F9">
              <w:rPr>
                <w:rFonts w:ascii="Arial" w:eastAsia="Times New Roman" w:hAnsi="Arial" w:cs="Arial"/>
                <w:color w:val="000000"/>
                <w:sz w:val="18"/>
                <w:szCs w:val="18"/>
                <w:lang w:val="es-CO" w:eastAsia="es-ES"/>
              </w:rPr>
              <w:t>$14.022.079</w:t>
            </w:r>
          </w:p>
        </w:tc>
        <w:tc>
          <w:tcPr>
            <w:tcW w:w="1555" w:type="dxa"/>
            <w:tcBorders>
              <w:top w:val="nil"/>
              <w:left w:val="nil"/>
              <w:bottom w:val="nil"/>
              <w:right w:val="single" w:sz="8" w:space="0" w:color="auto"/>
            </w:tcBorders>
            <w:shd w:val="clear" w:color="auto" w:fill="auto"/>
            <w:noWrap/>
            <w:vAlign w:val="bottom"/>
            <w:hideMark/>
          </w:tcPr>
          <w:p w14:paraId="6E383841" w14:textId="5F854560"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$14</w:t>
            </w:r>
            <w:r w:rsidR="00286419">
              <w:rPr>
                <w:rFonts w:ascii="Arial" w:hAnsi="Arial" w:cs="Arial"/>
                <w:color w:val="000000"/>
                <w:sz w:val="18"/>
                <w:szCs w:val="18"/>
              </w:rPr>
              <w:t>.</w:t>
            </w:r>
            <w:r w:rsidR="00CF36C9" w:rsidRPr="007B39F9">
              <w:rPr>
                <w:rFonts w:ascii="Arial" w:hAnsi="Arial" w:cs="Arial"/>
                <w:color w:val="000000"/>
                <w:sz w:val="18"/>
                <w:szCs w:val="18"/>
              </w:rPr>
              <w:t>022</w:t>
            </w:r>
            <w:r w:rsidR="00286419">
              <w:rPr>
                <w:rFonts w:ascii="Arial" w:hAnsi="Arial" w:cs="Arial"/>
                <w:color w:val="000000"/>
                <w:sz w:val="18"/>
                <w:szCs w:val="18"/>
              </w:rPr>
              <w:t>.</w:t>
            </w:r>
            <w:r w:rsidR="00CF36C9" w:rsidRPr="007B39F9">
              <w:rPr>
                <w:rFonts w:ascii="Arial" w:hAnsi="Arial" w:cs="Arial"/>
                <w:color w:val="000000"/>
                <w:sz w:val="18"/>
                <w:szCs w:val="18"/>
              </w:rPr>
              <w:t>079</w:t>
            </w:r>
          </w:p>
        </w:tc>
      </w:tr>
      <w:tr w:rsidR="00CF36C9" w:rsidRPr="007B39F9" w14:paraId="0735AE1F" w14:textId="77777777" w:rsidTr="00795B8D">
        <w:trPr>
          <w:trHeight w:val="300"/>
          <w:jc w:val="center"/>
        </w:trPr>
        <w:tc>
          <w:tcPr>
            <w:tcW w:w="3037" w:type="dxa"/>
            <w:tcBorders>
              <w:top w:val="nil"/>
              <w:left w:val="single" w:sz="8" w:space="0" w:color="auto"/>
              <w:bottom w:val="single" w:sz="4" w:space="0" w:color="auto"/>
              <w:right w:val="nil"/>
            </w:tcBorders>
            <w:shd w:val="clear" w:color="auto" w:fill="auto"/>
            <w:noWrap/>
            <w:vAlign w:val="bottom"/>
            <w:hideMark/>
          </w:tcPr>
          <w:p w14:paraId="255D8BA8" w14:textId="0B63E91C" w:rsidR="00CF36C9" w:rsidRPr="007B39F9" w:rsidRDefault="00CF36C9" w:rsidP="00CF36C9">
            <w:pPr>
              <w:spacing w:after="0" w:line="240" w:lineRule="auto"/>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VP Beneficio neto US</w:t>
            </w:r>
            <w:r w:rsidR="007B39F9">
              <w:rPr>
                <w:rFonts w:ascii="Arial" w:eastAsia="Times New Roman" w:hAnsi="Arial" w:cs="Arial"/>
                <w:color w:val="000000"/>
                <w:sz w:val="18"/>
                <w:szCs w:val="18"/>
                <w:lang w:val="es-CO" w:eastAsia="es-ES"/>
              </w:rPr>
              <w:t>$</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0C384D3" w14:textId="69CF13F4"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$10</w:t>
            </w:r>
            <w:r w:rsidR="00286419">
              <w:rPr>
                <w:rFonts w:ascii="Arial" w:hAnsi="Arial" w:cs="Arial"/>
                <w:color w:val="000000"/>
                <w:sz w:val="18"/>
                <w:szCs w:val="18"/>
              </w:rPr>
              <w:t>.</w:t>
            </w:r>
            <w:r w:rsidR="00CF36C9" w:rsidRPr="007B39F9">
              <w:rPr>
                <w:rFonts w:ascii="Arial" w:hAnsi="Arial" w:cs="Arial"/>
                <w:color w:val="000000"/>
                <w:sz w:val="18"/>
                <w:szCs w:val="18"/>
              </w:rPr>
              <w:t>829</w:t>
            </w:r>
            <w:r w:rsidR="00286419">
              <w:rPr>
                <w:rFonts w:ascii="Arial" w:hAnsi="Arial" w:cs="Arial"/>
                <w:color w:val="000000"/>
                <w:sz w:val="18"/>
                <w:szCs w:val="18"/>
              </w:rPr>
              <w:t>.</w:t>
            </w:r>
            <w:r w:rsidR="00CF36C9" w:rsidRPr="007B39F9">
              <w:rPr>
                <w:rFonts w:ascii="Arial" w:hAnsi="Arial" w:cs="Arial"/>
                <w:color w:val="000000"/>
                <w:sz w:val="18"/>
                <w:szCs w:val="18"/>
              </w:rPr>
              <w:t>952</w:t>
            </w:r>
          </w:p>
        </w:tc>
        <w:tc>
          <w:tcPr>
            <w:tcW w:w="1555" w:type="dxa"/>
            <w:tcBorders>
              <w:top w:val="nil"/>
              <w:left w:val="nil"/>
              <w:bottom w:val="single" w:sz="4" w:space="0" w:color="auto"/>
              <w:right w:val="single" w:sz="4" w:space="0" w:color="auto"/>
            </w:tcBorders>
            <w:shd w:val="clear" w:color="auto" w:fill="auto"/>
            <w:noWrap/>
            <w:vAlign w:val="bottom"/>
            <w:hideMark/>
          </w:tcPr>
          <w:p w14:paraId="37CB4F7F" w14:textId="50214FAE"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U</w:t>
            </w:r>
            <w:r w:rsidR="00CF36C9" w:rsidRPr="007B39F9">
              <w:rPr>
                <w:rFonts w:ascii="Arial" w:eastAsia="Times New Roman" w:hAnsi="Arial" w:cs="Arial"/>
                <w:color w:val="000000"/>
                <w:sz w:val="18"/>
                <w:szCs w:val="18"/>
                <w:lang w:val="es-CO" w:eastAsia="es-ES"/>
              </w:rPr>
              <w:t>$8.570.677</w:t>
            </w:r>
          </w:p>
        </w:tc>
        <w:tc>
          <w:tcPr>
            <w:tcW w:w="1555" w:type="dxa"/>
            <w:tcBorders>
              <w:top w:val="nil"/>
              <w:left w:val="nil"/>
              <w:bottom w:val="single" w:sz="4" w:space="0" w:color="auto"/>
              <w:right w:val="single" w:sz="8" w:space="0" w:color="auto"/>
            </w:tcBorders>
            <w:shd w:val="clear" w:color="auto" w:fill="auto"/>
            <w:noWrap/>
            <w:vAlign w:val="bottom"/>
            <w:hideMark/>
          </w:tcPr>
          <w:p w14:paraId="0DB5817F" w14:textId="1B53B0E7"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$6</w:t>
            </w:r>
            <w:r w:rsidR="00286419">
              <w:rPr>
                <w:rFonts w:ascii="Arial" w:hAnsi="Arial" w:cs="Arial"/>
                <w:color w:val="000000"/>
                <w:sz w:val="18"/>
                <w:szCs w:val="18"/>
              </w:rPr>
              <w:t>.</w:t>
            </w:r>
            <w:r w:rsidR="00CF36C9" w:rsidRPr="007B39F9">
              <w:rPr>
                <w:rFonts w:ascii="Arial" w:hAnsi="Arial" w:cs="Arial"/>
                <w:color w:val="000000"/>
                <w:sz w:val="18"/>
                <w:szCs w:val="18"/>
              </w:rPr>
              <w:t>311</w:t>
            </w:r>
            <w:r w:rsidR="00286419">
              <w:rPr>
                <w:rFonts w:ascii="Arial" w:hAnsi="Arial" w:cs="Arial"/>
                <w:color w:val="000000"/>
                <w:sz w:val="18"/>
                <w:szCs w:val="18"/>
              </w:rPr>
              <w:t>.</w:t>
            </w:r>
            <w:r w:rsidR="00CF36C9" w:rsidRPr="007B39F9">
              <w:rPr>
                <w:rFonts w:ascii="Arial" w:hAnsi="Arial" w:cs="Arial"/>
                <w:color w:val="000000"/>
                <w:sz w:val="18"/>
                <w:szCs w:val="18"/>
              </w:rPr>
              <w:t>401</w:t>
            </w:r>
          </w:p>
        </w:tc>
      </w:tr>
      <w:tr w:rsidR="00CF36C9" w:rsidRPr="007B39F9" w14:paraId="28688C81" w14:textId="77777777" w:rsidTr="00795B8D">
        <w:trPr>
          <w:trHeight w:val="300"/>
          <w:jc w:val="center"/>
        </w:trPr>
        <w:tc>
          <w:tcPr>
            <w:tcW w:w="3037" w:type="dxa"/>
            <w:tcBorders>
              <w:top w:val="nil"/>
              <w:left w:val="single" w:sz="8" w:space="0" w:color="auto"/>
              <w:bottom w:val="nil"/>
              <w:right w:val="nil"/>
            </w:tcBorders>
            <w:shd w:val="clear" w:color="auto" w:fill="auto"/>
            <w:noWrap/>
            <w:vAlign w:val="bottom"/>
            <w:hideMark/>
          </w:tcPr>
          <w:p w14:paraId="31658B97" w14:textId="653A7411" w:rsidR="00CF36C9" w:rsidRPr="007B39F9" w:rsidRDefault="00CF36C9" w:rsidP="00CF36C9">
            <w:pPr>
              <w:spacing w:after="0" w:line="240" w:lineRule="auto"/>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Razón (Beneficios/Costos)</w:t>
            </w:r>
          </w:p>
        </w:tc>
        <w:tc>
          <w:tcPr>
            <w:tcW w:w="1555" w:type="dxa"/>
            <w:tcBorders>
              <w:top w:val="nil"/>
              <w:left w:val="single" w:sz="4" w:space="0" w:color="auto"/>
              <w:bottom w:val="nil"/>
              <w:right w:val="single" w:sz="4" w:space="0" w:color="auto"/>
            </w:tcBorders>
            <w:shd w:val="clear" w:color="auto" w:fill="auto"/>
            <w:noWrap/>
            <w:vAlign w:val="bottom"/>
            <w:hideMark/>
          </w:tcPr>
          <w:p w14:paraId="1FA8FFC4" w14:textId="03AA1267" w:rsidR="00CF36C9" w:rsidRPr="007B39F9" w:rsidRDefault="00CF36C9" w:rsidP="00CF36C9">
            <w:pPr>
              <w:spacing w:after="0" w:line="240" w:lineRule="auto"/>
              <w:jc w:val="center"/>
              <w:rPr>
                <w:rFonts w:ascii="Arial" w:eastAsia="Times New Roman" w:hAnsi="Arial" w:cs="Arial"/>
                <w:color w:val="000000"/>
                <w:sz w:val="18"/>
                <w:szCs w:val="18"/>
                <w:lang w:val="es-CO" w:eastAsia="es-ES"/>
              </w:rPr>
            </w:pPr>
            <w:r w:rsidRPr="007B39F9">
              <w:rPr>
                <w:rFonts w:ascii="Arial" w:hAnsi="Arial" w:cs="Arial"/>
                <w:color w:val="000000"/>
                <w:sz w:val="18"/>
                <w:szCs w:val="18"/>
              </w:rPr>
              <w:t>1</w:t>
            </w:r>
            <w:r w:rsidR="007B39F9">
              <w:rPr>
                <w:rFonts w:ascii="Arial" w:hAnsi="Arial" w:cs="Arial"/>
                <w:color w:val="000000"/>
                <w:sz w:val="18"/>
                <w:szCs w:val="18"/>
              </w:rPr>
              <w:t>,</w:t>
            </w:r>
            <w:r w:rsidRPr="007B39F9">
              <w:rPr>
                <w:rFonts w:ascii="Arial" w:hAnsi="Arial" w:cs="Arial"/>
                <w:color w:val="000000"/>
                <w:sz w:val="18"/>
                <w:szCs w:val="18"/>
              </w:rPr>
              <w:t xml:space="preserve">77 </w:t>
            </w:r>
          </w:p>
        </w:tc>
        <w:tc>
          <w:tcPr>
            <w:tcW w:w="1555" w:type="dxa"/>
            <w:tcBorders>
              <w:top w:val="nil"/>
              <w:left w:val="nil"/>
              <w:bottom w:val="nil"/>
              <w:right w:val="single" w:sz="4" w:space="0" w:color="auto"/>
            </w:tcBorders>
            <w:shd w:val="clear" w:color="auto" w:fill="auto"/>
            <w:noWrap/>
            <w:vAlign w:val="bottom"/>
            <w:hideMark/>
          </w:tcPr>
          <w:p w14:paraId="3168C8DD" w14:textId="77777777" w:rsidR="00CF36C9" w:rsidRPr="007B39F9" w:rsidRDefault="00CF36C9" w:rsidP="00CF36C9">
            <w:pPr>
              <w:spacing w:after="0" w:line="240" w:lineRule="auto"/>
              <w:jc w:val="center"/>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 xml:space="preserve"> 1,61 </w:t>
            </w:r>
          </w:p>
        </w:tc>
        <w:tc>
          <w:tcPr>
            <w:tcW w:w="1555" w:type="dxa"/>
            <w:tcBorders>
              <w:top w:val="nil"/>
              <w:left w:val="nil"/>
              <w:bottom w:val="nil"/>
              <w:right w:val="single" w:sz="8" w:space="0" w:color="auto"/>
            </w:tcBorders>
            <w:shd w:val="clear" w:color="auto" w:fill="auto"/>
            <w:noWrap/>
            <w:vAlign w:val="bottom"/>
            <w:hideMark/>
          </w:tcPr>
          <w:p w14:paraId="1BEE84C7" w14:textId="1B05F208" w:rsidR="00CF36C9" w:rsidRPr="007B39F9" w:rsidRDefault="00CF36C9" w:rsidP="00CF36C9">
            <w:pPr>
              <w:spacing w:after="0" w:line="240" w:lineRule="auto"/>
              <w:jc w:val="center"/>
              <w:rPr>
                <w:rFonts w:ascii="Arial" w:eastAsia="Times New Roman" w:hAnsi="Arial" w:cs="Arial"/>
                <w:color w:val="000000"/>
                <w:sz w:val="18"/>
                <w:szCs w:val="18"/>
                <w:lang w:val="es-CO" w:eastAsia="es-ES"/>
              </w:rPr>
            </w:pPr>
            <w:r w:rsidRPr="007B39F9">
              <w:rPr>
                <w:rFonts w:ascii="Arial" w:hAnsi="Arial" w:cs="Arial"/>
                <w:color w:val="000000"/>
                <w:sz w:val="18"/>
                <w:szCs w:val="18"/>
              </w:rPr>
              <w:t>1</w:t>
            </w:r>
            <w:r w:rsidR="007B39F9">
              <w:rPr>
                <w:rFonts w:ascii="Arial" w:hAnsi="Arial" w:cs="Arial"/>
                <w:color w:val="000000"/>
                <w:sz w:val="18"/>
                <w:szCs w:val="18"/>
              </w:rPr>
              <w:t>,</w:t>
            </w:r>
            <w:r w:rsidRPr="007B39F9">
              <w:rPr>
                <w:rFonts w:ascii="Arial" w:hAnsi="Arial" w:cs="Arial"/>
                <w:color w:val="000000"/>
                <w:sz w:val="18"/>
                <w:szCs w:val="18"/>
              </w:rPr>
              <w:t xml:space="preserve">45 </w:t>
            </w:r>
          </w:p>
        </w:tc>
      </w:tr>
      <w:tr w:rsidR="00CF36C9" w:rsidRPr="007B39F9" w14:paraId="7C44B2FE" w14:textId="77777777" w:rsidTr="00795B8D">
        <w:trPr>
          <w:trHeight w:val="300"/>
          <w:jc w:val="center"/>
        </w:trPr>
        <w:tc>
          <w:tcPr>
            <w:tcW w:w="3037" w:type="dxa"/>
            <w:tcBorders>
              <w:top w:val="nil"/>
              <w:left w:val="single" w:sz="8" w:space="0" w:color="auto"/>
              <w:bottom w:val="nil"/>
              <w:right w:val="nil"/>
            </w:tcBorders>
            <w:shd w:val="clear" w:color="auto" w:fill="auto"/>
            <w:noWrap/>
            <w:vAlign w:val="bottom"/>
            <w:hideMark/>
          </w:tcPr>
          <w:p w14:paraId="4DE2EBE8" w14:textId="009DB2E0" w:rsidR="00CF36C9" w:rsidRPr="007B39F9" w:rsidRDefault="00CF36C9" w:rsidP="00CF36C9">
            <w:pPr>
              <w:spacing w:after="0" w:line="240" w:lineRule="auto"/>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Beneficio neto por abogado US</w:t>
            </w:r>
            <w:r w:rsidR="007B39F9">
              <w:rPr>
                <w:rFonts w:ascii="Arial" w:eastAsia="Times New Roman" w:hAnsi="Arial" w:cs="Arial"/>
                <w:color w:val="000000"/>
                <w:sz w:val="18"/>
                <w:szCs w:val="18"/>
                <w:lang w:val="es-CO" w:eastAsia="es-ES"/>
              </w:rPr>
              <w:t>$</w:t>
            </w:r>
          </w:p>
        </w:tc>
        <w:tc>
          <w:tcPr>
            <w:tcW w:w="1555" w:type="dxa"/>
            <w:tcBorders>
              <w:top w:val="nil"/>
              <w:left w:val="single" w:sz="4" w:space="0" w:color="auto"/>
              <w:bottom w:val="nil"/>
              <w:right w:val="single" w:sz="4" w:space="0" w:color="auto"/>
            </w:tcBorders>
            <w:shd w:val="clear" w:color="auto" w:fill="auto"/>
            <w:noWrap/>
            <w:vAlign w:val="bottom"/>
            <w:hideMark/>
          </w:tcPr>
          <w:p w14:paraId="15810238" w14:textId="7681FBC9"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$300</w:t>
            </w:r>
            <w:r w:rsidR="00286419">
              <w:rPr>
                <w:rFonts w:ascii="Arial" w:hAnsi="Arial" w:cs="Arial"/>
                <w:color w:val="000000"/>
                <w:sz w:val="18"/>
                <w:szCs w:val="18"/>
              </w:rPr>
              <w:t>.</w:t>
            </w:r>
            <w:r w:rsidR="00CF36C9" w:rsidRPr="007B39F9">
              <w:rPr>
                <w:rFonts w:ascii="Arial" w:hAnsi="Arial" w:cs="Arial"/>
                <w:color w:val="000000"/>
                <w:sz w:val="18"/>
                <w:szCs w:val="18"/>
              </w:rPr>
              <w:t>832.00</w:t>
            </w:r>
          </w:p>
        </w:tc>
        <w:tc>
          <w:tcPr>
            <w:tcW w:w="1555" w:type="dxa"/>
            <w:tcBorders>
              <w:top w:val="nil"/>
              <w:left w:val="nil"/>
              <w:bottom w:val="nil"/>
              <w:right w:val="single" w:sz="4" w:space="0" w:color="auto"/>
            </w:tcBorders>
            <w:shd w:val="clear" w:color="auto" w:fill="auto"/>
            <w:noWrap/>
            <w:vAlign w:val="bottom"/>
            <w:hideMark/>
          </w:tcPr>
          <w:p w14:paraId="113ED725" w14:textId="23D6FF26"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U</w:t>
            </w:r>
            <w:r w:rsidR="00CF36C9" w:rsidRPr="007B39F9">
              <w:rPr>
                <w:rFonts w:ascii="Arial" w:eastAsia="Times New Roman" w:hAnsi="Arial" w:cs="Arial"/>
                <w:color w:val="000000"/>
                <w:sz w:val="18"/>
                <w:szCs w:val="18"/>
                <w:lang w:val="es-CO" w:eastAsia="es-ES"/>
              </w:rPr>
              <w:t>$238.074</w:t>
            </w:r>
            <w:r w:rsidR="00286419">
              <w:rPr>
                <w:rFonts w:ascii="Arial" w:eastAsia="Times New Roman" w:hAnsi="Arial" w:cs="Arial"/>
                <w:color w:val="000000"/>
                <w:sz w:val="18"/>
                <w:szCs w:val="18"/>
                <w:lang w:val="es-CO" w:eastAsia="es-ES"/>
              </w:rPr>
              <w:t>.</w:t>
            </w:r>
            <w:r w:rsidR="00CF36C9" w:rsidRPr="007B39F9">
              <w:rPr>
                <w:rFonts w:ascii="Arial" w:eastAsia="Times New Roman" w:hAnsi="Arial" w:cs="Arial"/>
                <w:color w:val="000000"/>
                <w:sz w:val="18"/>
                <w:szCs w:val="18"/>
                <w:lang w:val="es-CO" w:eastAsia="es-ES"/>
              </w:rPr>
              <w:t>35</w:t>
            </w:r>
          </w:p>
        </w:tc>
        <w:tc>
          <w:tcPr>
            <w:tcW w:w="1555" w:type="dxa"/>
            <w:tcBorders>
              <w:top w:val="nil"/>
              <w:left w:val="nil"/>
              <w:bottom w:val="nil"/>
              <w:right w:val="single" w:sz="8" w:space="0" w:color="auto"/>
            </w:tcBorders>
            <w:shd w:val="clear" w:color="auto" w:fill="auto"/>
            <w:noWrap/>
            <w:vAlign w:val="bottom"/>
            <w:hideMark/>
          </w:tcPr>
          <w:p w14:paraId="32D04DC8" w14:textId="75530FFD" w:rsidR="00CF36C9" w:rsidRPr="007B39F9" w:rsidRDefault="007B39F9" w:rsidP="00CF36C9">
            <w:pPr>
              <w:spacing w:after="0" w:line="240" w:lineRule="auto"/>
              <w:jc w:val="center"/>
              <w:rPr>
                <w:rFonts w:ascii="Arial" w:eastAsia="Times New Roman" w:hAnsi="Arial" w:cs="Arial"/>
                <w:color w:val="000000"/>
                <w:sz w:val="18"/>
                <w:szCs w:val="18"/>
                <w:lang w:val="es-CO" w:eastAsia="es-ES"/>
              </w:rPr>
            </w:pPr>
            <w:r>
              <w:rPr>
                <w:rFonts w:ascii="Arial" w:hAnsi="Arial" w:cs="Arial"/>
                <w:color w:val="000000"/>
                <w:sz w:val="18"/>
                <w:szCs w:val="18"/>
              </w:rPr>
              <w:t>U</w:t>
            </w:r>
            <w:r w:rsidR="00CF36C9" w:rsidRPr="007B39F9">
              <w:rPr>
                <w:rFonts w:ascii="Arial" w:hAnsi="Arial" w:cs="Arial"/>
                <w:color w:val="000000"/>
                <w:sz w:val="18"/>
                <w:szCs w:val="18"/>
              </w:rPr>
              <w:t>$175</w:t>
            </w:r>
            <w:r w:rsidR="00286419">
              <w:rPr>
                <w:rFonts w:ascii="Arial" w:hAnsi="Arial" w:cs="Arial"/>
                <w:color w:val="000000"/>
                <w:sz w:val="18"/>
                <w:szCs w:val="18"/>
              </w:rPr>
              <w:t>.</w:t>
            </w:r>
            <w:r w:rsidR="00CF36C9" w:rsidRPr="007B39F9">
              <w:rPr>
                <w:rFonts w:ascii="Arial" w:hAnsi="Arial" w:cs="Arial"/>
                <w:color w:val="000000"/>
                <w:sz w:val="18"/>
                <w:szCs w:val="18"/>
              </w:rPr>
              <w:t>316.69</w:t>
            </w:r>
          </w:p>
        </w:tc>
      </w:tr>
      <w:tr w:rsidR="00CF36C9" w:rsidRPr="007B39F9" w14:paraId="74C2E16A" w14:textId="77777777" w:rsidTr="00795B8D">
        <w:trPr>
          <w:trHeight w:val="320"/>
          <w:jc w:val="center"/>
        </w:trPr>
        <w:tc>
          <w:tcPr>
            <w:tcW w:w="3037" w:type="dxa"/>
            <w:tcBorders>
              <w:top w:val="nil"/>
              <w:left w:val="single" w:sz="8" w:space="0" w:color="auto"/>
              <w:bottom w:val="single" w:sz="8" w:space="0" w:color="auto"/>
              <w:right w:val="nil"/>
            </w:tcBorders>
            <w:shd w:val="clear" w:color="auto" w:fill="auto"/>
            <w:noWrap/>
            <w:vAlign w:val="bottom"/>
            <w:hideMark/>
          </w:tcPr>
          <w:p w14:paraId="7293A318" w14:textId="77777777" w:rsidR="00CF36C9" w:rsidRPr="007B39F9" w:rsidRDefault="00CF36C9" w:rsidP="00CF36C9">
            <w:pPr>
              <w:spacing w:after="0" w:line="240" w:lineRule="auto"/>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TIR</w:t>
            </w:r>
          </w:p>
        </w:tc>
        <w:tc>
          <w:tcPr>
            <w:tcW w:w="1555" w:type="dxa"/>
            <w:tcBorders>
              <w:top w:val="nil"/>
              <w:left w:val="single" w:sz="4" w:space="0" w:color="auto"/>
              <w:bottom w:val="single" w:sz="8" w:space="0" w:color="auto"/>
              <w:right w:val="single" w:sz="4" w:space="0" w:color="auto"/>
            </w:tcBorders>
            <w:shd w:val="clear" w:color="auto" w:fill="auto"/>
            <w:noWrap/>
            <w:vAlign w:val="bottom"/>
            <w:hideMark/>
          </w:tcPr>
          <w:p w14:paraId="24E4D46B" w14:textId="297B8FD0" w:rsidR="00CF36C9" w:rsidRPr="007B39F9" w:rsidRDefault="00CF36C9" w:rsidP="00CF36C9">
            <w:pPr>
              <w:spacing w:after="0" w:line="240" w:lineRule="auto"/>
              <w:jc w:val="center"/>
              <w:rPr>
                <w:rFonts w:ascii="Arial" w:eastAsia="Times New Roman" w:hAnsi="Arial" w:cs="Arial"/>
                <w:color w:val="000000"/>
                <w:sz w:val="18"/>
                <w:szCs w:val="18"/>
                <w:lang w:val="es-CO" w:eastAsia="es-ES"/>
              </w:rPr>
            </w:pPr>
            <w:r w:rsidRPr="007B39F9">
              <w:rPr>
                <w:rFonts w:ascii="Arial" w:hAnsi="Arial" w:cs="Arial"/>
                <w:color w:val="000000"/>
                <w:sz w:val="18"/>
                <w:szCs w:val="18"/>
              </w:rPr>
              <w:t>24%</w:t>
            </w:r>
          </w:p>
        </w:tc>
        <w:tc>
          <w:tcPr>
            <w:tcW w:w="1555" w:type="dxa"/>
            <w:tcBorders>
              <w:top w:val="nil"/>
              <w:left w:val="nil"/>
              <w:bottom w:val="single" w:sz="8" w:space="0" w:color="auto"/>
              <w:right w:val="single" w:sz="4" w:space="0" w:color="auto"/>
            </w:tcBorders>
            <w:shd w:val="clear" w:color="auto" w:fill="auto"/>
            <w:noWrap/>
            <w:vAlign w:val="bottom"/>
            <w:hideMark/>
          </w:tcPr>
          <w:p w14:paraId="79B5DAB8" w14:textId="77777777" w:rsidR="00CF36C9" w:rsidRPr="007B39F9" w:rsidRDefault="00CF36C9" w:rsidP="00CF36C9">
            <w:pPr>
              <w:spacing w:after="0" w:line="240" w:lineRule="auto"/>
              <w:jc w:val="center"/>
              <w:rPr>
                <w:rFonts w:ascii="Arial" w:eastAsia="Times New Roman" w:hAnsi="Arial" w:cs="Arial"/>
                <w:color w:val="000000"/>
                <w:sz w:val="18"/>
                <w:szCs w:val="18"/>
                <w:lang w:val="es-CO" w:eastAsia="es-ES"/>
              </w:rPr>
            </w:pPr>
            <w:r w:rsidRPr="007B39F9">
              <w:rPr>
                <w:rFonts w:ascii="Arial" w:eastAsia="Times New Roman" w:hAnsi="Arial" w:cs="Arial"/>
                <w:color w:val="000000"/>
                <w:sz w:val="18"/>
                <w:szCs w:val="18"/>
                <w:lang w:val="es-CO" w:eastAsia="es-ES"/>
              </w:rPr>
              <w:t>18%</w:t>
            </w:r>
          </w:p>
        </w:tc>
        <w:tc>
          <w:tcPr>
            <w:tcW w:w="1555" w:type="dxa"/>
            <w:tcBorders>
              <w:top w:val="nil"/>
              <w:left w:val="nil"/>
              <w:bottom w:val="single" w:sz="8" w:space="0" w:color="auto"/>
              <w:right w:val="single" w:sz="8" w:space="0" w:color="auto"/>
            </w:tcBorders>
            <w:shd w:val="clear" w:color="auto" w:fill="auto"/>
            <w:noWrap/>
            <w:vAlign w:val="bottom"/>
            <w:hideMark/>
          </w:tcPr>
          <w:p w14:paraId="5094BA7B" w14:textId="0448ECCB" w:rsidR="00CF36C9" w:rsidRPr="007B39F9" w:rsidRDefault="00CF36C9" w:rsidP="00CF36C9">
            <w:pPr>
              <w:spacing w:after="0" w:line="240" w:lineRule="auto"/>
              <w:jc w:val="center"/>
              <w:rPr>
                <w:rFonts w:ascii="Arial" w:eastAsia="Times New Roman" w:hAnsi="Arial" w:cs="Arial"/>
                <w:color w:val="000000"/>
                <w:sz w:val="18"/>
                <w:szCs w:val="18"/>
                <w:lang w:val="es-CO" w:eastAsia="es-ES"/>
              </w:rPr>
            </w:pPr>
            <w:r w:rsidRPr="007B39F9">
              <w:rPr>
                <w:rFonts w:ascii="Arial" w:hAnsi="Arial" w:cs="Arial"/>
                <w:color w:val="000000"/>
                <w:sz w:val="18"/>
                <w:szCs w:val="18"/>
              </w:rPr>
              <w:t>13%</w:t>
            </w:r>
          </w:p>
        </w:tc>
      </w:tr>
    </w:tbl>
    <w:p w14:paraId="032E40FA" w14:textId="77777777" w:rsidR="00DD5ADC" w:rsidRPr="00F30F48" w:rsidRDefault="00DD5ADC" w:rsidP="00755D73">
      <w:pPr>
        <w:pStyle w:val="Paragraph"/>
        <w:numPr>
          <w:ilvl w:val="0"/>
          <w:numId w:val="0"/>
        </w:numPr>
        <w:spacing w:before="0" w:after="0"/>
        <w:ind w:left="562"/>
        <w:jc w:val="center"/>
        <w:rPr>
          <w:rFonts w:ascii="Arial" w:hAnsi="Arial" w:cs="Arial"/>
          <w:b/>
          <w:sz w:val="22"/>
          <w:szCs w:val="22"/>
        </w:rPr>
      </w:pPr>
    </w:p>
    <w:p w14:paraId="325C6A00" w14:textId="18A96399" w:rsidR="00B84211" w:rsidRPr="00286419" w:rsidRDefault="002932E4" w:rsidP="00286419">
      <w:pPr>
        <w:pStyle w:val="Paragraph"/>
        <w:numPr>
          <w:ilvl w:val="0"/>
          <w:numId w:val="0"/>
        </w:numPr>
        <w:spacing w:before="0" w:after="0" w:line="480" w:lineRule="auto"/>
        <w:ind w:left="567"/>
        <w:jc w:val="left"/>
        <w:rPr>
          <w:rFonts w:ascii="Arial" w:hAnsi="Arial" w:cs="Arial"/>
          <w:sz w:val="16"/>
          <w:szCs w:val="16"/>
        </w:rPr>
      </w:pPr>
      <w:r w:rsidRPr="00286419">
        <w:rPr>
          <w:rFonts w:ascii="Arial" w:hAnsi="Arial" w:cs="Arial"/>
          <w:sz w:val="16"/>
          <w:szCs w:val="16"/>
        </w:rPr>
        <w:t>Fuente. Estimaciones propias</w:t>
      </w:r>
    </w:p>
    <w:p w14:paraId="1E5B4F67" w14:textId="52037ACF" w:rsidR="00B84211" w:rsidRPr="00F30F48" w:rsidRDefault="009D413B" w:rsidP="00487087">
      <w:pPr>
        <w:pStyle w:val="Paragraph"/>
        <w:numPr>
          <w:ilvl w:val="1"/>
          <w:numId w:val="1"/>
        </w:numPr>
        <w:spacing w:before="0" w:after="0"/>
        <w:ind w:left="720" w:hanging="720"/>
        <w:rPr>
          <w:rFonts w:ascii="Arial" w:hAnsi="Arial" w:cs="Arial"/>
          <w:sz w:val="22"/>
          <w:szCs w:val="22"/>
        </w:rPr>
      </w:pPr>
      <w:r w:rsidRPr="00F30F48">
        <w:rPr>
          <w:rFonts w:ascii="Arial" w:hAnsi="Arial" w:cs="Arial"/>
          <w:sz w:val="22"/>
          <w:szCs w:val="22"/>
        </w:rPr>
        <w:t>En el escenario base</w:t>
      </w:r>
      <w:r w:rsidR="00CF7330" w:rsidRPr="00F30F48">
        <w:rPr>
          <w:rFonts w:ascii="Arial" w:hAnsi="Arial" w:cs="Arial"/>
          <w:sz w:val="22"/>
          <w:szCs w:val="22"/>
        </w:rPr>
        <w:t>,</w:t>
      </w:r>
      <w:r w:rsidR="00EC062F" w:rsidRPr="00F30F48">
        <w:rPr>
          <w:rFonts w:ascii="Arial" w:hAnsi="Arial" w:cs="Arial"/>
          <w:sz w:val="22"/>
          <w:szCs w:val="22"/>
        </w:rPr>
        <w:t xml:space="preserve"> donde el incremento de l</w:t>
      </w:r>
      <w:r w:rsidR="00D566B6" w:rsidRPr="00F30F48">
        <w:rPr>
          <w:rFonts w:ascii="Arial" w:hAnsi="Arial" w:cs="Arial"/>
          <w:sz w:val="22"/>
          <w:szCs w:val="22"/>
        </w:rPr>
        <w:t>a productividad de lo</w:t>
      </w:r>
      <w:r w:rsidR="00795B8D" w:rsidRPr="00F30F48">
        <w:rPr>
          <w:rFonts w:ascii="Arial" w:hAnsi="Arial" w:cs="Arial"/>
          <w:sz w:val="22"/>
          <w:szCs w:val="22"/>
        </w:rPr>
        <w:t>s abogados por el desarrollo de</w:t>
      </w:r>
      <w:r w:rsidR="00D566B6" w:rsidRPr="00F30F48">
        <w:rPr>
          <w:rFonts w:ascii="Arial" w:hAnsi="Arial" w:cs="Arial"/>
          <w:sz w:val="22"/>
          <w:szCs w:val="22"/>
        </w:rPr>
        <w:t xml:space="preserve"> </w:t>
      </w:r>
      <w:r w:rsidR="006C0C06" w:rsidRPr="00F30F48">
        <w:rPr>
          <w:rFonts w:ascii="Arial" w:hAnsi="Arial" w:cs="Arial"/>
          <w:sz w:val="22"/>
          <w:szCs w:val="22"/>
        </w:rPr>
        <w:t xml:space="preserve">herramientas </w:t>
      </w:r>
      <w:r w:rsidR="00795B8D" w:rsidRPr="00F30F48">
        <w:rPr>
          <w:rFonts w:ascii="Arial" w:hAnsi="Arial" w:cs="Arial"/>
          <w:sz w:val="22"/>
          <w:szCs w:val="22"/>
        </w:rPr>
        <w:t>de gestión y capacitación en su uso</w:t>
      </w:r>
      <w:r w:rsidR="00D566B6" w:rsidRPr="00F30F48">
        <w:rPr>
          <w:rFonts w:ascii="Arial" w:hAnsi="Arial" w:cs="Arial"/>
          <w:sz w:val="22"/>
          <w:szCs w:val="22"/>
        </w:rPr>
        <w:t xml:space="preserve"> es del </w:t>
      </w:r>
      <w:r w:rsidR="00795B8D" w:rsidRPr="00F30F48">
        <w:rPr>
          <w:rFonts w:ascii="Arial" w:hAnsi="Arial" w:cs="Arial"/>
          <w:sz w:val="22"/>
          <w:szCs w:val="22"/>
        </w:rPr>
        <w:t>25</w:t>
      </w:r>
      <w:r w:rsidR="00D566B6" w:rsidRPr="00F30F48">
        <w:rPr>
          <w:rFonts w:ascii="Arial" w:hAnsi="Arial" w:cs="Arial"/>
          <w:sz w:val="22"/>
          <w:szCs w:val="22"/>
        </w:rPr>
        <w:t xml:space="preserve">%, la relación costo – beneficio para el programa resulta ser de </w:t>
      </w:r>
      <w:r w:rsidR="00795B8D" w:rsidRPr="00F30F48">
        <w:rPr>
          <w:rFonts w:ascii="Arial" w:hAnsi="Arial" w:cs="Arial"/>
          <w:sz w:val="22"/>
          <w:szCs w:val="22"/>
        </w:rPr>
        <w:t>1</w:t>
      </w:r>
      <w:r w:rsidR="00487087">
        <w:rPr>
          <w:rFonts w:ascii="Arial" w:hAnsi="Arial" w:cs="Arial"/>
          <w:sz w:val="22"/>
          <w:szCs w:val="22"/>
        </w:rPr>
        <w:t>,</w:t>
      </w:r>
      <w:r w:rsidR="00795B8D" w:rsidRPr="00F30F48">
        <w:rPr>
          <w:rFonts w:ascii="Arial" w:hAnsi="Arial" w:cs="Arial"/>
          <w:sz w:val="22"/>
          <w:szCs w:val="22"/>
        </w:rPr>
        <w:t>61</w:t>
      </w:r>
      <w:r w:rsidR="00D566B6" w:rsidRPr="00F30F48">
        <w:rPr>
          <w:rFonts w:ascii="Arial" w:hAnsi="Arial" w:cs="Arial"/>
          <w:sz w:val="22"/>
          <w:szCs w:val="22"/>
        </w:rPr>
        <w:t xml:space="preserve">. Esto significa que se espera recuperar </w:t>
      </w:r>
      <w:r w:rsidR="00795B8D" w:rsidRPr="00F30F48">
        <w:rPr>
          <w:rFonts w:ascii="Arial" w:hAnsi="Arial" w:cs="Arial"/>
          <w:sz w:val="22"/>
          <w:szCs w:val="22"/>
        </w:rPr>
        <w:t>1</w:t>
      </w:r>
      <w:r w:rsidR="00487087">
        <w:rPr>
          <w:rFonts w:ascii="Arial" w:hAnsi="Arial" w:cs="Arial"/>
          <w:sz w:val="22"/>
          <w:szCs w:val="22"/>
        </w:rPr>
        <w:t>,</w:t>
      </w:r>
      <w:r w:rsidR="00795B8D" w:rsidRPr="00F30F48">
        <w:rPr>
          <w:rFonts w:ascii="Arial" w:hAnsi="Arial" w:cs="Arial"/>
          <w:sz w:val="22"/>
          <w:szCs w:val="22"/>
        </w:rPr>
        <w:t>61</w:t>
      </w:r>
      <w:r w:rsidR="00D566B6" w:rsidRPr="00F30F48">
        <w:rPr>
          <w:rFonts w:ascii="Arial" w:hAnsi="Arial" w:cs="Arial"/>
          <w:sz w:val="22"/>
          <w:szCs w:val="22"/>
        </w:rPr>
        <w:t xml:space="preserve"> </w:t>
      </w:r>
      <w:r w:rsidR="000C03C6" w:rsidRPr="00F30F48">
        <w:rPr>
          <w:rFonts w:ascii="Arial" w:hAnsi="Arial" w:cs="Arial"/>
          <w:sz w:val="22"/>
          <w:szCs w:val="22"/>
        </w:rPr>
        <w:t xml:space="preserve">dólares </w:t>
      </w:r>
      <w:r w:rsidR="00D566B6" w:rsidRPr="00F30F48">
        <w:rPr>
          <w:rFonts w:ascii="Arial" w:hAnsi="Arial" w:cs="Arial"/>
          <w:sz w:val="22"/>
          <w:szCs w:val="22"/>
        </w:rPr>
        <w:t xml:space="preserve">por cada </w:t>
      </w:r>
      <w:r w:rsidR="000C03C6" w:rsidRPr="00F30F48">
        <w:rPr>
          <w:rFonts w:ascii="Arial" w:hAnsi="Arial" w:cs="Arial"/>
          <w:sz w:val="22"/>
          <w:szCs w:val="22"/>
        </w:rPr>
        <w:t xml:space="preserve">dólar </w:t>
      </w:r>
      <w:r w:rsidR="00D566B6" w:rsidRPr="00F30F48">
        <w:rPr>
          <w:rFonts w:ascii="Arial" w:hAnsi="Arial" w:cs="Arial"/>
          <w:sz w:val="22"/>
          <w:szCs w:val="22"/>
        </w:rPr>
        <w:t xml:space="preserve">invertido en el proyecto. La TIR social resulta ser del </w:t>
      </w:r>
      <w:r w:rsidR="00795B8D" w:rsidRPr="00F30F48">
        <w:rPr>
          <w:rFonts w:ascii="Arial" w:hAnsi="Arial" w:cs="Arial"/>
          <w:sz w:val="22"/>
          <w:szCs w:val="22"/>
        </w:rPr>
        <w:t>18</w:t>
      </w:r>
      <w:r w:rsidR="00D566B6" w:rsidRPr="00F30F48">
        <w:rPr>
          <w:rFonts w:ascii="Arial" w:hAnsi="Arial" w:cs="Arial"/>
          <w:sz w:val="22"/>
          <w:szCs w:val="22"/>
        </w:rPr>
        <w:t>%.</w:t>
      </w:r>
      <w:r w:rsidR="005D7A35" w:rsidRPr="00F30F48">
        <w:rPr>
          <w:rFonts w:ascii="Arial" w:hAnsi="Arial" w:cs="Arial"/>
          <w:sz w:val="22"/>
          <w:szCs w:val="22"/>
        </w:rPr>
        <w:t xml:space="preserve"> </w:t>
      </w:r>
    </w:p>
    <w:p w14:paraId="3001EE3F" w14:textId="77777777" w:rsidR="00D566B6" w:rsidRPr="00F30F48" w:rsidRDefault="00D566B6" w:rsidP="00487087">
      <w:pPr>
        <w:pStyle w:val="Paragraph"/>
        <w:numPr>
          <w:ilvl w:val="0"/>
          <w:numId w:val="0"/>
        </w:numPr>
        <w:spacing w:before="0" w:after="0"/>
        <w:ind w:left="720"/>
        <w:rPr>
          <w:rFonts w:ascii="Arial" w:hAnsi="Arial" w:cs="Arial"/>
          <w:sz w:val="22"/>
          <w:szCs w:val="22"/>
        </w:rPr>
      </w:pPr>
    </w:p>
    <w:p w14:paraId="551DB9D5" w14:textId="797FA03B" w:rsidR="00D566B6" w:rsidRPr="00F30F48" w:rsidRDefault="00D566B6" w:rsidP="00487087">
      <w:pPr>
        <w:pStyle w:val="Paragraph"/>
        <w:numPr>
          <w:ilvl w:val="1"/>
          <w:numId w:val="1"/>
        </w:numPr>
        <w:spacing w:before="0" w:after="0"/>
        <w:ind w:left="720" w:hanging="720"/>
        <w:rPr>
          <w:rFonts w:ascii="Arial" w:hAnsi="Arial" w:cs="Arial"/>
          <w:sz w:val="22"/>
          <w:szCs w:val="22"/>
        </w:rPr>
      </w:pPr>
      <w:r w:rsidRPr="00F30F48">
        <w:rPr>
          <w:rFonts w:ascii="Arial" w:hAnsi="Arial" w:cs="Arial"/>
          <w:sz w:val="22"/>
          <w:szCs w:val="22"/>
        </w:rPr>
        <w:t xml:space="preserve">En el escenario pesimista, donde </w:t>
      </w:r>
      <w:r w:rsidR="00795B8D" w:rsidRPr="00F30F48">
        <w:rPr>
          <w:rFonts w:ascii="Arial" w:hAnsi="Arial" w:cs="Arial"/>
          <w:sz w:val="22"/>
          <w:szCs w:val="22"/>
        </w:rPr>
        <w:t xml:space="preserve">la productividad de los abogados por el desarrollo de herramientas de gestión y capacitación en su uso </w:t>
      </w:r>
      <w:r w:rsidRPr="00F30F48">
        <w:rPr>
          <w:rFonts w:ascii="Arial" w:hAnsi="Arial" w:cs="Arial"/>
          <w:sz w:val="22"/>
          <w:szCs w:val="22"/>
        </w:rPr>
        <w:t xml:space="preserve">es del </w:t>
      </w:r>
      <w:r w:rsidR="00795B8D" w:rsidRPr="00F30F48">
        <w:rPr>
          <w:rFonts w:ascii="Arial" w:hAnsi="Arial" w:cs="Arial"/>
          <w:sz w:val="22"/>
          <w:szCs w:val="22"/>
        </w:rPr>
        <w:t>2</w:t>
      </w:r>
      <w:r w:rsidR="00CF36C9" w:rsidRPr="00F30F48">
        <w:rPr>
          <w:rFonts w:ascii="Arial" w:hAnsi="Arial" w:cs="Arial"/>
          <w:sz w:val="22"/>
          <w:szCs w:val="22"/>
        </w:rPr>
        <w:t>2</w:t>
      </w:r>
      <w:r w:rsidR="00487087">
        <w:rPr>
          <w:rFonts w:ascii="Arial" w:hAnsi="Arial" w:cs="Arial"/>
          <w:sz w:val="22"/>
          <w:szCs w:val="22"/>
        </w:rPr>
        <w:t>,</w:t>
      </w:r>
      <w:r w:rsidR="00CF36C9" w:rsidRPr="00F30F48">
        <w:rPr>
          <w:rFonts w:ascii="Arial" w:hAnsi="Arial" w:cs="Arial"/>
          <w:sz w:val="22"/>
          <w:szCs w:val="22"/>
        </w:rPr>
        <w:t>5</w:t>
      </w:r>
      <w:r w:rsidRPr="00F30F48">
        <w:rPr>
          <w:rFonts w:ascii="Arial" w:hAnsi="Arial" w:cs="Arial"/>
          <w:sz w:val="22"/>
          <w:szCs w:val="22"/>
        </w:rPr>
        <w:t xml:space="preserve">%, la relación costo – beneficio para el programa resulta ser de </w:t>
      </w:r>
      <w:r w:rsidR="00795B8D" w:rsidRPr="00F30F48">
        <w:rPr>
          <w:rFonts w:ascii="Arial" w:hAnsi="Arial" w:cs="Arial"/>
          <w:sz w:val="22"/>
          <w:szCs w:val="22"/>
        </w:rPr>
        <w:t>1</w:t>
      </w:r>
      <w:r w:rsidR="00487087">
        <w:rPr>
          <w:rFonts w:ascii="Arial" w:hAnsi="Arial" w:cs="Arial"/>
          <w:sz w:val="22"/>
          <w:szCs w:val="22"/>
        </w:rPr>
        <w:t>,</w:t>
      </w:r>
      <w:r w:rsidR="00CF36C9" w:rsidRPr="00F30F48">
        <w:rPr>
          <w:rFonts w:ascii="Arial" w:hAnsi="Arial" w:cs="Arial"/>
          <w:sz w:val="22"/>
          <w:szCs w:val="22"/>
        </w:rPr>
        <w:t>45</w:t>
      </w:r>
      <w:r w:rsidRPr="00F30F48">
        <w:rPr>
          <w:rFonts w:ascii="Arial" w:hAnsi="Arial" w:cs="Arial"/>
          <w:sz w:val="22"/>
          <w:szCs w:val="22"/>
        </w:rPr>
        <w:t xml:space="preserve">. Esto significa que se espera recuperar </w:t>
      </w:r>
      <w:r w:rsidR="00B26F83" w:rsidRPr="00F30F48">
        <w:rPr>
          <w:rFonts w:ascii="Arial" w:hAnsi="Arial" w:cs="Arial"/>
          <w:sz w:val="22"/>
          <w:szCs w:val="22"/>
        </w:rPr>
        <w:t>1</w:t>
      </w:r>
      <w:r w:rsidR="00487087">
        <w:rPr>
          <w:rFonts w:ascii="Arial" w:hAnsi="Arial" w:cs="Arial"/>
          <w:sz w:val="22"/>
          <w:szCs w:val="22"/>
        </w:rPr>
        <w:t>,</w:t>
      </w:r>
      <w:r w:rsidR="00CF36C9" w:rsidRPr="00F30F48">
        <w:rPr>
          <w:rFonts w:ascii="Arial" w:hAnsi="Arial" w:cs="Arial"/>
          <w:sz w:val="22"/>
          <w:szCs w:val="22"/>
        </w:rPr>
        <w:t>45</w:t>
      </w:r>
      <w:r w:rsidRPr="00F30F48">
        <w:rPr>
          <w:rFonts w:ascii="Arial" w:hAnsi="Arial" w:cs="Arial"/>
          <w:sz w:val="22"/>
          <w:szCs w:val="22"/>
        </w:rPr>
        <w:t xml:space="preserve"> </w:t>
      </w:r>
      <w:r w:rsidR="000C03C6" w:rsidRPr="00F30F48">
        <w:rPr>
          <w:rFonts w:ascii="Arial" w:hAnsi="Arial" w:cs="Arial"/>
          <w:sz w:val="22"/>
          <w:szCs w:val="22"/>
        </w:rPr>
        <w:t xml:space="preserve">dólares </w:t>
      </w:r>
      <w:r w:rsidRPr="00F30F48">
        <w:rPr>
          <w:rFonts w:ascii="Arial" w:hAnsi="Arial" w:cs="Arial"/>
          <w:sz w:val="22"/>
          <w:szCs w:val="22"/>
        </w:rPr>
        <w:t xml:space="preserve">por cada </w:t>
      </w:r>
      <w:r w:rsidR="000C03C6" w:rsidRPr="00F30F48">
        <w:rPr>
          <w:rFonts w:ascii="Arial" w:hAnsi="Arial" w:cs="Arial"/>
          <w:sz w:val="22"/>
          <w:szCs w:val="22"/>
        </w:rPr>
        <w:t xml:space="preserve">dólar </w:t>
      </w:r>
      <w:r w:rsidRPr="00F30F48">
        <w:rPr>
          <w:rFonts w:ascii="Arial" w:hAnsi="Arial" w:cs="Arial"/>
          <w:sz w:val="22"/>
          <w:szCs w:val="22"/>
        </w:rPr>
        <w:t>invertido en el proyecto. La TIR social</w:t>
      </w:r>
      <w:r w:rsidR="00B26F83" w:rsidRPr="00F30F48">
        <w:rPr>
          <w:rFonts w:ascii="Arial" w:hAnsi="Arial" w:cs="Arial"/>
          <w:sz w:val="22"/>
          <w:szCs w:val="22"/>
        </w:rPr>
        <w:t xml:space="preserve"> se reduce al </w:t>
      </w:r>
      <w:r w:rsidR="00CF36C9" w:rsidRPr="00F30F48">
        <w:rPr>
          <w:rFonts w:ascii="Arial" w:hAnsi="Arial" w:cs="Arial"/>
          <w:sz w:val="22"/>
          <w:szCs w:val="22"/>
        </w:rPr>
        <w:t>13</w:t>
      </w:r>
      <w:r w:rsidR="00B26F83" w:rsidRPr="00F30F48">
        <w:rPr>
          <w:rFonts w:ascii="Arial" w:hAnsi="Arial" w:cs="Arial"/>
          <w:sz w:val="22"/>
          <w:szCs w:val="22"/>
        </w:rPr>
        <w:t>%</w:t>
      </w:r>
      <w:r w:rsidR="00487087">
        <w:rPr>
          <w:rFonts w:ascii="Arial" w:hAnsi="Arial" w:cs="Arial"/>
          <w:sz w:val="22"/>
          <w:szCs w:val="22"/>
        </w:rPr>
        <w:t>.</w:t>
      </w:r>
      <w:r w:rsidR="00B26F83" w:rsidRPr="00F30F48">
        <w:rPr>
          <w:rFonts w:ascii="Arial" w:hAnsi="Arial" w:cs="Arial"/>
          <w:sz w:val="22"/>
          <w:szCs w:val="22"/>
        </w:rPr>
        <w:t xml:space="preserve"> </w:t>
      </w:r>
      <w:r w:rsidR="00487087">
        <w:rPr>
          <w:rFonts w:ascii="Arial" w:hAnsi="Arial" w:cs="Arial"/>
          <w:sz w:val="22"/>
          <w:szCs w:val="22"/>
        </w:rPr>
        <w:t>S</w:t>
      </w:r>
      <w:r w:rsidR="00B26F83" w:rsidRPr="00F30F48">
        <w:rPr>
          <w:rFonts w:ascii="Arial" w:hAnsi="Arial" w:cs="Arial"/>
          <w:sz w:val="22"/>
          <w:szCs w:val="22"/>
        </w:rPr>
        <w:t>in embargo, sigue siendo positiva,</w:t>
      </w:r>
      <w:r w:rsidR="00635512" w:rsidRPr="00F30F48">
        <w:rPr>
          <w:rFonts w:ascii="Arial" w:hAnsi="Arial" w:cs="Arial"/>
          <w:sz w:val="22"/>
          <w:szCs w:val="22"/>
        </w:rPr>
        <w:t xml:space="preserve"> </w:t>
      </w:r>
      <w:r w:rsidR="00B26F83" w:rsidRPr="00F30F48">
        <w:rPr>
          <w:rFonts w:ascii="Arial" w:hAnsi="Arial" w:cs="Arial"/>
          <w:sz w:val="22"/>
          <w:szCs w:val="22"/>
        </w:rPr>
        <w:t xml:space="preserve">por </w:t>
      </w:r>
      <w:r w:rsidR="00487087" w:rsidRPr="00F30F48">
        <w:rPr>
          <w:rFonts w:ascii="Arial" w:hAnsi="Arial" w:cs="Arial"/>
          <w:sz w:val="22"/>
          <w:szCs w:val="22"/>
        </w:rPr>
        <w:t>consiguiente,</w:t>
      </w:r>
      <w:r w:rsidR="00B26F83" w:rsidRPr="00F30F48">
        <w:rPr>
          <w:rFonts w:ascii="Arial" w:hAnsi="Arial" w:cs="Arial"/>
          <w:sz w:val="22"/>
          <w:szCs w:val="22"/>
        </w:rPr>
        <w:t xml:space="preserve"> el programa es rentable incluso en</w:t>
      </w:r>
      <w:r w:rsidR="001563F5" w:rsidRPr="00F30F48">
        <w:rPr>
          <w:rFonts w:ascii="Arial" w:hAnsi="Arial" w:cs="Arial"/>
          <w:sz w:val="22"/>
          <w:szCs w:val="22"/>
        </w:rPr>
        <w:t xml:space="preserve"> este</w:t>
      </w:r>
      <w:r w:rsidR="00635512" w:rsidRPr="00F30F48">
        <w:rPr>
          <w:rFonts w:ascii="Arial" w:hAnsi="Arial" w:cs="Arial"/>
          <w:sz w:val="22"/>
          <w:szCs w:val="22"/>
        </w:rPr>
        <w:t xml:space="preserve"> escenario</w:t>
      </w:r>
      <w:r w:rsidRPr="00F30F48">
        <w:rPr>
          <w:rFonts w:ascii="Arial" w:hAnsi="Arial" w:cs="Arial"/>
          <w:sz w:val="22"/>
          <w:szCs w:val="22"/>
        </w:rPr>
        <w:t xml:space="preserve">. </w:t>
      </w:r>
    </w:p>
    <w:p w14:paraId="706EFD23" w14:textId="77777777" w:rsidR="00D566B6" w:rsidRPr="00F30F48" w:rsidRDefault="00D566B6" w:rsidP="00D566B6">
      <w:pPr>
        <w:pStyle w:val="Paragraph"/>
        <w:numPr>
          <w:ilvl w:val="0"/>
          <w:numId w:val="0"/>
        </w:numPr>
        <w:spacing w:before="0" w:after="0"/>
        <w:rPr>
          <w:rFonts w:ascii="Arial" w:hAnsi="Arial" w:cs="Arial"/>
          <w:sz w:val="22"/>
          <w:szCs w:val="22"/>
        </w:rPr>
      </w:pPr>
    </w:p>
    <w:p w14:paraId="6CF222F8" w14:textId="37083244" w:rsidR="00D566B6" w:rsidRPr="00F30F48" w:rsidRDefault="00736922" w:rsidP="00487087">
      <w:pPr>
        <w:pStyle w:val="Paragraph"/>
        <w:numPr>
          <w:ilvl w:val="1"/>
          <w:numId w:val="1"/>
        </w:numPr>
        <w:spacing w:before="0" w:after="0"/>
        <w:ind w:left="720" w:hanging="720"/>
        <w:rPr>
          <w:rFonts w:ascii="Arial" w:hAnsi="Arial" w:cs="Arial"/>
          <w:sz w:val="22"/>
          <w:szCs w:val="22"/>
        </w:rPr>
      </w:pPr>
      <w:r w:rsidRPr="00F30F48">
        <w:rPr>
          <w:rFonts w:ascii="Arial" w:hAnsi="Arial" w:cs="Arial"/>
          <w:sz w:val="22"/>
          <w:szCs w:val="22"/>
        </w:rPr>
        <w:t>En cu</w:t>
      </w:r>
      <w:r w:rsidR="00985845">
        <w:rPr>
          <w:rFonts w:ascii="Arial" w:hAnsi="Arial" w:cs="Arial"/>
          <w:sz w:val="22"/>
          <w:szCs w:val="22"/>
        </w:rPr>
        <w:t>a</w:t>
      </w:r>
      <w:r w:rsidRPr="00F30F48">
        <w:rPr>
          <w:rFonts w:ascii="Arial" w:hAnsi="Arial" w:cs="Arial"/>
          <w:sz w:val="22"/>
          <w:szCs w:val="22"/>
        </w:rPr>
        <w:t xml:space="preserve">nto al </w:t>
      </w:r>
      <w:r w:rsidR="00D566B6" w:rsidRPr="00F30F48">
        <w:rPr>
          <w:rFonts w:ascii="Arial" w:hAnsi="Arial" w:cs="Arial"/>
          <w:sz w:val="22"/>
          <w:szCs w:val="22"/>
        </w:rPr>
        <w:t xml:space="preserve">escenario optimista, </w:t>
      </w:r>
      <w:r w:rsidR="00795B8D" w:rsidRPr="00F30F48">
        <w:rPr>
          <w:rFonts w:ascii="Arial" w:hAnsi="Arial" w:cs="Arial"/>
          <w:sz w:val="22"/>
          <w:szCs w:val="22"/>
        </w:rPr>
        <w:t xml:space="preserve">la productividad de los abogados por el desarrollo de herramientas </w:t>
      </w:r>
      <w:r w:rsidR="001563F5" w:rsidRPr="00F30F48">
        <w:rPr>
          <w:rFonts w:ascii="Arial" w:hAnsi="Arial" w:cs="Arial"/>
          <w:sz w:val="22"/>
          <w:szCs w:val="22"/>
        </w:rPr>
        <w:t>tecnológicas y de</w:t>
      </w:r>
      <w:r w:rsidR="00795B8D" w:rsidRPr="00F30F48">
        <w:rPr>
          <w:rFonts w:ascii="Arial" w:hAnsi="Arial" w:cs="Arial"/>
          <w:sz w:val="22"/>
          <w:szCs w:val="22"/>
        </w:rPr>
        <w:t xml:space="preserve"> </w:t>
      </w:r>
      <w:r w:rsidR="00487087" w:rsidRPr="00F30F48">
        <w:rPr>
          <w:rFonts w:ascii="Arial" w:hAnsi="Arial" w:cs="Arial"/>
          <w:sz w:val="22"/>
          <w:szCs w:val="22"/>
        </w:rPr>
        <w:t>gestión,</w:t>
      </w:r>
      <w:r w:rsidR="00795B8D" w:rsidRPr="00F30F48">
        <w:rPr>
          <w:rFonts w:ascii="Arial" w:hAnsi="Arial" w:cs="Arial"/>
          <w:sz w:val="22"/>
          <w:szCs w:val="22"/>
        </w:rPr>
        <w:t xml:space="preserve"> </w:t>
      </w:r>
      <w:r w:rsidR="001563F5" w:rsidRPr="00F30F48">
        <w:rPr>
          <w:rFonts w:ascii="Arial" w:hAnsi="Arial" w:cs="Arial"/>
          <w:sz w:val="22"/>
          <w:szCs w:val="22"/>
        </w:rPr>
        <w:t xml:space="preserve">así como la </w:t>
      </w:r>
      <w:r w:rsidR="00795B8D" w:rsidRPr="00F30F48">
        <w:rPr>
          <w:rFonts w:ascii="Arial" w:hAnsi="Arial" w:cs="Arial"/>
          <w:sz w:val="22"/>
          <w:szCs w:val="22"/>
        </w:rPr>
        <w:t xml:space="preserve">capacitación en su uso </w:t>
      </w:r>
      <w:r w:rsidR="00D566B6" w:rsidRPr="00F30F48">
        <w:rPr>
          <w:rFonts w:ascii="Arial" w:hAnsi="Arial" w:cs="Arial"/>
          <w:sz w:val="22"/>
          <w:szCs w:val="22"/>
        </w:rPr>
        <w:t>es</w:t>
      </w:r>
      <w:r w:rsidRPr="00F30F48">
        <w:rPr>
          <w:rFonts w:ascii="Arial" w:hAnsi="Arial" w:cs="Arial"/>
          <w:sz w:val="22"/>
          <w:szCs w:val="22"/>
        </w:rPr>
        <w:t>tá proyectado en</w:t>
      </w:r>
      <w:r w:rsidR="00D566B6" w:rsidRPr="00F30F48">
        <w:rPr>
          <w:rFonts w:ascii="Arial" w:hAnsi="Arial" w:cs="Arial"/>
          <w:sz w:val="22"/>
          <w:szCs w:val="22"/>
        </w:rPr>
        <w:t xml:space="preserve"> </w:t>
      </w:r>
      <w:r w:rsidR="00635512" w:rsidRPr="00F30F48">
        <w:rPr>
          <w:rFonts w:ascii="Arial" w:hAnsi="Arial" w:cs="Arial"/>
          <w:sz w:val="22"/>
          <w:szCs w:val="22"/>
        </w:rPr>
        <w:t>27</w:t>
      </w:r>
      <w:r w:rsidR="00487087">
        <w:rPr>
          <w:rFonts w:ascii="Arial" w:hAnsi="Arial" w:cs="Arial"/>
          <w:sz w:val="22"/>
          <w:szCs w:val="22"/>
        </w:rPr>
        <w:t>,</w:t>
      </w:r>
      <w:r w:rsidR="00635512" w:rsidRPr="00F30F48">
        <w:rPr>
          <w:rFonts w:ascii="Arial" w:hAnsi="Arial" w:cs="Arial"/>
          <w:sz w:val="22"/>
          <w:szCs w:val="22"/>
        </w:rPr>
        <w:t>5</w:t>
      </w:r>
      <w:r w:rsidR="00D566B6" w:rsidRPr="00F30F48">
        <w:rPr>
          <w:rFonts w:ascii="Arial" w:hAnsi="Arial" w:cs="Arial"/>
          <w:sz w:val="22"/>
          <w:szCs w:val="22"/>
        </w:rPr>
        <w:t xml:space="preserve">%, </w:t>
      </w:r>
      <w:r w:rsidRPr="00F30F48">
        <w:rPr>
          <w:rFonts w:ascii="Arial" w:hAnsi="Arial" w:cs="Arial"/>
          <w:sz w:val="22"/>
          <w:szCs w:val="22"/>
        </w:rPr>
        <w:t xml:space="preserve">dando como resultado una </w:t>
      </w:r>
      <w:r w:rsidR="00D566B6" w:rsidRPr="00F30F48">
        <w:rPr>
          <w:rFonts w:ascii="Arial" w:hAnsi="Arial" w:cs="Arial"/>
          <w:sz w:val="22"/>
          <w:szCs w:val="22"/>
        </w:rPr>
        <w:t>relación costo</w:t>
      </w:r>
      <w:r w:rsidR="00487087">
        <w:rPr>
          <w:rFonts w:ascii="Arial" w:hAnsi="Arial" w:cs="Arial"/>
          <w:sz w:val="22"/>
          <w:szCs w:val="22"/>
        </w:rPr>
        <w:noBreakHyphen/>
      </w:r>
      <w:r w:rsidR="00D566B6" w:rsidRPr="00F30F48">
        <w:rPr>
          <w:rFonts w:ascii="Arial" w:hAnsi="Arial" w:cs="Arial"/>
          <w:sz w:val="22"/>
          <w:szCs w:val="22"/>
        </w:rPr>
        <w:t xml:space="preserve">beneficio para el programa de </w:t>
      </w:r>
      <w:r w:rsidR="00795B8D" w:rsidRPr="00F30F48">
        <w:rPr>
          <w:rFonts w:ascii="Arial" w:hAnsi="Arial" w:cs="Arial"/>
          <w:sz w:val="22"/>
          <w:szCs w:val="22"/>
        </w:rPr>
        <w:t>1</w:t>
      </w:r>
      <w:r w:rsidR="00487087">
        <w:rPr>
          <w:rFonts w:ascii="Arial" w:hAnsi="Arial" w:cs="Arial"/>
          <w:sz w:val="22"/>
          <w:szCs w:val="22"/>
        </w:rPr>
        <w:t>,</w:t>
      </w:r>
      <w:r w:rsidR="00635512" w:rsidRPr="00F30F48">
        <w:rPr>
          <w:rFonts w:ascii="Arial" w:hAnsi="Arial" w:cs="Arial"/>
          <w:sz w:val="22"/>
          <w:szCs w:val="22"/>
        </w:rPr>
        <w:t>77</w:t>
      </w:r>
      <w:r w:rsidR="00D566B6" w:rsidRPr="00F30F48">
        <w:rPr>
          <w:rFonts w:ascii="Arial" w:hAnsi="Arial" w:cs="Arial"/>
          <w:sz w:val="22"/>
          <w:szCs w:val="22"/>
        </w:rPr>
        <w:t xml:space="preserve">. Esto significa que se espera recuperar </w:t>
      </w:r>
      <w:r w:rsidR="00795B8D" w:rsidRPr="00F30F48">
        <w:rPr>
          <w:rFonts w:ascii="Arial" w:hAnsi="Arial" w:cs="Arial"/>
          <w:sz w:val="22"/>
          <w:szCs w:val="22"/>
        </w:rPr>
        <w:t>1</w:t>
      </w:r>
      <w:r w:rsidR="00487087">
        <w:rPr>
          <w:rFonts w:ascii="Arial" w:hAnsi="Arial" w:cs="Arial"/>
          <w:sz w:val="22"/>
          <w:szCs w:val="22"/>
        </w:rPr>
        <w:t>,</w:t>
      </w:r>
      <w:r w:rsidR="00635512" w:rsidRPr="00F30F48">
        <w:rPr>
          <w:rFonts w:ascii="Arial" w:hAnsi="Arial" w:cs="Arial"/>
          <w:sz w:val="22"/>
          <w:szCs w:val="22"/>
        </w:rPr>
        <w:t>77</w:t>
      </w:r>
      <w:r w:rsidR="00D566B6" w:rsidRPr="00F30F48">
        <w:rPr>
          <w:rFonts w:ascii="Arial" w:hAnsi="Arial" w:cs="Arial"/>
          <w:sz w:val="22"/>
          <w:szCs w:val="22"/>
        </w:rPr>
        <w:t xml:space="preserve"> </w:t>
      </w:r>
      <w:r w:rsidR="000C03C6" w:rsidRPr="00F30F48">
        <w:rPr>
          <w:rFonts w:ascii="Arial" w:hAnsi="Arial" w:cs="Arial"/>
          <w:sz w:val="22"/>
          <w:szCs w:val="22"/>
        </w:rPr>
        <w:t xml:space="preserve">dólares </w:t>
      </w:r>
      <w:r w:rsidR="00D566B6" w:rsidRPr="00F30F48">
        <w:rPr>
          <w:rFonts w:ascii="Arial" w:hAnsi="Arial" w:cs="Arial"/>
          <w:sz w:val="22"/>
          <w:szCs w:val="22"/>
        </w:rPr>
        <w:t xml:space="preserve">por cada </w:t>
      </w:r>
      <w:r w:rsidR="000C03C6" w:rsidRPr="00F30F48">
        <w:rPr>
          <w:rFonts w:ascii="Arial" w:hAnsi="Arial" w:cs="Arial"/>
          <w:sz w:val="22"/>
          <w:szCs w:val="22"/>
        </w:rPr>
        <w:t xml:space="preserve">dólar </w:t>
      </w:r>
      <w:r w:rsidR="00795B8D" w:rsidRPr="00F30F48">
        <w:rPr>
          <w:rFonts w:ascii="Arial" w:hAnsi="Arial" w:cs="Arial"/>
          <w:sz w:val="22"/>
          <w:szCs w:val="22"/>
        </w:rPr>
        <w:t>invertido</w:t>
      </w:r>
      <w:r w:rsidR="00D566B6" w:rsidRPr="00F30F48">
        <w:rPr>
          <w:rFonts w:ascii="Arial" w:hAnsi="Arial" w:cs="Arial"/>
          <w:sz w:val="22"/>
          <w:szCs w:val="22"/>
        </w:rPr>
        <w:t xml:space="preserve">. La TIR social resulta ser del </w:t>
      </w:r>
      <w:r w:rsidR="00795B8D" w:rsidRPr="00F30F48">
        <w:rPr>
          <w:rFonts w:ascii="Arial" w:hAnsi="Arial" w:cs="Arial"/>
          <w:sz w:val="22"/>
          <w:szCs w:val="22"/>
        </w:rPr>
        <w:t>2</w:t>
      </w:r>
      <w:r w:rsidR="00635512" w:rsidRPr="00F30F48">
        <w:rPr>
          <w:rFonts w:ascii="Arial" w:hAnsi="Arial" w:cs="Arial"/>
          <w:sz w:val="22"/>
          <w:szCs w:val="22"/>
        </w:rPr>
        <w:t>4</w:t>
      </w:r>
      <w:r w:rsidR="00D566B6" w:rsidRPr="00F30F48">
        <w:rPr>
          <w:rFonts w:ascii="Arial" w:hAnsi="Arial" w:cs="Arial"/>
          <w:sz w:val="22"/>
          <w:szCs w:val="22"/>
        </w:rPr>
        <w:t xml:space="preserve">%. </w:t>
      </w:r>
    </w:p>
    <w:p w14:paraId="569BBA56" w14:textId="2F486BC8" w:rsidR="00F71BDB" w:rsidRPr="00F30F48" w:rsidRDefault="00F71BDB" w:rsidP="006C0C06">
      <w:pPr>
        <w:pStyle w:val="Paragraph"/>
        <w:numPr>
          <w:ilvl w:val="0"/>
          <w:numId w:val="0"/>
        </w:numPr>
        <w:spacing w:before="0" w:after="0"/>
        <w:rPr>
          <w:rFonts w:ascii="Arial" w:hAnsi="Arial" w:cs="Arial"/>
          <w:sz w:val="22"/>
          <w:szCs w:val="22"/>
        </w:rPr>
      </w:pPr>
    </w:p>
    <w:p w14:paraId="085B98C6" w14:textId="77777777" w:rsidR="00F71BDB" w:rsidRPr="00F30F48" w:rsidRDefault="00F71BDB" w:rsidP="00736922">
      <w:pPr>
        <w:pStyle w:val="Paragraph"/>
        <w:numPr>
          <w:ilvl w:val="0"/>
          <w:numId w:val="0"/>
        </w:numPr>
        <w:spacing w:before="0" w:after="0"/>
        <w:ind w:left="720" w:hanging="720"/>
        <w:rPr>
          <w:rFonts w:ascii="Arial" w:hAnsi="Arial" w:cs="Arial"/>
          <w:sz w:val="22"/>
          <w:szCs w:val="22"/>
        </w:rPr>
      </w:pPr>
    </w:p>
    <w:p w14:paraId="7648DC93" w14:textId="13866BC7" w:rsidR="00736922" w:rsidRPr="00F30F48" w:rsidRDefault="00736922" w:rsidP="00D947A8">
      <w:pPr>
        <w:numPr>
          <w:ilvl w:val="0"/>
          <w:numId w:val="1"/>
        </w:numPr>
        <w:spacing w:after="0" w:line="480" w:lineRule="auto"/>
        <w:ind w:left="720" w:hanging="720"/>
        <w:jc w:val="both"/>
        <w:rPr>
          <w:rFonts w:ascii="Arial" w:hAnsi="Arial" w:cs="Arial"/>
          <w:b/>
        </w:rPr>
      </w:pPr>
      <w:r w:rsidRPr="00F30F48">
        <w:rPr>
          <w:rFonts w:ascii="Arial" w:hAnsi="Arial" w:cs="Arial"/>
          <w:b/>
        </w:rPr>
        <w:t>Recomendaciones</w:t>
      </w:r>
    </w:p>
    <w:p w14:paraId="26E17781" w14:textId="32B24AE8" w:rsidR="00736922" w:rsidRPr="00F30F48" w:rsidRDefault="00736922" w:rsidP="00736922">
      <w:pPr>
        <w:pStyle w:val="Paragraph"/>
        <w:numPr>
          <w:ilvl w:val="0"/>
          <w:numId w:val="0"/>
        </w:numPr>
        <w:spacing w:before="0" w:after="0"/>
        <w:ind w:left="720" w:hanging="720"/>
        <w:rPr>
          <w:rFonts w:ascii="Arial" w:hAnsi="Arial" w:cs="Arial"/>
          <w:sz w:val="22"/>
          <w:szCs w:val="22"/>
        </w:rPr>
      </w:pPr>
    </w:p>
    <w:p w14:paraId="4D319FD3" w14:textId="087C9353" w:rsidR="00011468" w:rsidRPr="00F30F48" w:rsidRDefault="00011468" w:rsidP="00D947A8">
      <w:pPr>
        <w:pStyle w:val="Paragraph"/>
        <w:numPr>
          <w:ilvl w:val="1"/>
          <w:numId w:val="1"/>
        </w:numPr>
        <w:spacing w:before="0" w:after="0"/>
        <w:rPr>
          <w:rFonts w:ascii="Arial" w:hAnsi="Arial" w:cs="Arial"/>
          <w:sz w:val="22"/>
          <w:szCs w:val="22"/>
        </w:rPr>
      </w:pPr>
      <w:r w:rsidRPr="00F30F48">
        <w:rPr>
          <w:rFonts w:ascii="Arial" w:hAnsi="Arial" w:cs="Arial"/>
          <w:sz w:val="22"/>
          <w:szCs w:val="22"/>
        </w:rPr>
        <w:t>Dadas las particularidades del programa y teniendo en cuenta la poca evidencia empírica robusta que rodea las iniciativas G2G</w:t>
      </w:r>
      <w:r w:rsidRPr="00F30F48">
        <w:rPr>
          <w:rStyle w:val="FootnoteReference"/>
          <w:rFonts w:ascii="Arial" w:hAnsi="Arial" w:cs="Arial"/>
          <w:sz w:val="22"/>
          <w:szCs w:val="22"/>
        </w:rPr>
        <w:footnoteReference w:id="31"/>
      </w:r>
      <w:r w:rsidRPr="00F30F48">
        <w:rPr>
          <w:rFonts w:ascii="Arial" w:hAnsi="Arial" w:cs="Arial"/>
          <w:sz w:val="22"/>
          <w:szCs w:val="22"/>
        </w:rPr>
        <w:t xml:space="preserve"> (</w:t>
      </w:r>
      <w:r w:rsidRPr="007E3F4B">
        <w:rPr>
          <w:rFonts w:ascii="Arial" w:hAnsi="Arial" w:cs="Arial"/>
          <w:i/>
          <w:iCs/>
          <w:sz w:val="22"/>
          <w:szCs w:val="22"/>
        </w:rPr>
        <w:t>government to government</w:t>
      </w:r>
      <w:r w:rsidRPr="00F30F48">
        <w:rPr>
          <w:rFonts w:ascii="Arial" w:hAnsi="Arial" w:cs="Arial"/>
          <w:sz w:val="22"/>
          <w:szCs w:val="22"/>
        </w:rPr>
        <w:t xml:space="preserve">) como la que pretende desarrollarse </w:t>
      </w:r>
      <w:r w:rsidR="001563F5" w:rsidRPr="00F30F48">
        <w:rPr>
          <w:rFonts w:ascii="Arial" w:hAnsi="Arial" w:cs="Arial"/>
          <w:sz w:val="22"/>
          <w:szCs w:val="22"/>
        </w:rPr>
        <w:t xml:space="preserve">en el marco </w:t>
      </w:r>
      <w:r w:rsidRPr="00F30F48">
        <w:rPr>
          <w:rFonts w:ascii="Arial" w:hAnsi="Arial" w:cs="Arial"/>
          <w:sz w:val="22"/>
          <w:szCs w:val="22"/>
        </w:rPr>
        <w:t>de esta operación, se recomienda realizar seguimientos específicos a tasas de éxito procesal</w:t>
      </w:r>
      <w:r w:rsidRPr="00F30F48">
        <w:rPr>
          <w:rStyle w:val="FootnoteReference"/>
          <w:rFonts w:ascii="Arial" w:hAnsi="Arial" w:cs="Arial"/>
          <w:sz w:val="22"/>
          <w:szCs w:val="22"/>
        </w:rPr>
        <w:footnoteReference w:id="32"/>
      </w:r>
      <w:r w:rsidRPr="00F30F48">
        <w:rPr>
          <w:rFonts w:ascii="Arial" w:hAnsi="Arial" w:cs="Arial"/>
          <w:sz w:val="22"/>
          <w:szCs w:val="22"/>
        </w:rPr>
        <w:t xml:space="preserve"> </w:t>
      </w:r>
      <w:r w:rsidR="006C0C06" w:rsidRPr="00F30F48">
        <w:rPr>
          <w:rFonts w:ascii="Arial" w:hAnsi="Arial" w:cs="Arial"/>
          <w:sz w:val="22"/>
          <w:szCs w:val="22"/>
        </w:rPr>
        <w:t>totales y parciales de forma transversal</w:t>
      </w:r>
      <w:r w:rsidRPr="00F30F48">
        <w:rPr>
          <w:rFonts w:ascii="Arial" w:hAnsi="Arial" w:cs="Arial"/>
          <w:sz w:val="22"/>
          <w:szCs w:val="22"/>
        </w:rPr>
        <w:t xml:space="preserve"> por causas, entidades y la Agencia, con el fin de evidenciar </w:t>
      </w:r>
      <w:r w:rsidR="006C0C06" w:rsidRPr="00F30F48">
        <w:rPr>
          <w:rFonts w:ascii="Arial" w:hAnsi="Arial" w:cs="Arial"/>
          <w:sz w:val="22"/>
          <w:szCs w:val="22"/>
        </w:rPr>
        <w:t xml:space="preserve">el cierre de </w:t>
      </w:r>
      <w:r w:rsidRPr="00F30F48">
        <w:rPr>
          <w:rFonts w:ascii="Arial" w:hAnsi="Arial" w:cs="Arial"/>
          <w:sz w:val="22"/>
          <w:szCs w:val="22"/>
        </w:rPr>
        <w:t>brechas de eficiencia entre las entidades estatales de</w:t>
      </w:r>
      <w:r w:rsidR="006C0C06" w:rsidRPr="00F30F48">
        <w:rPr>
          <w:rFonts w:ascii="Arial" w:hAnsi="Arial" w:cs="Arial"/>
          <w:sz w:val="22"/>
          <w:szCs w:val="22"/>
        </w:rPr>
        <w:t>l</w:t>
      </w:r>
      <w:r w:rsidRPr="00F30F48">
        <w:rPr>
          <w:rFonts w:ascii="Arial" w:hAnsi="Arial" w:cs="Arial"/>
          <w:sz w:val="22"/>
          <w:szCs w:val="22"/>
        </w:rPr>
        <w:t xml:space="preserve"> orden nacional y la ANDJE.</w:t>
      </w:r>
    </w:p>
    <w:p w14:paraId="769D9DD8" w14:textId="77777777" w:rsidR="00011468" w:rsidRPr="00F30F48" w:rsidRDefault="00011468" w:rsidP="00011468">
      <w:pPr>
        <w:pStyle w:val="Paragraph"/>
        <w:numPr>
          <w:ilvl w:val="0"/>
          <w:numId w:val="0"/>
        </w:numPr>
        <w:spacing w:before="0" w:after="0"/>
        <w:rPr>
          <w:rFonts w:ascii="Arial" w:hAnsi="Arial" w:cs="Arial"/>
          <w:sz w:val="22"/>
          <w:szCs w:val="22"/>
        </w:rPr>
      </w:pPr>
    </w:p>
    <w:p w14:paraId="060F66D3" w14:textId="4418CC1A" w:rsidR="00747A62" w:rsidRPr="00F30F48" w:rsidRDefault="00F71BDB" w:rsidP="00D947A8">
      <w:pPr>
        <w:pStyle w:val="Paragraph"/>
        <w:numPr>
          <w:ilvl w:val="1"/>
          <w:numId w:val="1"/>
        </w:numPr>
        <w:spacing w:before="0" w:after="0"/>
        <w:rPr>
          <w:rFonts w:ascii="Arial" w:hAnsi="Arial" w:cs="Arial"/>
          <w:sz w:val="22"/>
          <w:szCs w:val="22"/>
        </w:rPr>
      </w:pPr>
      <w:r w:rsidRPr="00F30F48">
        <w:rPr>
          <w:rFonts w:ascii="Arial" w:hAnsi="Arial" w:cs="Arial"/>
          <w:sz w:val="22"/>
          <w:szCs w:val="22"/>
        </w:rPr>
        <w:t>Asimismo,</w:t>
      </w:r>
      <w:r w:rsidR="00011468" w:rsidRPr="00F30F48">
        <w:rPr>
          <w:rFonts w:ascii="Arial" w:hAnsi="Arial" w:cs="Arial"/>
          <w:sz w:val="22"/>
          <w:szCs w:val="22"/>
        </w:rPr>
        <w:t xml:space="preserve"> se recomienda realizar </w:t>
      </w:r>
      <w:r w:rsidR="00DF428C" w:rsidRPr="00F30F48">
        <w:rPr>
          <w:rFonts w:ascii="Arial" w:hAnsi="Arial" w:cs="Arial"/>
          <w:sz w:val="22"/>
          <w:szCs w:val="22"/>
        </w:rPr>
        <w:t>evaluaciones periódicas, con el fin de conocer el nivel de apropiación de conocimiento derivado de las capacitaciones y los sistemas y herramientas implementados.</w:t>
      </w:r>
    </w:p>
    <w:sectPr w:rsidR="00747A62" w:rsidRPr="00F30F48" w:rsidSect="007E6104">
      <w:footerReference w:type="default" r:id="rId10"/>
      <w:pgSz w:w="11907" w:h="16839" w:code="9"/>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9409" w14:textId="77777777" w:rsidR="00EA1B9C" w:rsidRDefault="00EA1B9C" w:rsidP="00CF5271">
      <w:pPr>
        <w:spacing w:after="0" w:line="240" w:lineRule="auto"/>
      </w:pPr>
      <w:r>
        <w:separator/>
      </w:r>
    </w:p>
  </w:endnote>
  <w:endnote w:type="continuationSeparator" w:id="0">
    <w:p w14:paraId="7958CF65" w14:textId="77777777" w:rsidR="00EA1B9C" w:rsidRDefault="00EA1B9C"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1AFE" w14:textId="77777777" w:rsidR="00FC1B92" w:rsidRPr="006F3B28" w:rsidRDefault="00FC1B92">
    <w:pPr>
      <w:pStyle w:val="Footer"/>
      <w:jc w:val="center"/>
      <w:rPr>
        <w:rFonts w:ascii="Arial" w:hAnsi="Arial" w:cs="Arial"/>
        <w:sz w:val="20"/>
        <w:szCs w:val="20"/>
      </w:rPr>
    </w:pPr>
    <w:r w:rsidRPr="006F3B28">
      <w:rPr>
        <w:rFonts w:ascii="Arial" w:hAnsi="Arial" w:cs="Arial"/>
        <w:sz w:val="20"/>
        <w:szCs w:val="20"/>
      </w:rPr>
      <w:fldChar w:fldCharType="begin"/>
    </w:r>
    <w:r>
      <w:rPr>
        <w:rFonts w:ascii="Arial" w:hAnsi="Arial" w:cs="Arial"/>
        <w:sz w:val="20"/>
        <w:szCs w:val="20"/>
      </w:rPr>
      <w:instrText>PAGE</w:instrText>
    </w:r>
    <w:r w:rsidRPr="006F3B28">
      <w:rPr>
        <w:rFonts w:ascii="Arial" w:hAnsi="Arial" w:cs="Arial"/>
        <w:sz w:val="20"/>
        <w:szCs w:val="20"/>
      </w:rPr>
      <w:instrText xml:space="preserve">   \* MERGEFORMAT</w:instrText>
    </w:r>
    <w:r w:rsidRPr="006F3B28">
      <w:rPr>
        <w:rFonts w:ascii="Arial" w:hAnsi="Arial" w:cs="Arial"/>
        <w:sz w:val="20"/>
        <w:szCs w:val="20"/>
      </w:rPr>
      <w:fldChar w:fldCharType="separate"/>
    </w:r>
    <w:r w:rsidR="008D6FA8" w:rsidRPr="008D6FA8">
      <w:rPr>
        <w:rFonts w:ascii="Arial" w:hAnsi="Arial" w:cs="Arial"/>
        <w:noProof/>
        <w:sz w:val="20"/>
        <w:szCs w:val="20"/>
        <w:lang w:val="es-ES"/>
      </w:rPr>
      <w:t>8</w:t>
    </w:r>
    <w:r w:rsidRPr="006F3B28">
      <w:rPr>
        <w:rFonts w:ascii="Arial" w:hAnsi="Arial" w:cs="Arial"/>
        <w:noProof/>
        <w:sz w:val="20"/>
        <w:szCs w:val="20"/>
        <w:lang w:val="es-ES"/>
      </w:rPr>
      <w:fldChar w:fldCharType="end"/>
    </w:r>
  </w:p>
  <w:p w14:paraId="11854B1B" w14:textId="77777777" w:rsidR="00FC1B92" w:rsidRDefault="00FC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CC89" w14:textId="77777777" w:rsidR="00EA1B9C" w:rsidRDefault="00EA1B9C" w:rsidP="00CF5271">
      <w:pPr>
        <w:spacing w:after="0" w:line="240" w:lineRule="auto"/>
      </w:pPr>
      <w:r>
        <w:separator/>
      </w:r>
    </w:p>
  </w:footnote>
  <w:footnote w:type="continuationSeparator" w:id="0">
    <w:p w14:paraId="494819D9" w14:textId="77777777" w:rsidR="00EA1B9C" w:rsidRDefault="00EA1B9C" w:rsidP="00CF5271">
      <w:pPr>
        <w:spacing w:after="0" w:line="240" w:lineRule="auto"/>
      </w:pPr>
      <w:r>
        <w:continuationSeparator/>
      </w:r>
    </w:p>
  </w:footnote>
  <w:footnote w:id="1">
    <w:p w14:paraId="3C710222" w14:textId="69B6372E" w:rsidR="00FC1B92" w:rsidRPr="00B55F0E" w:rsidRDefault="00FC1B92" w:rsidP="00FE3C2D">
      <w:pPr>
        <w:pStyle w:val="FootnoteText"/>
        <w:ind w:left="270" w:hanging="270"/>
        <w:jc w:val="both"/>
        <w:rPr>
          <w:rFonts w:ascii="Arial" w:hAnsi="Arial" w:cs="Arial"/>
          <w:sz w:val="18"/>
          <w:szCs w:val="18"/>
          <w:lang w:val="es-ES_tradnl"/>
        </w:rPr>
      </w:pPr>
      <w:r w:rsidRPr="00B55F0E">
        <w:rPr>
          <w:rStyle w:val="FootnoteReference"/>
          <w:rFonts w:ascii="Arial" w:hAnsi="Arial" w:cs="Arial"/>
          <w:sz w:val="18"/>
          <w:szCs w:val="18"/>
        </w:rPr>
        <w:footnoteRef/>
      </w:r>
      <w:r w:rsidRPr="00B55F0E">
        <w:rPr>
          <w:rFonts w:ascii="Arial" w:hAnsi="Arial" w:cs="Arial"/>
          <w:sz w:val="18"/>
          <w:szCs w:val="18"/>
          <w:lang w:val="es-ES"/>
        </w:rPr>
        <w:t xml:space="preserve"> </w:t>
      </w:r>
      <w:r w:rsidRPr="00B55F0E">
        <w:rPr>
          <w:rFonts w:ascii="Arial" w:hAnsi="Arial" w:cs="Arial"/>
          <w:sz w:val="18"/>
          <w:szCs w:val="18"/>
          <w:lang w:val="es-ES"/>
        </w:rPr>
        <w:tab/>
        <w:t>Se asume para el presente análisis una Tasa de Cambio COP/US$ de $3.151.</w:t>
      </w:r>
    </w:p>
  </w:footnote>
  <w:footnote w:id="2">
    <w:p w14:paraId="6AD57FF0" w14:textId="21867841" w:rsidR="00FC1B92" w:rsidRPr="00B55F0E" w:rsidRDefault="00FC1B92" w:rsidP="00985845">
      <w:pPr>
        <w:pStyle w:val="FootnoteText"/>
        <w:ind w:left="270" w:hanging="270"/>
        <w:jc w:val="both"/>
        <w:rPr>
          <w:rFonts w:ascii="Arial" w:hAnsi="Arial" w:cs="Arial"/>
          <w:sz w:val="18"/>
          <w:szCs w:val="18"/>
          <w:lang w:val="es-ES_tradnl"/>
        </w:rPr>
      </w:pPr>
      <w:r w:rsidRPr="00B55F0E">
        <w:rPr>
          <w:rStyle w:val="FootnoteReference"/>
          <w:rFonts w:ascii="Arial" w:hAnsi="Arial" w:cs="Arial"/>
          <w:sz w:val="18"/>
          <w:szCs w:val="18"/>
        </w:rPr>
        <w:footnoteRef/>
      </w:r>
      <w:r w:rsidRPr="00B55F0E">
        <w:rPr>
          <w:rFonts w:ascii="Arial" w:hAnsi="Arial" w:cs="Arial"/>
          <w:sz w:val="18"/>
          <w:szCs w:val="18"/>
          <w:lang w:val="es-ES"/>
        </w:rPr>
        <w:t xml:space="preserve"> </w:t>
      </w:r>
      <w:r w:rsidRPr="00B55F0E">
        <w:rPr>
          <w:rFonts w:ascii="Arial" w:hAnsi="Arial" w:cs="Arial"/>
          <w:sz w:val="18"/>
          <w:szCs w:val="18"/>
          <w:lang w:val="es-ES"/>
        </w:rPr>
        <w:tab/>
      </w:r>
      <w:r w:rsidRPr="00B55F0E">
        <w:rPr>
          <w:rFonts w:ascii="Arial" w:hAnsi="Arial" w:cs="Arial"/>
          <w:sz w:val="18"/>
          <w:szCs w:val="18"/>
          <w:lang w:val="es-ES_tradnl"/>
        </w:rPr>
        <w:t>Información oficial de la ANDJE actualizada a Mayo de 2019.</w:t>
      </w:r>
    </w:p>
  </w:footnote>
  <w:footnote w:id="3">
    <w:p w14:paraId="25A4FF1F" w14:textId="77777777" w:rsidR="00FC1B92" w:rsidRPr="00471550" w:rsidRDefault="00FC1B92" w:rsidP="00985845">
      <w:pPr>
        <w:pStyle w:val="FootnoteText"/>
        <w:ind w:left="270" w:hanging="270"/>
        <w:contextualSpacing/>
        <w:jc w:val="both"/>
        <w:rPr>
          <w:rFonts w:ascii="Arial" w:hAnsi="Arial" w:cs="Arial"/>
          <w:sz w:val="18"/>
          <w:szCs w:val="18"/>
          <w:lang w:val="es-ES_tradnl"/>
        </w:rPr>
      </w:pPr>
      <w:r w:rsidRPr="00DD5FB3">
        <w:rPr>
          <w:rStyle w:val="FootnoteReference"/>
          <w:rFonts w:ascii="Arial" w:hAnsi="Arial" w:cs="Arial"/>
          <w:sz w:val="18"/>
          <w:szCs w:val="18"/>
        </w:rPr>
        <w:footnoteRef/>
      </w:r>
      <w:r w:rsidRPr="00471550">
        <w:rPr>
          <w:rFonts w:ascii="Arial" w:hAnsi="Arial" w:cs="Arial"/>
          <w:sz w:val="18"/>
          <w:szCs w:val="18"/>
          <w:lang w:val="es-ES_tradnl"/>
        </w:rPr>
        <w:t xml:space="preserve"> </w:t>
      </w:r>
      <w:r w:rsidRPr="00471550">
        <w:rPr>
          <w:rFonts w:ascii="Arial" w:hAnsi="Arial" w:cs="Arial"/>
          <w:sz w:val="18"/>
          <w:szCs w:val="18"/>
          <w:lang w:val="es-ES_tradnl"/>
        </w:rPr>
        <w:tab/>
        <w:t>Pueden ser judiciales o arbitrales.</w:t>
      </w:r>
    </w:p>
  </w:footnote>
  <w:footnote w:id="4">
    <w:p w14:paraId="45DC136A" w14:textId="77777777" w:rsidR="00FC1B92" w:rsidRPr="00471550" w:rsidRDefault="00FC1B92" w:rsidP="00985845">
      <w:pPr>
        <w:pStyle w:val="FootnoteText"/>
        <w:ind w:left="270" w:hanging="270"/>
        <w:contextualSpacing/>
        <w:jc w:val="both"/>
        <w:rPr>
          <w:rFonts w:ascii="Arial" w:hAnsi="Arial" w:cs="Arial"/>
          <w:sz w:val="18"/>
          <w:szCs w:val="18"/>
          <w:lang w:val="es-ES_tradnl"/>
        </w:rPr>
      </w:pPr>
      <w:r w:rsidRPr="00DD5FB3">
        <w:rPr>
          <w:rStyle w:val="FootnoteReference"/>
          <w:rFonts w:ascii="Arial" w:hAnsi="Arial" w:cs="Arial"/>
          <w:sz w:val="18"/>
          <w:szCs w:val="18"/>
        </w:rPr>
        <w:footnoteRef/>
      </w:r>
      <w:r w:rsidRPr="00471550">
        <w:rPr>
          <w:rFonts w:ascii="Arial" w:hAnsi="Arial" w:cs="Arial"/>
          <w:sz w:val="18"/>
          <w:szCs w:val="18"/>
          <w:lang w:val="es-ES_tradnl"/>
        </w:rPr>
        <w:t xml:space="preserve"> </w:t>
      </w:r>
      <w:r w:rsidRPr="00471550">
        <w:rPr>
          <w:rFonts w:ascii="Arial" w:hAnsi="Arial" w:cs="Arial"/>
          <w:sz w:val="18"/>
          <w:szCs w:val="18"/>
          <w:lang w:val="es-ES_tradnl"/>
        </w:rPr>
        <w:tab/>
        <w:t xml:space="preserve">Entre los principales, se podrán explorar otras herramientas que apoyen el desarrollo del programa. </w:t>
      </w:r>
    </w:p>
  </w:footnote>
  <w:footnote w:id="5">
    <w:p w14:paraId="26E1AA78" w14:textId="77777777" w:rsidR="00FC1B92" w:rsidRPr="00471550" w:rsidRDefault="00FC1B92" w:rsidP="00985845">
      <w:pPr>
        <w:pStyle w:val="FootnoteText"/>
        <w:ind w:left="270" w:hanging="270"/>
        <w:contextualSpacing/>
        <w:jc w:val="both"/>
        <w:rPr>
          <w:rFonts w:ascii="Arial" w:hAnsi="Arial" w:cs="Arial"/>
          <w:sz w:val="18"/>
          <w:szCs w:val="18"/>
          <w:lang w:val="es-ES_tradnl"/>
        </w:rPr>
      </w:pPr>
      <w:r w:rsidRPr="00DD5FB3">
        <w:rPr>
          <w:rStyle w:val="FootnoteReference"/>
          <w:rFonts w:ascii="Arial" w:hAnsi="Arial" w:cs="Arial"/>
          <w:sz w:val="18"/>
          <w:szCs w:val="18"/>
        </w:rPr>
        <w:footnoteRef/>
      </w:r>
      <w:r w:rsidRPr="00471550">
        <w:rPr>
          <w:rFonts w:ascii="Arial" w:hAnsi="Arial" w:cs="Arial"/>
          <w:sz w:val="18"/>
          <w:szCs w:val="18"/>
          <w:lang w:val="es-ES_tradnl"/>
        </w:rPr>
        <w:t xml:space="preserve"> </w:t>
      </w:r>
      <w:r w:rsidRPr="00471550">
        <w:rPr>
          <w:rFonts w:ascii="Arial" w:hAnsi="Arial" w:cs="Arial"/>
          <w:sz w:val="18"/>
          <w:szCs w:val="18"/>
          <w:lang w:val="es-ES_tradnl"/>
        </w:rPr>
        <w:tab/>
      </w:r>
      <w:r w:rsidRPr="00471550">
        <w:rPr>
          <w:rFonts w:ascii="Arial" w:hAnsi="Arial" w:cs="Arial"/>
          <w:color w:val="000000"/>
          <w:sz w:val="18"/>
          <w:szCs w:val="18"/>
          <w:lang w:val="es-ES_tradnl"/>
        </w:rPr>
        <w:t>(Grafe y Straza, 2014) La efectividad de la acción de la agencia, en términos de su capacidad para evitar erogaciones de recursos económicos dependerá del modelo de gestión de los procesos y no tanto de si tiene asignadas todas las etapas del ciclo de defensa jurídica.</w:t>
      </w:r>
    </w:p>
  </w:footnote>
  <w:footnote w:id="6">
    <w:p w14:paraId="3A5572B8" w14:textId="77777777" w:rsidR="00FC1B92" w:rsidRPr="00471550" w:rsidRDefault="00FC1B92" w:rsidP="00985845">
      <w:pPr>
        <w:pStyle w:val="FootnoteText"/>
        <w:ind w:left="270" w:hanging="270"/>
        <w:contextualSpacing/>
        <w:jc w:val="both"/>
        <w:rPr>
          <w:rStyle w:val="FootnoteReference"/>
          <w:rFonts w:ascii="Arial" w:hAnsi="Arial" w:cs="Arial"/>
          <w:sz w:val="18"/>
          <w:szCs w:val="18"/>
          <w:lang w:val="es-ES_tradnl"/>
        </w:rPr>
      </w:pPr>
      <w:r w:rsidRPr="00DD5FB3">
        <w:rPr>
          <w:rStyle w:val="FootnoteReference"/>
          <w:rFonts w:ascii="Arial" w:hAnsi="Arial" w:cs="Arial"/>
          <w:sz w:val="18"/>
          <w:szCs w:val="18"/>
        </w:rPr>
        <w:footnoteRef/>
      </w:r>
      <w:r w:rsidRPr="00471550">
        <w:rPr>
          <w:rStyle w:val="FootnoteReference"/>
          <w:rFonts w:ascii="Arial" w:hAnsi="Arial" w:cs="Arial"/>
          <w:sz w:val="18"/>
          <w:szCs w:val="18"/>
          <w:lang w:val="es-ES_tradnl"/>
        </w:rPr>
        <w:t xml:space="preserve"> </w:t>
      </w:r>
      <w:r w:rsidRPr="00471550">
        <w:rPr>
          <w:rFonts w:ascii="Arial" w:hAnsi="Arial" w:cs="Arial"/>
          <w:sz w:val="18"/>
          <w:szCs w:val="18"/>
          <w:lang w:val="es-ES_tradnl"/>
        </w:rPr>
        <w:tab/>
      </w:r>
      <w:hyperlink r:id="rId1" w:history="1">
        <w:r w:rsidRPr="00471550">
          <w:rPr>
            <w:rStyle w:val="Hyperlink"/>
            <w:rFonts w:ascii="Arial" w:hAnsi="Arial" w:cs="Arial"/>
            <w:sz w:val="18"/>
            <w:szCs w:val="18"/>
            <w:lang w:val="es-ES_tradnl"/>
          </w:rPr>
          <w:t>Modelo Integrado de Planeación y Gestión</w:t>
        </w:r>
      </w:hyperlink>
      <w:r w:rsidRPr="00471550">
        <w:rPr>
          <w:rFonts w:ascii="Arial" w:hAnsi="Arial" w:cs="Arial"/>
          <w:sz w:val="18"/>
          <w:szCs w:val="18"/>
          <w:lang w:val="es-ES_tradnl"/>
        </w:rPr>
        <w:t>.</w:t>
      </w:r>
      <w:r w:rsidRPr="00471550">
        <w:rPr>
          <w:rStyle w:val="FootnoteReference"/>
          <w:rFonts w:ascii="Arial" w:hAnsi="Arial" w:cs="Arial"/>
          <w:sz w:val="18"/>
          <w:szCs w:val="18"/>
          <w:lang w:val="es-ES_tradnl"/>
        </w:rPr>
        <w:t xml:space="preserve"> </w:t>
      </w:r>
    </w:p>
  </w:footnote>
  <w:footnote w:id="7">
    <w:p w14:paraId="7B1ECE5D" w14:textId="77777777" w:rsidR="00FC1B92" w:rsidRPr="00480C9E" w:rsidRDefault="00FC1B92" w:rsidP="00985845">
      <w:pPr>
        <w:pStyle w:val="FootnoteText"/>
        <w:ind w:left="270" w:hanging="270"/>
        <w:contextualSpacing/>
        <w:jc w:val="both"/>
        <w:rPr>
          <w:rStyle w:val="FootnoteReference"/>
          <w:rFonts w:ascii="Arial" w:hAnsi="Arial" w:cs="Arial"/>
          <w:sz w:val="18"/>
          <w:szCs w:val="18"/>
          <w:lang w:val="es-ES_tradnl"/>
        </w:rPr>
      </w:pPr>
      <w:r w:rsidRPr="00DD5FB3">
        <w:rPr>
          <w:rStyle w:val="FootnoteReference"/>
          <w:rFonts w:ascii="Arial" w:hAnsi="Arial" w:cs="Arial"/>
          <w:sz w:val="18"/>
          <w:szCs w:val="18"/>
        </w:rPr>
        <w:footnoteRef/>
      </w:r>
      <w:r w:rsidRPr="00480C9E">
        <w:rPr>
          <w:rStyle w:val="FootnoteReference"/>
          <w:rFonts w:ascii="Arial" w:hAnsi="Arial" w:cs="Arial"/>
          <w:sz w:val="18"/>
          <w:szCs w:val="18"/>
          <w:lang w:val="es-ES_tradnl"/>
        </w:rPr>
        <w:t xml:space="preserve"> </w:t>
      </w:r>
      <w:r w:rsidRPr="00480C9E">
        <w:rPr>
          <w:rFonts w:ascii="Arial" w:hAnsi="Arial" w:cs="Arial"/>
          <w:sz w:val="18"/>
          <w:szCs w:val="18"/>
          <w:lang w:val="es-ES_tradnl"/>
        </w:rPr>
        <w:tab/>
      </w:r>
      <w:r w:rsidRPr="00FE3C2D">
        <w:rPr>
          <w:rFonts w:ascii="Arial" w:hAnsi="Arial" w:cs="Arial"/>
          <w:sz w:val="18"/>
          <w:szCs w:val="18"/>
          <w:lang w:val="es-ES_tradnl"/>
        </w:rPr>
        <w:t>Programa Defensa Jurídica Chile. Se observa que una serie de rigideces institucionales y debilidades de gestión, en un contexto en el cual los litigios contra el Estado adquieren mayor complejidad o incursionan en áreas que invisten cierta novedad, conducen a fallas en la efectividad y en la calidad de la defensa legal (2538/OC-CH).</w:t>
      </w:r>
    </w:p>
  </w:footnote>
  <w:footnote w:id="8">
    <w:p w14:paraId="67DFB799" w14:textId="77777777" w:rsidR="00FC1B92" w:rsidRPr="00480C9E" w:rsidRDefault="00FC1B92" w:rsidP="004D2D09">
      <w:pPr>
        <w:pStyle w:val="FootnoteText"/>
        <w:ind w:left="270" w:hanging="270"/>
        <w:contextualSpacing/>
        <w:jc w:val="both"/>
        <w:rPr>
          <w:rStyle w:val="FootnoteReference"/>
          <w:rFonts w:ascii="Arial" w:hAnsi="Arial" w:cs="Arial"/>
          <w:sz w:val="18"/>
          <w:szCs w:val="18"/>
          <w:lang w:val="es-ES_tradnl"/>
        </w:rPr>
      </w:pPr>
      <w:r w:rsidRPr="00DD5FB3">
        <w:rPr>
          <w:rStyle w:val="FootnoteReference"/>
          <w:rFonts w:ascii="Arial" w:hAnsi="Arial" w:cs="Arial"/>
          <w:sz w:val="18"/>
          <w:szCs w:val="18"/>
        </w:rPr>
        <w:footnoteRef/>
      </w:r>
      <w:r w:rsidRPr="00480C9E">
        <w:rPr>
          <w:rStyle w:val="FootnoteReference"/>
          <w:rFonts w:ascii="Arial" w:hAnsi="Arial" w:cs="Arial"/>
          <w:sz w:val="18"/>
          <w:szCs w:val="18"/>
          <w:lang w:val="es-ES_tradnl"/>
        </w:rPr>
        <w:t xml:space="preserve"> </w:t>
      </w:r>
      <w:r w:rsidRPr="00480C9E">
        <w:rPr>
          <w:rFonts w:ascii="Arial" w:hAnsi="Arial" w:cs="Arial"/>
          <w:sz w:val="18"/>
          <w:szCs w:val="18"/>
          <w:lang w:val="es-ES_tradnl"/>
        </w:rPr>
        <w:tab/>
      </w:r>
      <w:r w:rsidRPr="004D2D09">
        <w:rPr>
          <w:rFonts w:ascii="Arial" w:hAnsi="Arial" w:cs="Arial"/>
          <w:sz w:val="18"/>
          <w:szCs w:val="18"/>
          <w:lang w:val="es-ES_tradnl"/>
        </w:rPr>
        <w:t>Carrillo (2013). Ciertas entidades públicas han demostrado ser especialmente vulnerables a la litigiosidad, en especial las instituciones de seguridad social que en conjunto manejan cientos de miles de demandas por pensiones. Estas entidades necesitan de una estrategia diferente a la que puede resultar apropiada para una entidad que solo esporádicamente comparece a estrados judiciales (por ejemplo, el Banco de la República).</w:t>
      </w:r>
    </w:p>
  </w:footnote>
  <w:footnote w:id="9">
    <w:p w14:paraId="0C93657E" w14:textId="2B40C6C2" w:rsidR="00FC1B92" w:rsidRPr="00471550" w:rsidRDefault="00FC1B92" w:rsidP="004D2D09">
      <w:pPr>
        <w:pStyle w:val="FootnoteText"/>
        <w:ind w:left="270" w:hanging="270"/>
        <w:contextualSpacing/>
        <w:jc w:val="both"/>
        <w:rPr>
          <w:rFonts w:ascii="Arial" w:hAnsi="Arial" w:cs="Arial"/>
          <w:sz w:val="18"/>
          <w:szCs w:val="18"/>
          <w:lang w:val="es-ES_tradnl"/>
        </w:rPr>
      </w:pPr>
      <w:r w:rsidRPr="00DD5FB3">
        <w:rPr>
          <w:rStyle w:val="FootnoteReference"/>
          <w:rFonts w:ascii="Arial" w:hAnsi="Arial" w:cs="Arial"/>
          <w:sz w:val="18"/>
          <w:szCs w:val="18"/>
        </w:rPr>
        <w:footnoteRef/>
      </w:r>
      <w:r w:rsidRPr="00471550">
        <w:rPr>
          <w:rFonts w:ascii="Arial" w:hAnsi="Arial" w:cs="Arial"/>
          <w:sz w:val="18"/>
          <w:szCs w:val="18"/>
          <w:lang w:val="es-ES_tradnl"/>
        </w:rPr>
        <w:t xml:space="preserve"> </w:t>
      </w:r>
      <w:r w:rsidRPr="00471550">
        <w:rPr>
          <w:rFonts w:ascii="Arial" w:hAnsi="Arial" w:cs="Arial"/>
          <w:sz w:val="18"/>
          <w:szCs w:val="18"/>
          <w:lang w:val="es-ES_tradnl"/>
        </w:rPr>
        <w:tab/>
        <w:t xml:space="preserve">Para la ANDJE y el </w:t>
      </w:r>
      <w:r w:rsidR="00C05C1D">
        <w:rPr>
          <w:rFonts w:ascii="Arial" w:hAnsi="Arial" w:cs="Arial"/>
          <w:sz w:val="18"/>
          <w:szCs w:val="18"/>
          <w:lang w:val="es-ES_tradnl"/>
        </w:rPr>
        <w:t>S</w:t>
      </w:r>
      <w:r w:rsidRPr="00471550">
        <w:rPr>
          <w:rFonts w:ascii="Arial" w:hAnsi="Arial" w:cs="Arial"/>
          <w:sz w:val="18"/>
          <w:szCs w:val="18"/>
          <w:lang w:val="es-ES_tradnl"/>
        </w:rPr>
        <w:t>DJ.</w:t>
      </w:r>
    </w:p>
  </w:footnote>
  <w:footnote w:id="10">
    <w:p w14:paraId="0DA93E63" w14:textId="77777777" w:rsidR="00FC1B92" w:rsidRPr="00471550" w:rsidRDefault="00FC1B92" w:rsidP="004D2D09">
      <w:pPr>
        <w:pStyle w:val="FootnoteText"/>
        <w:ind w:left="270" w:hanging="270"/>
        <w:contextualSpacing/>
        <w:jc w:val="both"/>
        <w:rPr>
          <w:rStyle w:val="FootnoteReference"/>
          <w:rFonts w:ascii="Arial" w:hAnsi="Arial" w:cs="Arial"/>
          <w:sz w:val="18"/>
          <w:szCs w:val="18"/>
          <w:lang w:val="es-ES_tradnl"/>
        </w:rPr>
      </w:pPr>
      <w:r w:rsidRPr="00DD5FB3">
        <w:rPr>
          <w:rStyle w:val="FootnoteReference"/>
          <w:rFonts w:ascii="Arial" w:hAnsi="Arial" w:cs="Arial"/>
          <w:sz w:val="18"/>
          <w:szCs w:val="18"/>
        </w:rPr>
        <w:footnoteRef/>
      </w:r>
      <w:r w:rsidRPr="00471550">
        <w:rPr>
          <w:rStyle w:val="FootnoteReference"/>
          <w:rFonts w:ascii="Arial" w:hAnsi="Arial" w:cs="Arial"/>
          <w:sz w:val="18"/>
          <w:szCs w:val="18"/>
          <w:lang w:val="es-ES_tradnl"/>
        </w:rPr>
        <w:t xml:space="preserve"> </w:t>
      </w:r>
      <w:r w:rsidRPr="00471550">
        <w:rPr>
          <w:rFonts w:ascii="Arial" w:hAnsi="Arial" w:cs="Arial"/>
          <w:sz w:val="18"/>
          <w:szCs w:val="18"/>
          <w:lang w:val="es-ES_tradnl"/>
        </w:rPr>
        <w:tab/>
      </w:r>
      <w:r w:rsidRPr="004D2D09">
        <w:rPr>
          <w:rFonts w:ascii="Arial" w:hAnsi="Arial" w:cs="Arial"/>
          <w:sz w:val="18"/>
          <w:szCs w:val="18"/>
          <w:lang w:val="es-ES_tradnl"/>
        </w:rPr>
        <w:t>Entre los principales, se podrán explorar otras herramientas que se apoyen el desarrollo del programa.</w:t>
      </w:r>
    </w:p>
  </w:footnote>
  <w:footnote w:id="11">
    <w:p w14:paraId="30CB0481" w14:textId="77777777" w:rsidR="00FC1B92" w:rsidRPr="00471550" w:rsidRDefault="00FC1B92" w:rsidP="004D2D09">
      <w:pPr>
        <w:pStyle w:val="FootnoteText"/>
        <w:ind w:left="270" w:hanging="270"/>
        <w:jc w:val="both"/>
        <w:rPr>
          <w:rFonts w:ascii="Arial" w:hAnsi="Arial" w:cs="Arial"/>
          <w:sz w:val="18"/>
          <w:szCs w:val="18"/>
          <w:lang w:val="es-ES_tradnl"/>
        </w:rPr>
      </w:pPr>
      <w:r w:rsidRPr="00C26410">
        <w:rPr>
          <w:rStyle w:val="FootnoteReference"/>
          <w:rFonts w:ascii="Arial" w:hAnsi="Arial" w:cs="Arial"/>
          <w:sz w:val="18"/>
          <w:szCs w:val="18"/>
        </w:rPr>
        <w:footnoteRef/>
      </w:r>
      <w:r w:rsidRPr="00471550">
        <w:rPr>
          <w:rFonts w:ascii="Arial" w:hAnsi="Arial" w:cs="Arial"/>
          <w:sz w:val="18"/>
          <w:szCs w:val="18"/>
          <w:lang w:val="es-ES_tradnl"/>
        </w:rPr>
        <w:t xml:space="preserve"> </w:t>
      </w:r>
      <w:r w:rsidRPr="00471550">
        <w:rPr>
          <w:rFonts w:ascii="Arial" w:hAnsi="Arial" w:cs="Arial"/>
          <w:sz w:val="18"/>
          <w:szCs w:val="18"/>
          <w:lang w:val="es-ES_tradnl"/>
        </w:rPr>
        <w:tab/>
        <w:t>Los módulos misionales se refieren a desarrollos que pueden darse en el marco del sistema eKOGUI u otras herramientas tecnológicas que se requieran para mejorar la gestión de la Defensa Jurídica.</w:t>
      </w:r>
    </w:p>
  </w:footnote>
  <w:footnote w:id="12">
    <w:p w14:paraId="7778869A" w14:textId="0710EF2A" w:rsidR="00FC1B92" w:rsidRPr="000D56CF" w:rsidRDefault="00FC1B92" w:rsidP="004D2D09">
      <w:pPr>
        <w:pStyle w:val="FootnoteText"/>
        <w:ind w:left="270" w:hanging="270"/>
        <w:contextualSpacing/>
        <w:jc w:val="both"/>
        <w:rPr>
          <w:rStyle w:val="FootnoteReference"/>
          <w:rFonts w:ascii="Arial" w:hAnsi="Arial" w:cs="Arial"/>
          <w:sz w:val="18"/>
          <w:szCs w:val="18"/>
          <w:lang w:val="es-ES_tradnl"/>
        </w:rPr>
      </w:pPr>
      <w:r w:rsidRPr="00DD5FB3">
        <w:rPr>
          <w:rStyle w:val="FootnoteReference"/>
          <w:rFonts w:ascii="Arial" w:hAnsi="Arial" w:cs="Arial"/>
          <w:sz w:val="18"/>
          <w:szCs w:val="18"/>
        </w:rPr>
        <w:footnoteRef/>
      </w:r>
      <w:r w:rsidRPr="000D56CF">
        <w:rPr>
          <w:rStyle w:val="FootnoteReference"/>
          <w:rFonts w:ascii="Arial" w:hAnsi="Arial" w:cs="Arial"/>
          <w:sz w:val="18"/>
          <w:szCs w:val="18"/>
          <w:lang w:val="es-ES_tradnl"/>
        </w:rPr>
        <w:t xml:space="preserve"> </w:t>
      </w:r>
      <w:r w:rsidRPr="000D56CF">
        <w:rPr>
          <w:rFonts w:ascii="Arial" w:hAnsi="Arial" w:cs="Arial"/>
          <w:sz w:val="18"/>
          <w:szCs w:val="18"/>
          <w:lang w:val="es-ES_tradnl"/>
        </w:rPr>
        <w:tab/>
      </w:r>
      <w:r w:rsidRPr="004D2D09">
        <w:rPr>
          <w:rFonts w:ascii="Arial" w:hAnsi="Arial" w:cs="Arial"/>
          <w:sz w:val="18"/>
          <w:szCs w:val="18"/>
          <w:lang w:val="es-ES_tradnl"/>
        </w:rPr>
        <w:t>BID, 2019. MapaInversiones es una herramienta para hacer transparente, eficiente y efectiva la gestión pública y promover la participación ciudadana. Con base en una solución informática georreferenciada se integran múltiples fuentes de información sobre la inversión pública para que, con soporte para dispositivos móviles y redes sociales, la ciudadanía y otros actores puedan consultar datos clave, información descriptiva e indicadores de proyectos de inversión pública.</w:t>
      </w:r>
    </w:p>
  </w:footnote>
  <w:footnote w:id="13">
    <w:p w14:paraId="65D0B58F" w14:textId="496F1B29" w:rsidR="00FC1B92" w:rsidRPr="00985845" w:rsidRDefault="00FC1B92" w:rsidP="004D2D09">
      <w:pPr>
        <w:pStyle w:val="FootnoteText"/>
        <w:ind w:left="270" w:hanging="270"/>
        <w:contextualSpacing/>
        <w:jc w:val="both"/>
        <w:rPr>
          <w:rStyle w:val="FootnoteReference"/>
          <w:rFonts w:ascii="Arial" w:hAnsi="Arial" w:cs="Arial"/>
          <w:sz w:val="18"/>
          <w:szCs w:val="18"/>
          <w:lang w:val="es-ES_tradnl"/>
        </w:rPr>
      </w:pPr>
      <w:r w:rsidRPr="00DD5FB3">
        <w:rPr>
          <w:rStyle w:val="FootnoteReference"/>
          <w:rFonts w:ascii="Arial" w:hAnsi="Arial" w:cs="Arial"/>
          <w:sz w:val="18"/>
          <w:szCs w:val="18"/>
        </w:rPr>
        <w:footnoteRef/>
      </w:r>
      <w:r w:rsidRPr="000D56CF">
        <w:rPr>
          <w:rStyle w:val="FootnoteReference"/>
          <w:rFonts w:ascii="Arial" w:hAnsi="Arial" w:cs="Arial"/>
          <w:sz w:val="18"/>
          <w:szCs w:val="18"/>
          <w:lang w:val="es-ES_tradnl"/>
        </w:rPr>
        <w:t xml:space="preserve"> </w:t>
      </w:r>
      <w:r w:rsidRPr="000D56CF">
        <w:rPr>
          <w:rFonts w:ascii="Arial" w:hAnsi="Arial" w:cs="Arial"/>
          <w:sz w:val="18"/>
          <w:szCs w:val="18"/>
          <w:lang w:val="es-ES_tradnl"/>
        </w:rPr>
        <w:tab/>
      </w:r>
      <w:r w:rsidRPr="004D2D09">
        <w:rPr>
          <w:rFonts w:ascii="Arial" w:hAnsi="Arial" w:cs="Arial"/>
          <w:sz w:val="18"/>
          <w:szCs w:val="18"/>
          <w:lang w:val="es-ES_tradnl"/>
        </w:rPr>
        <w:t>Chemin, 2009. Entre los años 2001 y 2003, se implementó en Pakistán una reforma judicial que buscaba aumentar la productividad de los jueces en los 117 distritos judiciales del país. El programa, financiado por el Banco Asiático de Desarrollo denominado “</w:t>
      </w:r>
      <w:r w:rsidRPr="000D56CF">
        <w:rPr>
          <w:rFonts w:ascii="Arial" w:hAnsi="Arial" w:cs="Arial"/>
          <w:i/>
          <w:iCs/>
          <w:sz w:val="18"/>
          <w:szCs w:val="18"/>
          <w:lang w:val="es-ES_tradnl"/>
        </w:rPr>
        <w:t>Access to Justice Programme</w:t>
      </w:r>
      <w:r w:rsidRPr="004D2D09">
        <w:rPr>
          <w:rFonts w:ascii="Arial" w:hAnsi="Arial" w:cs="Arial"/>
          <w:sz w:val="18"/>
          <w:szCs w:val="18"/>
          <w:lang w:val="es-ES_tradnl"/>
        </w:rPr>
        <w:t>” buscaba el descongestionamiento de procesos judiciales en los distritos. Chemin, encontró que las capacitaciones realizadas en 6 de los 117 distritos judiciales gene</w:t>
      </w:r>
      <w:r>
        <w:rPr>
          <w:rFonts w:ascii="Arial" w:hAnsi="Arial" w:cs="Arial"/>
          <w:sz w:val="18"/>
          <w:szCs w:val="18"/>
          <w:lang w:val="es-ES_tradnl"/>
        </w:rPr>
        <w:t>ra</w:t>
      </w:r>
      <w:r w:rsidRPr="004D2D09">
        <w:rPr>
          <w:rFonts w:ascii="Arial" w:hAnsi="Arial" w:cs="Arial"/>
          <w:sz w:val="18"/>
          <w:szCs w:val="18"/>
          <w:lang w:val="es-ES_tradnl"/>
        </w:rPr>
        <w:t>r</w:t>
      </w:r>
      <w:r>
        <w:rPr>
          <w:rFonts w:ascii="Arial" w:hAnsi="Arial" w:cs="Arial"/>
          <w:sz w:val="18"/>
          <w:szCs w:val="18"/>
          <w:lang w:val="es-ES_tradnl"/>
        </w:rPr>
        <w:t>on</w:t>
      </w:r>
      <w:r w:rsidRPr="004D2D09">
        <w:rPr>
          <w:rFonts w:ascii="Arial" w:hAnsi="Arial" w:cs="Arial"/>
          <w:sz w:val="18"/>
          <w:szCs w:val="18"/>
          <w:lang w:val="es-ES_tradnl"/>
        </w:rPr>
        <w:t xml:space="preserve"> un aumento de productividad en los jueces en comparación a sus pares que no fueron capacitados en un 25%. </w:t>
      </w:r>
    </w:p>
  </w:footnote>
  <w:footnote w:id="14">
    <w:p w14:paraId="12D21348" w14:textId="77777777" w:rsidR="00FC1B92" w:rsidRPr="00471550" w:rsidRDefault="00FC1B92" w:rsidP="004D2D09">
      <w:pPr>
        <w:pStyle w:val="FootnoteText"/>
        <w:ind w:left="270" w:hanging="270"/>
        <w:jc w:val="both"/>
        <w:rPr>
          <w:rFonts w:ascii="Arial" w:hAnsi="Arial" w:cs="Arial"/>
          <w:sz w:val="18"/>
          <w:szCs w:val="18"/>
          <w:lang w:val="es-ES_tradnl"/>
        </w:rPr>
      </w:pPr>
      <w:r w:rsidRPr="00C26410">
        <w:rPr>
          <w:rStyle w:val="FootnoteReference"/>
          <w:rFonts w:ascii="Arial" w:hAnsi="Arial" w:cs="Arial"/>
          <w:sz w:val="18"/>
          <w:szCs w:val="18"/>
        </w:rPr>
        <w:footnoteRef/>
      </w:r>
      <w:r w:rsidRPr="00471550">
        <w:rPr>
          <w:rFonts w:ascii="Arial" w:hAnsi="Arial" w:cs="Arial"/>
          <w:sz w:val="18"/>
          <w:szCs w:val="18"/>
          <w:lang w:val="es-ES_tradnl"/>
        </w:rPr>
        <w:t xml:space="preserve"> </w:t>
      </w:r>
      <w:r w:rsidRPr="00471550">
        <w:rPr>
          <w:rFonts w:ascii="Arial" w:hAnsi="Arial" w:cs="Arial"/>
          <w:sz w:val="18"/>
          <w:szCs w:val="18"/>
          <w:lang w:val="es-ES_tradnl"/>
        </w:rPr>
        <w:tab/>
        <w:t xml:space="preserve">Se refiere a licencias, planes y estrategias que se requieran para implementar el Plan de Seguridad de acuerdo con los lineamientos establecidos por el gobierno en la materia como se especifica en el </w:t>
      </w:r>
      <w:hyperlink r:id="rId2" w:history="1">
        <w:r w:rsidRPr="00471550">
          <w:rPr>
            <w:rStyle w:val="Hyperlink"/>
            <w:rFonts w:ascii="Arial" w:hAnsi="Arial" w:cs="Arial"/>
            <w:sz w:val="18"/>
            <w:szCs w:val="18"/>
            <w:lang w:val="es-ES_tradnl"/>
          </w:rPr>
          <w:t>Anexo Técnico TIC</w:t>
        </w:r>
      </w:hyperlink>
      <w:r w:rsidRPr="00471550">
        <w:rPr>
          <w:rFonts w:ascii="Arial" w:hAnsi="Arial" w:cs="Arial"/>
          <w:sz w:val="18"/>
          <w:szCs w:val="18"/>
          <w:lang w:val="es-ES_tradnl"/>
        </w:rPr>
        <w:t xml:space="preserve">. </w:t>
      </w:r>
    </w:p>
  </w:footnote>
  <w:footnote w:id="15">
    <w:p w14:paraId="7A1528ED" w14:textId="68CCF7B4" w:rsidR="00FC1B92" w:rsidRPr="000B4042" w:rsidRDefault="00FC1B92" w:rsidP="00F30F48">
      <w:pPr>
        <w:pStyle w:val="FootnoteText"/>
        <w:ind w:left="270" w:hanging="270"/>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
        </w:rPr>
        <w:t xml:space="preserve">Para la presente evaluación económica, se entenderá como aumento de productividad, la diferencia entre el número de promedio de casos por abogado en el año 2018 (4) y el número promedio de casos por abogado </w:t>
      </w:r>
      <w:r w:rsidRPr="002042AC">
        <w:rPr>
          <w:rFonts w:ascii="Arial" w:hAnsi="Arial" w:cs="Arial"/>
          <w:sz w:val="18"/>
          <w:szCs w:val="18"/>
          <w:lang w:val="es-ES"/>
        </w:rPr>
        <w:t>en cualquier tiempo posterior al inicio de la ejecución del programa.</w:t>
      </w:r>
    </w:p>
  </w:footnote>
  <w:footnote w:id="16">
    <w:p w14:paraId="2EF52978" w14:textId="77CA45C1" w:rsidR="00FC1B92" w:rsidRPr="00693960" w:rsidRDefault="00FC1B92" w:rsidP="00F30F48">
      <w:pPr>
        <w:pStyle w:val="FootnoteText"/>
        <w:ind w:left="270" w:hanging="270"/>
        <w:jc w:val="both"/>
        <w:rPr>
          <w:rFonts w:ascii="Arial" w:hAnsi="Arial" w:cs="Arial"/>
          <w:sz w:val="18"/>
          <w:szCs w:val="18"/>
          <w:lang w:val="es-CO"/>
        </w:rPr>
      </w:pPr>
      <w:r w:rsidRPr="00693960">
        <w:rPr>
          <w:rStyle w:val="FootnoteReference"/>
          <w:rFonts w:ascii="Arial" w:hAnsi="Arial" w:cs="Arial"/>
          <w:sz w:val="18"/>
          <w:szCs w:val="18"/>
        </w:rPr>
        <w:footnoteRef/>
      </w:r>
      <w:r w:rsidRPr="001563F5">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CO"/>
        </w:rPr>
        <w:t>La Instancia de Selección recomienda los casos en los que excepcionalmente la ANDJE intervendrá en calidad de demandante, interviniente, apoderado o agente y en cualquier otra condición que prevea la</w:t>
      </w:r>
      <w:r w:rsidRPr="002042AC">
        <w:rPr>
          <w:rFonts w:ascii="Arial" w:hAnsi="Arial" w:cs="Arial"/>
          <w:sz w:val="18"/>
          <w:szCs w:val="18"/>
          <w:lang w:val="es-CO"/>
        </w:rPr>
        <w:t xml:space="preserve"> ley. Está </w:t>
      </w:r>
      <w:r w:rsidRPr="000B4042">
        <w:rPr>
          <w:rFonts w:ascii="Arial" w:hAnsi="Arial" w:cs="Arial"/>
          <w:sz w:val="18"/>
          <w:szCs w:val="18"/>
          <w:lang w:val="es-CO"/>
        </w:rPr>
        <w:t xml:space="preserve">conformada por el </w:t>
      </w:r>
      <w:r w:rsidRPr="00693960">
        <w:rPr>
          <w:rFonts w:ascii="Arial" w:hAnsi="Arial" w:cs="Arial"/>
          <w:sz w:val="18"/>
          <w:szCs w:val="18"/>
          <w:lang w:val="es-CO"/>
        </w:rPr>
        <w:t>Director General quien la presidirá, el Director de Defensa Jurídica Nacional y un funcionario designado de la Dirección de Defensa Jurídica Nacional, quienes concurren con voz y voto. </w:t>
      </w:r>
    </w:p>
  </w:footnote>
  <w:footnote w:id="17">
    <w:p w14:paraId="4BF68D51" w14:textId="7833C169" w:rsidR="00FC1B92" w:rsidRPr="00147867" w:rsidRDefault="00FC1B92" w:rsidP="00F30F48">
      <w:pPr>
        <w:pStyle w:val="FootnoteText"/>
        <w:ind w:left="270" w:hanging="270"/>
        <w:rPr>
          <w:rFonts w:ascii="Arial" w:hAnsi="Arial" w:cs="Arial"/>
          <w:sz w:val="18"/>
          <w:szCs w:val="18"/>
          <w:lang w:val="es-ES_tradnl"/>
        </w:rPr>
      </w:pPr>
      <w:r w:rsidRPr="00147867">
        <w:rPr>
          <w:rStyle w:val="FootnoteReference"/>
          <w:rFonts w:ascii="Arial" w:hAnsi="Arial" w:cs="Arial"/>
          <w:sz w:val="18"/>
          <w:szCs w:val="18"/>
        </w:rPr>
        <w:footnoteRef/>
      </w:r>
      <w:r w:rsidRPr="00F30F48">
        <w:rPr>
          <w:rFonts w:ascii="Arial" w:hAnsi="Arial" w:cs="Arial"/>
          <w:sz w:val="18"/>
          <w:szCs w:val="18"/>
          <w:lang w:val="es-ES_tradnl"/>
        </w:rPr>
        <w:t xml:space="preserve"> </w:t>
      </w:r>
      <w:r>
        <w:rPr>
          <w:rFonts w:ascii="Arial" w:hAnsi="Arial" w:cs="Arial"/>
          <w:sz w:val="18"/>
          <w:szCs w:val="18"/>
          <w:lang w:val="es-ES_tradnl"/>
        </w:rPr>
        <w:tab/>
      </w:r>
      <w:r w:rsidRPr="00147867">
        <w:rPr>
          <w:rFonts w:ascii="Arial" w:hAnsi="Arial" w:cs="Arial"/>
          <w:sz w:val="18"/>
          <w:szCs w:val="18"/>
          <w:lang w:val="es-ES_tradnl"/>
        </w:rPr>
        <w:t>A Marzo de 2019</w:t>
      </w:r>
      <w:r>
        <w:rPr>
          <w:rFonts w:ascii="Arial" w:hAnsi="Arial" w:cs="Arial"/>
          <w:sz w:val="18"/>
          <w:szCs w:val="18"/>
          <w:lang w:val="es-ES_tradnl"/>
        </w:rPr>
        <w:t>.</w:t>
      </w:r>
    </w:p>
  </w:footnote>
  <w:footnote w:id="18">
    <w:p w14:paraId="7817FA97" w14:textId="18D706F9" w:rsidR="00FC1B92" w:rsidRPr="001563F5" w:rsidRDefault="00FC1B92" w:rsidP="00F30F48">
      <w:pPr>
        <w:pStyle w:val="FootnoteText"/>
        <w:ind w:left="270" w:hanging="270"/>
        <w:jc w:val="both"/>
        <w:rPr>
          <w:rFonts w:ascii="Arial" w:hAnsi="Arial" w:cs="Arial"/>
          <w:sz w:val="18"/>
          <w:szCs w:val="18"/>
          <w:lang w:val="es-ES_tradnl"/>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t>C</w:t>
      </w:r>
      <w:r w:rsidRPr="00693960">
        <w:rPr>
          <w:rFonts w:ascii="Arial" w:hAnsi="Arial" w:cs="Arial"/>
          <w:sz w:val="18"/>
          <w:szCs w:val="18"/>
          <w:lang w:val="es-ES"/>
        </w:rPr>
        <w:t>ondena/pretensión</w:t>
      </w:r>
      <w:r w:rsidRPr="002042AC">
        <w:rPr>
          <w:rFonts w:ascii="Arial" w:hAnsi="Arial" w:cs="Arial"/>
          <w:sz w:val="18"/>
          <w:szCs w:val="18"/>
          <w:lang w:val="es-ES"/>
        </w:rPr>
        <w:t xml:space="preserve">= valor de las condenas totales de los procesos terminados de un periodo determinado </w:t>
      </w:r>
      <w:r w:rsidRPr="000B4042">
        <w:rPr>
          <w:rFonts w:ascii="Arial" w:hAnsi="Arial" w:cs="Arial"/>
          <w:sz w:val="18"/>
          <w:szCs w:val="18"/>
          <w:lang w:val="es-ES"/>
        </w:rPr>
        <w:t>/ valor</w:t>
      </w:r>
      <w:r w:rsidRPr="00693960">
        <w:rPr>
          <w:rFonts w:ascii="Arial" w:hAnsi="Arial" w:cs="Arial"/>
          <w:sz w:val="18"/>
          <w:szCs w:val="18"/>
          <w:lang w:val="es-ES"/>
        </w:rPr>
        <w:t xml:space="preserve"> de las pretensiones totales de los procesos terminados del mismo periodo</w:t>
      </w:r>
      <w:r w:rsidRPr="00693960">
        <w:rPr>
          <w:rFonts w:ascii="Arial" w:hAnsi="Arial" w:cs="Arial"/>
          <w:sz w:val="18"/>
          <w:szCs w:val="18"/>
          <w:lang w:val="es-ES_tradnl"/>
        </w:rPr>
        <w:t xml:space="preserve">. A la fecha está relación es del 29%. (Estudio de la ANDJE. </w:t>
      </w:r>
      <w:r w:rsidRPr="00693960">
        <w:rPr>
          <w:rFonts w:ascii="Arial" w:hAnsi="Arial" w:cs="Arial"/>
          <w:i/>
          <w:sz w:val="18"/>
          <w:szCs w:val="18"/>
          <w:lang w:val="es-ES_tradnl"/>
        </w:rPr>
        <w:t>“</w:t>
      </w:r>
      <w:r w:rsidRPr="00F30F48">
        <w:rPr>
          <w:rFonts w:ascii="Arial" w:hAnsi="Arial" w:cs="Arial"/>
          <w:sz w:val="18"/>
          <w:szCs w:val="18"/>
          <w:lang w:val="es-ES_tradnl"/>
        </w:rPr>
        <w:t>Relación de los Montos Solicitados por Pretensiones y el Valor de las Condenas en Contra de la Nación”</w:t>
      </w:r>
      <w:r w:rsidRPr="00693960">
        <w:rPr>
          <w:rFonts w:ascii="Arial" w:hAnsi="Arial" w:cs="Arial"/>
          <w:sz w:val="18"/>
          <w:szCs w:val="18"/>
          <w:lang w:val="es-ES_tradnl"/>
        </w:rPr>
        <w:t>).</w:t>
      </w:r>
    </w:p>
  </w:footnote>
  <w:footnote w:id="19">
    <w:p w14:paraId="101301AF" w14:textId="3A32E0A7" w:rsidR="00FC1B92" w:rsidRPr="00693960" w:rsidRDefault="00FC1B92" w:rsidP="00F30F48">
      <w:pPr>
        <w:pStyle w:val="FootnoteText"/>
        <w:ind w:left="270" w:hanging="270"/>
        <w:jc w:val="both"/>
        <w:rPr>
          <w:rFonts w:ascii="Arial" w:hAnsi="Arial" w:cs="Arial"/>
          <w:sz w:val="18"/>
          <w:szCs w:val="18"/>
        </w:rPr>
      </w:pPr>
      <w:r w:rsidRPr="00693960">
        <w:rPr>
          <w:rStyle w:val="FootnoteReference"/>
          <w:rFonts w:ascii="Arial" w:hAnsi="Arial" w:cs="Arial"/>
          <w:sz w:val="18"/>
          <w:szCs w:val="18"/>
        </w:rPr>
        <w:footnoteRef/>
      </w:r>
      <w:r w:rsidRPr="00693960">
        <w:rPr>
          <w:rStyle w:val="FootnoteReference"/>
          <w:rFonts w:ascii="Arial" w:hAnsi="Arial" w:cs="Arial"/>
          <w:sz w:val="18"/>
          <w:szCs w:val="18"/>
        </w:rPr>
        <w:t xml:space="preserve"> </w:t>
      </w:r>
      <w:r>
        <w:rPr>
          <w:rFonts w:ascii="Arial" w:hAnsi="Arial" w:cs="Arial"/>
          <w:sz w:val="18"/>
          <w:szCs w:val="18"/>
        </w:rPr>
        <w:tab/>
      </w:r>
      <w:r w:rsidRPr="002042AC">
        <w:rPr>
          <w:rStyle w:val="FootnoteReference"/>
          <w:rFonts w:ascii="Arial" w:hAnsi="Arial" w:cs="Arial"/>
          <w:sz w:val="18"/>
          <w:szCs w:val="18"/>
          <w:vertAlign w:val="baseline"/>
        </w:rPr>
        <w:t xml:space="preserve">Es la suma de: (i) el total del valor monetario en pretensiones de los casos o procesos fallados a favor del Estado en los que participó la ANDJE; (ii) los menores valores pagados en aquellos casos o procesos en los que fue </w:t>
      </w:r>
      <w:r w:rsidRPr="00693960">
        <w:rPr>
          <w:rStyle w:val="FootnoteReference"/>
          <w:rFonts w:ascii="Arial" w:hAnsi="Arial" w:cs="Arial"/>
          <w:sz w:val="18"/>
          <w:szCs w:val="18"/>
          <w:vertAlign w:val="baseline"/>
        </w:rPr>
        <w:t>fallado en contra del Estado y que la Agencia participó; (iii) total de recursos recuperados por participación de la Agencia; y (iv) el ahorro alcanzado en las pretensiones que dejó de pagar el Estado por convocatorias de conciliación gracias a la interacción de la Agencia.</w:t>
      </w:r>
    </w:p>
  </w:footnote>
  <w:footnote w:id="20">
    <w:p w14:paraId="14B07ECB" w14:textId="25E2E9D6" w:rsidR="00FC1B92" w:rsidRPr="002042AC" w:rsidRDefault="00FC1B92" w:rsidP="00F30F48">
      <w:pPr>
        <w:pStyle w:val="FootnoteText"/>
        <w:ind w:left="270" w:hanging="270"/>
        <w:contextualSpacing/>
        <w:jc w:val="both"/>
        <w:rPr>
          <w:rFonts w:ascii="Arial" w:hAnsi="Arial" w:cs="Arial"/>
          <w:sz w:val="18"/>
          <w:szCs w:val="18"/>
          <w:lang w:val="es-ES_tradnl"/>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2042AC">
        <w:rPr>
          <w:rFonts w:ascii="Arial" w:hAnsi="Arial" w:cs="Arial"/>
          <w:sz w:val="18"/>
          <w:szCs w:val="18"/>
          <w:lang w:val="es-ES_tradnl"/>
        </w:rPr>
        <w:t>Sistema Único de Información Lit</w:t>
      </w:r>
      <w:r>
        <w:rPr>
          <w:rFonts w:ascii="Arial" w:hAnsi="Arial" w:cs="Arial"/>
          <w:sz w:val="18"/>
          <w:szCs w:val="18"/>
          <w:lang w:val="es-ES_tradnl"/>
        </w:rPr>
        <w:t>i</w:t>
      </w:r>
      <w:r w:rsidRPr="002042AC">
        <w:rPr>
          <w:rFonts w:ascii="Arial" w:hAnsi="Arial" w:cs="Arial"/>
          <w:sz w:val="18"/>
          <w:szCs w:val="18"/>
          <w:lang w:val="es-ES_tradnl"/>
        </w:rPr>
        <w:t>giosa del Estado desarrollado en el marco del Programa 2755/OC-CO.</w:t>
      </w:r>
    </w:p>
  </w:footnote>
  <w:footnote w:id="21">
    <w:p w14:paraId="2BEAC000" w14:textId="7729FBC5" w:rsidR="00FC1B92" w:rsidRPr="00693960" w:rsidRDefault="00FC1B92" w:rsidP="00F30F48">
      <w:pPr>
        <w:pStyle w:val="FootnoteText"/>
        <w:ind w:left="270" w:hanging="270"/>
        <w:contextualSpacing/>
        <w:jc w:val="both"/>
        <w:rPr>
          <w:rFonts w:ascii="Arial" w:hAnsi="Arial" w:cs="Arial"/>
          <w:sz w:val="18"/>
          <w:szCs w:val="18"/>
          <w:lang w:val="es-ES_tradnl"/>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_tradnl"/>
        </w:rPr>
        <w:t xml:space="preserve">Evaluación costo-beneficio del Programa 2755/OC-CO, 2017. </w:t>
      </w:r>
    </w:p>
  </w:footnote>
  <w:footnote w:id="22">
    <w:p w14:paraId="15EA391D" w14:textId="726E2760" w:rsidR="00FC1B92" w:rsidRPr="00693960" w:rsidRDefault="00FC1B92" w:rsidP="000D25CB">
      <w:pPr>
        <w:pStyle w:val="FootnoteText"/>
        <w:ind w:left="270" w:hanging="270"/>
        <w:contextualSpacing/>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
        </w:rPr>
        <w:t>La evaluación final del Programa 2755/OC-CO la tasa de éxito procesal cuando hay intervención directa de la ANDJE (medida como la relación condena/pretensión) es de 86%. Esto quiere decir que, por cada dólar pretendido, el Estado únicamente pierde 14 centavos. Por su lado, las Entidades Públicas del Orden Nacional alcanzan una tasa de éxito procesal del 51%. La hipótesis inicial implica que, a mayor cobertura sobre las pretensiones más altas en contra del Estado por parte de la ANDJE, mayor la probabilida</w:t>
      </w:r>
      <w:r w:rsidRPr="002042AC">
        <w:rPr>
          <w:rFonts w:ascii="Arial" w:hAnsi="Arial" w:cs="Arial"/>
          <w:sz w:val="18"/>
          <w:szCs w:val="18"/>
          <w:lang w:val="es-ES"/>
        </w:rPr>
        <w:t>d de generar ahorros fiscales, como la diferencia entre las pretensiones iniciales y la condena.</w:t>
      </w:r>
    </w:p>
  </w:footnote>
  <w:footnote w:id="23">
    <w:p w14:paraId="559DD072" w14:textId="40490254" w:rsidR="00FC1B92" w:rsidRPr="00A706F7" w:rsidRDefault="00FC1B92" w:rsidP="000D25CB">
      <w:pPr>
        <w:pStyle w:val="FootnoteText"/>
        <w:ind w:left="270" w:hanging="270"/>
        <w:contextualSpacing/>
        <w:jc w:val="both"/>
        <w:rPr>
          <w:rFonts w:ascii="Arial" w:hAnsi="Arial" w:cs="Arial"/>
          <w:sz w:val="18"/>
          <w:szCs w:val="18"/>
          <w:lang w:val="es-ES_tradnl"/>
        </w:rPr>
      </w:pPr>
      <w:r w:rsidRPr="00693960">
        <w:rPr>
          <w:rStyle w:val="FootnoteReference"/>
          <w:rFonts w:ascii="Arial" w:hAnsi="Arial" w:cs="Arial"/>
          <w:sz w:val="18"/>
          <w:szCs w:val="18"/>
        </w:rPr>
        <w:footnoteRef/>
      </w:r>
      <w:r w:rsidRPr="001563F5">
        <w:rPr>
          <w:rFonts w:ascii="Arial" w:hAnsi="Arial" w:cs="Arial"/>
          <w:sz w:val="18"/>
          <w:szCs w:val="18"/>
        </w:rPr>
        <w:t xml:space="preserve"> </w:t>
      </w:r>
      <w:r>
        <w:rPr>
          <w:rFonts w:ascii="Arial" w:hAnsi="Arial" w:cs="Arial"/>
          <w:sz w:val="18"/>
          <w:szCs w:val="18"/>
        </w:rPr>
        <w:tab/>
      </w:r>
      <w:r w:rsidRPr="001563F5">
        <w:rPr>
          <w:rFonts w:ascii="Arial" w:hAnsi="Arial" w:cs="Arial"/>
          <w:sz w:val="18"/>
          <w:szCs w:val="18"/>
        </w:rPr>
        <w:t xml:space="preserve">Chemin M. (2008). </w:t>
      </w:r>
      <w:r w:rsidRPr="00693960">
        <w:rPr>
          <w:rFonts w:ascii="Arial" w:hAnsi="Arial" w:cs="Arial"/>
          <w:sz w:val="18"/>
          <w:szCs w:val="18"/>
        </w:rPr>
        <w:t>“</w:t>
      </w:r>
      <w:r w:rsidRPr="000D25CB">
        <w:rPr>
          <w:rFonts w:ascii="Arial" w:hAnsi="Arial" w:cs="Arial"/>
          <w:i/>
          <w:sz w:val="18"/>
          <w:szCs w:val="18"/>
        </w:rPr>
        <w:t xml:space="preserve">The Impact of the Judiciary on Entrepreneurship: Evaluation of Pakistan’s “Access to Justice Program”. </w:t>
      </w:r>
      <w:r w:rsidRPr="00A706F7">
        <w:rPr>
          <w:rFonts w:ascii="Arial" w:hAnsi="Arial" w:cs="Arial"/>
          <w:i/>
          <w:sz w:val="18"/>
          <w:szCs w:val="18"/>
          <w:lang w:val="es-ES_tradnl"/>
        </w:rPr>
        <w:t>Journal of Public Economics</w:t>
      </w:r>
      <w:r w:rsidRPr="00A706F7">
        <w:rPr>
          <w:rFonts w:ascii="Arial" w:hAnsi="Arial" w:cs="Arial"/>
          <w:sz w:val="18"/>
          <w:szCs w:val="18"/>
          <w:lang w:val="es-ES_tradnl"/>
        </w:rPr>
        <w:t xml:space="preserve">, 2009, vol. 93, 114-125. </w:t>
      </w:r>
    </w:p>
  </w:footnote>
  <w:footnote w:id="24">
    <w:p w14:paraId="29248017" w14:textId="79ADE060" w:rsidR="00FC1B92" w:rsidRPr="00693960" w:rsidRDefault="00FC1B92" w:rsidP="00A706F7">
      <w:pPr>
        <w:pStyle w:val="FootnoteText"/>
        <w:ind w:left="270" w:hanging="270"/>
        <w:contextualSpacing/>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sidR="009A3D46">
        <w:rPr>
          <w:rFonts w:ascii="Arial" w:hAnsi="Arial" w:cs="Arial"/>
          <w:sz w:val="18"/>
          <w:szCs w:val="18"/>
          <w:lang w:val="es-ES"/>
        </w:rPr>
        <w:tab/>
      </w:r>
      <w:r w:rsidRPr="00693960">
        <w:rPr>
          <w:rFonts w:ascii="Arial" w:hAnsi="Arial" w:cs="Arial"/>
          <w:sz w:val="18"/>
          <w:szCs w:val="18"/>
          <w:lang w:val="es-ES"/>
        </w:rPr>
        <w:t xml:space="preserve">Chemin </w:t>
      </w:r>
      <w:r>
        <w:rPr>
          <w:rFonts w:ascii="Arial" w:hAnsi="Arial" w:cs="Arial"/>
          <w:sz w:val="18"/>
          <w:szCs w:val="18"/>
          <w:lang w:val="es-ES"/>
        </w:rPr>
        <w:t xml:space="preserve">M. </w:t>
      </w:r>
      <w:r w:rsidRPr="00693960">
        <w:rPr>
          <w:rFonts w:ascii="Arial" w:hAnsi="Arial" w:cs="Arial"/>
          <w:sz w:val="18"/>
          <w:szCs w:val="18"/>
          <w:lang w:val="es-ES"/>
        </w:rPr>
        <w:t>(2009) entiende el incremento en productividad como el aumento en los casos que un juez puede fallar de más, en comparación con aquellos jueces en los distritos que no fueron capacitados.</w:t>
      </w:r>
    </w:p>
  </w:footnote>
  <w:footnote w:id="25">
    <w:p w14:paraId="59AF568B" w14:textId="4BEB22C9" w:rsidR="00FC1B92" w:rsidRPr="001563F5" w:rsidRDefault="00FC1B92" w:rsidP="000D25CB">
      <w:pPr>
        <w:pStyle w:val="FootnoteText"/>
        <w:ind w:left="270" w:hanging="270"/>
        <w:rPr>
          <w:rFonts w:ascii="Arial" w:hAnsi="Arial" w:cs="Arial"/>
          <w:sz w:val="18"/>
          <w:szCs w:val="18"/>
        </w:rPr>
      </w:pPr>
      <w:r w:rsidRPr="001563F5">
        <w:rPr>
          <w:rStyle w:val="FootnoteReference"/>
          <w:rFonts w:ascii="Arial" w:hAnsi="Arial" w:cs="Arial"/>
          <w:sz w:val="18"/>
          <w:szCs w:val="18"/>
        </w:rPr>
        <w:footnoteRef/>
      </w:r>
      <w:r w:rsidRPr="00A706F7">
        <w:rPr>
          <w:rFonts w:ascii="Arial" w:hAnsi="Arial" w:cs="Arial"/>
          <w:sz w:val="18"/>
          <w:szCs w:val="18"/>
          <w:lang w:val="pt-BR"/>
        </w:rPr>
        <w:t xml:space="preserve"> </w:t>
      </w:r>
      <w:r w:rsidRPr="00A706F7">
        <w:rPr>
          <w:rFonts w:ascii="Arial" w:hAnsi="Arial" w:cs="Arial"/>
          <w:sz w:val="18"/>
          <w:szCs w:val="18"/>
          <w:lang w:val="pt-BR"/>
        </w:rPr>
        <w:tab/>
        <w:t xml:space="preserve">Sadka J, Seira E &amp; Woodruff C (2018). </w:t>
      </w:r>
      <w:r>
        <w:rPr>
          <w:rFonts w:ascii="Arial" w:hAnsi="Arial" w:cs="Arial"/>
          <w:sz w:val="18"/>
          <w:szCs w:val="18"/>
        </w:rPr>
        <w:t>“</w:t>
      </w:r>
      <w:r w:rsidRPr="000D25CB">
        <w:rPr>
          <w:rFonts w:ascii="Arial" w:hAnsi="Arial" w:cs="Arial"/>
          <w:i/>
          <w:sz w:val="18"/>
          <w:szCs w:val="18"/>
        </w:rPr>
        <w:t>Information and Bargaining Through Agents: Experimental Evidence form México’s Labor Courts”. National Bureau of Economic Research. Working Paper</w:t>
      </w:r>
      <w:r>
        <w:rPr>
          <w:rFonts w:ascii="Arial" w:hAnsi="Arial" w:cs="Arial"/>
          <w:sz w:val="18"/>
          <w:szCs w:val="18"/>
        </w:rPr>
        <w:t xml:space="preserve"> 25137.</w:t>
      </w:r>
    </w:p>
  </w:footnote>
  <w:footnote w:id="26">
    <w:p w14:paraId="531684B4" w14:textId="16A263CC" w:rsidR="00FC1B92" w:rsidRPr="001563F5" w:rsidRDefault="00FC1B92" w:rsidP="000D25CB">
      <w:pPr>
        <w:pStyle w:val="FootnoteText"/>
        <w:ind w:left="274" w:hanging="274"/>
        <w:contextualSpacing/>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rPr>
        <w:t xml:space="preserve"> </w:t>
      </w:r>
      <w:r>
        <w:rPr>
          <w:rFonts w:ascii="Arial" w:hAnsi="Arial" w:cs="Arial"/>
          <w:sz w:val="18"/>
          <w:szCs w:val="18"/>
        </w:rPr>
        <w:tab/>
      </w:r>
      <w:r w:rsidRPr="00693960">
        <w:rPr>
          <w:rFonts w:ascii="Arial" w:hAnsi="Arial" w:cs="Arial"/>
          <w:sz w:val="18"/>
          <w:szCs w:val="18"/>
        </w:rPr>
        <w:t>Bhatnagar S &amp; Singh N (2010). “</w:t>
      </w:r>
      <w:r w:rsidRPr="000D25CB">
        <w:rPr>
          <w:rFonts w:ascii="Arial" w:hAnsi="Arial" w:cs="Arial"/>
          <w:i/>
          <w:sz w:val="18"/>
          <w:szCs w:val="18"/>
        </w:rPr>
        <w:t xml:space="preserve">Assessing the Impact of E-Government: A Study of Projects in India”. </w:t>
      </w:r>
      <w:r w:rsidRPr="000D25CB">
        <w:rPr>
          <w:rFonts w:ascii="Arial" w:hAnsi="Arial" w:cs="Arial"/>
          <w:i/>
          <w:sz w:val="18"/>
          <w:szCs w:val="18"/>
          <w:lang w:val="es-ES"/>
        </w:rPr>
        <w:t>USC Annenberg School for Communication &amp; Journalism</w:t>
      </w:r>
      <w:r w:rsidRPr="001563F5">
        <w:rPr>
          <w:rFonts w:ascii="Arial" w:hAnsi="Arial" w:cs="Arial"/>
          <w:sz w:val="18"/>
          <w:szCs w:val="18"/>
          <w:lang w:val="es-ES"/>
        </w:rPr>
        <w:t>, 2010, vol. 6, 109-127.</w:t>
      </w:r>
    </w:p>
  </w:footnote>
  <w:footnote w:id="27">
    <w:p w14:paraId="2D547BE5" w14:textId="5CEFA1FF" w:rsidR="00FC1B92" w:rsidRPr="001563F5" w:rsidRDefault="00FC1B92" w:rsidP="000D25CB">
      <w:pPr>
        <w:pStyle w:val="Paragraph"/>
        <w:numPr>
          <w:ilvl w:val="0"/>
          <w:numId w:val="0"/>
        </w:numPr>
        <w:spacing w:before="0" w:after="0"/>
        <w:ind w:left="274" w:hanging="274"/>
        <w:contextualSpacing/>
        <w:rPr>
          <w:rFonts w:ascii="Arial" w:hAnsi="Arial" w:cs="Arial"/>
          <w:sz w:val="18"/>
          <w:szCs w:val="18"/>
        </w:rPr>
      </w:pPr>
      <w:r w:rsidRPr="00693960">
        <w:rPr>
          <w:rStyle w:val="FootnoteReference"/>
          <w:rFonts w:ascii="Arial" w:hAnsi="Arial" w:cs="Arial"/>
          <w:sz w:val="18"/>
          <w:szCs w:val="18"/>
        </w:rPr>
        <w:footnoteRef/>
      </w:r>
      <w:r w:rsidRPr="00693960">
        <w:rPr>
          <w:rFonts w:ascii="Arial" w:hAnsi="Arial" w:cs="Arial"/>
          <w:sz w:val="18"/>
          <w:szCs w:val="18"/>
        </w:rPr>
        <w:t xml:space="preserve"> </w:t>
      </w:r>
      <w:r>
        <w:rPr>
          <w:rFonts w:ascii="Arial" w:hAnsi="Arial" w:cs="Arial"/>
          <w:sz w:val="18"/>
          <w:szCs w:val="18"/>
        </w:rPr>
        <w:tab/>
      </w:r>
      <w:r w:rsidRPr="00693960">
        <w:rPr>
          <w:rFonts w:ascii="Arial" w:hAnsi="Arial" w:cs="Arial"/>
          <w:sz w:val="18"/>
          <w:szCs w:val="18"/>
        </w:rPr>
        <w:t xml:space="preserve">Otros estudios que amplían estos impactos son: Tonurist, Lember &amp; Kattel (2016) </w:t>
      </w:r>
      <w:r w:rsidRPr="00693960">
        <w:rPr>
          <w:rFonts w:ascii="Arial" w:hAnsi="Arial" w:cs="Arial"/>
          <w:i/>
          <w:sz w:val="18"/>
          <w:szCs w:val="18"/>
        </w:rPr>
        <w:t xml:space="preserve">Joint Data Platforms as X Factor for Efficiency Gains in the Public Sector </w:t>
      </w:r>
      <w:r w:rsidRPr="00693960">
        <w:rPr>
          <w:rFonts w:ascii="Arial" w:hAnsi="Arial" w:cs="Arial"/>
          <w:sz w:val="18"/>
          <w:szCs w:val="18"/>
        </w:rPr>
        <w:t xml:space="preserve">que estudia la implementación de servicios tecnológicos en Estonia por parte del Gobierno. Y, Kiškis,M. &amp; Petrauskas, R.(2004), </w:t>
      </w:r>
      <w:r w:rsidRPr="00693960">
        <w:rPr>
          <w:rFonts w:ascii="Arial" w:hAnsi="Arial" w:cs="Arial"/>
          <w:i/>
          <w:sz w:val="18"/>
          <w:szCs w:val="18"/>
        </w:rPr>
        <w:t>ICT adoption in the judiciary:</w:t>
      </w:r>
      <w:r>
        <w:rPr>
          <w:rFonts w:ascii="Arial" w:hAnsi="Arial" w:cs="Arial"/>
          <w:i/>
          <w:sz w:val="18"/>
          <w:szCs w:val="18"/>
        </w:rPr>
        <w:t> </w:t>
      </w:r>
      <w:r w:rsidRPr="00693960">
        <w:rPr>
          <w:rFonts w:ascii="Arial" w:hAnsi="Arial" w:cs="Arial"/>
          <w:i/>
          <w:sz w:val="18"/>
          <w:szCs w:val="18"/>
        </w:rPr>
        <w:t>classifying of judicial</w:t>
      </w:r>
      <w:r w:rsidRPr="002042AC">
        <w:rPr>
          <w:rFonts w:ascii="Arial" w:hAnsi="Arial" w:cs="Arial"/>
          <w:sz w:val="18"/>
          <w:szCs w:val="18"/>
        </w:rPr>
        <w:t xml:space="preserve"> que demostraron que, a medida que las herramientas tecnológicas se sofistican, se llega a beneficios en el sistema judicial a través de la clasificación de los procesos ayudando a su eficiencia y por consiguiente en la reducción de tiempos. </w:t>
      </w:r>
    </w:p>
  </w:footnote>
  <w:footnote w:id="28">
    <w:p w14:paraId="6A4EF15B" w14:textId="1786AE13" w:rsidR="00FC1B92" w:rsidRPr="00693960" w:rsidRDefault="00FC1B92" w:rsidP="00FE320B">
      <w:pPr>
        <w:pStyle w:val="FootnoteText"/>
        <w:ind w:left="270" w:hanging="270"/>
        <w:contextualSpacing/>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
        </w:rPr>
        <w:t>Supuestos macroeconómicos 2020 Ministerio de Hacienda y Crédito Público.</w:t>
      </w:r>
    </w:p>
  </w:footnote>
  <w:footnote w:id="29">
    <w:p w14:paraId="3636479D" w14:textId="3714D3D8" w:rsidR="00FC1B92" w:rsidRPr="002042AC" w:rsidRDefault="00FC1B92" w:rsidP="007B39F9">
      <w:pPr>
        <w:pStyle w:val="FootnoteText"/>
        <w:ind w:left="270" w:hanging="270"/>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
        </w:rPr>
        <w:t xml:space="preserve">Para el año 2018 la Agencia Nacional de Defensa Jurídica del Estado contaba con 36 abogados -entre contratistas y funcionarios- los cuales intervenían directamente en 157 procesos. En promedio cada uno de los abogados tenía </w:t>
      </w:r>
      <w:r w:rsidRPr="002042AC">
        <w:rPr>
          <w:rFonts w:ascii="Arial" w:hAnsi="Arial" w:cs="Arial"/>
          <w:sz w:val="18"/>
          <w:szCs w:val="18"/>
          <w:lang w:val="es-ES"/>
        </w:rPr>
        <w:t>a su cargo 4.4 procesos. El valor de la planta de personal ascendía a US$1</w:t>
      </w:r>
      <w:r>
        <w:rPr>
          <w:rFonts w:ascii="Arial" w:hAnsi="Arial" w:cs="Arial"/>
          <w:sz w:val="18"/>
          <w:szCs w:val="18"/>
          <w:lang w:val="es-ES"/>
        </w:rPr>
        <w:t>.</w:t>
      </w:r>
      <w:r w:rsidRPr="002042AC">
        <w:rPr>
          <w:rFonts w:ascii="Arial" w:hAnsi="Arial" w:cs="Arial"/>
          <w:sz w:val="18"/>
          <w:szCs w:val="18"/>
          <w:lang w:val="es-ES"/>
        </w:rPr>
        <w:t>184</w:t>
      </w:r>
      <w:r>
        <w:rPr>
          <w:rFonts w:ascii="Arial" w:hAnsi="Arial" w:cs="Arial"/>
          <w:sz w:val="18"/>
          <w:szCs w:val="18"/>
          <w:lang w:val="es-ES"/>
        </w:rPr>
        <w:t>.</w:t>
      </w:r>
      <w:r w:rsidRPr="002042AC">
        <w:rPr>
          <w:rFonts w:ascii="Arial" w:hAnsi="Arial" w:cs="Arial"/>
          <w:sz w:val="18"/>
          <w:szCs w:val="18"/>
          <w:lang w:val="es-ES"/>
        </w:rPr>
        <w:t>878 (ANDJE).</w:t>
      </w:r>
    </w:p>
  </w:footnote>
  <w:footnote w:id="30">
    <w:p w14:paraId="72E799A9" w14:textId="3B9DBAE4" w:rsidR="00FC1B92" w:rsidRPr="002042AC" w:rsidRDefault="00FC1B92" w:rsidP="007B39F9">
      <w:pPr>
        <w:pStyle w:val="FootnoteText"/>
        <w:ind w:left="270" w:hanging="270"/>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
        </w:rPr>
        <w:t xml:space="preserve">De acuerdo a la Agencia Nacional de Defensa Jurídica del Estado, los 36 abogados manejaron procesos en el 2018 con unas pretensiones de US$9.947.231.900. </w:t>
      </w:r>
    </w:p>
  </w:footnote>
  <w:footnote w:id="31">
    <w:p w14:paraId="1D541BE1" w14:textId="00C2DA98" w:rsidR="00FC1B92" w:rsidRPr="00CF36C9" w:rsidRDefault="00FC1B92" w:rsidP="00D947A8">
      <w:pPr>
        <w:pStyle w:val="FootnoteText"/>
        <w:ind w:left="270" w:hanging="270"/>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
        </w:rPr>
        <w:t xml:space="preserve">G2G es una iniciativa que busca comunicar a través de algún tipo de tecnología a agencias o entidades estatales, con el fin de generar sinergias, ahorrar tiempos, aumentar eficiencia e incentivar la transparencia al interior de estas. </w:t>
      </w:r>
      <w:r w:rsidRPr="002042AC">
        <w:rPr>
          <w:rFonts w:ascii="Arial" w:hAnsi="Arial" w:cs="Arial"/>
          <w:sz w:val="18"/>
          <w:szCs w:val="18"/>
        </w:rPr>
        <w:t xml:space="preserve">(Shah, R., y Kesan, J.P. </w:t>
      </w:r>
      <w:r w:rsidRPr="00D947A8">
        <w:rPr>
          <w:rFonts w:ascii="Arial" w:hAnsi="Arial" w:cs="Arial"/>
          <w:i/>
          <w:sz w:val="18"/>
          <w:szCs w:val="18"/>
        </w:rPr>
        <w:t>Software as governance</w:t>
      </w:r>
      <w:r w:rsidRPr="002042AC">
        <w:rPr>
          <w:rFonts w:ascii="Arial" w:hAnsi="Arial" w:cs="Arial"/>
          <w:sz w:val="18"/>
          <w:szCs w:val="18"/>
        </w:rPr>
        <w:t xml:space="preserve">. Hans J. Scholl, ed., </w:t>
      </w:r>
      <w:r w:rsidRPr="002042AC">
        <w:rPr>
          <w:rFonts w:ascii="Arial" w:hAnsi="Arial" w:cs="Arial"/>
          <w:i/>
          <w:sz w:val="18"/>
          <w:szCs w:val="18"/>
        </w:rPr>
        <w:t xml:space="preserve">E-Government: Information, Technology, and Transformation, </w:t>
      </w:r>
      <w:r w:rsidRPr="00CF36C9">
        <w:rPr>
          <w:rFonts w:ascii="Arial" w:hAnsi="Arial" w:cs="Arial"/>
          <w:sz w:val="18"/>
          <w:szCs w:val="18"/>
        </w:rPr>
        <w:t xml:space="preserve">Volumen 17. </w:t>
      </w:r>
      <w:r w:rsidRPr="00D947A8">
        <w:rPr>
          <w:rFonts w:ascii="Arial" w:hAnsi="Arial" w:cs="Arial"/>
          <w:i/>
          <w:sz w:val="18"/>
          <w:szCs w:val="18"/>
          <w:lang w:val="es-ES"/>
        </w:rPr>
        <w:t>Advances in Management Information Systems</w:t>
      </w:r>
      <w:r w:rsidRPr="00CF36C9">
        <w:rPr>
          <w:rFonts w:ascii="Arial" w:hAnsi="Arial" w:cs="Arial"/>
          <w:sz w:val="18"/>
          <w:szCs w:val="18"/>
          <w:lang w:val="es-ES"/>
        </w:rPr>
        <w:t>)</w:t>
      </w:r>
    </w:p>
  </w:footnote>
  <w:footnote w:id="32">
    <w:p w14:paraId="106525F4" w14:textId="4E48A56D" w:rsidR="00FC1B92" w:rsidRPr="001563F5" w:rsidRDefault="00FC1B92" w:rsidP="00D947A8">
      <w:pPr>
        <w:pStyle w:val="FootnoteText"/>
        <w:ind w:left="270" w:hanging="270"/>
        <w:jc w:val="both"/>
        <w:rPr>
          <w:rFonts w:ascii="Arial" w:hAnsi="Arial" w:cs="Arial"/>
          <w:sz w:val="18"/>
          <w:szCs w:val="18"/>
          <w:lang w:val="es-ES"/>
        </w:rPr>
      </w:pPr>
      <w:r w:rsidRPr="00693960">
        <w:rPr>
          <w:rStyle w:val="FootnoteReference"/>
          <w:rFonts w:ascii="Arial" w:hAnsi="Arial" w:cs="Arial"/>
          <w:sz w:val="18"/>
          <w:szCs w:val="18"/>
        </w:rPr>
        <w:footnoteRef/>
      </w:r>
      <w:r w:rsidRPr="00693960">
        <w:rPr>
          <w:rFonts w:ascii="Arial" w:hAnsi="Arial" w:cs="Arial"/>
          <w:sz w:val="18"/>
          <w:szCs w:val="18"/>
          <w:lang w:val="es-ES"/>
        </w:rPr>
        <w:t xml:space="preserve"> </w:t>
      </w:r>
      <w:r>
        <w:rPr>
          <w:rFonts w:ascii="Arial" w:hAnsi="Arial" w:cs="Arial"/>
          <w:sz w:val="18"/>
          <w:szCs w:val="18"/>
          <w:lang w:val="es-ES"/>
        </w:rPr>
        <w:tab/>
      </w:r>
      <w:r w:rsidRPr="00693960">
        <w:rPr>
          <w:rFonts w:ascii="Arial" w:hAnsi="Arial" w:cs="Arial"/>
          <w:sz w:val="18"/>
          <w:szCs w:val="18"/>
          <w:lang w:val="es-ES"/>
        </w:rPr>
        <w:t>Hace referencia al cociente del valor de las pretensiones sobre el valor de las condenas (ganados/total y ahorros /total). Sin embargo, se podría desarrollar un indicador robusto que permita el seguimiento de la tasa de éxito procesal y el cierre de brechas entre las agencias estatales del orden nacional y la ANDJE en el futuro.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EC6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57155"/>
    <w:multiLevelType w:val="multilevel"/>
    <w:tmpl w:val="4CCA64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142B7B9D"/>
    <w:multiLevelType w:val="multilevel"/>
    <w:tmpl w:val="1280090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7F5EE9"/>
    <w:multiLevelType w:val="multilevel"/>
    <w:tmpl w:val="82A8D918"/>
    <w:lvl w:ilvl="0">
      <w:start w:val="3"/>
      <w:numFmt w:val="upperRoman"/>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23E55439"/>
    <w:multiLevelType w:val="hybridMultilevel"/>
    <w:tmpl w:val="E9ECAC22"/>
    <w:lvl w:ilvl="0" w:tplc="04B8682C">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E4AB5"/>
    <w:multiLevelType w:val="hybridMultilevel"/>
    <w:tmpl w:val="9EAC99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24249"/>
    <w:multiLevelType w:val="multilevel"/>
    <w:tmpl w:val="3864CF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2EAF322F"/>
    <w:multiLevelType w:val="hybridMultilevel"/>
    <w:tmpl w:val="FE8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23DF"/>
    <w:multiLevelType w:val="hybridMultilevel"/>
    <w:tmpl w:val="B8E47084"/>
    <w:lvl w:ilvl="0" w:tplc="580A0001">
      <w:start w:val="1"/>
      <w:numFmt w:val="bullet"/>
      <w:lvlText w:val=""/>
      <w:lvlJc w:val="left"/>
      <w:pPr>
        <w:ind w:left="927" w:hanging="360"/>
      </w:pPr>
      <w:rPr>
        <w:rFonts w:ascii="Symbol" w:hAnsi="Symbol" w:hint="default"/>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12" w15:restartNumberingAfterBreak="0">
    <w:nsid w:val="359B4991"/>
    <w:multiLevelType w:val="multilevel"/>
    <w:tmpl w:val="B6EC19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15:restartNumberingAfterBreak="0">
    <w:nsid w:val="359E2705"/>
    <w:multiLevelType w:val="hybridMultilevel"/>
    <w:tmpl w:val="6FC67E20"/>
    <w:lvl w:ilvl="0" w:tplc="C6460C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65670"/>
    <w:multiLevelType w:val="hybridMultilevel"/>
    <w:tmpl w:val="B198B498"/>
    <w:lvl w:ilvl="0" w:tplc="C6460C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6E3E"/>
    <w:multiLevelType w:val="multilevel"/>
    <w:tmpl w:val="3BDEFE04"/>
    <w:styleLink w:val="LFO11"/>
    <w:lvl w:ilvl="0">
      <w:start w:val="1"/>
      <w:numFmt w:val="upperRoman"/>
      <w:lvlText w:val="%1."/>
      <w:lvlJc w:val="center"/>
      <w:pPr>
        <w:ind w:left="1440" w:firstLine="0"/>
      </w:pPr>
      <w:rPr>
        <w:rFonts w:cs="Times New Roman"/>
        <w:b/>
        <w:i w:val="0"/>
      </w:rPr>
    </w:lvl>
    <w:lvl w:ilvl="1">
      <w:start w:val="1"/>
      <w:numFmt w:val="decimal"/>
      <w:lvlText w:val="%1.%2"/>
      <w:lvlJc w:val="left"/>
      <w:pPr>
        <w:ind w:left="2448" w:hanging="1296"/>
      </w:pPr>
      <w:rPr>
        <w:rFonts w:cs="Times New Roman"/>
        <w:b w:val="0"/>
      </w:rPr>
    </w:lvl>
    <w:lvl w:ilvl="2">
      <w:start w:val="1"/>
      <w:numFmt w:val="lowerLetter"/>
      <w:lvlText w:val="%3."/>
      <w:lvlJc w:val="left"/>
      <w:pPr>
        <w:ind w:left="2304" w:hanging="432"/>
      </w:pPr>
      <w:rPr>
        <w:rFonts w:cs="Times New Roman"/>
        <w:b w:val="0"/>
      </w:rPr>
    </w:lvl>
    <w:lvl w:ilvl="3">
      <w:start w:val="1"/>
      <w:numFmt w:val="lowerRoman"/>
      <w:lvlText w:val="%4."/>
      <w:lvlJc w:val="right"/>
      <w:pPr>
        <w:ind w:left="2736" w:hanging="288"/>
      </w:pPr>
      <w:rPr>
        <w:rFonts w:cs="Times New Roman"/>
        <w:b w:val="0"/>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16" w15:restartNumberingAfterBreak="0">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4882564E"/>
    <w:multiLevelType w:val="hybridMultilevel"/>
    <w:tmpl w:val="477E35B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8" w15:restartNumberingAfterBreak="0">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9" w15:restartNumberingAfterBreak="0">
    <w:nsid w:val="515915DF"/>
    <w:multiLevelType w:val="multilevel"/>
    <w:tmpl w:val="D0469344"/>
    <w:lvl w:ilvl="0">
      <w:start w:val="1"/>
      <w:numFmt w:val="upperRoman"/>
      <w:lvlText w:val="%1."/>
      <w:lvlJc w:val="righ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569905A8"/>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1" w15:restartNumberingAfterBreak="0">
    <w:nsid w:val="5E506BF0"/>
    <w:multiLevelType w:val="hybridMultilevel"/>
    <w:tmpl w:val="35C4F9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5D902C2"/>
    <w:multiLevelType w:val="multilevel"/>
    <w:tmpl w:val="E86E4FC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639704B"/>
    <w:multiLevelType w:val="hybridMultilevel"/>
    <w:tmpl w:val="3F90F014"/>
    <w:lvl w:ilvl="0" w:tplc="580A0001">
      <w:start w:val="1"/>
      <w:numFmt w:val="bullet"/>
      <w:lvlText w:val=""/>
      <w:lvlJc w:val="left"/>
      <w:pPr>
        <w:ind w:left="1080" w:hanging="360"/>
      </w:pPr>
      <w:rPr>
        <w:rFonts w:ascii="Symbol" w:hAnsi="Symbol" w:hint="default"/>
      </w:rPr>
    </w:lvl>
    <w:lvl w:ilvl="1" w:tplc="580A0001">
      <w:start w:val="1"/>
      <w:numFmt w:val="bullet"/>
      <w:lvlText w:val=""/>
      <w:lvlJc w:val="left"/>
      <w:pPr>
        <w:ind w:left="1800" w:hanging="360"/>
      </w:pPr>
      <w:rPr>
        <w:rFonts w:ascii="Symbol" w:hAnsi="Symbol"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9"/>
  </w:num>
  <w:num w:numId="4">
    <w:abstractNumId w:val="5"/>
  </w:num>
  <w:num w:numId="5">
    <w:abstractNumId w:val="4"/>
  </w:num>
  <w:num w:numId="6">
    <w:abstractNumId w:val="16"/>
  </w:num>
  <w:num w:numId="7">
    <w:abstractNumId w:val="18"/>
  </w:num>
  <w:num w:numId="8">
    <w:abstractNumId w:val="21"/>
  </w:num>
  <w:num w:numId="9">
    <w:abstractNumId w:val="15"/>
  </w:num>
  <w:num w:numId="10">
    <w:abstractNumId w:val="23"/>
  </w:num>
  <w:num w:numId="11">
    <w:abstractNumId w:val="12"/>
  </w:num>
  <w:num w:numId="12">
    <w:abstractNumId w:val="9"/>
  </w:num>
  <w:num w:numId="13">
    <w:abstractNumId w:val="9"/>
  </w:num>
  <w:num w:numId="14">
    <w:abstractNumId w:val="2"/>
  </w:num>
  <w:num w:numId="15">
    <w:abstractNumId w:val="2"/>
  </w:num>
  <w:num w:numId="16">
    <w:abstractNumId w:val="2"/>
  </w:num>
  <w:num w:numId="17">
    <w:abstractNumId w:val="9"/>
  </w:num>
  <w:num w:numId="18">
    <w:abstractNumId w:val="2"/>
  </w:num>
  <w:num w:numId="19">
    <w:abstractNumId w:val="2"/>
  </w:num>
  <w:num w:numId="20">
    <w:abstractNumId w:val="2"/>
  </w:num>
  <w:num w:numId="21">
    <w:abstractNumId w:val="2"/>
  </w:num>
  <w:num w:numId="22">
    <w:abstractNumId w:val="11"/>
  </w:num>
  <w:num w:numId="23">
    <w:abstractNumId w:val="17"/>
  </w:num>
  <w:num w:numId="24">
    <w:abstractNumId w:val="8"/>
  </w:num>
  <w:num w:numId="25">
    <w:abstractNumId w:val="1"/>
  </w:num>
  <w:num w:numId="26">
    <w:abstractNumId w:val="0"/>
  </w:num>
  <w:num w:numId="27">
    <w:abstractNumId w:val="10"/>
  </w:num>
  <w:num w:numId="28">
    <w:abstractNumId w:val="20"/>
  </w:num>
  <w:num w:numId="29">
    <w:abstractNumId w:val="6"/>
  </w:num>
  <w:num w:numId="30">
    <w:abstractNumId w:val="2"/>
  </w:num>
  <w:num w:numId="31">
    <w:abstractNumId w:val="3"/>
  </w:num>
  <w:num w:numId="32">
    <w:abstractNumId w:val="2"/>
  </w:num>
  <w:num w:numId="33">
    <w:abstractNumId w:val="22"/>
  </w:num>
  <w:num w:numId="34">
    <w:abstractNumId w:val="2"/>
  </w:num>
  <w:num w:numId="35">
    <w:abstractNumId w:val="7"/>
  </w:num>
  <w:num w:numId="36">
    <w:abstractNumId w:val="13"/>
  </w:num>
  <w:num w:numId="37">
    <w:abstractNumId w:val="2"/>
  </w:num>
  <w:num w:numId="38">
    <w:abstractNumId w:val="2"/>
  </w:num>
  <w:num w:numId="39">
    <w:abstractNumId w:val="14"/>
  </w:num>
  <w:num w:numId="4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A84"/>
    <w:rsid w:val="00000033"/>
    <w:rsid w:val="00000AB4"/>
    <w:rsid w:val="00002450"/>
    <w:rsid w:val="0000578A"/>
    <w:rsid w:val="00005EDC"/>
    <w:rsid w:val="00010BAB"/>
    <w:rsid w:val="00010E91"/>
    <w:rsid w:val="00011434"/>
    <w:rsid w:val="00011468"/>
    <w:rsid w:val="000117CA"/>
    <w:rsid w:val="00012B9A"/>
    <w:rsid w:val="00013012"/>
    <w:rsid w:val="00013021"/>
    <w:rsid w:val="00013EB1"/>
    <w:rsid w:val="0001439F"/>
    <w:rsid w:val="00014B7A"/>
    <w:rsid w:val="000156EF"/>
    <w:rsid w:val="00015C84"/>
    <w:rsid w:val="000163C5"/>
    <w:rsid w:val="00020C10"/>
    <w:rsid w:val="0002367A"/>
    <w:rsid w:val="0002382F"/>
    <w:rsid w:val="00023DC1"/>
    <w:rsid w:val="00024850"/>
    <w:rsid w:val="000250B3"/>
    <w:rsid w:val="000257C0"/>
    <w:rsid w:val="00027BD0"/>
    <w:rsid w:val="00030267"/>
    <w:rsid w:val="00030B76"/>
    <w:rsid w:val="00031E1C"/>
    <w:rsid w:val="00033FFC"/>
    <w:rsid w:val="0003413B"/>
    <w:rsid w:val="000361D5"/>
    <w:rsid w:val="00040932"/>
    <w:rsid w:val="00040CF1"/>
    <w:rsid w:val="00040F7F"/>
    <w:rsid w:val="00041856"/>
    <w:rsid w:val="00043476"/>
    <w:rsid w:val="000435C2"/>
    <w:rsid w:val="00043F4B"/>
    <w:rsid w:val="000447E8"/>
    <w:rsid w:val="0004549A"/>
    <w:rsid w:val="00045FAD"/>
    <w:rsid w:val="000467EF"/>
    <w:rsid w:val="00047F74"/>
    <w:rsid w:val="0005034C"/>
    <w:rsid w:val="0005267A"/>
    <w:rsid w:val="00054E5C"/>
    <w:rsid w:val="00055949"/>
    <w:rsid w:val="00055C95"/>
    <w:rsid w:val="00057937"/>
    <w:rsid w:val="00057E88"/>
    <w:rsid w:val="00060365"/>
    <w:rsid w:val="0006103B"/>
    <w:rsid w:val="000614DA"/>
    <w:rsid w:val="000615C6"/>
    <w:rsid w:val="00062917"/>
    <w:rsid w:val="0006373A"/>
    <w:rsid w:val="00064F37"/>
    <w:rsid w:val="00065851"/>
    <w:rsid w:val="0006705A"/>
    <w:rsid w:val="0007214A"/>
    <w:rsid w:val="000722A4"/>
    <w:rsid w:val="00072EAB"/>
    <w:rsid w:val="0007325F"/>
    <w:rsid w:val="00073D06"/>
    <w:rsid w:val="00080C5C"/>
    <w:rsid w:val="00080F7E"/>
    <w:rsid w:val="00083464"/>
    <w:rsid w:val="00084A43"/>
    <w:rsid w:val="00085E6F"/>
    <w:rsid w:val="00086175"/>
    <w:rsid w:val="00086A1C"/>
    <w:rsid w:val="00086C0F"/>
    <w:rsid w:val="0008751A"/>
    <w:rsid w:val="000918F4"/>
    <w:rsid w:val="0009244F"/>
    <w:rsid w:val="000925C8"/>
    <w:rsid w:val="00094F89"/>
    <w:rsid w:val="00095862"/>
    <w:rsid w:val="00096255"/>
    <w:rsid w:val="00097D91"/>
    <w:rsid w:val="00097F75"/>
    <w:rsid w:val="000A005B"/>
    <w:rsid w:val="000A2537"/>
    <w:rsid w:val="000A254F"/>
    <w:rsid w:val="000A474D"/>
    <w:rsid w:val="000A51E6"/>
    <w:rsid w:val="000A57B1"/>
    <w:rsid w:val="000A6211"/>
    <w:rsid w:val="000A69B7"/>
    <w:rsid w:val="000A7FC3"/>
    <w:rsid w:val="000B0533"/>
    <w:rsid w:val="000B0A43"/>
    <w:rsid w:val="000B0C63"/>
    <w:rsid w:val="000B389F"/>
    <w:rsid w:val="000B3A68"/>
    <w:rsid w:val="000B3F73"/>
    <w:rsid w:val="000B4042"/>
    <w:rsid w:val="000B6483"/>
    <w:rsid w:val="000C03C6"/>
    <w:rsid w:val="000C0E70"/>
    <w:rsid w:val="000C0FC8"/>
    <w:rsid w:val="000C17DD"/>
    <w:rsid w:val="000C2D25"/>
    <w:rsid w:val="000C46A7"/>
    <w:rsid w:val="000C46E0"/>
    <w:rsid w:val="000C4732"/>
    <w:rsid w:val="000C675A"/>
    <w:rsid w:val="000C6E12"/>
    <w:rsid w:val="000D25CB"/>
    <w:rsid w:val="000D3602"/>
    <w:rsid w:val="000D3AFA"/>
    <w:rsid w:val="000D56CF"/>
    <w:rsid w:val="000D575B"/>
    <w:rsid w:val="000D64EC"/>
    <w:rsid w:val="000D6C2A"/>
    <w:rsid w:val="000D7B3F"/>
    <w:rsid w:val="000E08D9"/>
    <w:rsid w:val="000E3540"/>
    <w:rsid w:val="000E35D6"/>
    <w:rsid w:val="000E4736"/>
    <w:rsid w:val="000E505C"/>
    <w:rsid w:val="000E5B7C"/>
    <w:rsid w:val="000E5FFA"/>
    <w:rsid w:val="000F3B67"/>
    <w:rsid w:val="000F4BF7"/>
    <w:rsid w:val="000F4C37"/>
    <w:rsid w:val="000F57E7"/>
    <w:rsid w:val="000F5806"/>
    <w:rsid w:val="00100AB6"/>
    <w:rsid w:val="00100D50"/>
    <w:rsid w:val="001024FC"/>
    <w:rsid w:val="001034A1"/>
    <w:rsid w:val="00106234"/>
    <w:rsid w:val="00107A6D"/>
    <w:rsid w:val="00107DB0"/>
    <w:rsid w:val="00110CE8"/>
    <w:rsid w:val="00111647"/>
    <w:rsid w:val="001127C4"/>
    <w:rsid w:val="00112CE5"/>
    <w:rsid w:val="0011395A"/>
    <w:rsid w:val="00113993"/>
    <w:rsid w:val="001143E4"/>
    <w:rsid w:val="001144BE"/>
    <w:rsid w:val="0011603E"/>
    <w:rsid w:val="00116ABF"/>
    <w:rsid w:val="00117D42"/>
    <w:rsid w:val="00120318"/>
    <w:rsid w:val="0012148E"/>
    <w:rsid w:val="00123F4E"/>
    <w:rsid w:val="001246EE"/>
    <w:rsid w:val="0012509D"/>
    <w:rsid w:val="0012683F"/>
    <w:rsid w:val="00126D57"/>
    <w:rsid w:val="00126F3F"/>
    <w:rsid w:val="001315FD"/>
    <w:rsid w:val="00131AD0"/>
    <w:rsid w:val="00132D5C"/>
    <w:rsid w:val="0013499E"/>
    <w:rsid w:val="001351E8"/>
    <w:rsid w:val="00135419"/>
    <w:rsid w:val="00135879"/>
    <w:rsid w:val="001371D4"/>
    <w:rsid w:val="00140173"/>
    <w:rsid w:val="001423A3"/>
    <w:rsid w:val="001439C9"/>
    <w:rsid w:val="001456B5"/>
    <w:rsid w:val="00146B6D"/>
    <w:rsid w:val="001472FC"/>
    <w:rsid w:val="00147867"/>
    <w:rsid w:val="001503A5"/>
    <w:rsid w:val="0015295A"/>
    <w:rsid w:val="00153D3B"/>
    <w:rsid w:val="0015534D"/>
    <w:rsid w:val="00155361"/>
    <w:rsid w:val="001563F5"/>
    <w:rsid w:val="00156D2A"/>
    <w:rsid w:val="0016092D"/>
    <w:rsid w:val="001633BC"/>
    <w:rsid w:val="00163675"/>
    <w:rsid w:val="0016597C"/>
    <w:rsid w:val="00165A91"/>
    <w:rsid w:val="00166F59"/>
    <w:rsid w:val="00167B44"/>
    <w:rsid w:val="00170F5E"/>
    <w:rsid w:val="00171377"/>
    <w:rsid w:val="001720BB"/>
    <w:rsid w:val="00173607"/>
    <w:rsid w:val="00173B6F"/>
    <w:rsid w:val="001747B2"/>
    <w:rsid w:val="00174B82"/>
    <w:rsid w:val="001767D4"/>
    <w:rsid w:val="00177C3F"/>
    <w:rsid w:val="0018179A"/>
    <w:rsid w:val="00182F7A"/>
    <w:rsid w:val="00182FF9"/>
    <w:rsid w:val="00183F9E"/>
    <w:rsid w:val="00184967"/>
    <w:rsid w:val="00184F99"/>
    <w:rsid w:val="0018538F"/>
    <w:rsid w:val="001865CF"/>
    <w:rsid w:val="00187201"/>
    <w:rsid w:val="0019307D"/>
    <w:rsid w:val="001939A6"/>
    <w:rsid w:val="00193D7A"/>
    <w:rsid w:val="001A2ED1"/>
    <w:rsid w:val="001A5BC7"/>
    <w:rsid w:val="001A631D"/>
    <w:rsid w:val="001A7BB1"/>
    <w:rsid w:val="001B0001"/>
    <w:rsid w:val="001B02F9"/>
    <w:rsid w:val="001B0A90"/>
    <w:rsid w:val="001B46D2"/>
    <w:rsid w:val="001B5785"/>
    <w:rsid w:val="001B5AC4"/>
    <w:rsid w:val="001B6084"/>
    <w:rsid w:val="001B67B8"/>
    <w:rsid w:val="001C0414"/>
    <w:rsid w:val="001C20A4"/>
    <w:rsid w:val="001C268B"/>
    <w:rsid w:val="001C2F21"/>
    <w:rsid w:val="001C3DCA"/>
    <w:rsid w:val="001D0054"/>
    <w:rsid w:val="001D162B"/>
    <w:rsid w:val="001D28A0"/>
    <w:rsid w:val="001D40EA"/>
    <w:rsid w:val="001D419B"/>
    <w:rsid w:val="001D6B92"/>
    <w:rsid w:val="001D73E9"/>
    <w:rsid w:val="001D7ADC"/>
    <w:rsid w:val="001D7F81"/>
    <w:rsid w:val="001E0AA0"/>
    <w:rsid w:val="001E1015"/>
    <w:rsid w:val="001E150A"/>
    <w:rsid w:val="001E714D"/>
    <w:rsid w:val="001F09BA"/>
    <w:rsid w:val="001F0D61"/>
    <w:rsid w:val="001F36D4"/>
    <w:rsid w:val="001F5569"/>
    <w:rsid w:val="00200D80"/>
    <w:rsid w:val="00201A8D"/>
    <w:rsid w:val="00203219"/>
    <w:rsid w:val="00203AA9"/>
    <w:rsid w:val="002042AC"/>
    <w:rsid w:val="00204652"/>
    <w:rsid w:val="00205916"/>
    <w:rsid w:val="0020598C"/>
    <w:rsid w:val="00207204"/>
    <w:rsid w:val="00207486"/>
    <w:rsid w:val="0021056E"/>
    <w:rsid w:val="00211A0F"/>
    <w:rsid w:val="00212AE0"/>
    <w:rsid w:val="00215D5A"/>
    <w:rsid w:val="002168BA"/>
    <w:rsid w:val="00217F46"/>
    <w:rsid w:val="002216F9"/>
    <w:rsid w:val="002217F5"/>
    <w:rsid w:val="00223D0A"/>
    <w:rsid w:val="00224144"/>
    <w:rsid w:val="00224867"/>
    <w:rsid w:val="002306A0"/>
    <w:rsid w:val="002308DC"/>
    <w:rsid w:val="00230968"/>
    <w:rsid w:val="0023096C"/>
    <w:rsid w:val="00232169"/>
    <w:rsid w:val="00233C99"/>
    <w:rsid w:val="002341D5"/>
    <w:rsid w:val="002363CE"/>
    <w:rsid w:val="002366E5"/>
    <w:rsid w:val="0023775E"/>
    <w:rsid w:val="00240208"/>
    <w:rsid w:val="00243A11"/>
    <w:rsid w:val="002444B0"/>
    <w:rsid w:val="00245F30"/>
    <w:rsid w:val="002463B2"/>
    <w:rsid w:val="0025036F"/>
    <w:rsid w:val="002523AA"/>
    <w:rsid w:val="00252502"/>
    <w:rsid w:val="0025258C"/>
    <w:rsid w:val="0025338C"/>
    <w:rsid w:val="00253B58"/>
    <w:rsid w:val="00254A70"/>
    <w:rsid w:val="00255116"/>
    <w:rsid w:val="00256146"/>
    <w:rsid w:val="00256D81"/>
    <w:rsid w:val="0025778E"/>
    <w:rsid w:val="00257CD6"/>
    <w:rsid w:val="00260110"/>
    <w:rsid w:val="00260D92"/>
    <w:rsid w:val="00261879"/>
    <w:rsid w:val="00263BC4"/>
    <w:rsid w:val="00263D21"/>
    <w:rsid w:val="00265B09"/>
    <w:rsid w:val="00266113"/>
    <w:rsid w:val="00271E5A"/>
    <w:rsid w:val="0027433B"/>
    <w:rsid w:val="002743B9"/>
    <w:rsid w:val="002743F5"/>
    <w:rsid w:val="00274C02"/>
    <w:rsid w:val="00276369"/>
    <w:rsid w:val="00277B05"/>
    <w:rsid w:val="00277D36"/>
    <w:rsid w:val="00277E59"/>
    <w:rsid w:val="0028401C"/>
    <w:rsid w:val="0028577C"/>
    <w:rsid w:val="00286419"/>
    <w:rsid w:val="00286534"/>
    <w:rsid w:val="002868A9"/>
    <w:rsid w:val="002873E1"/>
    <w:rsid w:val="00290761"/>
    <w:rsid w:val="002932E4"/>
    <w:rsid w:val="00293CBD"/>
    <w:rsid w:val="00294810"/>
    <w:rsid w:val="00294B33"/>
    <w:rsid w:val="0029622F"/>
    <w:rsid w:val="00296F07"/>
    <w:rsid w:val="002979CE"/>
    <w:rsid w:val="002A075A"/>
    <w:rsid w:val="002A07F8"/>
    <w:rsid w:val="002A1FC4"/>
    <w:rsid w:val="002A2073"/>
    <w:rsid w:val="002A21EA"/>
    <w:rsid w:val="002A275D"/>
    <w:rsid w:val="002A3610"/>
    <w:rsid w:val="002A4399"/>
    <w:rsid w:val="002A45C2"/>
    <w:rsid w:val="002B0BB6"/>
    <w:rsid w:val="002B18ED"/>
    <w:rsid w:val="002B2363"/>
    <w:rsid w:val="002B2FCB"/>
    <w:rsid w:val="002B31BC"/>
    <w:rsid w:val="002B59C1"/>
    <w:rsid w:val="002B6B10"/>
    <w:rsid w:val="002B7111"/>
    <w:rsid w:val="002C1CD6"/>
    <w:rsid w:val="002C32AA"/>
    <w:rsid w:val="002C35E3"/>
    <w:rsid w:val="002C3AEE"/>
    <w:rsid w:val="002C4E0A"/>
    <w:rsid w:val="002C4E45"/>
    <w:rsid w:val="002C5167"/>
    <w:rsid w:val="002C54E7"/>
    <w:rsid w:val="002C571F"/>
    <w:rsid w:val="002D29C7"/>
    <w:rsid w:val="002D4369"/>
    <w:rsid w:val="002D4E00"/>
    <w:rsid w:val="002D63D4"/>
    <w:rsid w:val="002D6F93"/>
    <w:rsid w:val="002D7156"/>
    <w:rsid w:val="002D7584"/>
    <w:rsid w:val="002D7864"/>
    <w:rsid w:val="002D78F7"/>
    <w:rsid w:val="002E1368"/>
    <w:rsid w:val="002E147E"/>
    <w:rsid w:val="002E2141"/>
    <w:rsid w:val="002E4202"/>
    <w:rsid w:val="002E4618"/>
    <w:rsid w:val="002E68B4"/>
    <w:rsid w:val="002E6B84"/>
    <w:rsid w:val="002E6BE0"/>
    <w:rsid w:val="002E7C5D"/>
    <w:rsid w:val="002E7D19"/>
    <w:rsid w:val="002F1652"/>
    <w:rsid w:val="002F1A86"/>
    <w:rsid w:val="002F1A99"/>
    <w:rsid w:val="002F27CA"/>
    <w:rsid w:val="002F4237"/>
    <w:rsid w:val="002F50C6"/>
    <w:rsid w:val="002F607A"/>
    <w:rsid w:val="002F7EA4"/>
    <w:rsid w:val="00300939"/>
    <w:rsid w:val="00300D75"/>
    <w:rsid w:val="00303C83"/>
    <w:rsid w:val="0030518D"/>
    <w:rsid w:val="00305FBE"/>
    <w:rsid w:val="0030608C"/>
    <w:rsid w:val="00307417"/>
    <w:rsid w:val="0031026F"/>
    <w:rsid w:val="003129AE"/>
    <w:rsid w:val="00313101"/>
    <w:rsid w:val="00313961"/>
    <w:rsid w:val="00316D23"/>
    <w:rsid w:val="00316F51"/>
    <w:rsid w:val="00317175"/>
    <w:rsid w:val="003208FA"/>
    <w:rsid w:val="0032279A"/>
    <w:rsid w:val="00323CBD"/>
    <w:rsid w:val="00323F4D"/>
    <w:rsid w:val="0032488E"/>
    <w:rsid w:val="0032554A"/>
    <w:rsid w:val="00325940"/>
    <w:rsid w:val="00326C58"/>
    <w:rsid w:val="00327543"/>
    <w:rsid w:val="003311E6"/>
    <w:rsid w:val="003319DE"/>
    <w:rsid w:val="00332AA0"/>
    <w:rsid w:val="003332AB"/>
    <w:rsid w:val="00337021"/>
    <w:rsid w:val="003376DF"/>
    <w:rsid w:val="00340BD9"/>
    <w:rsid w:val="0034132F"/>
    <w:rsid w:val="00341701"/>
    <w:rsid w:val="00343381"/>
    <w:rsid w:val="003436D1"/>
    <w:rsid w:val="00344621"/>
    <w:rsid w:val="00345F41"/>
    <w:rsid w:val="003464B9"/>
    <w:rsid w:val="003477BB"/>
    <w:rsid w:val="00350002"/>
    <w:rsid w:val="003501B6"/>
    <w:rsid w:val="0035041C"/>
    <w:rsid w:val="00354F3E"/>
    <w:rsid w:val="00356AD0"/>
    <w:rsid w:val="00356FCF"/>
    <w:rsid w:val="00357556"/>
    <w:rsid w:val="00357790"/>
    <w:rsid w:val="00360C5E"/>
    <w:rsid w:val="00362D8A"/>
    <w:rsid w:val="00362D98"/>
    <w:rsid w:val="00364F9A"/>
    <w:rsid w:val="0036507D"/>
    <w:rsid w:val="00365153"/>
    <w:rsid w:val="00365758"/>
    <w:rsid w:val="0037134F"/>
    <w:rsid w:val="003714B4"/>
    <w:rsid w:val="00376FC1"/>
    <w:rsid w:val="003804C9"/>
    <w:rsid w:val="003805D2"/>
    <w:rsid w:val="0038100F"/>
    <w:rsid w:val="0038121D"/>
    <w:rsid w:val="00381F8D"/>
    <w:rsid w:val="003823BF"/>
    <w:rsid w:val="003826EE"/>
    <w:rsid w:val="0038328B"/>
    <w:rsid w:val="00383960"/>
    <w:rsid w:val="00383C83"/>
    <w:rsid w:val="00384560"/>
    <w:rsid w:val="00385750"/>
    <w:rsid w:val="00386B8A"/>
    <w:rsid w:val="0039137B"/>
    <w:rsid w:val="003922D7"/>
    <w:rsid w:val="00392749"/>
    <w:rsid w:val="00392B9C"/>
    <w:rsid w:val="00392EF8"/>
    <w:rsid w:val="00393567"/>
    <w:rsid w:val="00393C04"/>
    <w:rsid w:val="00395746"/>
    <w:rsid w:val="00395F8D"/>
    <w:rsid w:val="003963C4"/>
    <w:rsid w:val="00397008"/>
    <w:rsid w:val="003970BE"/>
    <w:rsid w:val="003A04DA"/>
    <w:rsid w:val="003A068D"/>
    <w:rsid w:val="003A0E30"/>
    <w:rsid w:val="003A3D54"/>
    <w:rsid w:val="003A44B4"/>
    <w:rsid w:val="003A453B"/>
    <w:rsid w:val="003A4F00"/>
    <w:rsid w:val="003A52E6"/>
    <w:rsid w:val="003A70D6"/>
    <w:rsid w:val="003B0030"/>
    <w:rsid w:val="003B0AAC"/>
    <w:rsid w:val="003B2430"/>
    <w:rsid w:val="003B386A"/>
    <w:rsid w:val="003B5828"/>
    <w:rsid w:val="003C0446"/>
    <w:rsid w:val="003C08A4"/>
    <w:rsid w:val="003C0E3B"/>
    <w:rsid w:val="003C1BA3"/>
    <w:rsid w:val="003C286E"/>
    <w:rsid w:val="003C3C2F"/>
    <w:rsid w:val="003C531B"/>
    <w:rsid w:val="003C5DEB"/>
    <w:rsid w:val="003C64D3"/>
    <w:rsid w:val="003C64E0"/>
    <w:rsid w:val="003D02F3"/>
    <w:rsid w:val="003D182A"/>
    <w:rsid w:val="003D308B"/>
    <w:rsid w:val="003D469B"/>
    <w:rsid w:val="003D4E74"/>
    <w:rsid w:val="003D502C"/>
    <w:rsid w:val="003D5EC2"/>
    <w:rsid w:val="003D6624"/>
    <w:rsid w:val="003D7F8D"/>
    <w:rsid w:val="003E0524"/>
    <w:rsid w:val="003E07CA"/>
    <w:rsid w:val="003E23FF"/>
    <w:rsid w:val="003E494A"/>
    <w:rsid w:val="003E61DA"/>
    <w:rsid w:val="003E71C0"/>
    <w:rsid w:val="003E774E"/>
    <w:rsid w:val="003F0640"/>
    <w:rsid w:val="003F418B"/>
    <w:rsid w:val="003F4B4D"/>
    <w:rsid w:val="003F4FFF"/>
    <w:rsid w:val="003F5F59"/>
    <w:rsid w:val="003F7517"/>
    <w:rsid w:val="003F76E1"/>
    <w:rsid w:val="004020B3"/>
    <w:rsid w:val="00402721"/>
    <w:rsid w:val="004029BB"/>
    <w:rsid w:val="00403432"/>
    <w:rsid w:val="00406444"/>
    <w:rsid w:val="00406498"/>
    <w:rsid w:val="00406BE6"/>
    <w:rsid w:val="004078AA"/>
    <w:rsid w:val="00407DA8"/>
    <w:rsid w:val="0041238D"/>
    <w:rsid w:val="00414834"/>
    <w:rsid w:val="00415D21"/>
    <w:rsid w:val="0041681B"/>
    <w:rsid w:val="0041785D"/>
    <w:rsid w:val="00420840"/>
    <w:rsid w:val="004210C5"/>
    <w:rsid w:val="00422863"/>
    <w:rsid w:val="00422AE0"/>
    <w:rsid w:val="00423EB8"/>
    <w:rsid w:val="004242E7"/>
    <w:rsid w:val="00424539"/>
    <w:rsid w:val="004249B4"/>
    <w:rsid w:val="0042561E"/>
    <w:rsid w:val="0042581D"/>
    <w:rsid w:val="00425A78"/>
    <w:rsid w:val="0042672D"/>
    <w:rsid w:val="00426736"/>
    <w:rsid w:val="0042796B"/>
    <w:rsid w:val="00427DDD"/>
    <w:rsid w:val="0043099F"/>
    <w:rsid w:val="00431689"/>
    <w:rsid w:val="0043368E"/>
    <w:rsid w:val="00434198"/>
    <w:rsid w:val="00434773"/>
    <w:rsid w:val="0043503A"/>
    <w:rsid w:val="00435054"/>
    <w:rsid w:val="0043555F"/>
    <w:rsid w:val="00435E75"/>
    <w:rsid w:val="004416F7"/>
    <w:rsid w:val="004421F2"/>
    <w:rsid w:val="0044222B"/>
    <w:rsid w:val="00442B47"/>
    <w:rsid w:val="00445382"/>
    <w:rsid w:val="004463E8"/>
    <w:rsid w:val="00447402"/>
    <w:rsid w:val="004478AE"/>
    <w:rsid w:val="00450BC1"/>
    <w:rsid w:val="00450E0D"/>
    <w:rsid w:val="00450F8D"/>
    <w:rsid w:val="00451B0C"/>
    <w:rsid w:val="00451FD3"/>
    <w:rsid w:val="00455A69"/>
    <w:rsid w:val="00455B45"/>
    <w:rsid w:val="00456A59"/>
    <w:rsid w:val="004605A7"/>
    <w:rsid w:val="00460F68"/>
    <w:rsid w:val="0046105C"/>
    <w:rsid w:val="004616E7"/>
    <w:rsid w:val="004617EA"/>
    <w:rsid w:val="0046186B"/>
    <w:rsid w:val="00462308"/>
    <w:rsid w:val="00464FD1"/>
    <w:rsid w:val="004652EF"/>
    <w:rsid w:val="00467669"/>
    <w:rsid w:val="00470BD4"/>
    <w:rsid w:val="00470D03"/>
    <w:rsid w:val="00471550"/>
    <w:rsid w:val="0047251F"/>
    <w:rsid w:val="00473037"/>
    <w:rsid w:val="00473371"/>
    <w:rsid w:val="00473E76"/>
    <w:rsid w:val="00474B5D"/>
    <w:rsid w:val="004807B4"/>
    <w:rsid w:val="00480C9E"/>
    <w:rsid w:val="00481225"/>
    <w:rsid w:val="00481CC9"/>
    <w:rsid w:val="00481E7E"/>
    <w:rsid w:val="00483327"/>
    <w:rsid w:val="00484351"/>
    <w:rsid w:val="00484DB6"/>
    <w:rsid w:val="004854CB"/>
    <w:rsid w:val="004857AE"/>
    <w:rsid w:val="004862B0"/>
    <w:rsid w:val="004869E4"/>
    <w:rsid w:val="00487087"/>
    <w:rsid w:val="00487425"/>
    <w:rsid w:val="00487558"/>
    <w:rsid w:val="004876EE"/>
    <w:rsid w:val="00487742"/>
    <w:rsid w:val="00487E25"/>
    <w:rsid w:val="004927EB"/>
    <w:rsid w:val="0049291F"/>
    <w:rsid w:val="00493DE6"/>
    <w:rsid w:val="00493FE5"/>
    <w:rsid w:val="0049433A"/>
    <w:rsid w:val="00494BDC"/>
    <w:rsid w:val="00494E6E"/>
    <w:rsid w:val="00495C1F"/>
    <w:rsid w:val="0049738C"/>
    <w:rsid w:val="004975A2"/>
    <w:rsid w:val="004A1160"/>
    <w:rsid w:val="004A2F7B"/>
    <w:rsid w:val="004A458B"/>
    <w:rsid w:val="004A45D1"/>
    <w:rsid w:val="004A7491"/>
    <w:rsid w:val="004A74AE"/>
    <w:rsid w:val="004A7999"/>
    <w:rsid w:val="004B311B"/>
    <w:rsid w:val="004B371F"/>
    <w:rsid w:val="004B3A59"/>
    <w:rsid w:val="004B3A79"/>
    <w:rsid w:val="004B451F"/>
    <w:rsid w:val="004B4723"/>
    <w:rsid w:val="004B4A7A"/>
    <w:rsid w:val="004B50D4"/>
    <w:rsid w:val="004B52C3"/>
    <w:rsid w:val="004B5559"/>
    <w:rsid w:val="004B6558"/>
    <w:rsid w:val="004B7A5A"/>
    <w:rsid w:val="004C1201"/>
    <w:rsid w:val="004C19AB"/>
    <w:rsid w:val="004C3C2F"/>
    <w:rsid w:val="004C3FBA"/>
    <w:rsid w:val="004C43FE"/>
    <w:rsid w:val="004C613C"/>
    <w:rsid w:val="004C7D80"/>
    <w:rsid w:val="004D0522"/>
    <w:rsid w:val="004D0A04"/>
    <w:rsid w:val="004D2C56"/>
    <w:rsid w:val="004D2D09"/>
    <w:rsid w:val="004D364C"/>
    <w:rsid w:val="004D396D"/>
    <w:rsid w:val="004D3E6C"/>
    <w:rsid w:val="004D45FD"/>
    <w:rsid w:val="004D47C3"/>
    <w:rsid w:val="004D4BD0"/>
    <w:rsid w:val="004D5EFD"/>
    <w:rsid w:val="004D5F1D"/>
    <w:rsid w:val="004D6A36"/>
    <w:rsid w:val="004E084F"/>
    <w:rsid w:val="004E1875"/>
    <w:rsid w:val="004E20F6"/>
    <w:rsid w:val="004E300A"/>
    <w:rsid w:val="004E34CD"/>
    <w:rsid w:val="004E3F85"/>
    <w:rsid w:val="004E4612"/>
    <w:rsid w:val="004E4981"/>
    <w:rsid w:val="004E4DAC"/>
    <w:rsid w:val="004E50DD"/>
    <w:rsid w:val="004E5AFD"/>
    <w:rsid w:val="004F08F8"/>
    <w:rsid w:val="004F3763"/>
    <w:rsid w:val="004F4C0D"/>
    <w:rsid w:val="004F5B95"/>
    <w:rsid w:val="004F6CED"/>
    <w:rsid w:val="00500101"/>
    <w:rsid w:val="00500538"/>
    <w:rsid w:val="0050079D"/>
    <w:rsid w:val="00503448"/>
    <w:rsid w:val="0050552A"/>
    <w:rsid w:val="00505CE7"/>
    <w:rsid w:val="005072BC"/>
    <w:rsid w:val="0050796D"/>
    <w:rsid w:val="005117E4"/>
    <w:rsid w:val="00512170"/>
    <w:rsid w:val="005121F3"/>
    <w:rsid w:val="00514048"/>
    <w:rsid w:val="00515DF9"/>
    <w:rsid w:val="00522062"/>
    <w:rsid w:val="0052321D"/>
    <w:rsid w:val="00524AB0"/>
    <w:rsid w:val="0052640E"/>
    <w:rsid w:val="0052734A"/>
    <w:rsid w:val="00527A94"/>
    <w:rsid w:val="0053084E"/>
    <w:rsid w:val="00530CB6"/>
    <w:rsid w:val="00531850"/>
    <w:rsid w:val="00531FC8"/>
    <w:rsid w:val="005345AD"/>
    <w:rsid w:val="00535F75"/>
    <w:rsid w:val="005365B2"/>
    <w:rsid w:val="00536B0A"/>
    <w:rsid w:val="00536D46"/>
    <w:rsid w:val="0053746A"/>
    <w:rsid w:val="005406EA"/>
    <w:rsid w:val="00540CE0"/>
    <w:rsid w:val="00540EFC"/>
    <w:rsid w:val="00541132"/>
    <w:rsid w:val="0054153B"/>
    <w:rsid w:val="00542E9A"/>
    <w:rsid w:val="00543CE6"/>
    <w:rsid w:val="005444A9"/>
    <w:rsid w:val="005472A2"/>
    <w:rsid w:val="0054751A"/>
    <w:rsid w:val="0054785D"/>
    <w:rsid w:val="00547BAD"/>
    <w:rsid w:val="00550EF0"/>
    <w:rsid w:val="005525E3"/>
    <w:rsid w:val="00553641"/>
    <w:rsid w:val="00553645"/>
    <w:rsid w:val="00554F38"/>
    <w:rsid w:val="00555355"/>
    <w:rsid w:val="00555F58"/>
    <w:rsid w:val="0055695F"/>
    <w:rsid w:val="00556A21"/>
    <w:rsid w:val="00556E87"/>
    <w:rsid w:val="00557B50"/>
    <w:rsid w:val="00560CD8"/>
    <w:rsid w:val="00561458"/>
    <w:rsid w:val="0056189C"/>
    <w:rsid w:val="00561975"/>
    <w:rsid w:val="005627A6"/>
    <w:rsid w:val="00562F67"/>
    <w:rsid w:val="00564A23"/>
    <w:rsid w:val="00565115"/>
    <w:rsid w:val="005657FD"/>
    <w:rsid w:val="00572866"/>
    <w:rsid w:val="005733C4"/>
    <w:rsid w:val="0057698F"/>
    <w:rsid w:val="0057752B"/>
    <w:rsid w:val="005809E3"/>
    <w:rsid w:val="00581D67"/>
    <w:rsid w:val="005820FB"/>
    <w:rsid w:val="00582BAA"/>
    <w:rsid w:val="00582EDF"/>
    <w:rsid w:val="005855F5"/>
    <w:rsid w:val="00585D0A"/>
    <w:rsid w:val="00585DBC"/>
    <w:rsid w:val="00585E7B"/>
    <w:rsid w:val="00586F58"/>
    <w:rsid w:val="005870DE"/>
    <w:rsid w:val="00587377"/>
    <w:rsid w:val="005907BE"/>
    <w:rsid w:val="00591D6A"/>
    <w:rsid w:val="0059204C"/>
    <w:rsid w:val="005922B4"/>
    <w:rsid w:val="00594670"/>
    <w:rsid w:val="00594C97"/>
    <w:rsid w:val="00596C8E"/>
    <w:rsid w:val="005A0FB9"/>
    <w:rsid w:val="005A14BF"/>
    <w:rsid w:val="005A1FDD"/>
    <w:rsid w:val="005A44FF"/>
    <w:rsid w:val="005A4675"/>
    <w:rsid w:val="005A60EF"/>
    <w:rsid w:val="005A62B7"/>
    <w:rsid w:val="005A729A"/>
    <w:rsid w:val="005A7D28"/>
    <w:rsid w:val="005B1889"/>
    <w:rsid w:val="005B4203"/>
    <w:rsid w:val="005B50E7"/>
    <w:rsid w:val="005B552B"/>
    <w:rsid w:val="005B5560"/>
    <w:rsid w:val="005B7D48"/>
    <w:rsid w:val="005C20F8"/>
    <w:rsid w:val="005C25A0"/>
    <w:rsid w:val="005C30B1"/>
    <w:rsid w:val="005C4489"/>
    <w:rsid w:val="005C5ED1"/>
    <w:rsid w:val="005C769A"/>
    <w:rsid w:val="005D1407"/>
    <w:rsid w:val="005D1BF1"/>
    <w:rsid w:val="005D1FF0"/>
    <w:rsid w:val="005D2407"/>
    <w:rsid w:val="005D430F"/>
    <w:rsid w:val="005D471C"/>
    <w:rsid w:val="005D4979"/>
    <w:rsid w:val="005D4986"/>
    <w:rsid w:val="005D58EE"/>
    <w:rsid w:val="005D61CC"/>
    <w:rsid w:val="005D626A"/>
    <w:rsid w:val="005D6FE2"/>
    <w:rsid w:val="005D7A35"/>
    <w:rsid w:val="005E0AC0"/>
    <w:rsid w:val="005E12BF"/>
    <w:rsid w:val="005E1BF9"/>
    <w:rsid w:val="005E2971"/>
    <w:rsid w:val="005E2C6A"/>
    <w:rsid w:val="005E393C"/>
    <w:rsid w:val="005E3B8C"/>
    <w:rsid w:val="005E51D4"/>
    <w:rsid w:val="005E6BF5"/>
    <w:rsid w:val="005F075B"/>
    <w:rsid w:val="005F219A"/>
    <w:rsid w:val="005F2399"/>
    <w:rsid w:val="005F24B3"/>
    <w:rsid w:val="005F317A"/>
    <w:rsid w:val="005F6FA6"/>
    <w:rsid w:val="005F7A38"/>
    <w:rsid w:val="006012F7"/>
    <w:rsid w:val="0060241A"/>
    <w:rsid w:val="00602B69"/>
    <w:rsid w:val="006035E1"/>
    <w:rsid w:val="00606FC3"/>
    <w:rsid w:val="00610781"/>
    <w:rsid w:val="00611904"/>
    <w:rsid w:val="00613D8D"/>
    <w:rsid w:val="00615AA5"/>
    <w:rsid w:val="00615F56"/>
    <w:rsid w:val="00616D01"/>
    <w:rsid w:val="00616FEE"/>
    <w:rsid w:val="006225CF"/>
    <w:rsid w:val="00630148"/>
    <w:rsid w:val="00630613"/>
    <w:rsid w:val="006318D6"/>
    <w:rsid w:val="00632A23"/>
    <w:rsid w:val="006333A4"/>
    <w:rsid w:val="00633D23"/>
    <w:rsid w:val="00634868"/>
    <w:rsid w:val="00635193"/>
    <w:rsid w:val="00635512"/>
    <w:rsid w:val="00635D0E"/>
    <w:rsid w:val="0063762C"/>
    <w:rsid w:val="00637A31"/>
    <w:rsid w:val="0064012F"/>
    <w:rsid w:val="0064058B"/>
    <w:rsid w:val="00640A23"/>
    <w:rsid w:val="00641DCD"/>
    <w:rsid w:val="00643CF0"/>
    <w:rsid w:val="00644464"/>
    <w:rsid w:val="00644B26"/>
    <w:rsid w:val="00644BD2"/>
    <w:rsid w:val="0064567E"/>
    <w:rsid w:val="00646FB5"/>
    <w:rsid w:val="00647ECD"/>
    <w:rsid w:val="00650041"/>
    <w:rsid w:val="00650062"/>
    <w:rsid w:val="00652A91"/>
    <w:rsid w:val="00655149"/>
    <w:rsid w:val="00655622"/>
    <w:rsid w:val="00656301"/>
    <w:rsid w:val="006575C9"/>
    <w:rsid w:val="00660E3A"/>
    <w:rsid w:val="00661C9D"/>
    <w:rsid w:val="0066373D"/>
    <w:rsid w:val="006675C8"/>
    <w:rsid w:val="00671EBF"/>
    <w:rsid w:val="00673804"/>
    <w:rsid w:val="00674CA7"/>
    <w:rsid w:val="0067514B"/>
    <w:rsid w:val="00676A1C"/>
    <w:rsid w:val="0068043E"/>
    <w:rsid w:val="00681978"/>
    <w:rsid w:val="00682E42"/>
    <w:rsid w:val="0068443A"/>
    <w:rsid w:val="00686499"/>
    <w:rsid w:val="00687A6D"/>
    <w:rsid w:val="006901EF"/>
    <w:rsid w:val="00691245"/>
    <w:rsid w:val="006920F7"/>
    <w:rsid w:val="00693534"/>
    <w:rsid w:val="00693960"/>
    <w:rsid w:val="00693EDE"/>
    <w:rsid w:val="0069414B"/>
    <w:rsid w:val="00694696"/>
    <w:rsid w:val="006947ED"/>
    <w:rsid w:val="00695E2F"/>
    <w:rsid w:val="00696BBA"/>
    <w:rsid w:val="006970B1"/>
    <w:rsid w:val="006A1D50"/>
    <w:rsid w:val="006A2923"/>
    <w:rsid w:val="006A2B4F"/>
    <w:rsid w:val="006A2F52"/>
    <w:rsid w:val="006A3973"/>
    <w:rsid w:val="006A4B26"/>
    <w:rsid w:val="006A4CC7"/>
    <w:rsid w:val="006A4D9B"/>
    <w:rsid w:val="006A6379"/>
    <w:rsid w:val="006A6F3A"/>
    <w:rsid w:val="006A7086"/>
    <w:rsid w:val="006B12E9"/>
    <w:rsid w:val="006B2EE6"/>
    <w:rsid w:val="006B4A02"/>
    <w:rsid w:val="006B5532"/>
    <w:rsid w:val="006B765B"/>
    <w:rsid w:val="006B7C14"/>
    <w:rsid w:val="006C0C06"/>
    <w:rsid w:val="006C10CF"/>
    <w:rsid w:val="006C159C"/>
    <w:rsid w:val="006C4F30"/>
    <w:rsid w:val="006C544A"/>
    <w:rsid w:val="006C6081"/>
    <w:rsid w:val="006C6185"/>
    <w:rsid w:val="006C74D3"/>
    <w:rsid w:val="006D13D1"/>
    <w:rsid w:val="006D2177"/>
    <w:rsid w:val="006D2F82"/>
    <w:rsid w:val="006D4733"/>
    <w:rsid w:val="006D7FB8"/>
    <w:rsid w:val="006E0BCF"/>
    <w:rsid w:val="006E0E90"/>
    <w:rsid w:val="006E23DC"/>
    <w:rsid w:val="006E3238"/>
    <w:rsid w:val="006E4B83"/>
    <w:rsid w:val="006E4C85"/>
    <w:rsid w:val="006E56CD"/>
    <w:rsid w:val="006E627F"/>
    <w:rsid w:val="006F1335"/>
    <w:rsid w:val="006F1DBA"/>
    <w:rsid w:val="006F3B28"/>
    <w:rsid w:val="006F4A03"/>
    <w:rsid w:val="006F5BA4"/>
    <w:rsid w:val="006F7FA4"/>
    <w:rsid w:val="006F7FCE"/>
    <w:rsid w:val="007008C4"/>
    <w:rsid w:val="0070240E"/>
    <w:rsid w:val="007050ED"/>
    <w:rsid w:val="00706FAB"/>
    <w:rsid w:val="0070703D"/>
    <w:rsid w:val="00710D9F"/>
    <w:rsid w:val="007113A9"/>
    <w:rsid w:val="00713086"/>
    <w:rsid w:val="00714298"/>
    <w:rsid w:val="0071464D"/>
    <w:rsid w:val="007156F1"/>
    <w:rsid w:val="0072034B"/>
    <w:rsid w:val="007206C7"/>
    <w:rsid w:val="007207F3"/>
    <w:rsid w:val="007233D8"/>
    <w:rsid w:val="00723F82"/>
    <w:rsid w:val="00724814"/>
    <w:rsid w:val="00726740"/>
    <w:rsid w:val="00727D7D"/>
    <w:rsid w:val="0073491B"/>
    <w:rsid w:val="00735129"/>
    <w:rsid w:val="0073585A"/>
    <w:rsid w:val="00735B51"/>
    <w:rsid w:val="0073637F"/>
    <w:rsid w:val="007363A1"/>
    <w:rsid w:val="00736922"/>
    <w:rsid w:val="007373D6"/>
    <w:rsid w:val="00737A5A"/>
    <w:rsid w:val="00737E64"/>
    <w:rsid w:val="007421EB"/>
    <w:rsid w:val="00742F6D"/>
    <w:rsid w:val="00744952"/>
    <w:rsid w:val="007454C2"/>
    <w:rsid w:val="00745C05"/>
    <w:rsid w:val="00746A2E"/>
    <w:rsid w:val="00747A62"/>
    <w:rsid w:val="00747E11"/>
    <w:rsid w:val="00753456"/>
    <w:rsid w:val="00753A4E"/>
    <w:rsid w:val="007548CD"/>
    <w:rsid w:val="00754F54"/>
    <w:rsid w:val="00755D01"/>
    <w:rsid w:val="00755D73"/>
    <w:rsid w:val="00756BC7"/>
    <w:rsid w:val="007576F3"/>
    <w:rsid w:val="0076009F"/>
    <w:rsid w:val="00761160"/>
    <w:rsid w:val="0076199C"/>
    <w:rsid w:val="00761AE7"/>
    <w:rsid w:val="00762208"/>
    <w:rsid w:val="00762226"/>
    <w:rsid w:val="00764181"/>
    <w:rsid w:val="00765476"/>
    <w:rsid w:val="007661BC"/>
    <w:rsid w:val="007705AA"/>
    <w:rsid w:val="00771C06"/>
    <w:rsid w:val="0077209E"/>
    <w:rsid w:val="0077338B"/>
    <w:rsid w:val="00775EDE"/>
    <w:rsid w:val="00781F2B"/>
    <w:rsid w:val="00783D86"/>
    <w:rsid w:val="00786DDF"/>
    <w:rsid w:val="00786E24"/>
    <w:rsid w:val="0078704A"/>
    <w:rsid w:val="00787D25"/>
    <w:rsid w:val="0079324F"/>
    <w:rsid w:val="00794002"/>
    <w:rsid w:val="00794A2B"/>
    <w:rsid w:val="00794DED"/>
    <w:rsid w:val="00795B8D"/>
    <w:rsid w:val="007A1860"/>
    <w:rsid w:val="007A2BF3"/>
    <w:rsid w:val="007A2EB7"/>
    <w:rsid w:val="007A3E89"/>
    <w:rsid w:val="007A4688"/>
    <w:rsid w:val="007A4DEC"/>
    <w:rsid w:val="007A5122"/>
    <w:rsid w:val="007A5AB1"/>
    <w:rsid w:val="007A7552"/>
    <w:rsid w:val="007B05CD"/>
    <w:rsid w:val="007B3205"/>
    <w:rsid w:val="007B3237"/>
    <w:rsid w:val="007B39F9"/>
    <w:rsid w:val="007B5A16"/>
    <w:rsid w:val="007C00FA"/>
    <w:rsid w:val="007C0A5D"/>
    <w:rsid w:val="007C10BC"/>
    <w:rsid w:val="007C2226"/>
    <w:rsid w:val="007C3FE6"/>
    <w:rsid w:val="007C5385"/>
    <w:rsid w:val="007C6EC6"/>
    <w:rsid w:val="007C7748"/>
    <w:rsid w:val="007D03A1"/>
    <w:rsid w:val="007D0B02"/>
    <w:rsid w:val="007D396A"/>
    <w:rsid w:val="007D7037"/>
    <w:rsid w:val="007E059C"/>
    <w:rsid w:val="007E05E0"/>
    <w:rsid w:val="007E0C70"/>
    <w:rsid w:val="007E0EDD"/>
    <w:rsid w:val="007E2918"/>
    <w:rsid w:val="007E3939"/>
    <w:rsid w:val="007E3F4B"/>
    <w:rsid w:val="007E4510"/>
    <w:rsid w:val="007E5F1E"/>
    <w:rsid w:val="007E6104"/>
    <w:rsid w:val="007E69D2"/>
    <w:rsid w:val="007E6BEA"/>
    <w:rsid w:val="007F003C"/>
    <w:rsid w:val="007F0085"/>
    <w:rsid w:val="007F1343"/>
    <w:rsid w:val="007F1482"/>
    <w:rsid w:val="007F3457"/>
    <w:rsid w:val="007F3734"/>
    <w:rsid w:val="007F5638"/>
    <w:rsid w:val="007F5F25"/>
    <w:rsid w:val="0080063D"/>
    <w:rsid w:val="00800DFF"/>
    <w:rsid w:val="00801DB9"/>
    <w:rsid w:val="00802A5A"/>
    <w:rsid w:val="00803086"/>
    <w:rsid w:val="00803677"/>
    <w:rsid w:val="00804A5A"/>
    <w:rsid w:val="00804E39"/>
    <w:rsid w:val="0080650D"/>
    <w:rsid w:val="00806E5D"/>
    <w:rsid w:val="008102A9"/>
    <w:rsid w:val="00812835"/>
    <w:rsid w:val="00813877"/>
    <w:rsid w:val="00813CCF"/>
    <w:rsid w:val="00814B33"/>
    <w:rsid w:val="00814FC4"/>
    <w:rsid w:val="008160A7"/>
    <w:rsid w:val="00816159"/>
    <w:rsid w:val="0081697B"/>
    <w:rsid w:val="00820714"/>
    <w:rsid w:val="00821327"/>
    <w:rsid w:val="00821A61"/>
    <w:rsid w:val="00821A94"/>
    <w:rsid w:val="00823012"/>
    <w:rsid w:val="0082652B"/>
    <w:rsid w:val="00827589"/>
    <w:rsid w:val="00830578"/>
    <w:rsid w:val="008342BD"/>
    <w:rsid w:val="0083475B"/>
    <w:rsid w:val="008400FD"/>
    <w:rsid w:val="008411C0"/>
    <w:rsid w:val="008420C0"/>
    <w:rsid w:val="008421E0"/>
    <w:rsid w:val="00842619"/>
    <w:rsid w:val="00844712"/>
    <w:rsid w:val="00845A0D"/>
    <w:rsid w:val="00845DA1"/>
    <w:rsid w:val="00847203"/>
    <w:rsid w:val="00850F9E"/>
    <w:rsid w:val="00851537"/>
    <w:rsid w:val="008531B3"/>
    <w:rsid w:val="00853632"/>
    <w:rsid w:val="008544A7"/>
    <w:rsid w:val="008545AC"/>
    <w:rsid w:val="00854BEE"/>
    <w:rsid w:val="008562A6"/>
    <w:rsid w:val="008565FD"/>
    <w:rsid w:val="00856D83"/>
    <w:rsid w:val="00857E5B"/>
    <w:rsid w:val="00860164"/>
    <w:rsid w:val="008612C1"/>
    <w:rsid w:val="0086359C"/>
    <w:rsid w:val="008655A5"/>
    <w:rsid w:val="00865B82"/>
    <w:rsid w:val="008666CA"/>
    <w:rsid w:val="00867419"/>
    <w:rsid w:val="00872416"/>
    <w:rsid w:val="00872ACC"/>
    <w:rsid w:val="00872DDA"/>
    <w:rsid w:val="00873423"/>
    <w:rsid w:val="00882279"/>
    <w:rsid w:val="00882457"/>
    <w:rsid w:val="0088716E"/>
    <w:rsid w:val="00887F82"/>
    <w:rsid w:val="00890E4A"/>
    <w:rsid w:val="00890F73"/>
    <w:rsid w:val="00891479"/>
    <w:rsid w:val="00891BA0"/>
    <w:rsid w:val="00892643"/>
    <w:rsid w:val="008944F0"/>
    <w:rsid w:val="008964CD"/>
    <w:rsid w:val="00896682"/>
    <w:rsid w:val="00896E57"/>
    <w:rsid w:val="008A0563"/>
    <w:rsid w:val="008A0F20"/>
    <w:rsid w:val="008A1308"/>
    <w:rsid w:val="008A17D7"/>
    <w:rsid w:val="008A367D"/>
    <w:rsid w:val="008A3DC6"/>
    <w:rsid w:val="008A4318"/>
    <w:rsid w:val="008A4F02"/>
    <w:rsid w:val="008A63BB"/>
    <w:rsid w:val="008A7E16"/>
    <w:rsid w:val="008B12CE"/>
    <w:rsid w:val="008B459C"/>
    <w:rsid w:val="008B4FC8"/>
    <w:rsid w:val="008B69F9"/>
    <w:rsid w:val="008B7AB8"/>
    <w:rsid w:val="008C25C2"/>
    <w:rsid w:val="008C2D30"/>
    <w:rsid w:val="008C3E60"/>
    <w:rsid w:val="008C5ABC"/>
    <w:rsid w:val="008C6979"/>
    <w:rsid w:val="008C76D7"/>
    <w:rsid w:val="008C7A94"/>
    <w:rsid w:val="008D0D1F"/>
    <w:rsid w:val="008D249D"/>
    <w:rsid w:val="008D3D73"/>
    <w:rsid w:val="008D4059"/>
    <w:rsid w:val="008D6FA8"/>
    <w:rsid w:val="008E0408"/>
    <w:rsid w:val="008E3746"/>
    <w:rsid w:val="008E3EE0"/>
    <w:rsid w:val="008E522D"/>
    <w:rsid w:val="008E72AB"/>
    <w:rsid w:val="008E7C3E"/>
    <w:rsid w:val="008F115E"/>
    <w:rsid w:val="008F1C90"/>
    <w:rsid w:val="008F4543"/>
    <w:rsid w:val="008F47C0"/>
    <w:rsid w:val="008F4EC2"/>
    <w:rsid w:val="008F68AE"/>
    <w:rsid w:val="00900812"/>
    <w:rsid w:val="00901A2E"/>
    <w:rsid w:val="00906853"/>
    <w:rsid w:val="00907BAE"/>
    <w:rsid w:val="00910594"/>
    <w:rsid w:val="0091186F"/>
    <w:rsid w:val="00911C97"/>
    <w:rsid w:val="0091247D"/>
    <w:rsid w:val="009138B0"/>
    <w:rsid w:val="00914524"/>
    <w:rsid w:val="0091507A"/>
    <w:rsid w:val="00915BD2"/>
    <w:rsid w:val="00916829"/>
    <w:rsid w:val="00920841"/>
    <w:rsid w:val="00920A10"/>
    <w:rsid w:val="00920B6A"/>
    <w:rsid w:val="00920CA6"/>
    <w:rsid w:val="00920D5A"/>
    <w:rsid w:val="00921462"/>
    <w:rsid w:val="0092321C"/>
    <w:rsid w:val="0092482A"/>
    <w:rsid w:val="00925598"/>
    <w:rsid w:val="00925E70"/>
    <w:rsid w:val="0092631B"/>
    <w:rsid w:val="009263C1"/>
    <w:rsid w:val="00926C85"/>
    <w:rsid w:val="00927096"/>
    <w:rsid w:val="009307E2"/>
    <w:rsid w:val="00930885"/>
    <w:rsid w:val="009314B4"/>
    <w:rsid w:val="00932AF4"/>
    <w:rsid w:val="009332ED"/>
    <w:rsid w:val="00933BD5"/>
    <w:rsid w:val="00934177"/>
    <w:rsid w:val="009343CE"/>
    <w:rsid w:val="00934A94"/>
    <w:rsid w:val="00935A5B"/>
    <w:rsid w:val="00936724"/>
    <w:rsid w:val="009370D5"/>
    <w:rsid w:val="00937224"/>
    <w:rsid w:val="00937C74"/>
    <w:rsid w:val="00940623"/>
    <w:rsid w:val="009412BE"/>
    <w:rsid w:val="009419B9"/>
    <w:rsid w:val="00941AE5"/>
    <w:rsid w:val="009423CA"/>
    <w:rsid w:val="009425D6"/>
    <w:rsid w:val="00942E03"/>
    <w:rsid w:val="00944B1F"/>
    <w:rsid w:val="00945199"/>
    <w:rsid w:val="009458FB"/>
    <w:rsid w:val="009466BC"/>
    <w:rsid w:val="00946BAC"/>
    <w:rsid w:val="00950D15"/>
    <w:rsid w:val="00953137"/>
    <w:rsid w:val="0095645D"/>
    <w:rsid w:val="00961843"/>
    <w:rsid w:val="00961A68"/>
    <w:rsid w:val="00961D7D"/>
    <w:rsid w:val="00961FAB"/>
    <w:rsid w:val="00962BB2"/>
    <w:rsid w:val="00962D5E"/>
    <w:rsid w:val="0096316F"/>
    <w:rsid w:val="009631D7"/>
    <w:rsid w:val="00963526"/>
    <w:rsid w:val="00964EA4"/>
    <w:rsid w:val="00965CEF"/>
    <w:rsid w:val="00966650"/>
    <w:rsid w:val="009666E7"/>
    <w:rsid w:val="0096698B"/>
    <w:rsid w:val="00967D93"/>
    <w:rsid w:val="00972C35"/>
    <w:rsid w:val="00974805"/>
    <w:rsid w:val="00975398"/>
    <w:rsid w:val="00975FC6"/>
    <w:rsid w:val="009776F0"/>
    <w:rsid w:val="00977940"/>
    <w:rsid w:val="00980792"/>
    <w:rsid w:val="00980972"/>
    <w:rsid w:val="00981783"/>
    <w:rsid w:val="00982BD1"/>
    <w:rsid w:val="00983703"/>
    <w:rsid w:val="00985845"/>
    <w:rsid w:val="009859C5"/>
    <w:rsid w:val="00990A2D"/>
    <w:rsid w:val="0099185F"/>
    <w:rsid w:val="009918CD"/>
    <w:rsid w:val="00991F14"/>
    <w:rsid w:val="00991FB6"/>
    <w:rsid w:val="00992C30"/>
    <w:rsid w:val="00993354"/>
    <w:rsid w:val="00993463"/>
    <w:rsid w:val="00993B65"/>
    <w:rsid w:val="0099563B"/>
    <w:rsid w:val="009A190F"/>
    <w:rsid w:val="009A1E1E"/>
    <w:rsid w:val="009A3D46"/>
    <w:rsid w:val="009A4966"/>
    <w:rsid w:val="009A4A07"/>
    <w:rsid w:val="009A56E6"/>
    <w:rsid w:val="009A5E1A"/>
    <w:rsid w:val="009A6312"/>
    <w:rsid w:val="009A65E9"/>
    <w:rsid w:val="009B0486"/>
    <w:rsid w:val="009B04E7"/>
    <w:rsid w:val="009B0AF7"/>
    <w:rsid w:val="009B0D79"/>
    <w:rsid w:val="009B0F27"/>
    <w:rsid w:val="009B18FE"/>
    <w:rsid w:val="009B370F"/>
    <w:rsid w:val="009B4C36"/>
    <w:rsid w:val="009C18D2"/>
    <w:rsid w:val="009C282A"/>
    <w:rsid w:val="009C2917"/>
    <w:rsid w:val="009C31F6"/>
    <w:rsid w:val="009C65AC"/>
    <w:rsid w:val="009D0005"/>
    <w:rsid w:val="009D0CF9"/>
    <w:rsid w:val="009D13D5"/>
    <w:rsid w:val="009D173F"/>
    <w:rsid w:val="009D40C4"/>
    <w:rsid w:val="009D413B"/>
    <w:rsid w:val="009D42E9"/>
    <w:rsid w:val="009D4D7F"/>
    <w:rsid w:val="009D50EA"/>
    <w:rsid w:val="009D5338"/>
    <w:rsid w:val="009D645B"/>
    <w:rsid w:val="009D7517"/>
    <w:rsid w:val="009D7700"/>
    <w:rsid w:val="009E022D"/>
    <w:rsid w:val="009E028C"/>
    <w:rsid w:val="009E1EC8"/>
    <w:rsid w:val="009E3F16"/>
    <w:rsid w:val="009E4ACB"/>
    <w:rsid w:val="009E4CAB"/>
    <w:rsid w:val="009E6A82"/>
    <w:rsid w:val="009E7625"/>
    <w:rsid w:val="009F09D0"/>
    <w:rsid w:val="009F58A4"/>
    <w:rsid w:val="009F5E8E"/>
    <w:rsid w:val="009F63DC"/>
    <w:rsid w:val="009F7935"/>
    <w:rsid w:val="00A00FF6"/>
    <w:rsid w:val="00A0126B"/>
    <w:rsid w:val="00A01685"/>
    <w:rsid w:val="00A01DCD"/>
    <w:rsid w:val="00A02038"/>
    <w:rsid w:val="00A0230B"/>
    <w:rsid w:val="00A0259C"/>
    <w:rsid w:val="00A0293B"/>
    <w:rsid w:val="00A02B1D"/>
    <w:rsid w:val="00A0398E"/>
    <w:rsid w:val="00A04200"/>
    <w:rsid w:val="00A04CB3"/>
    <w:rsid w:val="00A073D0"/>
    <w:rsid w:val="00A12EB9"/>
    <w:rsid w:val="00A13DCB"/>
    <w:rsid w:val="00A14CEE"/>
    <w:rsid w:val="00A1566C"/>
    <w:rsid w:val="00A1699D"/>
    <w:rsid w:val="00A172F8"/>
    <w:rsid w:val="00A1751E"/>
    <w:rsid w:val="00A20734"/>
    <w:rsid w:val="00A20D2B"/>
    <w:rsid w:val="00A223B6"/>
    <w:rsid w:val="00A257D9"/>
    <w:rsid w:val="00A26883"/>
    <w:rsid w:val="00A26EAF"/>
    <w:rsid w:val="00A2721E"/>
    <w:rsid w:val="00A3246A"/>
    <w:rsid w:val="00A32B3D"/>
    <w:rsid w:val="00A33B76"/>
    <w:rsid w:val="00A33C47"/>
    <w:rsid w:val="00A35086"/>
    <w:rsid w:val="00A433A3"/>
    <w:rsid w:val="00A460A1"/>
    <w:rsid w:val="00A47BDF"/>
    <w:rsid w:val="00A516F6"/>
    <w:rsid w:val="00A549A0"/>
    <w:rsid w:val="00A54F3E"/>
    <w:rsid w:val="00A550A8"/>
    <w:rsid w:val="00A55137"/>
    <w:rsid w:val="00A603AC"/>
    <w:rsid w:val="00A607B6"/>
    <w:rsid w:val="00A608E4"/>
    <w:rsid w:val="00A61C24"/>
    <w:rsid w:val="00A61DE9"/>
    <w:rsid w:val="00A62FF6"/>
    <w:rsid w:val="00A66C13"/>
    <w:rsid w:val="00A67C49"/>
    <w:rsid w:val="00A706F7"/>
    <w:rsid w:val="00A70DC1"/>
    <w:rsid w:val="00A72576"/>
    <w:rsid w:val="00A74324"/>
    <w:rsid w:val="00A76FBF"/>
    <w:rsid w:val="00A77092"/>
    <w:rsid w:val="00A81295"/>
    <w:rsid w:val="00A813DF"/>
    <w:rsid w:val="00A81CE3"/>
    <w:rsid w:val="00A82D67"/>
    <w:rsid w:val="00A83752"/>
    <w:rsid w:val="00A83DE7"/>
    <w:rsid w:val="00A84ECC"/>
    <w:rsid w:val="00A855AD"/>
    <w:rsid w:val="00A85B9A"/>
    <w:rsid w:val="00A860A0"/>
    <w:rsid w:val="00A864B0"/>
    <w:rsid w:val="00A87A33"/>
    <w:rsid w:val="00A90AEF"/>
    <w:rsid w:val="00A93CD2"/>
    <w:rsid w:val="00A93FC3"/>
    <w:rsid w:val="00A9449D"/>
    <w:rsid w:val="00A95107"/>
    <w:rsid w:val="00A95476"/>
    <w:rsid w:val="00A955A2"/>
    <w:rsid w:val="00A9787E"/>
    <w:rsid w:val="00A978AC"/>
    <w:rsid w:val="00A97B69"/>
    <w:rsid w:val="00A97E3C"/>
    <w:rsid w:val="00AA0BF9"/>
    <w:rsid w:val="00AA1166"/>
    <w:rsid w:val="00AA11B5"/>
    <w:rsid w:val="00AA5C3E"/>
    <w:rsid w:val="00AA7352"/>
    <w:rsid w:val="00AB0E28"/>
    <w:rsid w:val="00AB1713"/>
    <w:rsid w:val="00AB2757"/>
    <w:rsid w:val="00AB2BA1"/>
    <w:rsid w:val="00AB4B14"/>
    <w:rsid w:val="00AB6CD8"/>
    <w:rsid w:val="00AC07DB"/>
    <w:rsid w:val="00AC0A66"/>
    <w:rsid w:val="00AC13A6"/>
    <w:rsid w:val="00AC466A"/>
    <w:rsid w:val="00AC5430"/>
    <w:rsid w:val="00AD0FC3"/>
    <w:rsid w:val="00AD14BC"/>
    <w:rsid w:val="00AD23EB"/>
    <w:rsid w:val="00AD3B25"/>
    <w:rsid w:val="00AD3F87"/>
    <w:rsid w:val="00AD4BFC"/>
    <w:rsid w:val="00AD7025"/>
    <w:rsid w:val="00AD73E4"/>
    <w:rsid w:val="00AD7D22"/>
    <w:rsid w:val="00AE0214"/>
    <w:rsid w:val="00AE0998"/>
    <w:rsid w:val="00AE0F64"/>
    <w:rsid w:val="00AE1E4C"/>
    <w:rsid w:val="00AE3564"/>
    <w:rsid w:val="00AE58EE"/>
    <w:rsid w:val="00AE67F5"/>
    <w:rsid w:val="00AE6DE6"/>
    <w:rsid w:val="00AE726F"/>
    <w:rsid w:val="00AE7557"/>
    <w:rsid w:val="00AF4732"/>
    <w:rsid w:val="00AF4DCA"/>
    <w:rsid w:val="00AF70F4"/>
    <w:rsid w:val="00AF7D8C"/>
    <w:rsid w:val="00B000F6"/>
    <w:rsid w:val="00B00914"/>
    <w:rsid w:val="00B00AF9"/>
    <w:rsid w:val="00B01AF3"/>
    <w:rsid w:val="00B01B77"/>
    <w:rsid w:val="00B0284F"/>
    <w:rsid w:val="00B04792"/>
    <w:rsid w:val="00B04E21"/>
    <w:rsid w:val="00B05BE1"/>
    <w:rsid w:val="00B07174"/>
    <w:rsid w:val="00B12527"/>
    <w:rsid w:val="00B155B4"/>
    <w:rsid w:val="00B15D32"/>
    <w:rsid w:val="00B15E5E"/>
    <w:rsid w:val="00B166BF"/>
    <w:rsid w:val="00B17F8B"/>
    <w:rsid w:val="00B2552C"/>
    <w:rsid w:val="00B255FA"/>
    <w:rsid w:val="00B26F83"/>
    <w:rsid w:val="00B27409"/>
    <w:rsid w:val="00B27900"/>
    <w:rsid w:val="00B30804"/>
    <w:rsid w:val="00B31AC1"/>
    <w:rsid w:val="00B31C08"/>
    <w:rsid w:val="00B31CE3"/>
    <w:rsid w:val="00B327D1"/>
    <w:rsid w:val="00B3348B"/>
    <w:rsid w:val="00B33F2C"/>
    <w:rsid w:val="00B3481C"/>
    <w:rsid w:val="00B35BC5"/>
    <w:rsid w:val="00B365D7"/>
    <w:rsid w:val="00B37B5D"/>
    <w:rsid w:val="00B41B79"/>
    <w:rsid w:val="00B436A7"/>
    <w:rsid w:val="00B44A5B"/>
    <w:rsid w:val="00B44DED"/>
    <w:rsid w:val="00B47225"/>
    <w:rsid w:val="00B5091F"/>
    <w:rsid w:val="00B5093D"/>
    <w:rsid w:val="00B517AE"/>
    <w:rsid w:val="00B52224"/>
    <w:rsid w:val="00B53D28"/>
    <w:rsid w:val="00B55F0E"/>
    <w:rsid w:val="00B62558"/>
    <w:rsid w:val="00B630E4"/>
    <w:rsid w:val="00B63B95"/>
    <w:rsid w:val="00B66648"/>
    <w:rsid w:val="00B675FC"/>
    <w:rsid w:val="00B67967"/>
    <w:rsid w:val="00B715FC"/>
    <w:rsid w:val="00B73638"/>
    <w:rsid w:val="00B74B48"/>
    <w:rsid w:val="00B764AF"/>
    <w:rsid w:val="00B77242"/>
    <w:rsid w:val="00B80436"/>
    <w:rsid w:val="00B80BC4"/>
    <w:rsid w:val="00B80DCB"/>
    <w:rsid w:val="00B819E4"/>
    <w:rsid w:val="00B8353E"/>
    <w:rsid w:val="00B84170"/>
    <w:rsid w:val="00B84211"/>
    <w:rsid w:val="00B84846"/>
    <w:rsid w:val="00B84935"/>
    <w:rsid w:val="00B851FE"/>
    <w:rsid w:val="00B90274"/>
    <w:rsid w:val="00B90D94"/>
    <w:rsid w:val="00B91090"/>
    <w:rsid w:val="00B9185D"/>
    <w:rsid w:val="00B91CE5"/>
    <w:rsid w:val="00B936EF"/>
    <w:rsid w:val="00B937D9"/>
    <w:rsid w:val="00B93BAE"/>
    <w:rsid w:val="00B94BAA"/>
    <w:rsid w:val="00B94BCF"/>
    <w:rsid w:val="00B966FD"/>
    <w:rsid w:val="00B97D21"/>
    <w:rsid w:val="00BA0115"/>
    <w:rsid w:val="00BA2275"/>
    <w:rsid w:val="00BA263C"/>
    <w:rsid w:val="00BA2700"/>
    <w:rsid w:val="00BA2AD8"/>
    <w:rsid w:val="00BA3E35"/>
    <w:rsid w:val="00BA58EB"/>
    <w:rsid w:val="00BA59C6"/>
    <w:rsid w:val="00BA63B6"/>
    <w:rsid w:val="00BA6509"/>
    <w:rsid w:val="00BA6CE0"/>
    <w:rsid w:val="00BA6EAC"/>
    <w:rsid w:val="00BB1949"/>
    <w:rsid w:val="00BB26A9"/>
    <w:rsid w:val="00BB39B4"/>
    <w:rsid w:val="00BB51DD"/>
    <w:rsid w:val="00BB5656"/>
    <w:rsid w:val="00BB64E6"/>
    <w:rsid w:val="00BB6E97"/>
    <w:rsid w:val="00BB78BA"/>
    <w:rsid w:val="00BC01D6"/>
    <w:rsid w:val="00BC03A6"/>
    <w:rsid w:val="00BC212A"/>
    <w:rsid w:val="00BC232B"/>
    <w:rsid w:val="00BC272B"/>
    <w:rsid w:val="00BC2797"/>
    <w:rsid w:val="00BC3EE3"/>
    <w:rsid w:val="00BC43C4"/>
    <w:rsid w:val="00BC55BE"/>
    <w:rsid w:val="00BC5634"/>
    <w:rsid w:val="00BC5E6A"/>
    <w:rsid w:val="00BC635B"/>
    <w:rsid w:val="00BC6CE8"/>
    <w:rsid w:val="00BC71F0"/>
    <w:rsid w:val="00BC7784"/>
    <w:rsid w:val="00BC7E94"/>
    <w:rsid w:val="00BD0F5A"/>
    <w:rsid w:val="00BD2111"/>
    <w:rsid w:val="00BD48B0"/>
    <w:rsid w:val="00BD5D60"/>
    <w:rsid w:val="00BD5D9B"/>
    <w:rsid w:val="00BD6299"/>
    <w:rsid w:val="00BE2119"/>
    <w:rsid w:val="00BE2AA0"/>
    <w:rsid w:val="00BE31DE"/>
    <w:rsid w:val="00BE3F32"/>
    <w:rsid w:val="00BE4543"/>
    <w:rsid w:val="00BE4820"/>
    <w:rsid w:val="00BE762A"/>
    <w:rsid w:val="00BE76EC"/>
    <w:rsid w:val="00BE7A8D"/>
    <w:rsid w:val="00BF32A4"/>
    <w:rsid w:val="00BF3D88"/>
    <w:rsid w:val="00BF4BF9"/>
    <w:rsid w:val="00BF4D56"/>
    <w:rsid w:val="00BF5A48"/>
    <w:rsid w:val="00BF7239"/>
    <w:rsid w:val="00BF7BCB"/>
    <w:rsid w:val="00C01BC9"/>
    <w:rsid w:val="00C031B1"/>
    <w:rsid w:val="00C03FBB"/>
    <w:rsid w:val="00C04A88"/>
    <w:rsid w:val="00C0546D"/>
    <w:rsid w:val="00C05A30"/>
    <w:rsid w:val="00C05C1D"/>
    <w:rsid w:val="00C05CBC"/>
    <w:rsid w:val="00C06015"/>
    <w:rsid w:val="00C071A9"/>
    <w:rsid w:val="00C102AC"/>
    <w:rsid w:val="00C115D2"/>
    <w:rsid w:val="00C125F7"/>
    <w:rsid w:val="00C13665"/>
    <w:rsid w:val="00C14659"/>
    <w:rsid w:val="00C1484C"/>
    <w:rsid w:val="00C14B0A"/>
    <w:rsid w:val="00C14D67"/>
    <w:rsid w:val="00C14EFA"/>
    <w:rsid w:val="00C15D8B"/>
    <w:rsid w:val="00C1665B"/>
    <w:rsid w:val="00C17488"/>
    <w:rsid w:val="00C22A4D"/>
    <w:rsid w:val="00C23152"/>
    <w:rsid w:val="00C2366A"/>
    <w:rsid w:val="00C23DDB"/>
    <w:rsid w:val="00C25CE5"/>
    <w:rsid w:val="00C2629D"/>
    <w:rsid w:val="00C27CF2"/>
    <w:rsid w:val="00C27FA0"/>
    <w:rsid w:val="00C319BC"/>
    <w:rsid w:val="00C31B35"/>
    <w:rsid w:val="00C32A84"/>
    <w:rsid w:val="00C34460"/>
    <w:rsid w:val="00C34A85"/>
    <w:rsid w:val="00C355F9"/>
    <w:rsid w:val="00C36786"/>
    <w:rsid w:val="00C404AF"/>
    <w:rsid w:val="00C40814"/>
    <w:rsid w:val="00C45B54"/>
    <w:rsid w:val="00C45B91"/>
    <w:rsid w:val="00C46051"/>
    <w:rsid w:val="00C4637E"/>
    <w:rsid w:val="00C477F4"/>
    <w:rsid w:val="00C47DEE"/>
    <w:rsid w:val="00C47DEF"/>
    <w:rsid w:val="00C50195"/>
    <w:rsid w:val="00C5211C"/>
    <w:rsid w:val="00C52307"/>
    <w:rsid w:val="00C53279"/>
    <w:rsid w:val="00C532DF"/>
    <w:rsid w:val="00C54F41"/>
    <w:rsid w:val="00C55882"/>
    <w:rsid w:val="00C577C1"/>
    <w:rsid w:val="00C578B0"/>
    <w:rsid w:val="00C60479"/>
    <w:rsid w:val="00C6226B"/>
    <w:rsid w:val="00C627C5"/>
    <w:rsid w:val="00C63D35"/>
    <w:rsid w:val="00C650E5"/>
    <w:rsid w:val="00C66157"/>
    <w:rsid w:val="00C66239"/>
    <w:rsid w:val="00C6639D"/>
    <w:rsid w:val="00C67595"/>
    <w:rsid w:val="00C70BC8"/>
    <w:rsid w:val="00C71725"/>
    <w:rsid w:val="00C71A4D"/>
    <w:rsid w:val="00C721C5"/>
    <w:rsid w:val="00C7418A"/>
    <w:rsid w:val="00C76BB2"/>
    <w:rsid w:val="00C76D16"/>
    <w:rsid w:val="00C773D0"/>
    <w:rsid w:val="00C80D1D"/>
    <w:rsid w:val="00C82BAF"/>
    <w:rsid w:val="00C8418E"/>
    <w:rsid w:val="00C846E4"/>
    <w:rsid w:val="00C85A38"/>
    <w:rsid w:val="00C87956"/>
    <w:rsid w:val="00C87A29"/>
    <w:rsid w:val="00C92E6F"/>
    <w:rsid w:val="00C9352C"/>
    <w:rsid w:val="00C9392E"/>
    <w:rsid w:val="00C93EFA"/>
    <w:rsid w:val="00C957C4"/>
    <w:rsid w:val="00C960AB"/>
    <w:rsid w:val="00C9681A"/>
    <w:rsid w:val="00CA0D08"/>
    <w:rsid w:val="00CA10B2"/>
    <w:rsid w:val="00CA176C"/>
    <w:rsid w:val="00CA2349"/>
    <w:rsid w:val="00CA565D"/>
    <w:rsid w:val="00CA6182"/>
    <w:rsid w:val="00CA6562"/>
    <w:rsid w:val="00CA6DA4"/>
    <w:rsid w:val="00CA72C8"/>
    <w:rsid w:val="00CA7F7D"/>
    <w:rsid w:val="00CB08AC"/>
    <w:rsid w:val="00CB2372"/>
    <w:rsid w:val="00CB48F1"/>
    <w:rsid w:val="00CB4E36"/>
    <w:rsid w:val="00CB53E6"/>
    <w:rsid w:val="00CB5CCB"/>
    <w:rsid w:val="00CB7E8F"/>
    <w:rsid w:val="00CB7E91"/>
    <w:rsid w:val="00CC0509"/>
    <w:rsid w:val="00CC0FA2"/>
    <w:rsid w:val="00CC18C4"/>
    <w:rsid w:val="00CC22E0"/>
    <w:rsid w:val="00CC3953"/>
    <w:rsid w:val="00CC5225"/>
    <w:rsid w:val="00CC64BF"/>
    <w:rsid w:val="00CD02A4"/>
    <w:rsid w:val="00CD0C4B"/>
    <w:rsid w:val="00CD3ED4"/>
    <w:rsid w:val="00CD476B"/>
    <w:rsid w:val="00CD5FF8"/>
    <w:rsid w:val="00CD66BA"/>
    <w:rsid w:val="00CE0065"/>
    <w:rsid w:val="00CE5086"/>
    <w:rsid w:val="00CE6897"/>
    <w:rsid w:val="00CE7D0F"/>
    <w:rsid w:val="00CF015C"/>
    <w:rsid w:val="00CF1B34"/>
    <w:rsid w:val="00CF2DD8"/>
    <w:rsid w:val="00CF36C9"/>
    <w:rsid w:val="00CF3A39"/>
    <w:rsid w:val="00CF4102"/>
    <w:rsid w:val="00CF421A"/>
    <w:rsid w:val="00CF5271"/>
    <w:rsid w:val="00CF60DF"/>
    <w:rsid w:val="00CF6D7D"/>
    <w:rsid w:val="00CF7330"/>
    <w:rsid w:val="00D00C63"/>
    <w:rsid w:val="00D00D89"/>
    <w:rsid w:val="00D00E2D"/>
    <w:rsid w:val="00D01597"/>
    <w:rsid w:val="00D03452"/>
    <w:rsid w:val="00D038FF"/>
    <w:rsid w:val="00D0461E"/>
    <w:rsid w:val="00D04BBD"/>
    <w:rsid w:val="00D05B59"/>
    <w:rsid w:val="00D05DFB"/>
    <w:rsid w:val="00D07137"/>
    <w:rsid w:val="00D103FA"/>
    <w:rsid w:val="00D1040C"/>
    <w:rsid w:val="00D106A1"/>
    <w:rsid w:val="00D13462"/>
    <w:rsid w:val="00D13AAB"/>
    <w:rsid w:val="00D17301"/>
    <w:rsid w:val="00D20B4A"/>
    <w:rsid w:val="00D2112D"/>
    <w:rsid w:val="00D226F4"/>
    <w:rsid w:val="00D2420F"/>
    <w:rsid w:val="00D2458A"/>
    <w:rsid w:val="00D25F0C"/>
    <w:rsid w:val="00D26266"/>
    <w:rsid w:val="00D27D71"/>
    <w:rsid w:val="00D30299"/>
    <w:rsid w:val="00D3104D"/>
    <w:rsid w:val="00D31C27"/>
    <w:rsid w:val="00D332FF"/>
    <w:rsid w:val="00D33AE2"/>
    <w:rsid w:val="00D36723"/>
    <w:rsid w:val="00D3688C"/>
    <w:rsid w:val="00D373C3"/>
    <w:rsid w:val="00D42405"/>
    <w:rsid w:val="00D42926"/>
    <w:rsid w:val="00D45384"/>
    <w:rsid w:val="00D46195"/>
    <w:rsid w:val="00D46ACA"/>
    <w:rsid w:val="00D50779"/>
    <w:rsid w:val="00D50E32"/>
    <w:rsid w:val="00D54711"/>
    <w:rsid w:val="00D54DA0"/>
    <w:rsid w:val="00D55D30"/>
    <w:rsid w:val="00D566B6"/>
    <w:rsid w:val="00D571CD"/>
    <w:rsid w:val="00D60630"/>
    <w:rsid w:val="00D62A83"/>
    <w:rsid w:val="00D63057"/>
    <w:rsid w:val="00D6450F"/>
    <w:rsid w:val="00D64D02"/>
    <w:rsid w:val="00D66965"/>
    <w:rsid w:val="00D7219E"/>
    <w:rsid w:val="00D74199"/>
    <w:rsid w:val="00D74CFA"/>
    <w:rsid w:val="00D74E87"/>
    <w:rsid w:val="00D778E1"/>
    <w:rsid w:val="00D80714"/>
    <w:rsid w:val="00D81FB2"/>
    <w:rsid w:val="00D8256F"/>
    <w:rsid w:val="00D82D04"/>
    <w:rsid w:val="00D838FD"/>
    <w:rsid w:val="00D873E2"/>
    <w:rsid w:val="00D878FE"/>
    <w:rsid w:val="00D87D38"/>
    <w:rsid w:val="00D91720"/>
    <w:rsid w:val="00D92085"/>
    <w:rsid w:val="00D929E6"/>
    <w:rsid w:val="00D935D8"/>
    <w:rsid w:val="00D94082"/>
    <w:rsid w:val="00D947A8"/>
    <w:rsid w:val="00D94C54"/>
    <w:rsid w:val="00D9571A"/>
    <w:rsid w:val="00D96F65"/>
    <w:rsid w:val="00D96F71"/>
    <w:rsid w:val="00D973E5"/>
    <w:rsid w:val="00DA03C6"/>
    <w:rsid w:val="00DA0515"/>
    <w:rsid w:val="00DA2B45"/>
    <w:rsid w:val="00DA353D"/>
    <w:rsid w:val="00DA42C2"/>
    <w:rsid w:val="00DA4A02"/>
    <w:rsid w:val="00DA4D40"/>
    <w:rsid w:val="00DA4EAC"/>
    <w:rsid w:val="00DA6C88"/>
    <w:rsid w:val="00DA7B73"/>
    <w:rsid w:val="00DB04A9"/>
    <w:rsid w:val="00DB06D2"/>
    <w:rsid w:val="00DB0AC0"/>
    <w:rsid w:val="00DB1ACF"/>
    <w:rsid w:val="00DB1E63"/>
    <w:rsid w:val="00DB1E70"/>
    <w:rsid w:val="00DB2945"/>
    <w:rsid w:val="00DB37F5"/>
    <w:rsid w:val="00DB4774"/>
    <w:rsid w:val="00DB53BC"/>
    <w:rsid w:val="00DB55CC"/>
    <w:rsid w:val="00DB6A84"/>
    <w:rsid w:val="00DB7D60"/>
    <w:rsid w:val="00DC111A"/>
    <w:rsid w:val="00DC2972"/>
    <w:rsid w:val="00DC3F16"/>
    <w:rsid w:val="00DC3F6A"/>
    <w:rsid w:val="00DC451D"/>
    <w:rsid w:val="00DC4A76"/>
    <w:rsid w:val="00DC5A20"/>
    <w:rsid w:val="00DC7997"/>
    <w:rsid w:val="00DD0124"/>
    <w:rsid w:val="00DD4545"/>
    <w:rsid w:val="00DD5ADC"/>
    <w:rsid w:val="00DD5F33"/>
    <w:rsid w:val="00DE0CB5"/>
    <w:rsid w:val="00DE0EDB"/>
    <w:rsid w:val="00DE30CB"/>
    <w:rsid w:val="00DE4343"/>
    <w:rsid w:val="00DE4381"/>
    <w:rsid w:val="00DE45F3"/>
    <w:rsid w:val="00DE4BC6"/>
    <w:rsid w:val="00DE5A93"/>
    <w:rsid w:val="00DE5E12"/>
    <w:rsid w:val="00DE60D0"/>
    <w:rsid w:val="00DE67E6"/>
    <w:rsid w:val="00DF01D2"/>
    <w:rsid w:val="00DF08CC"/>
    <w:rsid w:val="00DF08EA"/>
    <w:rsid w:val="00DF33B8"/>
    <w:rsid w:val="00DF3C59"/>
    <w:rsid w:val="00DF428C"/>
    <w:rsid w:val="00DF5014"/>
    <w:rsid w:val="00DF5FCB"/>
    <w:rsid w:val="00DF712D"/>
    <w:rsid w:val="00E0052C"/>
    <w:rsid w:val="00E01B5E"/>
    <w:rsid w:val="00E034AD"/>
    <w:rsid w:val="00E0395C"/>
    <w:rsid w:val="00E05143"/>
    <w:rsid w:val="00E05BAC"/>
    <w:rsid w:val="00E05FCF"/>
    <w:rsid w:val="00E0652C"/>
    <w:rsid w:val="00E075D7"/>
    <w:rsid w:val="00E100A9"/>
    <w:rsid w:val="00E105AC"/>
    <w:rsid w:val="00E113B0"/>
    <w:rsid w:val="00E12022"/>
    <w:rsid w:val="00E12856"/>
    <w:rsid w:val="00E13251"/>
    <w:rsid w:val="00E15B0C"/>
    <w:rsid w:val="00E1680F"/>
    <w:rsid w:val="00E1793E"/>
    <w:rsid w:val="00E17FBC"/>
    <w:rsid w:val="00E20373"/>
    <w:rsid w:val="00E208D2"/>
    <w:rsid w:val="00E2153E"/>
    <w:rsid w:val="00E21DC0"/>
    <w:rsid w:val="00E22658"/>
    <w:rsid w:val="00E22A0C"/>
    <w:rsid w:val="00E22BFA"/>
    <w:rsid w:val="00E23B5D"/>
    <w:rsid w:val="00E24CC2"/>
    <w:rsid w:val="00E25A0A"/>
    <w:rsid w:val="00E25C4D"/>
    <w:rsid w:val="00E26042"/>
    <w:rsid w:val="00E261D6"/>
    <w:rsid w:val="00E26B67"/>
    <w:rsid w:val="00E27276"/>
    <w:rsid w:val="00E27F2E"/>
    <w:rsid w:val="00E3050A"/>
    <w:rsid w:val="00E30F57"/>
    <w:rsid w:val="00E3177A"/>
    <w:rsid w:val="00E31FCD"/>
    <w:rsid w:val="00E338D8"/>
    <w:rsid w:val="00E341AE"/>
    <w:rsid w:val="00E352EE"/>
    <w:rsid w:val="00E36C31"/>
    <w:rsid w:val="00E400E8"/>
    <w:rsid w:val="00E4022E"/>
    <w:rsid w:val="00E4066B"/>
    <w:rsid w:val="00E41662"/>
    <w:rsid w:val="00E44BC2"/>
    <w:rsid w:val="00E44C94"/>
    <w:rsid w:val="00E50DF3"/>
    <w:rsid w:val="00E512F7"/>
    <w:rsid w:val="00E52118"/>
    <w:rsid w:val="00E522DD"/>
    <w:rsid w:val="00E5232F"/>
    <w:rsid w:val="00E52A02"/>
    <w:rsid w:val="00E557A8"/>
    <w:rsid w:val="00E56253"/>
    <w:rsid w:val="00E57C9B"/>
    <w:rsid w:val="00E60766"/>
    <w:rsid w:val="00E60F8D"/>
    <w:rsid w:val="00E61986"/>
    <w:rsid w:val="00E61E99"/>
    <w:rsid w:val="00E62F03"/>
    <w:rsid w:val="00E67426"/>
    <w:rsid w:val="00E675EC"/>
    <w:rsid w:val="00E709CF"/>
    <w:rsid w:val="00E70A2A"/>
    <w:rsid w:val="00E70C96"/>
    <w:rsid w:val="00E71EE4"/>
    <w:rsid w:val="00E72081"/>
    <w:rsid w:val="00E72531"/>
    <w:rsid w:val="00E75009"/>
    <w:rsid w:val="00E750DC"/>
    <w:rsid w:val="00E756FF"/>
    <w:rsid w:val="00E76D3C"/>
    <w:rsid w:val="00E87728"/>
    <w:rsid w:val="00E90276"/>
    <w:rsid w:val="00E923D7"/>
    <w:rsid w:val="00E9266B"/>
    <w:rsid w:val="00E93568"/>
    <w:rsid w:val="00E937A6"/>
    <w:rsid w:val="00E93EC4"/>
    <w:rsid w:val="00E94D1A"/>
    <w:rsid w:val="00E9507C"/>
    <w:rsid w:val="00E96630"/>
    <w:rsid w:val="00E970EB"/>
    <w:rsid w:val="00E97233"/>
    <w:rsid w:val="00EA153D"/>
    <w:rsid w:val="00EA1B9C"/>
    <w:rsid w:val="00EA23A2"/>
    <w:rsid w:val="00EA3A74"/>
    <w:rsid w:val="00EA3C7B"/>
    <w:rsid w:val="00EA5935"/>
    <w:rsid w:val="00EA5AB9"/>
    <w:rsid w:val="00EA62A9"/>
    <w:rsid w:val="00EA6605"/>
    <w:rsid w:val="00EA66B8"/>
    <w:rsid w:val="00EA6DE8"/>
    <w:rsid w:val="00EA797A"/>
    <w:rsid w:val="00EB0DA5"/>
    <w:rsid w:val="00EB0E1A"/>
    <w:rsid w:val="00EB0ED7"/>
    <w:rsid w:val="00EB2191"/>
    <w:rsid w:val="00EB21E9"/>
    <w:rsid w:val="00EB3481"/>
    <w:rsid w:val="00EB38E3"/>
    <w:rsid w:val="00EB3E6C"/>
    <w:rsid w:val="00EB5C9A"/>
    <w:rsid w:val="00EB7535"/>
    <w:rsid w:val="00EB7821"/>
    <w:rsid w:val="00EC01E1"/>
    <w:rsid w:val="00EC062F"/>
    <w:rsid w:val="00EC0C69"/>
    <w:rsid w:val="00EC1595"/>
    <w:rsid w:val="00EC17E2"/>
    <w:rsid w:val="00EC2588"/>
    <w:rsid w:val="00EC2D81"/>
    <w:rsid w:val="00EC494D"/>
    <w:rsid w:val="00EC4EF0"/>
    <w:rsid w:val="00EC54CB"/>
    <w:rsid w:val="00EC5F28"/>
    <w:rsid w:val="00EC7258"/>
    <w:rsid w:val="00ED0246"/>
    <w:rsid w:val="00ED1AEF"/>
    <w:rsid w:val="00ED23E9"/>
    <w:rsid w:val="00ED3D07"/>
    <w:rsid w:val="00ED3D81"/>
    <w:rsid w:val="00ED575B"/>
    <w:rsid w:val="00ED5D18"/>
    <w:rsid w:val="00EE0318"/>
    <w:rsid w:val="00EE39AF"/>
    <w:rsid w:val="00EE5D02"/>
    <w:rsid w:val="00EE6148"/>
    <w:rsid w:val="00EE7C33"/>
    <w:rsid w:val="00EF0196"/>
    <w:rsid w:val="00EF10FB"/>
    <w:rsid w:val="00EF1461"/>
    <w:rsid w:val="00EF3BF6"/>
    <w:rsid w:val="00EF592D"/>
    <w:rsid w:val="00EF5AB0"/>
    <w:rsid w:val="00EF7A1B"/>
    <w:rsid w:val="00EF7F66"/>
    <w:rsid w:val="00F004A7"/>
    <w:rsid w:val="00F00FEB"/>
    <w:rsid w:val="00F01653"/>
    <w:rsid w:val="00F025D9"/>
    <w:rsid w:val="00F039DF"/>
    <w:rsid w:val="00F0446A"/>
    <w:rsid w:val="00F04C96"/>
    <w:rsid w:val="00F05CE4"/>
    <w:rsid w:val="00F062DC"/>
    <w:rsid w:val="00F07DCE"/>
    <w:rsid w:val="00F10A0B"/>
    <w:rsid w:val="00F13A04"/>
    <w:rsid w:val="00F156F5"/>
    <w:rsid w:val="00F157DC"/>
    <w:rsid w:val="00F171DA"/>
    <w:rsid w:val="00F178E2"/>
    <w:rsid w:val="00F2161B"/>
    <w:rsid w:val="00F24360"/>
    <w:rsid w:val="00F30F48"/>
    <w:rsid w:val="00F3191A"/>
    <w:rsid w:val="00F33301"/>
    <w:rsid w:val="00F3509F"/>
    <w:rsid w:val="00F35EFB"/>
    <w:rsid w:val="00F37AA9"/>
    <w:rsid w:val="00F37D9F"/>
    <w:rsid w:val="00F4038D"/>
    <w:rsid w:val="00F404DD"/>
    <w:rsid w:val="00F40502"/>
    <w:rsid w:val="00F407E2"/>
    <w:rsid w:val="00F412C8"/>
    <w:rsid w:val="00F423FB"/>
    <w:rsid w:val="00F43063"/>
    <w:rsid w:val="00F4692D"/>
    <w:rsid w:val="00F4712C"/>
    <w:rsid w:val="00F50CE0"/>
    <w:rsid w:val="00F50D3D"/>
    <w:rsid w:val="00F52F41"/>
    <w:rsid w:val="00F57611"/>
    <w:rsid w:val="00F57E3E"/>
    <w:rsid w:val="00F62F2A"/>
    <w:rsid w:val="00F655EB"/>
    <w:rsid w:val="00F65C7B"/>
    <w:rsid w:val="00F65CEE"/>
    <w:rsid w:val="00F6741C"/>
    <w:rsid w:val="00F67CDA"/>
    <w:rsid w:val="00F70B80"/>
    <w:rsid w:val="00F71BDB"/>
    <w:rsid w:val="00F71CF0"/>
    <w:rsid w:val="00F72B00"/>
    <w:rsid w:val="00F7328B"/>
    <w:rsid w:val="00F7338E"/>
    <w:rsid w:val="00F740DE"/>
    <w:rsid w:val="00F7512E"/>
    <w:rsid w:val="00F7751C"/>
    <w:rsid w:val="00F80206"/>
    <w:rsid w:val="00F8090C"/>
    <w:rsid w:val="00F81B01"/>
    <w:rsid w:val="00F822B6"/>
    <w:rsid w:val="00F82303"/>
    <w:rsid w:val="00F832B2"/>
    <w:rsid w:val="00F83868"/>
    <w:rsid w:val="00F83BE4"/>
    <w:rsid w:val="00F84141"/>
    <w:rsid w:val="00F841EB"/>
    <w:rsid w:val="00F8625B"/>
    <w:rsid w:val="00F8691D"/>
    <w:rsid w:val="00F86F1C"/>
    <w:rsid w:val="00F87077"/>
    <w:rsid w:val="00F874ED"/>
    <w:rsid w:val="00F877F9"/>
    <w:rsid w:val="00F9183B"/>
    <w:rsid w:val="00F91CCC"/>
    <w:rsid w:val="00F91EE6"/>
    <w:rsid w:val="00F955E2"/>
    <w:rsid w:val="00F96192"/>
    <w:rsid w:val="00F97609"/>
    <w:rsid w:val="00FA3356"/>
    <w:rsid w:val="00FA3871"/>
    <w:rsid w:val="00FA557C"/>
    <w:rsid w:val="00FA6C39"/>
    <w:rsid w:val="00FA7520"/>
    <w:rsid w:val="00FA76AF"/>
    <w:rsid w:val="00FB0227"/>
    <w:rsid w:val="00FB10C9"/>
    <w:rsid w:val="00FB19B7"/>
    <w:rsid w:val="00FB1C2D"/>
    <w:rsid w:val="00FB2394"/>
    <w:rsid w:val="00FB31DF"/>
    <w:rsid w:val="00FB326F"/>
    <w:rsid w:val="00FB5168"/>
    <w:rsid w:val="00FB67F8"/>
    <w:rsid w:val="00FB6E81"/>
    <w:rsid w:val="00FB7E51"/>
    <w:rsid w:val="00FC1232"/>
    <w:rsid w:val="00FC1B92"/>
    <w:rsid w:val="00FC1D84"/>
    <w:rsid w:val="00FC51E7"/>
    <w:rsid w:val="00FC64D5"/>
    <w:rsid w:val="00FC6601"/>
    <w:rsid w:val="00FC6669"/>
    <w:rsid w:val="00FD2BE4"/>
    <w:rsid w:val="00FD2FC9"/>
    <w:rsid w:val="00FD3666"/>
    <w:rsid w:val="00FD413B"/>
    <w:rsid w:val="00FD48AC"/>
    <w:rsid w:val="00FD4917"/>
    <w:rsid w:val="00FD56CF"/>
    <w:rsid w:val="00FD5FB9"/>
    <w:rsid w:val="00FD68F7"/>
    <w:rsid w:val="00FD764A"/>
    <w:rsid w:val="00FE01C3"/>
    <w:rsid w:val="00FE0824"/>
    <w:rsid w:val="00FE2B21"/>
    <w:rsid w:val="00FE320B"/>
    <w:rsid w:val="00FE3694"/>
    <w:rsid w:val="00FE3831"/>
    <w:rsid w:val="00FE3C2D"/>
    <w:rsid w:val="00FE4470"/>
    <w:rsid w:val="00FE4942"/>
    <w:rsid w:val="00FE5501"/>
    <w:rsid w:val="00FE655C"/>
    <w:rsid w:val="00FE6672"/>
    <w:rsid w:val="00FF1BB3"/>
    <w:rsid w:val="00FF1EA7"/>
    <w:rsid w:val="00FF3761"/>
    <w:rsid w:val="00FF3EFC"/>
    <w:rsid w:val="00FF564A"/>
    <w:rsid w:val="00FF5E4E"/>
    <w:rsid w:val="00FF5E57"/>
    <w:rsid w:val="00FF65AB"/>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4FAE7"/>
  <w15:docId w15:val="{7DB1BE1E-3785-4D5E-A73D-78641120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qFormat/>
    <w:rsid w:val="000918F4"/>
    <w:pPr>
      <w:keepNext/>
      <w:keepLines/>
      <w:spacing w:before="200" w:after="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foottextfra,footnote,F,Texto nota pie IIRSA,Texto de rodapé,nota_rodapé,nota de rodapé,FOOTNOTES,single space,footnote text,Style 25,Texto nota piepddes Car Car,Texto nota piepddes Car,ft,ft Car Car,Texto nota pie2,ft1,ft Car Car Car1"/>
    <w:basedOn w:val="Normal"/>
    <w:link w:val="FootnoteTextChar"/>
    <w:uiPriority w:val="99"/>
    <w:unhideWhenUsed/>
    <w:rsid w:val="00902F77"/>
    <w:pPr>
      <w:spacing w:after="0" w:line="240" w:lineRule="auto"/>
    </w:pPr>
    <w:rPr>
      <w:sz w:val="24"/>
      <w:szCs w:val="24"/>
    </w:r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link w:val="FootnoteText"/>
    <w:uiPriority w:val="99"/>
    <w:rsid w:val="00902F77"/>
    <w:rPr>
      <w:sz w:val="24"/>
      <w:szCs w:val="24"/>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3">
    <w:name w:val="Medium Shading 2 Accent 3"/>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4">
    <w:name w:val="Medium Shading 2 Accent 4"/>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2-Accent6">
    <w:name w:val="Medium Shading 2 Accent 6"/>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ghtGrid-Accent11">
    <w:name w:val="Light Grid - Accent 11"/>
    <w:uiPriority w:val="67"/>
    <w:rsid w:val="00A0126B"/>
    <w:rPr>
      <w:color w:val="808080"/>
    </w:rPr>
  </w:style>
  <w:style w:type="paragraph" w:customStyle="1" w:styleId="Chapter">
    <w:name w:val="Chapter"/>
    <w:basedOn w:val="Normal"/>
    <w:next w:val="Normal"/>
    <w:rsid w:val="00E05BAC"/>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BodyTextIndent"/>
    <w:link w:val="ParagraphChar"/>
    <w:qFormat/>
    <w:rsid w:val="00E05BAC"/>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2"/>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aliases w:val="p Char,PARAGRAPH Char,PG Char,pa Char,at Char,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link w:val="Heading2"/>
    <w:uiPriority w:val="9"/>
    <w:semiHidden/>
    <w:rsid w:val="000918F4"/>
    <w:rPr>
      <w:rFonts w:ascii="Calibri" w:eastAsia="MS Gothic" w:hAnsi="Calibri" w:cs="Times New Roman"/>
      <w:b/>
      <w:bCs/>
      <w:color w:val="4F81BD"/>
      <w:sz w:val="26"/>
      <w:szCs w:val="26"/>
    </w:rPr>
  </w:style>
  <w:style w:type="character" w:customStyle="1" w:styleId="Heading1Char">
    <w:name w:val="Heading 1 Char"/>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diumList2-Accent21">
    <w:name w:val="Medium List 2 - Accent 21"/>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3"/>
      </w:numPr>
      <w:spacing w:before="0" w:after="0" w:line="480" w:lineRule="auto"/>
    </w:pPr>
    <w:rPr>
      <w:kern w:val="28"/>
    </w:rPr>
  </w:style>
  <w:style w:type="character" w:customStyle="1" w:styleId="TitulopostICar">
    <w:name w:val="Titulo post I Car"/>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6"/>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7"/>
      </w:numPr>
    </w:pPr>
  </w:style>
  <w:style w:type="character" w:customStyle="1" w:styleId="VietasanexoCar">
    <w:name w:val="Viñetas anexo Car"/>
    <w:link w:val="Vietasanexo"/>
    <w:rsid w:val="00F407E2"/>
    <w:rPr>
      <w:rFonts w:ascii="Times New Roman" w:hAnsi="Times New Roman"/>
      <w:sz w:val="24"/>
      <w:szCs w:val="24"/>
      <w:lang w:val="es-AR"/>
    </w:rPr>
  </w:style>
  <w:style w:type="character" w:customStyle="1" w:styleId="TItuloAnexoCar">
    <w:name w:val="TItulo Anexo 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link w:val="Titulobisanexo"/>
    <w:rsid w:val="00F8691D"/>
    <w:rPr>
      <w:rFonts w:ascii="Times New Roman" w:eastAsia="Times New Roman" w:hAnsi="Times New Roman"/>
      <w:b/>
      <w:bCs/>
      <w:sz w:val="24"/>
      <w:szCs w:val="24"/>
      <w:lang w:val="es-ES"/>
    </w:rPr>
  </w:style>
  <w:style w:type="numbering" w:customStyle="1" w:styleId="LFO11">
    <w:name w:val="LFO11"/>
    <w:pPr>
      <w:numPr>
        <w:numId w:val="9"/>
      </w:numPr>
    </w:pPr>
  </w:style>
  <w:style w:type="character" w:styleId="Hyperlink">
    <w:name w:val="Hyperlink"/>
    <w:unhideWhenUsed/>
    <w:rsid w:val="00255116"/>
    <w:rPr>
      <w:color w:val="0000FF"/>
      <w:u w:val="single"/>
    </w:rPr>
  </w:style>
  <w:style w:type="character" w:customStyle="1" w:styleId="Mencionar">
    <w:name w:val="Mencionar"/>
    <w:uiPriority w:val="99"/>
    <w:semiHidden/>
    <w:unhideWhenUsed/>
    <w:rsid w:val="00255116"/>
    <w:rPr>
      <w:color w:val="2B579A"/>
      <w:shd w:val="clear" w:color="auto" w:fill="E6E6E6"/>
    </w:rPr>
  </w:style>
  <w:style w:type="paragraph" w:customStyle="1" w:styleId="ColorfulList-Accent11">
    <w:name w:val="Colorful List - Accent 11"/>
    <w:basedOn w:val="Normal"/>
    <w:uiPriority w:val="34"/>
    <w:qFormat/>
    <w:rsid w:val="0028577C"/>
    <w:pPr>
      <w:ind w:left="720"/>
    </w:pPr>
  </w:style>
  <w:style w:type="character" w:customStyle="1" w:styleId="Mencinsinresolver">
    <w:name w:val="Mención sin resolver"/>
    <w:uiPriority w:val="99"/>
    <w:semiHidden/>
    <w:unhideWhenUsed/>
    <w:rsid w:val="00E675EC"/>
    <w:rPr>
      <w:color w:val="808080"/>
      <w:shd w:val="clear" w:color="auto" w:fill="E6E6E6"/>
    </w:rPr>
  </w:style>
  <w:style w:type="paragraph" w:styleId="NormalWeb">
    <w:name w:val="Normal (Web)"/>
    <w:basedOn w:val="Normal"/>
    <w:uiPriority w:val="99"/>
    <w:unhideWhenUsed/>
    <w:rsid w:val="0057698F"/>
    <w:rPr>
      <w:rFonts w:ascii="Times New Roman" w:hAnsi="Times New Roman"/>
      <w:sz w:val="24"/>
      <w:szCs w:val="24"/>
    </w:rPr>
  </w:style>
  <w:style w:type="paragraph" w:styleId="Revision">
    <w:name w:val="Revision"/>
    <w:hidden/>
    <w:uiPriority w:val="99"/>
    <w:rsid w:val="00582EDF"/>
    <w:rPr>
      <w:sz w:val="22"/>
      <w:szCs w:val="22"/>
    </w:rPr>
  </w:style>
  <w:style w:type="paragraph" w:styleId="ListParagraph">
    <w:name w:val="List Paragraph"/>
    <w:basedOn w:val="Normal"/>
    <w:uiPriority w:val="34"/>
    <w:qFormat/>
    <w:rsid w:val="000D2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864">
      <w:bodyDiv w:val="1"/>
      <w:marLeft w:val="0"/>
      <w:marRight w:val="0"/>
      <w:marTop w:val="0"/>
      <w:marBottom w:val="0"/>
      <w:divBdr>
        <w:top w:val="none" w:sz="0" w:space="0" w:color="auto"/>
        <w:left w:val="none" w:sz="0" w:space="0" w:color="auto"/>
        <w:bottom w:val="none" w:sz="0" w:space="0" w:color="auto"/>
        <w:right w:val="none" w:sz="0" w:space="0" w:color="auto"/>
      </w:divBdr>
    </w:div>
    <w:div w:id="51849150">
      <w:bodyDiv w:val="1"/>
      <w:marLeft w:val="0"/>
      <w:marRight w:val="0"/>
      <w:marTop w:val="0"/>
      <w:marBottom w:val="0"/>
      <w:divBdr>
        <w:top w:val="none" w:sz="0" w:space="0" w:color="auto"/>
        <w:left w:val="none" w:sz="0" w:space="0" w:color="auto"/>
        <w:bottom w:val="none" w:sz="0" w:space="0" w:color="auto"/>
        <w:right w:val="none" w:sz="0" w:space="0" w:color="auto"/>
      </w:divBdr>
    </w:div>
    <w:div w:id="55132709">
      <w:bodyDiv w:val="1"/>
      <w:marLeft w:val="0"/>
      <w:marRight w:val="0"/>
      <w:marTop w:val="0"/>
      <w:marBottom w:val="0"/>
      <w:divBdr>
        <w:top w:val="none" w:sz="0" w:space="0" w:color="auto"/>
        <w:left w:val="none" w:sz="0" w:space="0" w:color="auto"/>
        <w:bottom w:val="none" w:sz="0" w:space="0" w:color="auto"/>
        <w:right w:val="none" w:sz="0" w:space="0" w:color="auto"/>
      </w:divBdr>
    </w:div>
    <w:div w:id="58869927">
      <w:bodyDiv w:val="1"/>
      <w:marLeft w:val="0"/>
      <w:marRight w:val="0"/>
      <w:marTop w:val="0"/>
      <w:marBottom w:val="0"/>
      <w:divBdr>
        <w:top w:val="none" w:sz="0" w:space="0" w:color="auto"/>
        <w:left w:val="none" w:sz="0" w:space="0" w:color="auto"/>
        <w:bottom w:val="none" w:sz="0" w:space="0" w:color="auto"/>
        <w:right w:val="none" w:sz="0" w:space="0" w:color="auto"/>
      </w:divBdr>
    </w:div>
    <w:div w:id="124857374">
      <w:bodyDiv w:val="1"/>
      <w:marLeft w:val="0"/>
      <w:marRight w:val="0"/>
      <w:marTop w:val="0"/>
      <w:marBottom w:val="0"/>
      <w:divBdr>
        <w:top w:val="none" w:sz="0" w:space="0" w:color="auto"/>
        <w:left w:val="none" w:sz="0" w:space="0" w:color="auto"/>
        <w:bottom w:val="none" w:sz="0" w:space="0" w:color="auto"/>
        <w:right w:val="none" w:sz="0" w:space="0" w:color="auto"/>
      </w:divBdr>
    </w:div>
    <w:div w:id="133715336">
      <w:bodyDiv w:val="1"/>
      <w:marLeft w:val="0"/>
      <w:marRight w:val="0"/>
      <w:marTop w:val="0"/>
      <w:marBottom w:val="0"/>
      <w:divBdr>
        <w:top w:val="none" w:sz="0" w:space="0" w:color="auto"/>
        <w:left w:val="none" w:sz="0" w:space="0" w:color="auto"/>
        <w:bottom w:val="none" w:sz="0" w:space="0" w:color="auto"/>
        <w:right w:val="none" w:sz="0" w:space="0" w:color="auto"/>
      </w:divBdr>
    </w:div>
    <w:div w:id="145436019">
      <w:bodyDiv w:val="1"/>
      <w:marLeft w:val="0"/>
      <w:marRight w:val="0"/>
      <w:marTop w:val="0"/>
      <w:marBottom w:val="0"/>
      <w:divBdr>
        <w:top w:val="none" w:sz="0" w:space="0" w:color="auto"/>
        <w:left w:val="none" w:sz="0" w:space="0" w:color="auto"/>
        <w:bottom w:val="none" w:sz="0" w:space="0" w:color="auto"/>
        <w:right w:val="none" w:sz="0" w:space="0" w:color="auto"/>
      </w:divBdr>
    </w:div>
    <w:div w:id="172499325">
      <w:bodyDiv w:val="1"/>
      <w:marLeft w:val="0"/>
      <w:marRight w:val="0"/>
      <w:marTop w:val="0"/>
      <w:marBottom w:val="0"/>
      <w:divBdr>
        <w:top w:val="none" w:sz="0" w:space="0" w:color="auto"/>
        <w:left w:val="none" w:sz="0" w:space="0" w:color="auto"/>
        <w:bottom w:val="none" w:sz="0" w:space="0" w:color="auto"/>
        <w:right w:val="none" w:sz="0" w:space="0" w:color="auto"/>
      </w:divBdr>
    </w:div>
    <w:div w:id="187181153">
      <w:bodyDiv w:val="1"/>
      <w:marLeft w:val="0"/>
      <w:marRight w:val="0"/>
      <w:marTop w:val="0"/>
      <w:marBottom w:val="0"/>
      <w:divBdr>
        <w:top w:val="none" w:sz="0" w:space="0" w:color="auto"/>
        <w:left w:val="none" w:sz="0" w:space="0" w:color="auto"/>
        <w:bottom w:val="none" w:sz="0" w:space="0" w:color="auto"/>
        <w:right w:val="none" w:sz="0" w:space="0" w:color="auto"/>
      </w:divBdr>
    </w:div>
    <w:div w:id="213278737">
      <w:bodyDiv w:val="1"/>
      <w:marLeft w:val="0"/>
      <w:marRight w:val="0"/>
      <w:marTop w:val="0"/>
      <w:marBottom w:val="0"/>
      <w:divBdr>
        <w:top w:val="none" w:sz="0" w:space="0" w:color="auto"/>
        <w:left w:val="none" w:sz="0" w:space="0" w:color="auto"/>
        <w:bottom w:val="none" w:sz="0" w:space="0" w:color="auto"/>
        <w:right w:val="none" w:sz="0" w:space="0" w:color="auto"/>
      </w:divBdr>
    </w:div>
    <w:div w:id="248387846">
      <w:bodyDiv w:val="1"/>
      <w:marLeft w:val="0"/>
      <w:marRight w:val="0"/>
      <w:marTop w:val="0"/>
      <w:marBottom w:val="0"/>
      <w:divBdr>
        <w:top w:val="none" w:sz="0" w:space="0" w:color="auto"/>
        <w:left w:val="none" w:sz="0" w:space="0" w:color="auto"/>
        <w:bottom w:val="none" w:sz="0" w:space="0" w:color="auto"/>
        <w:right w:val="none" w:sz="0" w:space="0" w:color="auto"/>
      </w:divBdr>
    </w:div>
    <w:div w:id="258223724">
      <w:bodyDiv w:val="1"/>
      <w:marLeft w:val="0"/>
      <w:marRight w:val="0"/>
      <w:marTop w:val="0"/>
      <w:marBottom w:val="0"/>
      <w:divBdr>
        <w:top w:val="none" w:sz="0" w:space="0" w:color="auto"/>
        <w:left w:val="none" w:sz="0" w:space="0" w:color="auto"/>
        <w:bottom w:val="none" w:sz="0" w:space="0" w:color="auto"/>
        <w:right w:val="none" w:sz="0" w:space="0" w:color="auto"/>
      </w:divBdr>
      <w:divsChild>
        <w:div w:id="595985465">
          <w:marLeft w:val="0"/>
          <w:marRight w:val="0"/>
          <w:marTop w:val="0"/>
          <w:marBottom w:val="0"/>
          <w:divBdr>
            <w:top w:val="none" w:sz="0" w:space="0" w:color="auto"/>
            <w:left w:val="none" w:sz="0" w:space="0" w:color="auto"/>
            <w:bottom w:val="none" w:sz="0" w:space="0" w:color="auto"/>
            <w:right w:val="none" w:sz="0" w:space="0" w:color="auto"/>
          </w:divBdr>
          <w:divsChild>
            <w:div w:id="514004357">
              <w:marLeft w:val="0"/>
              <w:marRight w:val="0"/>
              <w:marTop w:val="0"/>
              <w:marBottom w:val="0"/>
              <w:divBdr>
                <w:top w:val="none" w:sz="0" w:space="0" w:color="auto"/>
                <w:left w:val="none" w:sz="0" w:space="0" w:color="auto"/>
                <w:bottom w:val="none" w:sz="0" w:space="0" w:color="auto"/>
                <w:right w:val="none" w:sz="0" w:space="0" w:color="auto"/>
              </w:divBdr>
              <w:divsChild>
                <w:div w:id="543448895">
                  <w:marLeft w:val="0"/>
                  <w:marRight w:val="0"/>
                  <w:marTop w:val="0"/>
                  <w:marBottom w:val="0"/>
                  <w:divBdr>
                    <w:top w:val="none" w:sz="0" w:space="0" w:color="auto"/>
                    <w:left w:val="none" w:sz="0" w:space="0" w:color="auto"/>
                    <w:bottom w:val="none" w:sz="0" w:space="0" w:color="auto"/>
                    <w:right w:val="none" w:sz="0" w:space="0" w:color="auto"/>
                  </w:divBdr>
                  <w:divsChild>
                    <w:div w:id="1852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5517">
      <w:bodyDiv w:val="1"/>
      <w:marLeft w:val="0"/>
      <w:marRight w:val="0"/>
      <w:marTop w:val="0"/>
      <w:marBottom w:val="0"/>
      <w:divBdr>
        <w:top w:val="none" w:sz="0" w:space="0" w:color="auto"/>
        <w:left w:val="none" w:sz="0" w:space="0" w:color="auto"/>
        <w:bottom w:val="none" w:sz="0" w:space="0" w:color="auto"/>
        <w:right w:val="none" w:sz="0" w:space="0" w:color="auto"/>
      </w:divBdr>
    </w:div>
    <w:div w:id="289560012">
      <w:bodyDiv w:val="1"/>
      <w:marLeft w:val="0"/>
      <w:marRight w:val="0"/>
      <w:marTop w:val="0"/>
      <w:marBottom w:val="0"/>
      <w:divBdr>
        <w:top w:val="none" w:sz="0" w:space="0" w:color="auto"/>
        <w:left w:val="none" w:sz="0" w:space="0" w:color="auto"/>
        <w:bottom w:val="none" w:sz="0" w:space="0" w:color="auto"/>
        <w:right w:val="none" w:sz="0" w:space="0" w:color="auto"/>
      </w:divBdr>
    </w:div>
    <w:div w:id="309135412">
      <w:bodyDiv w:val="1"/>
      <w:marLeft w:val="0"/>
      <w:marRight w:val="0"/>
      <w:marTop w:val="0"/>
      <w:marBottom w:val="0"/>
      <w:divBdr>
        <w:top w:val="none" w:sz="0" w:space="0" w:color="auto"/>
        <w:left w:val="none" w:sz="0" w:space="0" w:color="auto"/>
        <w:bottom w:val="none" w:sz="0" w:space="0" w:color="auto"/>
        <w:right w:val="none" w:sz="0" w:space="0" w:color="auto"/>
      </w:divBdr>
      <w:divsChild>
        <w:div w:id="69235797">
          <w:marLeft w:val="0"/>
          <w:marRight w:val="0"/>
          <w:marTop w:val="0"/>
          <w:marBottom w:val="0"/>
          <w:divBdr>
            <w:top w:val="none" w:sz="0" w:space="0" w:color="auto"/>
            <w:left w:val="none" w:sz="0" w:space="0" w:color="auto"/>
            <w:bottom w:val="none" w:sz="0" w:space="0" w:color="auto"/>
            <w:right w:val="none" w:sz="0" w:space="0" w:color="auto"/>
          </w:divBdr>
          <w:divsChild>
            <w:div w:id="917832280">
              <w:marLeft w:val="0"/>
              <w:marRight w:val="0"/>
              <w:marTop w:val="0"/>
              <w:marBottom w:val="0"/>
              <w:divBdr>
                <w:top w:val="none" w:sz="0" w:space="0" w:color="auto"/>
                <w:left w:val="none" w:sz="0" w:space="0" w:color="auto"/>
                <w:bottom w:val="none" w:sz="0" w:space="0" w:color="auto"/>
                <w:right w:val="none" w:sz="0" w:space="0" w:color="auto"/>
              </w:divBdr>
              <w:divsChild>
                <w:div w:id="1273855787">
                  <w:marLeft w:val="0"/>
                  <w:marRight w:val="0"/>
                  <w:marTop w:val="0"/>
                  <w:marBottom w:val="0"/>
                  <w:divBdr>
                    <w:top w:val="none" w:sz="0" w:space="0" w:color="auto"/>
                    <w:left w:val="none" w:sz="0" w:space="0" w:color="auto"/>
                    <w:bottom w:val="none" w:sz="0" w:space="0" w:color="auto"/>
                    <w:right w:val="none" w:sz="0" w:space="0" w:color="auto"/>
                  </w:divBdr>
                  <w:divsChild>
                    <w:div w:id="538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1250">
      <w:bodyDiv w:val="1"/>
      <w:marLeft w:val="0"/>
      <w:marRight w:val="0"/>
      <w:marTop w:val="0"/>
      <w:marBottom w:val="0"/>
      <w:divBdr>
        <w:top w:val="none" w:sz="0" w:space="0" w:color="auto"/>
        <w:left w:val="none" w:sz="0" w:space="0" w:color="auto"/>
        <w:bottom w:val="none" w:sz="0" w:space="0" w:color="auto"/>
        <w:right w:val="none" w:sz="0" w:space="0" w:color="auto"/>
      </w:divBdr>
    </w:div>
    <w:div w:id="412359573">
      <w:bodyDiv w:val="1"/>
      <w:marLeft w:val="0"/>
      <w:marRight w:val="0"/>
      <w:marTop w:val="0"/>
      <w:marBottom w:val="0"/>
      <w:divBdr>
        <w:top w:val="none" w:sz="0" w:space="0" w:color="auto"/>
        <w:left w:val="none" w:sz="0" w:space="0" w:color="auto"/>
        <w:bottom w:val="none" w:sz="0" w:space="0" w:color="auto"/>
        <w:right w:val="none" w:sz="0" w:space="0" w:color="auto"/>
      </w:divBdr>
    </w:div>
    <w:div w:id="419134369">
      <w:bodyDiv w:val="1"/>
      <w:marLeft w:val="0"/>
      <w:marRight w:val="0"/>
      <w:marTop w:val="0"/>
      <w:marBottom w:val="0"/>
      <w:divBdr>
        <w:top w:val="none" w:sz="0" w:space="0" w:color="auto"/>
        <w:left w:val="none" w:sz="0" w:space="0" w:color="auto"/>
        <w:bottom w:val="none" w:sz="0" w:space="0" w:color="auto"/>
        <w:right w:val="none" w:sz="0" w:space="0" w:color="auto"/>
      </w:divBdr>
      <w:divsChild>
        <w:div w:id="431366300">
          <w:marLeft w:val="0"/>
          <w:marRight w:val="0"/>
          <w:marTop w:val="0"/>
          <w:marBottom w:val="0"/>
          <w:divBdr>
            <w:top w:val="none" w:sz="0" w:space="0" w:color="auto"/>
            <w:left w:val="none" w:sz="0" w:space="0" w:color="auto"/>
            <w:bottom w:val="none" w:sz="0" w:space="0" w:color="auto"/>
            <w:right w:val="none" w:sz="0" w:space="0" w:color="auto"/>
          </w:divBdr>
          <w:divsChild>
            <w:div w:id="254829742">
              <w:marLeft w:val="0"/>
              <w:marRight w:val="0"/>
              <w:marTop w:val="0"/>
              <w:marBottom w:val="0"/>
              <w:divBdr>
                <w:top w:val="none" w:sz="0" w:space="0" w:color="auto"/>
                <w:left w:val="none" w:sz="0" w:space="0" w:color="auto"/>
                <w:bottom w:val="none" w:sz="0" w:space="0" w:color="auto"/>
                <w:right w:val="none" w:sz="0" w:space="0" w:color="auto"/>
              </w:divBdr>
              <w:divsChild>
                <w:div w:id="919826627">
                  <w:marLeft w:val="0"/>
                  <w:marRight w:val="0"/>
                  <w:marTop w:val="0"/>
                  <w:marBottom w:val="0"/>
                  <w:divBdr>
                    <w:top w:val="none" w:sz="0" w:space="0" w:color="auto"/>
                    <w:left w:val="none" w:sz="0" w:space="0" w:color="auto"/>
                    <w:bottom w:val="none" w:sz="0" w:space="0" w:color="auto"/>
                    <w:right w:val="none" w:sz="0" w:space="0" w:color="auto"/>
                  </w:divBdr>
                  <w:divsChild>
                    <w:div w:id="2106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454257650">
      <w:bodyDiv w:val="1"/>
      <w:marLeft w:val="0"/>
      <w:marRight w:val="0"/>
      <w:marTop w:val="0"/>
      <w:marBottom w:val="0"/>
      <w:divBdr>
        <w:top w:val="none" w:sz="0" w:space="0" w:color="auto"/>
        <w:left w:val="none" w:sz="0" w:space="0" w:color="auto"/>
        <w:bottom w:val="none" w:sz="0" w:space="0" w:color="auto"/>
        <w:right w:val="none" w:sz="0" w:space="0" w:color="auto"/>
      </w:divBdr>
    </w:div>
    <w:div w:id="469907423">
      <w:bodyDiv w:val="1"/>
      <w:marLeft w:val="0"/>
      <w:marRight w:val="0"/>
      <w:marTop w:val="0"/>
      <w:marBottom w:val="0"/>
      <w:divBdr>
        <w:top w:val="none" w:sz="0" w:space="0" w:color="auto"/>
        <w:left w:val="none" w:sz="0" w:space="0" w:color="auto"/>
        <w:bottom w:val="none" w:sz="0" w:space="0" w:color="auto"/>
        <w:right w:val="none" w:sz="0" w:space="0" w:color="auto"/>
      </w:divBdr>
    </w:div>
    <w:div w:id="490949819">
      <w:bodyDiv w:val="1"/>
      <w:marLeft w:val="0"/>
      <w:marRight w:val="0"/>
      <w:marTop w:val="0"/>
      <w:marBottom w:val="0"/>
      <w:divBdr>
        <w:top w:val="none" w:sz="0" w:space="0" w:color="auto"/>
        <w:left w:val="none" w:sz="0" w:space="0" w:color="auto"/>
        <w:bottom w:val="none" w:sz="0" w:space="0" w:color="auto"/>
        <w:right w:val="none" w:sz="0" w:space="0" w:color="auto"/>
      </w:divBdr>
    </w:div>
    <w:div w:id="520512824">
      <w:bodyDiv w:val="1"/>
      <w:marLeft w:val="0"/>
      <w:marRight w:val="0"/>
      <w:marTop w:val="0"/>
      <w:marBottom w:val="0"/>
      <w:divBdr>
        <w:top w:val="none" w:sz="0" w:space="0" w:color="auto"/>
        <w:left w:val="none" w:sz="0" w:space="0" w:color="auto"/>
        <w:bottom w:val="none" w:sz="0" w:space="0" w:color="auto"/>
        <w:right w:val="none" w:sz="0" w:space="0" w:color="auto"/>
      </w:divBdr>
    </w:div>
    <w:div w:id="532811354">
      <w:bodyDiv w:val="1"/>
      <w:marLeft w:val="0"/>
      <w:marRight w:val="0"/>
      <w:marTop w:val="0"/>
      <w:marBottom w:val="0"/>
      <w:divBdr>
        <w:top w:val="none" w:sz="0" w:space="0" w:color="auto"/>
        <w:left w:val="none" w:sz="0" w:space="0" w:color="auto"/>
        <w:bottom w:val="none" w:sz="0" w:space="0" w:color="auto"/>
        <w:right w:val="none" w:sz="0" w:space="0" w:color="auto"/>
      </w:divBdr>
    </w:div>
    <w:div w:id="560794515">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27246667">
      <w:bodyDiv w:val="1"/>
      <w:marLeft w:val="0"/>
      <w:marRight w:val="0"/>
      <w:marTop w:val="0"/>
      <w:marBottom w:val="0"/>
      <w:divBdr>
        <w:top w:val="none" w:sz="0" w:space="0" w:color="auto"/>
        <w:left w:val="none" w:sz="0" w:space="0" w:color="auto"/>
        <w:bottom w:val="none" w:sz="0" w:space="0" w:color="auto"/>
        <w:right w:val="none" w:sz="0" w:space="0" w:color="auto"/>
      </w:divBdr>
    </w:div>
    <w:div w:id="668482917">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691568603">
      <w:bodyDiv w:val="1"/>
      <w:marLeft w:val="0"/>
      <w:marRight w:val="0"/>
      <w:marTop w:val="0"/>
      <w:marBottom w:val="0"/>
      <w:divBdr>
        <w:top w:val="none" w:sz="0" w:space="0" w:color="auto"/>
        <w:left w:val="none" w:sz="0" w:space="0" w:color="auto"/>
        <w:bottom w:val="none" w:sz="0" w:space="0" w:color="auto"/>
        <w:right w:val="none" w:sz="0" w:space="0" w:color="auto"/>
      </w:divBdr>
    </w:div>
    <w:div w:id="693728671">
      <w:bodyDiv w:val="1"/>
      <w:marLeft w:val="0"/>
      <w:marRight w:val="0"/>
      <w:marTop w:val="0"/>
      <w:marBottom w:val="0"/>
      <w:divBdr>
        <w:top w:val="none" w:sz="0" w:space="0" w:color="auto"/>
        <w:left w:val="none" w:sz="0" w:space="0" w:color="auto"/>
        <w:bottom w:val="none" w:sz="0" w:space="0" w:color="auto"/>
        <w:right w:val="none" w:sz="0" w:space="0" w:color="auto"/>
      </w:divBdr>
    </w:div>
    <w:div w:id="700663400">
      <w:bodyDiv w:val="1"/>
      <w:marLeft w:val="0"/>
      <w:marRight w:val="0"/>
      <w:marTop w:val="0"/>
      <w:marBottom w:val="0"/>
      <w:divBdr>
        <w:top w:val="none" w:sz="0" w:space="0" w:color="auto"/>
        <w:left w:val="none" w:sz="0" w:space="0" w:color="auto"/>
        <w:bottom w:val="none" w:sz="0" w:space="0" w:color="auto"/>
        <w:right w:val="none" w:sz="0" w:space="0" w:color="auto"/>
      </w:divBdr>
      <w:divsChild>
        <w:div w:id="954674897">
          <w:marLeft w:val="0"/>
          <w:marRight w:val="0"/>
          <w:marTop w:val="0"/>
          <w:marBottom w:val="0"/>
          <w:divBdr>
            <w:top w:val="none" w:sz="0" w:space="0" w:color="auto"/>
            <w:left w:val="none" w:sz="0" w:space="0" w:color="auto"/>
            <w:bottom w:val="none" w:sz="0" w:space="0" w:color="auto"/>
            <w:right w:val="none" w:sz="0" w:space="0" w:color="auto"/>
          </w:divBdr>
          <w:divsChild>
            <w:div w:id="1367825890">
              <w:marLeft w:val="0"/>
              <w:marRight w:val="0"/>
              <w:marTop w:val="0"/>
              <w:marBottom w:val="0"/>
              <w:divBdr>
                <w:top w:val="none" w:sz="0" w:space="0" w:color="auto"/>
                <w:left w:val="none" w:sz="0" w:space="0" w:color="auto"/>
                <w:bottom w:val="none" w:sz="0" w:space="0" w:color="auto"/>
                <w:right w:val="none" w:sz="0" w:space="0" w:color="auto"/>
              </w:divBdr>
              <w:divsChild>
                <w:div w:id="14444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708646626">
      <w:bodyDiv w:val="1"/>
      <w:marLeft w:val="0"/>
      <w:marRight w:val="0"/>
      <w:marTop w:val="0"/>
      <w:marBottom w:val="0"/>
      <w:divBdr>
        <w:top w:val="none" w:sz="0" w:space="0" w:color="auto"/>
        <w:left w:val="none" w:sz="0" w:space="0" w:color="auto"/>
        <w:bottom w:val="none" w:sz="0" w:space="0" w:color="auto"/>
        <w:right w:val="none" w:sz="0" w:space="0" w:color="auto"/>
      </w:divBdr>
    </w:div>
    <w:div w:id="717121394">
      <w:bodyDiv w:val="1"/>
      <w:marLeft w:val="0"/>
      <w:marRight w:val="0"/>
      <w:marTop w:val="0"/>
      <w:marBottom w:val="0"/>
      <w:divBdr>
        <w:top w:val="none" w:sz="0" w:space="0" w:color="auto"/>
        <w:left w:val="none" w:sz="0" w:space="0" w:color="auto"/>
        <w:bottom w:val="none" w:sz="0" w:space="0" w:color="auto"/>
        <w:right w:val="none" w:sz="0" w:space="0" w:color="auto"/>
      </w:divBdr>
    </w:div>
    <w:div w:id="723069526">
      <w:bodyDiv w:val="1"/>
      <w:marLeft w:val="0"/>
      <w:marRight w:val="0"/>
      <w:marTop w:val="0"/>
      <w:marBottom w:val="0"/>
      <w:divBdr>
        <w:top w:val="none" w:sz="0" w:space="0" w:color="auto"/>
        <w:left w:val="none" w:sz="0" w:space="0" w:color="auto"/>
        <w:bottom w:val="none" w:sz="0" w:space="0" w:color="auto"/>
        <w:right w:val="none" w:sz="0" w:space="0" w:color="auto"/>
      </w:divBdr>
    </w:div>
    <w:div w:id="733360719">
      <w:bodyDiv w:val="1"/>
      <w:marLeft w:val="0"/>
      <w:marRight w:val="0"/>
      <w:marTop w:val="0"/>
      <w:marBottom w:val="0"/>
      <w:divBdr>
        <w:top w:val="none" w:sz="0" w:space="0" w:color="auto"/>
        <w:left w:val="none" w:sz="0" w:space="0" w:color="auto"/>
        <w:bottom w:val="none" w:sz="0" w:space="0" w:color="auto"/>
        <w:right w:val="none" w:sz="0" w:space="0" w:color="auto"/>
      </w:divBdr>
    </w:div>
    <w:div w:id="751702216">
      <w:bodyDiv w:val="1"/>
      <w:marLeft w:val="0"/>
      <w:marRight w:val="0"/>
      <w:marTop w:val="0"/>
      <w:marBottom w:val="0"/>
      <w:divBdr>
        <w:top w:val="none" w:sz="0" w:space="0" w:color="auto"/>
        <w:left w:val="none" w:sz="0" w:space="0" w:color="auto"/>
        <w:bottom w:val="none" w:sz="0" w:space="0" w:color="auto"/>
        <w:right w:val="none" w:sz="0" w:space="0" w:color="auto"/>
      </w:divBdr>
    </w:div>
    <w:div w:id="753821667">
      <w:bodyDiv w:val="1"/>
      <w:marLeft w:val="0"/>
      <w:marRight w:val="0"/>
      <w:marTop w:val="0"/>
      <w:marBottom w:val="0"/>
      <w:divBdr>
        <w:top w:val="none" w:sz="0" w:space="0" w:color="auto"/>
        <w:left w:val="none" w:sz="0" w:space="0" w:color="auto"/>
        <w:bottom w:val="none" w:sz="0" w:space="0" w:color="auto"/>
        <w:right w:val="none" w:sz="0" w:space="0" w:color="auto"/>
      </w:divBdr>
    </w:div>
    <w:div w:id="788626644">
      <w:bodyDiv w:val="1"/>
      <w:marLeft w:val="0"/>
      <w:marRight w:val="0"/>
      <w:marTop w:val="0"/>
      <w:marBottom w:val="0"/>
      <w:divBdr>
        <w:top w:val="none" w:sz="0" w:space="0" w:color="auto"/>
        <w:left w:val="none" w:sz="0" w:space="0" w:color="auto"/>
        <w:bottom w:val="none" w:sz="0" w:space="0" w:color="auto"/>
        <w:right w:val="none" w:sz="0" w:space="0" w:color="auto"/>
      </w:divBdr>
    </w:div>
    <w:div w:id="824005253">
      <w:bodyDiv w:val="1"/>
      <w:marLeft w:val="0"/>
      <w:marRight w:val="0"/>
      <w:marTop w:val="0"/>
      <w:marBottom w:val="0"/>
      <w:divBdr>
        <w:top w:val="none" w:sz="0" w:space="0" w:color="auto"/>
        <w:left w:val="none" w:sz="0" w:space="0" w:color="auto"/>
        <w:bottom w:val="none" w:sz="0" w:space="0" w:color="auto"/>
        <w:right w:val="none" w:sz="0" w:space="0" w:color="auto"/>
      </w:divBdr>
      <w:divsChild>
        <w:div w:id="702289489">
          <w:marLeft w:val="0"/>
          <w:marRight w:val="0"/>
          <w:marTop w:val="0"/>
          <w:marBottom w:val="0"/>
          <w:divBdr>
            <w:top w:val="none" w:sz="0" w:space="0" w:color="auto"/>
            <w:left w:val="none" w:sz="0" w:space="0" w:color="auto"/>
            <w:bottom w:val="none" w:sz="0" w:space="0" w:color="auto"/>
            <w:right w:val="none" w:sz="0" w:space="0" w:color="auto"/>
          </w:divBdr>
          <w:divsChild>
            <w:div w:id="2058620129">
              <w:marLeft w:val="0"/>
              <w:marRight w:val="0"/>
              <w:marTop w:val="0"/>
              <w:marBottom w:val="0"/>
              <w:divBdr>
                <w:top w:val="none" w:sz="0" w:space="0" w:color="auto"/>
                <w:left w:val="none" w:sz="0" w:space="0" w:color="auto"/>
                <w:bottom w:val="none" w:sz="0" w:space="0" w:color="auto"/>
                <w:right w:val="none" w:sz="0" w:space="0" w:color="auto"/>
              </w:divBdr>
              <w:divsChild>
                <w:div w:id="1431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844586493">
      <w:bodyDiv w:val="1"/>
      <w:marLeft w:val="0"/>
      <w:marRight w:val="0"/>
      <w:marTop w:val="0"/>
      <w:marBottom w:val="0"/>
      <w:divBdr>
        <w:top w:val="none" w:sz="0" w:space="0" w:color="auto"/>
        <w:left w:val="none" w:sz="0" w:space="0" w:color="auto"/>
        <w:bottom w:val="none" w:sz="0" w:space="0" w:color="auto"/>
        <w:right w:val="none" w:sz="0" w:space="0" w:color="auto"/>
      </w:divBdr>
    </w:div>
    <w:div w:id="845285120">
      <w:bodyDiv w:val="1"/>
      <w:marLeft w:val="0"/>
      <w:marRight w:val="0"/>
      <w:marTop w:val="0"/>
      <w:marBottom w:val="0"/>
      <w:divBdr>
        <w:top w:val="none" w:sz="0" w:space="0" w:color="auto"/>
        <w:left w:val="none" w:sz="0" w:space="0" w:color="auto"/>
        <w:bottom w:val="none" w:sz="0" w:space="0" w:color="auto"/>
        <w:right w:val="none" w:sz="0" w:space="0" w:color="auto"/>
      </w:divBdr>
    </w:div>
    <w:div w:id="850099946">
      <w:bodyDiv w:val="1"/>
      <w:marLeft w:val="0"/>
      <w:marRight w:val="0"/>
      <w:marTop w:val="0"/>
      <w:marBottom w:val="0"/>
      <w:divBdr>
        <w:top w:val="none" w:sz="0" w:space="0" w:color="auto"/>
        <w:left w:val="none" w:sz="0" w:space="0" w:color="auto"/>
        <w:bottom w:val="none" w:sz="0" w:space="0" w:color="auto"/>
        <w:right w:val="none" w:sz="0" w:space="0" w:color="auto"/>
      </w:divBdr>
      <w:divsChild>
        <w:div w:id="1460105288">
          <w:marLeft w:val="0"/>
          <w:marRight w:val="0"/>
          <w:marTop w:val="0"/>
          <w:marBottom w:val="0"/>
          <w:divBdr>
            <w:top w:val="none" w:sz="0" w:space="0" w:color="auto"/>
            <w:left w:val="none" w:sz="0" w:space="0" w:color="auto"/>
            <w:bottom w:val="none" w:sz="0" w:space="0" w:color="auto"/>
            <w:right w:val="none" w:sz="0" w:space="0" w:color="auto"/>
          </w:divBdr>
          <w:divsChild>
            <w:div w:id="1547183049">
              <w:marLeft w:val="0"/>
              <w:marRight w:val="0"/>
              <w:marTop w:val="0"/>
              <w:marBottom w:val="0"/>
              <w:divBdr>
                <w:top w:val="none" w:sz="0" w:space="0" w:color="auto"/>
                <w:left w:val="none" w:sz="0" w:space="0" w:color="auto"/>
                <w:bottom w:val="none" w:sz="0" w:space="0" w:color="auto"/>
                <w:right w:val="none" w:sz="0" w:space="0" w:color="auto"/>
              </w:divBdr>
              <w:divsChild>
                <w:div w:id="15946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7939">
      <w:bodyDiv w:val="1"/>
      <w:marLeft w:val="0"/>
      <w:marRight w:val="0"/>
      <w:marTop w:val="0"/>
      <w:marBottom w:val="0"/>
      <w:divBdr>
        <w:top w:val="none" w:sz="0" w:space="0" w:color="auto"/>
        <w:left w:val="none" w:sz="0" w:space="0" w:color="auto"/>
        <w:bottom w:val="none" w:sz="0" w:space="0" w:color="auto"/>
        <w:right w:val="none" w:sz="0" w:space="0" w:color="auto"/>
      </w:divBdr>
      <w:divsChild>
        <w:div w:id="94398482">
          <w:marLeft w:val="0"/>
          <w:marRight w:val="0"/>
          <w:marTop w:val="0"/>
          <w:marBottom w:val="0"/>
          <w:divBdr>
            <w:top w:val="none" w:sz="0" w:space="0" w:color="auto"/>
            <w:left w:val="none" w:sz="0" w:space="0" w:color="auto"/>
            <w:bottom w:val="none" w:sz="0" w:space="0" w:color="auto"/>
            <w:right w:val="none" w:sz="0" w:space="0" w:color="auto"/>
          </w:divBdr>
          <w:divsChild>
            <w:div w:id="386800612">
              <w:marLeft w:val="0"/>
              <w:marRight w:val="0"/>
              <w:marTop w:val="0"/>
              <w:marBottom w:val="0"/>
              <w:divBdr>
                <w:top w:val="none" w:sz="0" w:space="0" w:color="auto"/>
                <w:left w:val="none" w:sz="0" w:space="0" w:color="auto"/>
                <w:bottom w:val="none" w:sz="0" w:space="0" w:color="auto"/>
                <w:right w:val="none" w:sz="0" w:space="0" w:color="auto"/>
              </w:divBdr>
              <w:divsChild>
                <w:div w:id="2946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7503">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905914787">
      <w:bodyDiv w:val="1"/>
      <w:marLeft w:val="0"/>
      <w:marRight w:val="0"/>
      <w:marTop w:val="0"/>
      <w:marBottom w:val="0"/>
      <w:divBdr>
        <w:top w:val="none" w:sz="0" w:space="0" w:color="auto"/>
        <w:left w:val="none" w:sz="0" w:space="0" w:color="auto"/>
        <w:bottom w:val="none" w:sz="0" w:space="0" w:color="auto"/>
        <w:right w:val="none" w:sz="0" w:space="0" w:color="auto"/>
      </w:divBdr>
    </w:div>
    <w:div w:id="959258679">
      <w:bodyDiv w:val="1"/>
      <w:marLeft w:val="0"/>
      <w:marRight w:val="0"/>
      <w:marTop w:val="0"/>
      <w:marBottom w:val="0"/>
      <w:divBdr>
        <w:top w:val="none" w:sz="0" w:space="0" w:color="auto"/>
        <w:left w:val="none" w:sz="0" w:space="0" w:color="auto"/>
        <w:bottom w:val="none" w:sz="0" w:space="0" w:color="auto"/>
        <w:right w:val="none" w:sz="0" w:space="0" w:color="auto"/>
      </w:divBdr>
    </w:div>
    <w:div w:id="993146901">
      <w:bodyDiv w:val="1"/>
      <w:marLeft w:val="0"/>
      <w:marRight w:val="0"/>
      <w:marTop w:val="0"/>
      <w:marBottom w:val="0"/>
      <w:divBdr>
        <w:top w:val="none" w:sz="0" w:space="0" w:color="auto"/>
        <w:left w:val="none" w:sz="0" w:space="0" w:color="auto"/>
        <w:bottom w:val="none" w:sz="0" w:space="0" w:color="auto"/>
        <w:right w:val="none" w:sz="0" w:space="0" w:color="auto"/>
      </w:divBdr>
    </w:div>
    <w:div w:id="1014763473">
      <w:bodyDiv w:val="1"/>
      <w:marLeft w:val="0"/>
      <w:marRight w:val="0"/>
      <w:marTop w:val="0"/>
      <w:marBottom w:val="0"/>
      <w:divBdr>
        <w:top w:val="none" w:sz="0" w:space="0" w:color="auto"/>
        <w:left w:val="none" w:sz="0" w:space="0" w:color="auto"/>
        <w:bottom w:val="none" w:sz="0" w:space="0" w:color="auto"/>
        <w:right w:val="none" w:sz="0" w:space="0" w:color="auto"/>
      </w:divBdr>
    </w:div>
    <w:div w:id="1033573182">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088624754">
      <w:bodyDiv w:val="1"/>
      <w:marLeft w:val="0"/>
      <w:marRight w:val="0"/>
      <w:marTop w:val="0"/>
      <w:marBottom w:val="0"/>
      <w:divBdr>
        <w:top w:val="none" w:sz="0" w:space="0" w:color="auto"/>
        <w:left w:val="none" w:sz="0" w:space="0" w:color="auto"/>
        <w:bottom w:val="none" w:sz="0" w:space="0" w:color="auto"/>
        <w:right w:val="none" w:sz="0" w:space="0" w:color="auto"/>
      </w:divBdr>
    </w:div>
    <w:div w:id="1100570457">
      <w:bodyDiv w:val="1"/>
      <w:marLeft w:val="0"/>
      <w:marRight w:val="0"/>
      <w:marTop w:val="0"/>
      <w:marBottom w:val="0"/>
      <w:divBdr>
        <w:top w:val="none" w:sz="0" w:space="0" w:color="auto"/>
        <w:left w:val="none" w:sz="0" w:space="0" w:color="auto"/>
        <w:bottom w:val="none" w:sz="0" w:space="0" w:color="auto"/>
        <w:right w:val="none" w:sz="0" w:space="0" w:color="auto"/>
      </w:divBdr>
    </w:div>
    <w:div w:id="1101878670">
      <w:bodyDiv w:val="1"/>
      <w:marLeft w:val="0"/>
      <w:marRight w:val="0"/>
      <w:marTop w:val="0"/>
      <w:marBottom w:val="0"/>
      <w:divBdr>
        <w:top w:val="none" w:sz="0" w:space="0" w:color="auto"/>
        <w:left w:val="none" w:sz="0" w:space="0" w:color="auto"/>
        <w:bottom w:val="none" w:sz="0" w:space="0" w:color="auto"/>
        <w:right w:val="none" w:sz="0" w:space="0" w:color="auto"/>
      </w:divBdr>
    </w:div>
    <w:div w:id="1128282576">
      <w:bodyDiv w:val="1"/>
      <w:marLeft w:val="0"/>
      <w:marRight w:val="0"/>
      <w:marTop w:val="0"/>
      <w:marBottom w:val="0"/>
      <w:divBdr>
        <w:top w:val="none" w:sz="0" w:space="0" w:color="auto"/>
        <w:left w:val="none" w:sz="0" w:space="0" w:color="auto"/>
        <w:bottom w:val="none" w:sz="0" w:space="0" w:color="auto"/>
        <w:right w:val="none" w:sz="0" w:space="0" w:color="auto"/>
      </w:divBdr>
    </w:div>
    <w:div w:id="1158888297">
      <w:bodyDiv w:val="1"/>
      <w:marLeft w:val="0"/>
      <w:marRight w:val="0"/>
      <w:marTop w:val="0"/>
      <w:marBottom w:val="0"/>
      <w:divBdr>
        <w:top w:val="none" w:sz="0" w:space="0" w:color="auto"/>
        <w:left w:val="none" w:sz="0" w:space="0" w:color="auto"/>
        <w:bottom w:val="none" w:sz="0" w:space="0" w:color="auto"/>
        <w:right w:val="none" w:sz="0" w:space="0" w:color="auto"/>
      </w:divBdr>
    </w:div>
    <w:div w:id="1161965621">
      <w:bodyDiv w:val="1"/>
      <w:marLeft w:val="0"/>
      <w:marRight w:val="0"/>
      <w:marTop w:val="0"/>
      <w:marBottom w:val="0"/>
      <w:divBdr>
        <w:top w:val="none" w:sz="0" w:space="0" w:color="auto"/>
        <w:left w:val="none" w:sz="0" w:space="0" w:color="auto"/>
        <w:bottom w:val="none" w:sz="0" w:space="0" w:color="auto"/>
        <w:right w:val="none" w:sz="0" w:space="0" w:color="auto"/>
      </w:divBdr>
    </w:div>
    <w:div w:id="1175027693">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243566290">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79265389">
      <w:bodyDiv w:val="1"/>
      <w:marLeft w:val="0"/>
      <w:marRight w:val="0"/>
      <w:marTop w:val="0"/>
      <w:marBottom w:val="0"/>
      <w:divBdr>
        <w:top w:val="none" w:sz="0" w:space="0" w:color="auto"/>
        <w:left w:val="none" w:sz="0" w:space="0" w:color="auto"/>
        <w:bottom w:val="none" w:sz="0" w:space="0" w:color="auto"/>
        <w:right w:val="none" w:sz="0" w:space="0" w:color="auto"/>
      </w:divBdr>
    </w:div>
    <w:div w:id="1296638981">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0288177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353603505">
      <w:bodyDiv w:val="1"/>
      <w:marLeft w:val="0"/>
      <w:marRight w:val="0"/>
      <w:marTop w:val="0"/>
      <w:marBottom w:val="0"/>
      <w:divBdr>
        <w:top w:val="none" w:sz="0" w:space="0" w:color="auto"/>
        <w:left w:val="none" w:sz="0" w:space="0" w:color="auto"/>
        <w:bottom w:val="none" w:sz="0" w:space="0" w:color="auto"/>
        <w:right w:val="none" w:sz="0" w:space="0" w:color="auto"/>
      </w:divBdr>
    </w:div>
    <w:div w:id="1410617574">
      <w:bodyDiv w:val="1"/>
      <w:marLeft w:val="0"/>
      <w:marRight w:val="0"/>
      <w:marTop w:val="0"/>
      <w:marBottom w:val="0"/>
      <w:divBdr>
        <w:top w:val="none" w:sz="0" w:space="0" w:color="auto"/>
        <w:left w:val="none" w:sz="0" w:space="0" w:color="auto"/>
        <w:bottom w:val="none" w:sz="0" w:space="0" w:color="auto"/>
        <w:right w:val="none" w:sz="0" w:space="0" w:color="auto"/>
      </w:divBdr>
    </w:div>
    <w:div w:id="1415080398">
      <w:bodyDiv w:val="1"/>
      <w:marLeft w:val="0"/>
      <w:marRight w:val="0"/>
      <w:marTop w:val="0"/>
      <w:marBottom w:val="0"/>
      <w:divBdr>
        <w:top w:val="none" w:sz="0" w:space="0" w:color="auto"/>
        <w:left w:val="none" w:sz="0" w:space="0" w:color="auto"/>
        <w:bottom w:val="none" w:sz="0" w:space="0" w:color="auto"/>
        <w:right w:val="none" w:sz="0" w:space="0" w:color="auto"/>
      </w:divBdr>
      <w:divsChild>
        <w:div w:id="1816602792">
          <w:marLeft w:val="0"/>
          <w:marRight w:val="0"/>
          <w:marTop w:val="0"/>
          <w:marBottom w:val="0"/>
          <w:divBdr>
            <w:top w:val="none" w:sz="0" w:space="0" w:color="auto"/>
            <w:left w:val="none" w:sz="0" w:space="0" w:color="auto"/>
            <w:bottom w:val="none" w:sz="0" w:space="0" w:color="auto"/>
            <w:right w:val="none" w:sz="0" w:space="0" w:color="auto"/>
          </w:divBdr>
          <w:divsChild>
            <w:div w:id="930966582">
              <w:marLeft w:val="0"/>
              <w:marRight w:val="0"/>
              <w:marTop w:val="0"/>
              <w:marBottom w:val="0"/>
              <w:divBdr>
                <w:top w:val="none" w:sz="0" w:space="0" w:color="auto"/>
                <w:left w:val="none" w:sz="0" w:space="0" w:color="auto"/>
                <w:bottom w:val="none" w:sz="0" w:space="0" w:color="auto"/>
                <w:right w:val="none" w:sz="0" w:space="0" w:color="auto"/>
              </w:divBdr>
              <w:divsChild>
                <w:div w:id="2448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1560">
      <w:bodyDiv w:val="1"/>
      <w:marLeft w:val="0"/>
      <w:marRight w:val="0"/>
      <w:marTop w:val="0"/>
      <w:marBottom w:val="0"/>
      <w:divBdr>
        <w:top w:val="none" w:sz="0" w:space="0" w:color="auto"/>
        <w:left w:val="none" w:sz="0" w:space="0" w:color="auto"/>
        <w:bottom w:val="none" w:sz="0" w:space="0" w:color="auto"/>
        <w:right w:val="none" w:sz="0" w:space="0" w:color="auto"/>
      </w:divBdr>
    </w:div>
    <w:div w:id="1445810483">
      <w:bodyDiv w:val="1"/>
      <w:marLeft w:val="0"/>
      <w:marRight w:val="0"/>
      <w:marTop w:val="0"/>
      <w:marBottom w:val="0"/>
      <w:divBdr>
        <w:top w:val="none" w:sz="0" w:space="0" w:color="auto"/>
        <w:left w:val="none" w:sz="0" w:space="0" w:color="auto"/>
        <w:bottom w:val="none" w:sz="0" w:space="0" w:color="auto"/>
        <w:right w:val="none" w:sz="0" w:space="0" w:color="auto"/>
      </w:divBdr>
    </w:div>
    <w:div w:id="1455828612">
      <w:bodyDiv w:val="1"/>
      <w:marLeft w:val="0"/>
      <w:marRight w:val="0"/>
      <w:marTop w:val="0"/>
      <w:marBottom w:val="0"/>
      <w:divBdr>
        <w:top w:val="none" w:sz="0" w:space="0" w:color="auto"/>
        <w:left w:val="none" w:sz="0" w:space="0" w:color="auto"/>
        <w:bottom w:val="none" w:sz="0" w:space="0" w:color="auto"/>
        <w:right w:val="none" w:sz="0" w:space="0" w:color="auto"/>
      </w:divBdr>
    </w:div>
    <w:div w:id="1464230452">
      <w:bodyDiv w:val="1"/>
      <w:marLeft w:val="0"/>
      <w:marRight w:val="0"/>
      <w:marTop w:val="0"/>
      <w:marBottom w:val="0"/>
      <w:divBdr>
        <w:top w:val="none" w:sz="0" w:space="0" w:color="auto"/>
        <w:left w:val="none" w:sz="0" w:space="0" w:color="auto"/>
        <w:bottom w:val="none" w:sz="0" w:space="0" w:color="auto"/>
        <w:right w:val="none" w:sz="0" w:space="0" w:color="auto"/>
      </w:divBdr>
      <w:divsChild>
        <w:div w:id="173541249">
          <w:marLeft w:val="0"/>
          <w:marRight w:val="0"/>
          <w:marTop w:val="0"/>
          <w:marBottom w:val="0"/>
          <w:divBdr>
            <w:top w:val="none" w:sz="0" w:space="0" w:color="auto"/>
            <w:left w:val="none" w:sz="0" w:space="0" w:color="auto"/>
            <w:bottom w:val="none" w:sz="0" w:space="0" w:color="auto"/>
            <w:right w:val="none" w:sz="0" w:space="0" w:color="auto"/>
          </w:divBdr>
          <w:divsChild>
            <w:div w:id="1093286616">
              <w:marLeft w:val="0"/>
              <w:marRight w:val="0"/>
              <w:marTop w:val="0"/>
              <w:marBottom w:val="0"/>
              <w:divBdr>
                <w:top w:val="none" w:sz="0" w:space="0" w:color="auto"/>
                <w:left w:val="none" w:sz="0" w:space="0" w:color="auto"/>
                <w:bottom w:val="none" w:sz="0" w:space="0" w:color="auto"/>
                <w:right w:val="none" w:sz="0" w:space="0" w:color="auto"/>
              </w:divBdr>
              <w:divsChild>
                <w:div w:id="15840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80161">
      <w:bodyDiv w:val="1"/>
      <w:marLeft w:val="0"/>
      <w:marRight w:val="0"/>
      <w:marTop w:val="0"/>
      <w:marBottom w:val="0"/>
      <w:divBdr>
        <w:top w:val="none" w:sz="0" w:space="0" w:color="auto"/>
        <w:left w:val="none" w:sz="0" w:space="0" w:color="auto"/>
        <w:bottom w:val="none" w:sz="0" w:space="0" w:color="auto"/>
        <w:right w:val="none" w:sz="0" w:space="0" w:color="auto"/>
      </w:divBdr>
    </w:div>
    <w:div w:id="1477649613">
      <w:bodyDiv w:val="1"/>
      <w:marLeft w:val="0"/>
      <w:marRight w:val="0"/>
      <w:marTop w:val="0"/>
      <w:marBottom w:val="0"/>
      <w:divBdr>
        <w:top w:val="none" w:sz="0" w:space="0" w:color="auto"/>
        <w:left w:val="none" w:sz="0" w:space="0" w:color="auto"/>
        <w:bottom w:val="none" w:sz="0" w:space="0" w:color="auto"/>
        <w:right w:val="none" w:sz="0" w:space="0" w:color="auto"/>
      </w:divBdr>
      <w:divsChild>
        <w:div w:id="428501702">
          <w:marLeft w:val="0"/>
          <w:marRight w:val="0"/>
          <w:marTop w:val="0"/>
          <w:marBottom w:val="0"/>
          <w:divBdr>
            <w:top w:val="none" w:sz="0" w:space="0" w:color="auto"/>
            <w:left w:val="none" w:sz="0" w:space="0" w:color="auto"/>
            <w:bottom w:val="none" w:sz="0" w:space="0" w:color="auto"/>
            <w:right w:val="none" w:sz="0" w:space="0" w:color="auto"/>
          </w:divBdr>
          <w:divsChild>
            <w:div w:id="1049886804">
              <w:marLeft w:val="0"/>
              <w:marRight w:val="0"/>
              <w:marTop w:val="0"/>
              <w:marBottom w:val="0"/>
              <w:divBdr>
                <w:top w:val="none" w:sz="0" w:space="0" w:color="auto"/>
                <w:left w:val="none" w:sz="0" w:space="0" w:color="auto"/>
                <w:bottom w:val="none" w:sz="0" w:space="0" w:color="auto"/>
                <w:right w:val="none" w:sz="0" w:space="0" w:color="auto"/>
              </w:divBdr>
              <w:divsChild>
                <w:div w:id="1312370186">
                  <w:marLeft w:val="0"/>
                  <w:marRight w:val="0"/>
                  <w:marTop w:val="0"/>
                  <w:marBottom w:val="0"/>
                  <w:divBdr>
                    <w:top w:val="none" w:sz="0" w:space="0" w:color="auto"/>
                    <w:left w:val="none" w:sz="0" w:space="0" w:color="auto"/>
                    <w:bottom w:val="none" w:sz="0" w:space="0" w:color="auto"/>
                    <w:right w:val="none" w:sz="0" w:space="0" w:color="auto"/>
                  </w:divBdr>
                  <w:divsChild>
                    <w:div w:id="15129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60629">
      <w:bodyDiv w:val="1"/>
      <w:marLeft w:val="0"/>
      <w:marRight w:val="0"/>
      <w:marTop w:val="0"/>
      <w:marBottom w:val="0"/>
      <w:divBdr>
        <w:top w:val="none" w:sz="0" w:space="0" w:color="auto"/>
        <w:left w:val="none" w:sz="0" w:space="0" w:color="auto"/>
        <w:bottom w:val="none" w:sz="0" w:space="0" w:color="auto"/>
        <w:right w:val="none" w:sz="0" w:space="0" w:color="auto"/>
      </w:divBdr>
    </w:div>
    <w:div w:id="1484391435">
      <w:bodyDiv w:val="1"/>
      <w:marLeft w:val="0"/>
      <w:marRight w:val="0"/>
      <w:marTop w:val="0"/>
      <w:marBottom w:val="0"/>
      <w:divBdr>
        <w:top w:val="none" w:sz="0" w:space="0" w:color="auto"/>
        <w:left w:val="none" w:sz="0" w:space="0" w:color="auto"/>
        <w:bottom w:val="none" w:sz="0" w:space="0" w:color="auto"/>
        <w:right w:val="none" w:sz="0" w:space="0" w:color="auto"/>
      </w:divBdr>
    </w:div>
    <w:div w:id="1490948494">
      <w:bodyDiv w:val="1"/>
      <w:marLeft w:val="0"/>
      <w:marRight w:val="0"/>
      <w:marTop w:val="0"/>
      <w:marBottom w:val="0"/>
      <w:divBdr>
        <w:top w:val="none" w:sz="0" w:space="0" w:color="auto"/>
        <w:left w:val="none" w:sz="0" w:space="0" w:color="auto"/>
        <w:bottom w:val="none" w:sz="0" w:space="0" w:color="auto"/>
        <w:right w:val="none" w:sz="0" w:space="0" w:color="auto"/>
      </w:divBdr>
    </w:div>
    <w:div w:id="1510413204">
      <w:bodyDiv w:val="1"/>
      <w:marLeft w:val="0"/>
      <w:marRight w:val="0"/>
      <w:marTop w:val="0"/>
      <w:marBottom w:val="0"/>
      <w:divBdr>
        <w:top w:val="none" w:sz="0" w:space="0" w:color="auto"/>
        <w:left w:val="none" w:sz="0" w:space="0" w:color="auto"/>
        <w:bottom w:val="none" w:sz="0" w:space="0" w:color="auto"/>
        <w:right w:val="none" w:sz="0" w:space="0" w:color="auto"/>
      </w:divBdr>
      <w:divsChild>
        <w:div w:id="750782337">
          <w:marLeft w:val="0"/>
          <w:marRight w:val="0"/>
          <w:marTop w:val="0"/>
          <w:marBottom w:val="0"/>
          <w:divBdr>
            <w:top w:val="none" w:sz="0" w:space="0" w:color="auto"/>
            <w:left w:val="none" w:sz="0" w:space="0" w:color="auto"/>
            <w:bottom w:val="none" w:sz="0" w:space="0" w:color="auto"/>
            <w:right w:val="none" w:sz="0" w:space="0" w:color="auto"/>
          </w:divBdr>
          <w:divsChild>
            <w:div w:id="1864400796">
              <w:marLeft w:val="0"/>
              <w:marRight w:val="0"/>
              <w:marTop w:val="0"/>
              <w:marBottom w:val="0"/>
              <w:divBdr>
                <w:top w:val="none" w:sz="0" w:space="0" w:color="auto"/>
                <w:left w:val="none" w:sz="0" w:space="0" w:color="auto"/>
                <w:bottom w:val="none" w:sz="0" w:space="0" w:color="auto"/>
                <w:right w:val="none" w:sz="0" w:space="0" w:color="auto"/>
              </w:divBdr>
              <w:divsChild>
                <w:div w:id="10626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6649">
      <w:bodyDiv w:val="1"/>
      <w:marLeft w:val="0"/>
      <w:marRight w:val="0"/>
      <w:marTop w:val="0"/>
      <w:marBottom w:val="0"/>
      <w:divBdr>
        <w:top w:val="none" w:sz="0" w:space="0" w:color="auto"/>
        <w:left w:val="none" w:sz="0" w:space="0" w:color="auto"/>
        <w:bottom w:val="none" w:sz="0" w:space="0" w:color="auto"/>
        <w:right w:val="none" w:sz="0" w:space="0" w:color="auto"/>
      </w:divBdr>
    </w:div>
    <w:div w:id="1514025763">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40892969">
      <w:bodyDiv w:val="1"/>
      <w:marLeft w:val="0"/>
      <w:marRight w:val="0"/>
      <w:marTop w:val="0"/>
      <w:marBottom w:val="0"/>
      <w:divBdr>
        <w:top w:val="none" w:sz="0" w:space="0" w:color="auto"/>
        <w:left w:val="none" w:sz="0" w:space="0" w:color="auto"/>
        <w:bottom w:val="none" w:sz="0" w:space="0" w:color="auto"/>
        <w:right w:val="none" w:sz="0" w:space="0" w:color="auto"/>
      </w:divBdr>
    </w:div>
    <w:div w:id="1546065947">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618870540">
      <w:bodyDiv w:val="1"/>
      <w:marLeft w:val="0"/>
      <w:marRight w:val="0"/>
      <w:marTop w:val="0"/>
      <w:marBottom w:val="0"/>
      <w:divBdr>
        <w:top w:val="none" w:sz="0" w:space="0" w:color="auto"/>
        <w:left w:val="none" w:sz="0" w:space="0" w:color="auto"/>
        <w:bottom w:val="none" w:sz="0" w:space="0" w:color="auto"/>
        <w:right w:val="none" w:sz="0" w:space="0" w:color="auto"/>
      </w:divBdr>
    </w:div>
    <w:div w:id="1641492680">
      <w:bodyDiv w:val="1"/>
      <w:marLeft w:val="0"/>
      <w:marRight w:val="0"/>
      <w:marTop w:val="0"/>
      <w:marBottom w:val="0"/>
      <w:divBdr>
        <w:top w:val="none" w:sz="0" w:space="0" w:color="auto"/>
        <w:left w:val="none" w:sz="0" w:space="0" w:color="auto"/>
        <w:bottom w:val="none" w:sz="0" w:space="0" w:color="auto"/>
        <w:right w:val="none" w:sz="0" w:space="0" w:color="auto"/>
      </w:divBdr>
      <w:divsChild>
        <w:div w:id="1630479512">
          <w:marLeft w:val="0"/>
          <w:marRight w:val="0"/>
          <w:marTop w:val="0"/>
          <w:marBottom w:val="0"/>
          <w:divBdr>
            <w:top w:val="none" w:sz="0" w:space="0" w:color="auto"/>
            <w:left w:val="none" w:sz="0" w:space="0" w:color="auto"/>
            <w:bottom w:val="none" w:sz="0" w:space="0" w:color="auto"/>
            <w:right w:val="none" w:sz="0" w:space="0" w:color="auto"/>
          </w:divBdr>
          <w:divsChild>
            <w:div w:id="1635716049">
              <w:marLeft w:val="0"/>
              <w:marRight w:val="0"/>
              <w:marTop w:val="0"/>
              <w:marBottom w:val="0"/>
              <w:divBdr>
                <w:top w:val="none" w:sz="0" w:space="0" w:color="auto"/>
                <w:left w:val="none" w:sz="0" w:space="0" w:color="auto"/>
                <w:bottom w:val="none" w:sz="0" w:space="0" w:color="auto"/>
                <w:right w:val="none" w:sz="0" w:space="0" w:color="auto"/>
              </w:divBdr>
              <w:divsChild>
                <w:div w:id="16877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311">
      <w:bodyDiv w:val="1"/>
      <w:marLeft w:val="0"/>
      <w:marRight w:val="0"/>
      <w:marTop w:val="0"/>
      <w:marBottom w:val="0"/>
      <w:divBdr>
        <w:top w:val="none" w:sz="0" w:space="0" w:color="auto"/>
        <w:left w:val="none" w:sz="0" w:space="0" w:color="auto"/>
        <w:bottom w:val="none" w:sz="0" w:space="0" w:color="auto"/>
        <w:right w:val="none" w:sz="0" w:space="0" w:color="auto"/>
      </w:divBdr>
      <w:divsChild>
        <w:div w:id="1281260609">
          <w:marLeft w:val="0"/>
          <w:marRight w:val="0"/>
          <w:marTop w:val="0"/>
          <w:marBottom w:val="0"/>
          <w:divBdr>
            <w:top w:val="none" w:sz="0" w:space="0" w:color="auto"/>
            <w:left w:val="none" w:sz="0" w:space="0" w:color="auto"/>
            <w:bottom w:val="none" w:sz="0" w:space="0" w:color="auto"/>
            <w:right w:val="none" w:sz="0" w:space="0" w:color="auto"/>
          </w:divBdr>
          <w:divsChild>
            <w:div w:id="1793355352">
              <w:marLeft w:val="0"/>
              <w:marRight w:val="0"/>
              <w:marTop w:val="0"/>
              <w:marBottom w:val="0"/>
              <w:divBdr>
                <w:top w:val="none" w:sz="0" w:space="0" w:color="auto"/>
                <w:left w:val="none" w:sz="0" w:space="0" w:color="auto"/>
                <w:bottom w:val="none" w:sz="0" w:space="0" w:color="auto"/>
                <w:right w:val="none" w:sz="0" w:space="0" w:color="auto"/>
              </w:divBdr>
              <w:divsChild>
                <w:div w:id="8769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7007">
      <w:bodyDiv w:val="1"/>
      <w:marLeft w:val="0"/>
      <w:marRight w:val="0"/>
      <w:marTop w:val="0"/>
      <w:marBottom w:val="0"/>
      <w:divBdr>
        <w:top w:val="none" w:sz="0" w:space="0" w:color="auto"/>
        <w:left w:val="none" w:sz="0" w:space="0" w:color="auto"/>
        <w:bottom w:val="none" w:sz="0" w:space="0" w:color="auto"/>
        <w:right w:val="none" w:sz="0" w:space="0" w:color="auto"/>
      </w:divBdr>
    </w:div>
    <w:div w:id="1698769716">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
    <w:div w:id="1723095637">
      <w:bodyDiv w:val="1"/>
      <w:marLeft w:val="0"/>
      <w:marRight w:val="0"/>
      <w:marTop w:val="0"/>
      <w:marBottom w:val="0"/>
      <w:divBdr>
        <w:top w:val="none" w:sz="0" w:space="0" w:color="auto"/>
        <w:left w:val="none" w:sz="0" w:space="0" w:color="auto"/>
        <w:bottom w:val="none" w:sz="0" w:space="0" w:color="auto"/>
        <w:right w:val="none" w:sz="0" w:space="0" w:color="auto"/>
      </w:divBdr>
    </w:div>
    <w:div w:id="1738817846">
      <w:bodyDiv w:val="1"/>
      <w:marLeft w:val="0"/>
      <w:marRight w:val="0"/>
      <w:marTop w:val="0"/>
      <w:marBottom w:val="0"/>
      <w:divBdr>
        <w:top w:val="none" w:sz="0" w:space="0" w:color="auto"/>
        <w:left w:val="none" w:sz="0" w:space="0" w:color="auto"/>
        <w:bottom w:val="none" w:sz="0" w:space="0" w:color="auto"/>
        <w:right w:val="none" w:sz="0" w:space="0" w:color="auto"/>
      </w:divBdr>
    </w:div>
    <w:div w:id="1754089643">
      <w:bodyDiv w:val="1"/>
      <w:marLeft w:val="0"/>
      <w:marRight w:val="0"/>
      <w:marTop w:val="0"/>
      <w:marBottom w:val="0"/>
      <w:divBdr>
        <w:top w:val="none" w:sz="0" w:space="0" w:color="auto"/>
        <w:left w:val="none" w:sz="0" w:space="0" w:color="auto"/>
        <w:bottom w:val="none" w:sz="0" w:space="0" w:color="auto"/>
        <w:right w:val="none" w:sz="0" w:space="0" w:color="auto"/>
      </w:divBdr>
      <w:divsChild>
        <w:div w:id="1055932016">
          <w:marLeft w:val="0"/>
          <w:marRight w:val="0"/>
          <w:marTop w:val="0"/>
          <w:marBottom w:val="0"/>
          <w:divBdr>
            <w:top w:val="none" w:sz="0" w:space="0" w:color="auto"/>
            <w:left w:val="none" w:sz="0" w:space="0" w:color="auto"/>
            <w:bottom w:val="none" w:sz="0" w:space="0" w:color="auto"/>
            <w:right w:val="none" w:sz="0" w:space="0" w:color="auto"/>
          </w:divBdr>
          <w:divsChild>
            <w:div w:id="1752893922">
              <w:marLeft w:val="0"/>
              <w:marRight w:val="0"/>
              <w:marTop w:val="0"/>
              <w:marBottom w:val="0"/>
              <w:divBdr>
                <w:top w:val="none" w:sz="0" w:space="0" w:color="auto"/>
                <w:left w:val="none" w:sz="0" w:space="0" w:color="auto"/>
                <w:bottom w:val="none" w:sz="0" w:space="0" w:color="auto"/>
                <w:right w:val="none" w:sz="0" w:space="0" w:color="auto"/>
              </w:divBdr>
              <w:divsChild>
                <w:div w:id="12122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7016">
      <w:bodyDiv w:val="1"/>
      <w:marLeft w:val="0"/>
      <w:marRight w:val="0"/>
      <w:marTop w:val="0"/>
      <w:marBottom w:val="0"/>
      <w:divBdr>
        <w:top w:val="none" w:sz="0" w:space="0" w:color="auto"/>
        <w:left w:val="none" w:sz="0" w:space="0" w:color="auto"/>
        <w:bottom w:val="none" w:sz="0" w:space="0" w:color="auto"/>
        <w:right w:val="none" w:sz="0" w:space="0" w:color="auto"/>
      </w:divBdr>
    </w:div>
    <w:div w:id="1775978625">
      <w:bodyDiv w:val="1"/>
      <w:marLeft w:val="0"/>
      <w:marRight w:val="0"/>
      <w:marTop w:val="0"/>
      <w:marBottom w:val="0"/>
      <w:divBdr>
        <w:top w:val="none" w:sz="0" w:space="0" w:color="auto"/>
        <w:left w:val="none" w:sz="0" w:space="0" w:color="auto"/>
        <w:bottom w:val="none" w:sz="0" w:space="0" w:color="auto"/>
        <w:right w:val="none" w:sz="0" w:space="0" w:color="auto"/>
      </w:divBdr>
    </w:div>
    <w:div w:id="1784881114">
      <w:bodyDiv w:val="1"/>
      <w:marLeft w:val="0"/>
      <w:marRight w:val="0"/>
      <w:marTop w:val="0"/>
      <w:marBottom w:val="0"/>
      <w:divBdr>
        <w:top w:val="none" w:sz="0" w:space="0" w:color="auto"/>
        <w:left w:val="none" w:sz="0" w:space="0" w:color="auto"/>
        <w:bottom w:val="none" w:sz="0" w:space="0" w:color="auto"/>
        <w:right w:val="none" w:sz="0" w:space="0" w:color="auto"/>
      </w:divBdr>
    </w:div>
    <w:div w:id="1817139647">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34488507">
      <w:bodyDiv w:val="1"/>
      <w:marLeft w:val="0"/>
      <w:marRight w:val="0"/>
      <w:marTop w:val="0"/>
      <w:marBottom w:val="0"/>
      <w:divBdr>
        <w:top w:val="none" w:sz="0" w:space="0" w:color="auto"/>
        <w:left w:val="none" w:sz="0" w:space="0" w:color="auto"/>
        <w:bottom w:val="none" w:sz="0" w:space="0" w:color="auto"/>
        <w:right w:val="none" w:sz="0" w:space="0" w:color="auto"/>
      </w:divBdr>
      <w:divsChild>
        <w:div w:id="1346052291">
          <w:marLeft w:val="0"/>
          <w:marRight w:val="0"/>
          <w:marTop w:val="0"/>
          <w:marBottom w:val="0"/>
          <w:divBdr>
            <w:top w:val="none" w:sz="0" w:space="0" w:color="auto"/>
            <w:left w:val="none" w:sz="0" w:space="0" w:color="auto"/>
            <w:bottom w:val="none" w:sz="0" w:space="0" w:color="auto"/>
            <w:right w:val="none" w:sz="0" w:space="0" w:color="auto"/>
          </w:divBdr>
          <w:divsChild>
            <w:div w:id="1221862491">
              <w:marLeft w:val="0"/>
              <w:marRight w:val="0"/>
              <w:marTop w:val="0"/>
              <w:marBottom w:val="0"/>
              <w:divBdr>
                <w:top w:val="none" w:sz="0" w:space="0" w:color="auto"/>
                <w:left w:val="none" w:sz="0" w:space="0" w:color="auto"/>
                <w:bottom w:val="none" w:sz="0" w:space="0" w:color="auto"/>
                <w:right w:val="none" w:sz="0" w:space="0" w:color="auto"/>
              </w:divBdr>
              <w:divsChild>
                <w:div w:id="9643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4884">
      <w:bodyDiv w:val="1"/>
      <w:marLeft w:val="0"/>
      <w:marRight w:val="0"/>
      <w:marTop w:val="0"/>
      <w:marBottom w:val="0"/>
      <w:divBdr>
        <w:top w:val="none" w:sz="0" w:space="0" w:color="auto"/>
        <w:left w:val="none" w:sz="0" w:space="0" w:color="auto"/>
        <w:bottom w:val="none" w:sz="0" w:space="0" w:color="auto"/>
        <w:right w:val="none" w:sz="0" w:space="0" w:color="auto"/>
      </w:divBdr>
    </w:div>
    <w:div w:id="18432811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871334890">
      <w:bodyDiv w:val="1"/>
      <w:marLeft w:val="0"/>
      <w:marRight w:val="0"/>
      <w:marTop w:val="0"/>
      <w:marBottom w:val="0"/>
      <w:divBdr>
        <w:top w:val="none" w:sz="0" w:space="0" w:color="auto"/>
        <w:left w:val="none" w:sz="0" w:space="0" w:color="auto"/>
        <w:bottom w:val="none" w:sz="0" w:space="0" w:color="auto"/>
        <w:right w:val="none" w:sz="0" w:space="0" w:color="auto"/>
      </w:divBdr>
    </w:div>
    <w:div w:id="1883588453">
      <w:bodyDiv w:val="1"/>
      <w:marLeft w:val="0"/>
      <w:marRight w:val="0"/>
      <w:marTop w:val="0"/>
      <w:marBottom w:val="0"/>
      <w:divBdr>
        <w:top w:val="none" w:sz="0" w:space="0" w:color="auto"/>
        <w:left w:val="none" w:sz="0" w:space="0" w:color="auto"/>
        <w:bottom w:val="none" w:sz="0" w:space="0" w:color="auto"/>
        <w:right w:val="none" w:sz="0" w:space="0" w:color="auto"/>
      </w:divBdr>
      <w:divsChild>
        <w:div w:id="971404899">
          <w:marLeft w:val="0"/>
          <w:marRight w:val="0"/>
          <w:marTop w:val="0"/>
          <w:marBottom w:val="0"/>
          <w:divBdr>
            <w:top w:val="none" w:sz="0" w:space="0" w:color="auto"/>
            <w:left w:val="none" w:sz="0" w:space="0" w:color="auto"/>
            <w:bottom w:val="none" w:sz="0" w:space="0" w:color="auto"/>
            <w:right w:val="none" w:sz="0" w:space="0" w:color="auto"/>
          </w:divBdr>
          <w:divsChild>
            <w:div w:id="1371415990">
              <w:marLeft w:val="0"/>
              <w:marRight w:val="0"/>
              <w:marTop w:val="0"/>
              <w:marBottom w:val="0"/>
              <w:divBdr>
                <w:top w:val="none" w:sz="0" w:space="0" w:color="auto"/>
                <w:left w:val="none" w:sz="0" w:space="0" w:color="auto"/>
                <w:bottom w:val="none" w:sz="0" w:space="0" w:color="auto"/>
                <w:right w:val="none" w:sz="0" w:space="0" w:color="auto"/>
              </w:divBdr>
              <w:divsChild>
                <w:div w:id="14271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8130">
      <w:bodyDiv w:val="1"/>
      <w:marLeft w:val="0"/>
      <w:marRight w:val="0"/>
      <w:marTop w:val="0"/>
      <w:marBottom w:val="0"/>
      <w:divBdr>
        <w:top w:val="none" w:sz="0" w:space="0" w:color="auto"/>
        <w:left w:val="none" w:sz="0" w:space="0" w:color="auto"/>
        <w:bottom w:val="none" w:sz="0" w:space="0" w:color="auto"/>
        <w:right w:val="none" w:sz="0" w:space="0" w:color="auto"/>
      </w:divBdr>
    </w:div>
    <w:div w:id="1926112837">
      <w:bodyDiv w:val="1"/>
      <w:marLeft w:val="0"/>
      <w:marRight w:val="0"/>
      <w:marTop w:val="0"/>
      <w:marBottom w:val="0"/>
      <w:divBdr>
        <w:top w:val="none" w:sz="0" w:space="0" w:color="auto"/>
        <w:left w:val="none" w:sz="0" w:space="0" w:color="auto"/>
        <w:bottom w:val="none" w:sz="0" w:space="0" w:color="auto"/>
        <w:right w:val="none" w:sz="0" w:space="0" w:color="auto"/>
      </w:divBdr>
    </w:div>
    <w:div w:id="1948079948">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04502711">
      <w:bodyDiv w:val="1"/>
      <w:marLeft w:val="0"/>
      <w:marRight w:val="0"/>
      <w:marTop w:val="0"/>
      <w:marBottom w:val="0"/>
      <w:divBdr>
        <w:top w:val="none" w:sz="0" w:space="0" w:color="auto"/>
        <w:left w:val="none" w:sz="0" w:space="0" w:color="auto"/>
        <w:bottom w:val="none" w:sz="0" w:space="0" w:color="auto"/>
        <w:right w:val="none" w:sz="0" w:space="0" w:color="auto"/>
      </w:divBdr>
    </w:div>
    <w:div w:id="2015378145">
      <w:bodyDiv w:val="1"/>
      <w:marLeft w:val="0"/>
      <w:marRight w:val="0"/>
      <w:marTop w:val="0"/>
      <w:marBottom w:val="0"/>
      <w:divBdr>
        <w:top w:val="none" w:sz="0" w:space="0" w:color="auto"/>
        <w:left w:val="none" w:sz="0" w:space="0" w:color="auto"/>
        <w:bottom w:val="none" w:sz="0" w:space="0" w:color="auto"/>
        <w:right w:val="none" w:sz="0" w:space="0" w:color="auto"/>
      </w:divBdr>
    </w:div>
    <w:div w:id="2018188029">
      <w:bodyDiv w:val="1"/>
      <w:marLeft w:val="0"/>
      <w:marRight w:val="0"/>
      <w:marTop w:val="0"/>
      <w:marBottom w:val="0"/>
      <w:divBdr>
        <w:top w:val="none" w:sz="0" w:space="0" w:color="auto"/>
        <w:left w:val="none" w:sz="0" w:space="0" w:color="auto"/>
        <w:bottom w:val="none" w:sz="0" w:space="0" w:color="auto"/>
        <w:right w:val="none" w:sz="0" w:space="0" w:color="auto"/>
      </w:divBdr>
    </w:div>
    <w:div w:id="2082406720">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 w:id="211682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18" Type="http://schemas.openxmlformats.org/officeDocument/2006/relationships/customXml" Target="../customXml/item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customXml" Target="../customXml/item9.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idbdocs.iadb.org/wsdocs/getDocument.aspx?DOCNUM=EZSHARE-1873395818-34" TargetMode="External"/><Relationship Id="rId1" Type="http://schemas.openxmlformats.org/officeDocument/2006/relationships/hyperlink" Target="http://www.funcionpublica.gov.co/web/mi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1EBC7EEB85A2A4791C8E4199EDBAFF7" ma:contentTypeVersion="2387" ma:contentTypeDescription="A content type to manage public (operations) IDB documents" ma:contentTypeScope="" ma:versionID="b2f82dedd9a8a82f6eb3a8a17a0cca5a">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IFD/ICS</Division_x0020_or_x0020_Unit>
    <_dlc_DocId xmlns="cdc7663a-08f0-4737-9e8c-148ce897a09c">EZSHARE-1873395818-36</_dlc_DocId>
    <Document_x0020_Author xmlns="cdc7663a-08f0-4737-9e8c-148ce897a09c">Rojas Gonzalez, Sonia Amalia</Document_x0020_Author>
    <TaxCatchAll xmlns="cdc7663a-08f0-4737-9e8c-148ce897a09c">
      <Value>27</Value>
      <Value>57</Value>
      <Value>1</Value>
      <Value>35</Value>
    </TaxCatchAll>
    <Fiscal_x0020_Year_x0020_IDB xmlns="cdc7663a-08f0-4737-9e8c-148ce897a09c">2019</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TermName>
          <TermId xmlns="http://schemas.microsoft.com/office/infopath/2007/PartnerControls">c7d386d6-75f3-4fc0-bde8-e021ccd68f5c</TermId>
        </TermInfo>
      </Terms>
    </ic46d7e087fd4a108fb86518ca413cc6>
    <Operation_x0020_Type xmlns="cdc7663a-08f0-4737-9e8c-148ce897a09c">LON</Operation_x0020_Type>
    <b26cdb1da78c4bb4b1c1bac2f6ac5911 xmlns="cdc7663a-08f0-4737-9e8c-148ce897a09c">
      <Terms xmlns="http://schemas.microsoft.com/office/infopath/2007/PartnerControls"/>
    </b26cdb1da78c4bb4b1c1bac2f6ac5911>
    <Project_x0020_Number xmlns="cdc7663a-08f0-4737-9e8c-148ce897a09c">CO-L1251</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 - Simultaneous Disclosure</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RM-JUS</TermName>
          <TermId xmlns="http://schemas.microsoft.com/office/infopath/2007/PartnerControls">8f414175-31d2-470b-971f-627feb27bbc3</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_dlc_DocIdUrl xmlns="cdc7663a-08f0-4737-9e8c-148ce897a09c">
      <Url>https://idbg.sharepoint.com/teams/EZ-CO-LON/CO-L1251/_layouts/15/DocIdRedir.aspx?ID=EZSHARE-1873395818-36</Url>
      <Description>EZSHARE-1873395818-36</Description>
    </_dlc_DocIdUrl>
    <Phase xmlns="cdc7663a-08f0-4737-9e8c-148ce897a09c" xsi:nil="true"/>
    <Other_x0020_Author xmlns="cdc7663a-08f0-4737-9e8c-148ce897a09c" xsi:nil="true"/>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9.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518B7B16-C3DA-40BC-AA7E-91D9D546A5CF}">
  <ds:schemaRefs>
    <ds:schemaRef ds:uri="http://schemas.openxmlformats.org/officeDocument/2006/bibliography"/>
  </ds:schemaRefs>
</ds:datastoreItem>
</file>

<file path=customXml/itemProps2.xml><?xml version="1.0" encoding="utf-8"?>
<ds:datastoreItem xmlns:ds="http://schemas.openxmlformats.org/officeDocument/2006/customXml" ds:itemID="{CFDFF0FC-1C2A-4EDE-948F-10141E03354C}">
  <ds:schemaRefs>
    <ds:schemaRef ds:uri="http://schemas.openxmlformats.org/officeDocument/2006/bibliography"/>
  </ds:schemaRefs>
</ds:datastoreItem>
</file>

<file path=customXml/itemProps3.xml><?xml version="1.0" encoding="utf-8"?>
<ds:datastoreItem xmlns:ds="http://schemas.openxmlformats.org/officeDocument/2006/customXml" ds:itemID="{8E713C1A-8A5F-420B-B774-806DC62EA01E}"/>
</file>

<file path=customXml/itemProps4.xml><?xml version="1.0" encoding="utf-8"?>
<ds:datastoreItem xmlns:ds="http://schemas.openxmlformats.org/officeDocument/2006/customXml" ds:itemID="{A08899BB-08FC-4354-91C6-25B459C03AFC}"/>
</file>

<file path=customXml/itemProps5.xml><?xml version="1.0" encoding="utf-8"?>
<ds:datastoreItem xmlns:ds="http://schemas.openxmlformats.org/officeDocument/2006/customXml" ds:itemID="{E22ED9F0-DFC2-4EA4-B0E8-992C4F3C6259}"/>
</file>

<file path=customXml/itemProps6.xml><?xml version="1.0" encoding="utf-8"?>
<ds:datastoreItem xmlns:ds="http://schemas.openxmlformats.org/officeDocument/2006/customXml" ds:itemID="{6943753F-7B44-4A48-B5C9-AAACE798F186}"/>
</file>

<file path=customXml/itemProps7.xml><?xml version="1.0" encoding="utf-8"?>
<ds:datastoreItem xmlns:ds="http://schemas.openxmlformats.org/officeDocument/2006/customXml" ds:itemID="{6EE2D460-CEAC-462E-A11F-9401D5B55EDC}"/>
</file>

<file path=customXml/itemProps8.xml><?xml version="1.0" encoding="utf-8"?>
<ds:datastoreItem xmlns:ds="http://schemas.openxmlformats.org/officeDocument/2006/customXml" ds:itemID="{CE3C9B1D-19FC-4ACA-B1BA-9FAA3F2C0BFD}"/>
</file>

<file path=customXml/itemProps9.xml><?xml version="1.0" encoding="utf-8"?>
<ds:datastoreItem xmlns:ds="http://schemas.openxmlformats.org/officeDocument/2006/customXml" ds:itemID="{1D820730-AABB-4B37-AB17-9B2F2E78497D}"/>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14891</Characters>
  <Application>Microsoft Office Word</Application>
  <DocSecurity>0</DocSecurity>
  <Lines>363</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17390</CharactersWithSpaces>
  <SharedDoc>false</SharedDoc>
  <HLinks>
    <vt:vector size="6" baseType="variant">
      <vt:variant>
        <vt:i4>1638476</vt:i4>
      </vt:variant>
      <vt:variant>
        <vt:i4>0</vt:i4>
      </vt:variant>
      <vt:variant>
        <vt:i4>0</vt:i4>
      </vt:variant>
      <vt:variant>
        <vt:i4>5</vt:i4>
      </vt:variant>
      <vt:variant>
        <vt:lpwstr>https://economics.mit.edu/files/2913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subject/>
  <dc:creator>Gibbons</dc:creator>
  <cp:keywords/>
  <dc:description/>
  <cp:lastModifiedBy>Rojas Gonzalez, Sonia Amalia</cp:lastModifiedBy>
  <cp:revision>3</cp:revision>
  <cp:lastPrinted>2012-04-19T20:57:00Z</cp:lastPrinted>
  <dcterms:created xsi:type="dcterms:W3CDTF">2019-11-07T14:32:00Z</dcterms:created>
  <dcterms:modified xsi:type="dcterms:W3CDTF">2019-11-07T14:32:00Z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57;#RM-JUS|8f414175-31d2-470b-971f-627feb27bbc3</vt:lpwstr>
  </property>
  <property fmtid="{D5CDD505-2E9C-101B-9397-08002B2CF9AE}" pid="7" name="Country">
    <vt:lpwstr>27;#CO|c7d386d6-75f3-4fc0-bde8-e021ccd68f5c</vt:lpwstr>
  </property>
  <property fmtid="{D5CDD505-2E9C-101B-9397-08002B2CF9AE}" pid="8" name="_dlc_DocIdItemGuid">
    <vt:lpwstr>7b2b6809-1dea-46ab-943b-54157beee3d6</vt:lpwstr>
  </property>
  <property fmtid="{D5CDD505-2E9C-101B-9397-08002B2CF9AE}" pid="9" name="Fund IDB">
    <vt:lpwstr/>
  </property>
  <property fmtid="{D5CDD505-2E9C-101B-9397-08002B2CF9AE}" pid="10" name="Sector IDB">
    <vt:lpwstr>35;#RM|c8fda4a7-691a-4c65-b227-9825197b5cd2</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0x0101001A458A224826124E8B45B1D613300CFC0041EBC7EEB85A2A4791C8E4199EDBAFF7</vt:lpwstr>
  </property>
</Properties>
</file>