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8.xml" ContentType="application/vnd.openxmlformats-officedocument.customXmlPropertie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C1DC3" w14:textId="77777777" w:rsidR="00C84FAB" w:rsidRPr="00727955" w:rsidRDefault="00C84FAB" w:rsidP="00387315">
      <w:pPr>
        <w:pStyle w:val="ListParagraph"/>
        <w:spacing w:before="120" w:after="0" w:line="360" w:lineRule="auto"/>
        <w:ind w:left="1080" w:hanging="1080"/>
        <w:jc w:val="center"/>
        <w:rPr>
          <w:rFonts w:ascii="Arial" w:hAnsi="Arial" w:cs="Arial"/>
          <w:b/>
          <w:bCs/>
          <w:smallCaps/>
          <w:lang w:val="es-419"/>
        </w:rPr>
      </w:pPr>
      <w:r w:rsidRPr="00727955">
        <w:rPr>
          <w:rFonts w:ascii="Arial" w:hAnsi="Arial" w:cs="Arial"/>
          <w:b/>
          <w:bCs/>
          <w:smallCaps/>
          <w:lang w:val="es-419"/>
        </w:rPr>
        <w:t>Documento del Banco Interamericano de Desarrollo</w:t>
      </w:r>
    </w:p>
    <w:p w14:paraId="057E9803" w14:textId="77777777" w:rsidR="00C84FAB" w:rsidRPr="00727955" w:rsidRDefault="00C84FAB" w:rsidP="00387315">
      <w:pPr>
        <w:pStyle w:val="ListParagraph"/>
        <w:spacing w:before="120" w:after="0" w:line="360" w:lineRule="auto"/>
        <w:ind w:left="1080" w:hanging="1080"/>
        <w:jc w:val="center"/>
        <w:rPr>
          <w:rFonts w:ascii="Arial" w:hAnsi="Arial" w:cs="Arial"/>
          <w:b/>
          <w:bCs/>
          <w:smallCaps/>
          <w:lang w:val="es-419"/>
        </w:rPr>
      </w:pPr>
    </w:p>
    <w:p w14:paraId="649A5A38" w14:textId="77777777" w:rsidR="00C84FAB" w:rsidRPr="00727955" w:rsidRDefault="00C84FAB" w:rsidP="00387315">
      <w:pPr>
        <w:pStyle w:val="ListParagraph"/>
        <w:spacing w:before="120" w:after="0" w:line="360" w:lineRule="auto"/>
        <w:ind w:left="1080"/>
        <w:jc w:val="center"/>
        <w:rPr>
          <w:rFonts w:ascii="Arial" w:hAnsi="Arial" w:cs="Arial"/>
          <w:b/>
          <w:lang w:val="es-419"/>
        </w:rPr>
      </w:pPr>
    </w:p>
    <w:p w14:paraId="1083F9DA" w14:textId="77777777" w:rsidR="00C84FAB" w:rsidRPr="00727955" w:rsidRDefault="00C84FAB" w:rsidP="00387315">
      <w:pPr>
        <w:pStyle w:val="ListParagraph"/>
        <w:spacing w:before="120" w:after="0" w:line="360" w:lineRule="auto"/>
        <w:ind w:left="1080"/>
        <w:jc w:val="center"/>
        <w:rPr>
          <w:rFonts w:ascii="Arial" w:hAnsi="Arial" w:cs="Arial"/>
          <w:b/>
          <w:lang w:val="es-ES_tradnl"/>
        </w:rPr>
      </w:pPr>
    </w:p>
    <w:p w14:paraId="3214DC10" w14:textId="77777777" w:rsidR="00C84FAB" w:rsidRPr="00727955" w:rsidRDefault="00C84FAB" w:rsidP="00387315">
      <w:pPr>
        <w:pStyle w:val="ListParagraph"/>
        <w:spacing w:before="120" w:after="0" w:line="360" w:lineRule="auto"/>
        <w:ind w:left="1080"/>
        <w:jc w:val="center"/>
        <w:rPr>
          <w:rFonts w:ascii="Arial" w:hAnsi="Arial" w:cs="Arial"/>
          <w:b/>
          <w:lang w:val="es-ES_tradnl"/>
        </w:rPr>
      </w:pPr>
    </w:p>
    <w:p w14:paraId="15BA7F1A" w14:textId="77777777" w:rsidR="00900CD0" w:rsidRPr="00727955" w:rsidRDefault="00900CD0" w:rsidP="00387315">
      <w:pPr>
        <w:pStyle w:val="ListParagraph"/>
        <w:spacing w:before="120" w:after="0" w:line="360" w:lineRule="auto"/>
        <w:ind w:left="1080"/>
        <w:jc w:val="center"/>
        <w:rPr>
          <w:rFonts w:ascii="Arial" w:hAnsi="Arial" w:cs="Arial"/>
          <w:b/>
          <w:lang w:val="es-ES_tradnl"/>
        </w:rPr>
      </w:pPr>
      <w:r w:rsidRPr="00727955">
        <w:rPr>
          <w:rFonts w:ascii="Arial" w:hAnsi="Arial" w:cs="Arial"/>
          <w:b/>
          <w:lang w:val="es-ES_tradnl"/>
        </w:rPr>
        <w:t>ECUADOR</w:t>
      </w:r>
    </w:p>
    <w:p w14:paraId="411714A3" w14:textId="77777777" w:rsidR="00900CD0" w:rsidRPr="00727955" w:rsidRDefault="00900CD0" w:rsidP="00387315">
      <w:pPr>
        <w:spacing w:before="120" w:after="0" w:line="360" w:lineRule="auto"/>
        <w:jc w:val="center"/>
        <w:rPr>
          <w:rFonts w:ascii="Arial" w:hAnsi="Arial" w:cs="Arial"/>
          <w:b/>
          <w:lang w:val="es-ES_tradnl"/>
        </w:rPr>
      </w:pPr>
    </w:p>
    <w:p w14:paraId="2D7F7DDE" w14:textId="77777777" w:rsidR="00900CD0" w:rsidRPr="00727955" w:rsidRDefault="00900CD0" w:rsidP="00387315">
      <w:pPr>
        <w:pStyle w:val="ListParagraph"/>
        <w:spacing w:before="120" w:after="0" w:line="360" w:lineRule="auto"/>
        <w:ind w:left="1080"/>
        <w:jc w:val="center"/>
        <w:rPr>
          <w:rFonts w:ascii="Arial" w:hAnsi="Arial" w:cs="Arial"/>
          <w:b/>
          <w:lang w:val="es-ES_tradnl"/>
        </w:rPr>
      </w:pPr>
    </w:p>
    <w:p w14:paraId="40DA6917" w14:textId="423549C8" w:rsidR="00F23868" w:rsidRPr="00F23868" w:rsidRDefault="00F23868" w:rsidP="00387315">
      <w:pPr>
        <w:pStyle w:val="ListParagraph"/>
        <w:spacing w:before="120" w:after="0" w:line="360" w:lineRule="auto"/>
        <w:ind w:left="1080"/>
        <w:jc w:val="center"/>
        <w:rPr>
          <w:rFonts w:ascii="Arial" w:hAnsi="Arial" w:cs="Arial"/>
          <w:b/>
          <w:lang w:val="es-ES_tradnl"/>
        </w:rPr>
      </w:pPr>
      <w:bookmarkStart w:id="0" w:name="_Hlk10808178"/>
      <w:r w:rsidRPr="00F23868">
        <w:rPr>
          <w:rFonts w:ascii="Arial" w:hAnsi="Arial" w:cs="Arial"/>
          <w:b/>
          <w:lang w:val="es-ES_tradnl"/>
        </w:rPr>
        <w:t>PROGRAMA DE FORTALECIMIENTO INSTITUCIONAL PARA LA COMPETITIVIDAD</w:t>
      </w:r>
    </w:p>
    <w:bookmarkEnd w:id="0"/>
    <w:p w14:paraId="0F0C8086" w14:textId="585D5147" w:rsidR="00900CD0" w:rsidRPr="00727955" w:rsidRDefault="00F23868" w:rsidP="00387315">
      <w:pPr>
        <w:pStyle w:val="ListParagraph"/>
        <w:spacing w:before="120" w:after="0" w:line="360" w:lineRule="auto"/>
        <w:ind w:left="1080"/>
        <w:jc w:val="center"/>
        <w:rPr>
          <w:rFonts w:ascii="Arial" w:hAnsi="Arial" w:cs="Arial"/>
          <w:b/>
          <w:lang w:val="es-ES_tradnl"/>
        </w:rPr>
      </w:pPr>
      <w:r w:rsidRPr="00F23868">
        <w:rPr>
          <w:rFonts w:ascii="Arial" w:hAnsi="Arial" w:cs="Arial"/>
          <w:b/>
          <w:lang w:val="es-ES_tradnl"/>
        </w:rPr>
        <w:t>(EC-L1250</w:t>
      </w:r>
      <w:r>
        <w:rPr>
          <w:rFonts w:ascii="Arial" w:hAnsi="Arial" w:cs="Arial"/>
          <w:b/>
          <w:lang w:val="es-ES_tradnl"/>
        </w:rPr>
        <w:t>)</w:t>
      </w:r>
    </w:p>
    <w:p w14:paraId="6DAB441B" w14:textId="77777777" w:rsidR="00900CD0" w:rsidRPr="00727955" w:rsidRDefault="00900CD0" w:rsidP="00387315">
      <w:pPr>
        <w:pStyle w:val="ListParagraph"/>
        <w:spacing w:before="120" w:after="0" w:line="360" w:lineRule="auto"/>
        <w:ind w:left="1080"/>
        <w:jc w:val="center"/>
        <w:rPr>
          <w:rFonts w:ascii="Arial" w:hAnsi="Arial" w:cs="Arial"/>
          <w:b/>
          <w:lang w:val="es-ES_tradnl"/>
        </w:rPr>
      </w:pPr>
    </w:p>
    <w:p w14:paraId="5E60BF2F" w14:textId="77777777" w:rsidR="00900CD0" w:rsidRPr="00727955" w:rsidRDefault="00900CD0" w:rsidP="00387315">
      <w:pPr>
        <w:pStyle w:val="ListParagraph"/>
        <w:spacing w:before="120" w:after="0" w:line="360" w:lineRule="auto"/>
        <w:ind w:left="1080"/>
        <w:jc w:val="center"/>
        <w:rPr>
          <w:rFonts w:ascii="Arial" w:hAnsi="Arial" w:cs="Arial"/>
          <w:b/>
          <w:lang w:val="es-ES_tradnl"/>
        </w:rPr>
      </w:pPr>
    </w:p>
    <w:p w14:paraId="36F61FBF" w14:textId="36A83154" w:rsidR="00C03C1C" w:rsidRPr="00727955" w:rsidRDefault="00C03C1C" w:rsidP="00387315">
      <w:pPr>
        <w:tabs>
          <w:tab w:val="left" w:pos="1440"/>
          <w:tab w:val="left" w:pos="3060"/>
        </w:tabs>
        <w:jc w:val="center"/>
        <w:rPr>
          <w:rFonts w:ascii="Arial" w:hAnsi="Arial" w:cs="Arial"/>
          <w:b/>
          <w:bCs/>
          <w:smallCaps/>
          <w:lang w:val="es-419"/>
        </w:rPr>
      </w:pPr>
      <w:bookmarkStart w:id="1" w:name="Book01"/>
    </w:p>
    <w:bookmarkEnd w:id="1"/>
    <w:p w14:paraId="1B2CAB5F" w14:textId="77777777" w:rsidR="00C84FAB" w:rsidRPr="00727955" w:rsidRDefault="00C84FAB" w:rsidP="00387315">
      <w:pPr>
        <w:pStyle w:val="ListParagraph"/>
        <w:spacing w:before="120" w:after="0" w:line="360" w:lineRule="auto"/>
        <w:ind w:left="0"/>
        <w:jc w:val="center"/>
        <w:rPr>
          <w:rFonts w:ascii="Arial" w:hAnsi="Arial" w:cs="Arial"/>
          <w:b/>
          <w:lang w:val="es-ES_tradnl"/>
        </w:rPr>
      </w:pPr>
    </w:p>
    <w:p w14:paraId="1BB70BD8" w14:textId="77777777" w:rsidR="00C84FAB" w:rsidRPr="00727955" w:rsidRDefault="00C84FAB" w:rsidP="00387315">
      <w:pPr>
        <w:pStyle w:val="ListParagraph"/>
        <w:spacing w:before="120" w:after="0" w:line="360" w:lineRule="auto"/>
        <w:ind w:left="0"/>
        <w:jc w:val="center"/>
        <w:rPr>
          <w:rFonts w:ascii="Arial" w:hAnsi="Arial" w:cs="Arial"/>
          <w:b/>
          <w:lang w:val="es-ES_tradnl"/>
        </w:rPr>
      </w:pPr>
    </w:p>
    <w:p w14:paraId="584E1703" w14:textId="77777777" w:rsidR="00C84FAB" w:rsidRPr="00727955" w:rsidRDefault="00C16F5A" w:rsidP="00387315">
      <w:pPr>
        <w:jc w:val="center"/>
        <w:rPr>
          <w:rFonts w:ascii="Arial" w:hAnsi="Arial" w:cs="Arial"/>
          <w:b/>
          <w:lang w:val="es-PY"/>
        </w:rPr>
      </w:pPr>
      <w:bookmarkStart w:id="2" w:name="_Toc480543517"/>
      <w:r w:rsidRPr="00727955">
        <w:rPr>
          <w:rFonts w:ascii="Arial" w:hAnsi="Arial" w:cs="Arial"/>
          <w:b/>
          <w:lang w:val="es-PY"/>
        </w:rPr>
        <w:t>Plan de Monitoreo</w:t>
      </w:r>
      <w:r w:rsidR="00C84FAB" w:rsidRPr="00727955">
        <w:rPr>
          <w:rFonts w:ascii="Arial" w:hAnsi="Arial" w:cs="Arial"/>
          <w:b/>
          <w:lang w:val="es-PY"/>
        </w:rPr>
        <w:t xml:space="preserve"> y Evaluación</w:t>
      </w:r>
      <w:bookmarkEnd w:id="2"/>
    </w:p>
    <w:p w14:paraId="46D5BB1C" w14:textId="77777777" w:rsidR="00C84FAB" w:rsidRPr="00727955" w:rsidRDefault="00C84FAB" w:rsidP="002E08D8">
      <w:pPr>
        <w:pStyle w:val="ListParagraph"/>
        <w:spacing w:before="120" w:after="0" w:line="360" w:lineRule="auto"/>
        <w:ind w:left="0"/>
        <w:jc w:val="center"/>
        <w:rPr>
          <w:rFonts w:ascii="Arial" w:hAnsi="Arial" w:cs="Arial"/>
          <w:b/>
          <w:sz w:val="18"/>
          <w:szCs w:val="18"/>
          <w:lang w:val="es-ES_tradnl"/>
        </w:rPr>
      </w:pPr>
    </w:p>
    <w:p w14:paraId="10780607" w14:textId="77777777" w:rsidR="00C84FAB" w:rsidRPr="00727955" w:rsidRDefault="00C84FAB" w:rsidP="00C84FAB">
      <w:pPr>
        <w:pStyle w:val="ListParagraph"/>
        <w:spacing w:before="120" w:after="0" w:line="360" w:lineRule="auto"/>
        <w:ind w:left="0"/>
        <w:jc w:val="center"/>
        <w:rPr>
          <w:rFonts w:ascii="Arial" w:hAnsi="Arial" w:cs="Arial"/>
          <w:b/>
          <w:sz w:val="18"/>
          <w:szCs w:val="18"/>
          <w:lang w:val="es-ES"/>
        </w:rPr>
      </w:pPr>
    </w:p>
    <w:p w14:paraId="678C00C0" w14:textId="77777777" w:rsidR="00C84FAB" w:rsidRPr="00727955" w:rsidRDefault="00C84FAB" w:rsidP="00C84FAB">
      <w:pPr>
        <w:pStyle w:val="ListParagraph"/>
        <w:spacing w:before="120" w:after="0" w:line="360" w:lineRule="auto"/>
        <w:ind w:left="0"/>
        <w:jc w:val="center"/>
        <w:rPr>
          <w:rFonts w:ascii="Arial" w:hAnsi="Arial" w:cs="Arial"/>
          <w:b/>
          <w:sz w:val="18"/>
          <w:szCs w:val="18"/>
          <w:lang w:val="es-ES"/>
        </w:rPr>
      </w:pPr>
    </w:p>
    <w:p w14:paraId="0105A729" w14:textId="77777777" w:rsidR="00C84FAB" w:rsidRPr="00727955" w:rsidRDefault="00C84FAB" w:rsidP="00C84FAB">
      <w:pPr>
        <w:pStyle w:val="ListParagraph"/>
        <w:spacing w:before="120" w:after="0" w:line="360" w:lineRule="auto"/>
        <w:ind w:left="0"/>
        <w:jc w:val="center"/>
        <w:rPr>
          <w:rFonts w:ascii="Arial" w:hAnsi="Arial" w:cs="Arial"/>
          <w:b/>
          <w:sz w:val="18"/>
          <w:szCs w:val="18"/>
          <w:lang w:val="es-ES"/>
        </w:rPr>
      </w:pPr>
    </w:p>
    <w:p w14:paraId="50EA8877" w14:textId="77777777" w:rsidR="00C84FAB" w:rsidRPr="00727955" w:rsidRDefault="00C84FAB" w:rsidP="00C84FAB">
      <w:pPr>
        <w:pStyle w:val="ListParagraph"/>
        <w:spacing w:before="120" w:after="0" w:line="360" w:lineRule="auto"/>
        <w:ind w:left="0"/>
        <w:jc w:val="center"/>
        <w:rPr>
          <w:rFonts w:ascii="Arial" w:hAnsi="Arial" w:cs="Arial"/>
          <w:b/>
          <w:i/>
          <w:sz w:val="18"/>
          <w:szCs w:val="18"/>
          <w:lang w:val="es-ES"/>
        </w:rPr>
      </w:pPr>
    </w:p>
    <w:p w14:paraId="50821C64" w14:textId="77777777" w:rsidR="00C84FAB" w:rsidRPr="00727955" w:rsidRDefault="00C84FAB" w:rsidP="00C84FAB">
      <w:pPr>
        <w:pStyle w:val="ListParagraph"/>
        <w:spacing w:before="120" w:after="0" w:line="360" w:lineRule="auto"/>
        <w:ind w:left="1080"/>
        <w:jc w:val="center"/>
        <w:rPr>
          <w:rFonts w:ascii="Arial" w:hAnsi="Arial" w:cs="Arial"/>
          <w:b/>
          <w:sz w:val="18"/>
          <w:szCs w:val="18"/>
          <w:lang w:val="es-ES"/>
        </w:rPr>
      </w:pPr>
    </w:p>
    <w:p w14:paraId="2A88017F" w14:textId="77777777" w:rsidR="00C84FAB" w:rsidRPr="00727955" w:rsidRDefault="00C84FAB" w:rsidP="00C84FAB">
      <w:pPr>
        <w:pStyle w:val="ListParagraph"/>
        <w:spacing w:before="120" w:after="0" w:line="360" w:lineRule="auto"/>
        <w:ind w:left="1080"/>
        <w:jc w:val="center"/>
        <w:rPr>
          <w:rFonts w:ascii="Arial" w:hAnsi="Arial" w:cs="Arial"/>
          <w:b/>
          <w:sz w:val="18"/>
          <w:szCs w:val="18"/>
          <w:lang w:val="es-ES"/>
        </w:rPr>
      </w:pPr>
    </w:p>
    <w:p w14:paraId="3EAE1E75" w14:textId="77777777" w:rsidR="00C84FAB" w:rsidRPr="00727955" w:rsidRDefault="00C84FAB" w:rsidP="00C84FAB">
      <w:pPr>
        <w:pStyle w:val="ListParagraph"/>
        <w:spacing w:before="120" w:after="0" w:line="360" w:lineRule="auto"/>
        <w:ind w:left="1080"/>
        <w:jc w:val="center"/>
        <w:rPr>
          <w:rFonts w:ascii="Arial" w:hAnsi="Arial" w:cs="Arial"/>
          <w:b/>
          <w:sz w:val="18"/>
          <w:szCs w:val="18"/>
          <w:lang w:val="es-ES"/>
        </w:rPr>
      </w:pPr>
    </w:p>
    <w:p w14:paraId="38D3469F" w14:textId="77777777" w:rsidR="00C84FAB" w:rsidRPr="00727955" w:rsidRDefault="00C84FAB" w:rsidP="00C84FAB">
      <w:pPr>
        <w:pStyle w:val="NoSpacing"/>
        <w:rPr>
          <w:rFonts w:ascii="Arial" w:hAnsi="Arial" w:cs="Arial"/>
          <w:sz w:val="18"/>
          <w:szCs w:val="18"/>
          <w:lang w:val="es-ES"/>
        </w:rPr>
      </w:pPr>
    </w:p>
    <w:p w14:paraId="1C490C9E" w14:textId="07D55F96" w:rsidR="00C84FAB" w:rsidRPr="00727955" w:rsidRDefault="00C84FAB" w:rsidP="00C84FAB">
      <w:pPr>
        <w:pStyle w:val="BodyText"/>
        <w:pBdr>
          <w:top w:val="single" w:sz="4" w:space="0" w:color="000000"/>
          <w:left w:val="single" w:sz="4" w:space="0" w:color="000000"/>
          <w:bottom w:val="single" w:sz="4" w:space="0" w:color="000000"/>
          <w:right w:val="single" w:sz="4" w:space="0" w:color="000000"/>
        </w:pBdr>
        <w:tabs>
          <w:tab w:val="left" w:pos="1440"/>
        </w:tabs>
        <w:jc w:val="both"/>
        <w:rPr>
          <w:rFonts w:ascii="Arial" w:hAnsi="Arial" w:cs="Arial"/>
          <w:sz w:val="20"/>
          <w:szCs w:val="20"/>
          <w:lang w:val="es-PY"/>
        </w:rPr>
      </w:pPr>
      <w:r w:rsidRPr="00727955">
        <w:rPr>
          <w:rFonts w:ascii="Arial" w:hAnsi="Arial" w:cs="Arial"/>
          <w:sz w:val="20"/>
          <w:szCs w:val="20"/>
          <w:lang w:val="es-PY"/>
        </w:rPr>
        <w:t>E</w:t>
      </w:r>
      <w:r w:rsidR="00C114EF" w:rsidRPr="00727955">
        <w:rPr>
          <w:rFonts w:ascii="Arial" w:hAnsi="Arial" w:cs="Arial"/>
          <w:sz w:val="20"/>
          <w:szCs w:val="20"/>
          <w:lang w:val="es-PY"/>
        </w:rPr>
        <w:t>ste documento fue preparado por:</w:t>
      </w:r>
      <w:r w:rsidR="00C03C1C" w:rsidRPr="00727955">
        <w:rPr>
          <w:rFonts w:ascii="Arial" w:hAnsi="Arial" w:cs="Arial"/>
          <w:sz w:val="20"/>
          <w:szCs w:val="20"/>
          <w:lang w:val="es-CR"/>
        </w:rPr>
        <w:t xml:space="preserve"> </w:t>
      </w:r>
      <w:r w:rsidR="00900CD0" w:rsidRPr="00727955">
        <w:rPr>
          <w:rFonts w:ascii="Arial" w:hAnsi="Arial" w:cs="Arial"/>
          <w:sz w:val="20"/>
          <w:szCs w:val="20"/>
          <w:lang w:val="es-CR"/>
        </w:rPr>
        <w:t>Mauricio García</w:t>
      </w:r>
      <w:r w:rsidR="00C03C1C" w:rsidRPr="00727955">
        <w:rPr>
          <w:rFonts w:ascii="Arial" w:hAnsi="Arial" w:cs="Arial"/>
          <w:sz w:val="20"/>
          <w:szCs w:val="20"/>
          <w:lang w:val="es-CR"/>
        </w:rPr>
        <w:t xml:space="preserve"> (ICS</w:t>
      </w:r>
      <w:r w:rsidR="00900CD0" w:rsidRPr="00727955">
        <w:rPr>
          <w:rFonts w:ascii="Arial" w:hAnsi="Arial" w:cs="Arial"/>
          <w:sz w:val="20"/>
          <w:szCs w:val="20"/>
          <w:lang w:val="es-CR"/>
        </w:rPr>
        <w:t>/CEC</w:t>
      </w:r>
      <w:r w:rsidRPr="00727955">
        <w:rPr>
          <w:rFonts w:ascii="Arial" w:hAnsi="Arial" w:cs="Arial"/>
          <w:sz w:val="20"/>
          <w:szCs w:val="20"/>
          <w:lang w:val="es-PY"/>
        </w:rPr>
        <w:t>)</w:t>
      </w:r>
      <w:r w:rsidRPr="00727955">
        <w:rPr>
          <w:rFonts w:ascii="Arial" w:hAnsi="Arial" w:cs="Arial"/>
          <w:sz w:val="20"/>
          <w:szCs w:val="20"/>
          <w:lang w:val="es-CR"/>
        </w:rPr>
        <w:t xml:space="preserve">, Jefe de Equipo, </w:t>
      </w:r>
      <w:r w:rsidR="00595623" w:rsidRPr="00727955">
        <w:rPr>
          <w:rFonts w:ascii="Arial" w:hAnsi="Arial" w:cs="Arial"/>
          <w:sz w:val="20"/>
          <w:szCs w:val="20"/>
          <w:lang w:val="es-CR"/>
        </w:rPr>
        <w:t>Raimundo Arroi</w:t>
      </w:r>
      <w:r w:rsidRPr="00727955">
        <w:rPr>
          <w:rFonts w:ascii="Arial" w:hAnsi="Arial" w:cs="Arial"/>
          <w:sz w:val="20"/>
          <w:szCs w:val="20"/>
          <w:lang w:val="es-CR"/>
        </w:rPr>
        <w:t>o (</w:t>
      </w:r>
      <w:r w:rsidR="00C03C1C" w:rsidRPr="00727955">
        <w:rPr>
          <w:rFonts w:ascii="Arial" w:hAnsi="Arial" w:cs="Arial"/>
          <w:sz w:val="20"/>
          <w:szCs w:val="20"/>
          <w:lang w:val="es-CR"/>
        </w:rPr>
        <w:t>IFD/ICS</w:t>
      </w:r>
      <w:r w:rsidR="00595623" w:rsidRPr="00727955">
        <w:rPr>
          <w:rFonts w:ascii="Arial" w:hAnsi="Arial" w:cs="Arial"/>
          <w:sz w:val="20"/>
          <w:szCs w:val="20"/>
          <w:lang w:val="es-CR"/>
        </w:rPr>
        <w:t>)</w:t>
      </w:r>
      <w:r w:rsidRPr="00727955">
        <w:rPr>
          <w:rFonts w:ascii="Arial" w:hAnsi="Arial" w:cs="Arial"/>
          <w:sz w:val="20"/>
          <w:szCs w:val="20"/>
          <w:lang w:val="es-CR"/>
        </w:rPr>
        <w:t xml:space="preserve"> y </w:t>
      </w:r>
      <w:r w:rsidR="00F23868">
        <w:rPr>
          <w:rFonts w:ascii="Arial" w:hAnsi="Arial" w:cs="Arial"/>
          <w:sz w:val="20"/>
          <w:szCs w:val="20"/>
          <w:lang w:val="es-CR"/>
        </w:rPr>
        <w:t>José Martínez</w:t>
      </w:r>
      <w:r w:rsidR="00C03C1C" w:rsidRPr="00727955">
        <w:rPr>
          <w:rFonts w:ascii="Arial" w:hAnsi="Arial" w:cs="Arial"/>
          <w:sz w:val="20"/>
          <w:szCs w:val="20"/>
          <w:lang w:val="es-CR"/>
        </w:rPr>
        <w:t xml:space="preserve"> (SPD/SDV)</w:t>
      </w:r>
    </w:p>
    <w:p w14:paraId="3975CE7C" w14:textId="77777777" w:rsidR="00C84FAB" w:rsidRPr="00727955" w:rsidRDefault="00C84FAB" w:rsidP="00C84FAB">
      <w:pPr>
        <w:pStyle w:val="NoSpacing"/>
        <w:rPr>
          <w:rFonts w:ascii="Arial" w:hAnsi="Arial" w:cs="Arial"/>
          <w:sz w:val="18"/>
          <w:szCs w:val="18"/>
          <w:lang w:val="es-ES"/>
        </w:rPr>
      </w:pPr>
    </w:p>
    <w:p w14:paraId="777F30A7" w14:textId="77777777" w:rsidR="003E58FC" w:rsidRPr="00727955" w:rsidRDefault="003E58FC">
      <w:pPr>
        <w:rPr>
          <w:rFonts w:ascii="Arial" w:hAnsi="Arial" w:cs="Arial"/>
          <w:sz w:val="18"/>
          <w:szCs w:val="18"/>
          <w:lang w:val="es-ES"/>
        </w:rPr>
      </w:pPr>
    </w:p>
    <w:p w14:paraId="657A6D0D" w14:textId="77777777" w:rsidR="00C84FAB" w:rsidRPr="00727955" w:rsidRDefault="00C84FAB">
      <w:pPr>
        <w:rPr>
          <w:rFonts w:ascii="Arial" w:hAnsi="Arial" w:cs="Arial"/>
          <w:sz w:val="18"/>
          <w:szCs w:val="18"/>
          <w:lang w:val="es-PY"/>
        </w:rPr>
      </w:pPr>
    </w:p>
    <w:p w14:paraId="24B68BA1" w14:textId="77777777" w:rsidR="00387C4A" w:rsidRPr="00727955" w:rsidRDefault="00387C4A">
      <w:pPr>
        <w:rPr>
          <w:rFonts w:ascii="Arial" w:hAnsi="Arial" w:cs="Arial"/>
          <w:sz w:val="18"/>
          <w:szCs w:val="18"/>
          <w:lang w:val="es-PY"/>
        </w:rPr>
      </w:pPr>
    </w:p>
    <w:p w14:paraId="0A17554A" w14:textId="77777777" w:rsidR="00387C4A" w:rsidRPr="00727955" w:rsidRDefault="00387C4A">
      <w:pPr>
        <w:rPr>
          <w:rFonts w:ascii="Arial" w:hAnsi="Arial" w:cs="Arial"/>
          <w:sz w:val="18"/>
          <w:szCs w:val="18"/>
          <w:lang w:val="es-PY"/>
        </w:rPr>
      </w:pPr>
    </w:p>
    <w:p w14:paraId="3C2FBB65" w14:textId="77777777" w:rsidR="00387C4A" w:rsidRPr="00727955" w:rsidRDefault="00387C4A">
      <w:pPr>
        <w:rPr>
          <w:rFonts w:ascii="Arial" w:hAnsi="Arial" w:cs="Arial"/>
          <w:sz w:val="18"/>
          <w:szCs w:val="18"/>
          <w:lang w:val="es-PY"/>
        </w:rPr>
      </w:pPr>
    </w:p>
    <w:p w14:paraId="0E34DE6C" w14:textId="77777777" w:rsidR="00387C4A" w:rsidRPr="00727955" w:rsidRDefault="00387C4A">
      <w:pPr>
        <w:rPr>
          <w:rFonts w:ascii="Arial" w:hAnsi="Arial" w:cs="Arial"/>
          <w:sz w:val="18"/>
          <w:szCs w:val="18"/>
          <w:lang w:val="es-PY"/>
        </w:rPr>
      </w:pPr>
    </w:p>
    <w:p w14:paraId="1D4588B6" w14:textId="77777777" w:rsidR="00387C4A" w:rsidRPr="00727955" w:rsidRDefault="00387C4A">
      <w:pPr>
        <w:rPr>
          <w:rFonts w:ascii="Arial" w:hAnsi="Arial" w:cs="Arial"/>
          <w:sz w:val="18"/>
          <w:szCs w:val="18"/>
          <w:lang w:val="es-PY"/>
        </w:rPr>
      </w:pPr>
    </w:p>
    <w:p w14:paraId="0F9A7FCB" w14:textId="77777777" w:rsidR="00C84FAB" w:rsidRPr="00727955" w:rsidRDefault="00C84FAB">
      <w:pPr>
        <w:rPr>
          <w:rFonts w:ascii="Arial" w:hAnsi="Arial" w:cs="Arial"/>
          <w:sz w:val="18"/>
          <w:szCs w:val="18"/>
          <w:lang w:val="es-PY"/>
        </w:rPr>
      </w:pPr>
    </w:p>
    <w:p w14:paraId="352541C6" w14:textId="77777777" w:rsidR="00C84FAB" w:rsidRPr="00727955" w:rsidRDefault="00C84FAB">
      <w:pPr>
        <w:rPr>
          <w:rFonts w:ascii="Arial" w:hAnsi="Arial" w:cs="Arial"/>
          <w:sz w:val="18"/>
          <w:szCs w:val="18"/>
          <w:lang w:val="es-PY"/>
        </w:rPr>
      </w:pPr>
    </w:p>
    <w:sdt>
      <w:sdtPr>
        <w:rPr>
          <w:rFonts w:ascii="Arial" w:eastAsiaTheme="minorEastAsia" w:hAnsi="Arial" w:cs="Arial"/>
          <w:sz w:val="18"/>
          <w:szCs w:val="18"/>
          <w:lang w:val="en-US" w:eastAsia="zh-CN"/>
        </w:rPr>
        <w:id w:val="409656969"/>
        <w:docPartObj>
          <w:docPartGallery w:val="Table of Contents"/>
          <w:docPartUnique/>
        </w:docPartObj>
      </w:sdtPr>
      <w:sdtEndPr>
        <w:rPr>
          <w:b/>
          <w:bCs/>
          <w:sz w:val="22"/>
          <w:szCs w:val="22"/>
          <w:lang w:val="es-ES"/>
        </w:rPr>
      </w:sdtEndPr>
      <w:sdtContent>
        <w:p w14:paraId="71591727" w14:textId="77777777" w:rsidR="00C84FAB" w:rsidRPr="00727955" w:rsidRDefault="00C84FAB" w:rsidP="003951CE">
          <w:pPr>
            <w:pStyle w:val="Title"/>
            <w:rPr>
              <w:rStyle w:val="Strong"/>
              <w:rFonts w:ascii="Arial" w:hAnsi="Arial" w:cs="Arial"/>
              <w:szCs w:val="24"/>
            </w:rPr>
          </w:pPr>
          <w:r w:rsidRPr="00727955">
            <w:rPr>
              <w:rStyle w:val="Strong"/>
              <w:rFonts w:ascii="Arial" w:hAnsi="Arial" w:cs="Arial"/>
              <w:szCs w:val="24"/>
            </w:rPr>
            <w:t>Contenido</w:t>
          </w:r>
        </w:p>
        <w:p w14:paraId="01DA254A" w14:textId="77777777" w:rsidR="003951CE" w:rsidRPr="00727955" w:rsidRDefault="003951CE" w:rsidP="00542496">
          <w:pPr>
            <w:pStyle w:val="Title"/>
            <w:rPr>
              <w:rFonts w:ascii="Arial" w:hAnsi="Arial" w:cs="Arial"/>
              <w:sz w:val="20"/>
            </w:rPr>
          </w:pPr>
        </w:p>
        <w:p w14:paraId="28D52D93" w14:textId="77777777" w:rsidR="003716C6" w:rsidRPr="00727955" w:rsidRDefault="00C84FAB" w:rsidP="00F46AE1">
          <w:pPr>
            <w:pStyle w:val="TOC1"/>
            <w:rPr>
              <w:rFonts w:ascii="Arial" w:hAnsi="Arial" w:cs="Arial"/>
              <w:noProof/>
              <w:color w:val="000000" w:themeColor="text1"/>
              <w:sz w:val="20"/>
              <w:szCs w:val="20"/>
            </w:rPr>
          </w:pPr>
          <w:r w:rsidRPr="00727955">
            <w:rPr>
              <w:rFonts w:ascii="Arial" w:hAnsi="Arial" w:cs="Arial"/>
              <w:sz w:val="20"/>
              <w:szCs w:val="20"/>
            </w:rPr>
            <w:fldChar w:fldCharType="begin"/>
          </w:r>
          <w:r w:rsidRPr="00727955">
            <w:rPr>
              <w:rFonts w:ascii="Arial" w:hAnsi="Arial" w:cs="Arial"/>
              <w:sz w:val="20"/>
              <w:szCs w:val="20"/>
            </w:rPr>
            <w:instrText xml:space="preserve"> TOC \o "1-3" \h \z \u </w:instrText>
          </w:r>
          <w:r w:rsidRPr="00727955">
            <w:rPr>
              <w:rFonts w:ascii="Arial" w:hAnsi="Arial" w:cs="Arial"/>
              <w:sz w:val="20"/>
              <w:szCs w:val="20"/>
            </w:rPr>
            <w:fldChar w:fldCharType="separate"/>
          </w:r>
          <w:hyperlink w:anchor="_Toc487815083" w:history="1">
            <w:r w:rsidR="00542496" w:rsidRPr="00727955">
              <w:rPr>
                <w:rStyle w:val="Hyperlink"/>
                <w:rFonts w:ascii="Arial" w:hAnsi="Arial" w:cs="Arial"/>
                <w:noProof/>
                <w:color w:val="000000" w:themeColor="text1"/>
                <w:sz w:val="20"/>
                <w:szCs w:val="20"/>
                <w:lang w:val="es-PY"/>
              </w:rPr>
              <w:t>I</w:t>
            </w:r>
            <w:r w:rsidR="003716C6" w:rsidRPr="00727955">
              <w:rPr>
                <w:rStyle w:val="Hyperlink"/>
                <w:rFonts w:ascii="Arial" w:hAnsi="Arial" w:cs="Arial"/>
                <w:noProof/>
                <w:color w:val="000000" w:themeColor="text1"/>
                <w:sz w:val="20"/>
                <w:szCs w:val="20"/>
                <w:lang w:val="es-PY"/>
              </w:rPr>
              <w:t>.</w:t>
            </w:r>
            <w:r w:rsidR="003716C6" w:rsidRPr="00727955">
              <w:rPr>
                <w:rFonts w:ascii="Arial" w:hAnsi="Arial" w:cs="Arial"/>
                <w:noProof/>
                <w:color w:val="000000" w:themeColor="text1"/>
                <w:sz w:val="20"/>
                <w:szCs w:val="20"/>
                <w:lang w:eastAsia="en-US"/>
              </w:rPr>
              <w:tab/>
            </w:r>
            <w:r w:rsidR="003716C6" w:rsidRPr="00727955">
              <w:rPr>
                <w:rStyle w:val="Hyperlink"/>
                <w:rFonts w:ascii="Arial" w:hAnsi="Arial" w:cs="Arial"/>
                <w:noProof/>
                <w:color w:val="000000" w:themeColor="text1"/>
                <w:sz w:val="20"/>
                <w:szCs w:val="20"/>
                <w:lang w:val="es-PY"/>
              </w:rPr>
              <w:t>INTRODUCCIÓN</w:t>
            </w:r>
            <w:r w:rsidR="003716C6" w:rsidRPr="00727955">
              <w:rPr>
                <w:rFonts w:ascii="Arial" w:hAnsi="Arial" w:cs="Arial"/>
                <w:noProof/>
                <w:webHidden/>
                <w:color w:val="000000" w:themeColor="text1"/>
                <w:sz w:val="20"/>
                <w:szCs w:val="20"/>
              </w:rPr>
              <w:tab/>
            </w:r>
            <w:r w:rsidR="003716C6" w:rsidRPr="00727955">
              <w:rPr>
                <w:rFonts w:ascii="Arial" w:hAnsi="Arial" w:cs="Arial"/>
                <w:noProof/>
                <w:webHidden/>
                <w:color w:val="000000" w:themeColor="text1"/>
                <w:sz w:val="20"/>
                <w:szCs w:val="20"/>
              </w:rPr>
              <w:fldChar w:fldCharType="begin"/>
            </w:r>
            <w:r w:rsidR="003716C6" w:rsidRPr="00727955">
              <w:rPr>
                <w:rFonts w:ascii="Arial" w:hAnsi="Arial" w:cs="Arial"/>
                <w:noProof/>
                <w:webHidden/>
                <w:color w:val="000000" w:themeColor="text1"/>
                <w:sz w:val="20"/>
                <w:szCs w:val="20"/>
              </w:rPr>
              <w:instrText xml:space="preserve"> PAGEREF _Toc487815083 \h </w:instrText>
            </w:r>
            <w:r w:rsidR="003716C6" w:rsidRPr="00727955">
              <w:rPr>
                <w:rFonts w:ascii="Arial" w:hAnsi="Arial" w:cs="Arial"/>
                <w:noProof/>
                <w:webHidden/>
                <w:color w:val="000000" w:themeColor="text1"/>
                <w:sz w:val="20"/>
                <w:szCs w:val="20"/>
              </w:rPr>
            </w:r>
            <w:r w:rsidR="003716C6" w:rsidRPr="00727955">
              <w:rPr>
                <w:rFonts w:ascii="Arial" w:hAnsi="Arial" w:cs="Arial"/>
                <w:noProof/>
                <w:webHidden/>
                <w:color w:val="000000" w:themeColor="text1"/>
                <w:sz w:val="20"/>
                <w:szCs w:val="20"/>
              </w:rPr>
              <w:fldChar w:fldCharType="separate"/>
            </w:r>
            <w:r w:rsidR="005F291E" w:rsidRPr="00727955">
              <w:rPr>
                <w:rFonts w:ascii="Arial" w:hAnsi="Arial" w:cs="Arial"/>
                <w:noProof/>
                <w:webHidden/>
                <w:color w:val="000000" w:themeColor="text1"/>
                <w:sz w:val="20"/>
                <w:szCs w:val="20"/>
              </w:rPr>
              <w:t>3</w:t>
            </w:r>
            <w:r w:rsidR="003716C6" w:rsidRPr="00727955">
              <w:rPr>
                <w:rFonts w:ascii="Arial" w:hAnsi="Arial" w:cs="Arial"/>
                <w:noProof/>
                <w:webHidden/>
                <w:color w:val="000000" w:themeColor="text1"/>
                <w:sz w:val="20"/>
                <w:szCs w:val="20"/>
              </w:rPr>
              <w:fldChar w:fldCharType="end"/>
            </w:r>
          </w:hyperlink>
        </w:p>
        <w:p w14:paraId="154221E5" w14:textId="77777777" w:rsidR="00542496" w:rsidRPr="00727955" w:rsidRDefault="00F870A0" w:rsidP="00F46AE1">
          <w:pPr>
            <w:ind w:left="450" w:hanging="450"/>
            <w:rPr>
              <w:rStyle w:val="Hyperlink"/>
              <w:rFonts w:ascii="Arial" w:hAnsi="Arial" w:cs="Arial"/>
              <w:noProof/>
              <w:color w:val="000000" w:themeColor="text1"/>
              <w:sz w:val="20"/>
              <w:szCs w:val="20"/>
              <w:lang w:val="es-PY"/>
            </w:rPr>
          </w:pPr>
          <w:r w:rsidRPr="00727955">
            <w:rPr>
              <w:rFonts w:ascii="Arial" w:hAnsi="Arial" w:cs="Arial"/>
              <w:color w:val="000000" w:themeColor="text1"/>
              <w:sz w:val="20"/>
              <w:szCs w:val="20"/>
              <w:lang w:val="es-ES_tradnl"/>
            </w:rPr>
            <w:t>II.</w:t>
          </w:r>
          <w:r w:rsidR="00542496" w:rsidRPr="00727955">
            <w:rPr>
              <w:rStyle w:val="Hyperlink"/>
              <w:rFonts w:ascii="Arial" w:hAnsi="Arial" w:cs="Arial"/>
              <w:noProof/>
              <w:color w:val="000000" w:themeColor="text1"/>
              <w:sz w:val="20"/>
              <w:szCs w:val="20"/>
              <w:u w:val="none"/>
              <w:lang w:val="es-PY"/>
            </w:rPr>
            <w:t xml:space="preserve"> </w:t>
          </w:r>
          <w:r w:rsidR="00542496" w:rsidRPr="00727955">
            <w:rPr>
              <w:rStyle w:val="Hyperlink"/>
              <w:rFonts w:ascii="Arial" w:hAnsi="Arial" w:cs="Arial"/>
              <w:noProof/>
              <w:color w:val="000000" w:themeColor="text1"/>
              <w:sz w:val="20"/>
              <w:szCs w:val="20"/>
              <w:u w:val="none"/>
              <w:lang w:val="es-PY"/>
            </w:rPr>
            <w:tab/>
            <w:t>RESUMEN DE LOS ARREGLOS DE IMPLEMENTACIÓN….………</w:t>
          </w:r>
          <w:r w:rsidRPr="00727955">
            <w:rPr>
              <w:rStyle w:val="Hyperlink"/>
              <w:rFonts w:ascii="Arial" w:hAnsi="Arial" w:cs="Arial"/>
              <w:noProof/>
              <w:color w:val="000000" w:themeColor="text1"/>
              <w:sz w:val="20"/>
              <w:szCs w:val="20"/>
              <w:u w:val="none"/>
              <w:lang w:val="es-PY"/>
            </w:rPr>
            <w:t>……….</w:t>
          </w:r>
          <w:r w:rsidR="00F46AE1" w:rsidRPr="00727955">
            <w:rPr>
              <w:rStyle w:val="Hyperlink"/>
              <w:rFonts w:ascii="Arial" w:hAnsi="Arial" w:cs="Arial"/>
              <w:noProof/>
              <w:color w:val="000000" w:themeColor="text1"/>
              <w:sz w:val="20"/>
              <w:szCs w:val="20"/>
              <w:u w:val="none"/>
              <w:lang w:val="es-PY"/>
            </w:rPr>
            <w:t>…</w:t>
          </w:r>
          <w:r w:rsidR="002C7DBA" w:rsidRPr="00727955">
            <w:rPr>
              <w:rStyle w:val="Hyperlink"/>
              <w:rFonts w:ascii="Arial" w:hAnsi="Arial" w:cs="Arial"/>
              <w:noProof/>
              <w:color w:val="000000" w:themeColor="text1"/>
              <w:sz w:val="20"/>
              <w:szCs w:val="20"/>
              <w:u w:val="none"/>
              <w:lang w:val="es-PY"/>
            </w:rPr>
            <w:t>...</w:t>
          </w:r>
          <w:r w:rsidR="00F46AE1" w:rsidRPr="00727955">
            <w:rPr>
              <w:rStyle w:val="Hyperlink"/>
              <w:rFonts w:ascii="Arial" w:hAnsi="Arial" w:cs="Arial"/>
              <w:noProof/>
              <w:color w:val="000000" w:themeColor="text1"/>
              <w:sz w:val="20"/>
              <w:szCs w:val="20"/>
              <w:u w:val="none"/>
              <w:lang w:val="es-PY"/>
            </w:rPr>
            <w:t>...</w:t>
          </w:r>
          <w:r w:rsidR="00542496" w:rsidRPr="00727955">
            <w:rPr>
              <w:rStyle w:val="Hyperlink"/>
              <w:rFonts w:ascii="Arial" w:hAnsi="Arial" w:cs="Arial"/>
              <w:noProof/>
              <w:color w:val="000000" w:themeColor="text1"/>
              <w:sz w:val="20"/>
              <w:szCs w:val="20"/>
              <w:u w:val="none"/>
              <w:lang w:val="es-PY"/>
            </w:rPr>
            <w:t>…</w:t>
          </w:r>
          <w:r w:rsidR="002C7DBA" w:rsidRPr="00727955">
            <w:rPr>
              <w:rStyle w:val="Hyperlink"/>
              <w:rFonts w:ascii="Arial" w:hAnsi="Arial" w:cs="Arial"/>
              <w:noProof/>
              <w:color w:val="000000" w:themeColor="text1"/>
              <w:sz w:val="20"/>
              <w:szCs w:val="20"/>
              <w:u w:val="none"/>
              <w:lang w:val="es-PY"/>
            </w:rPr>
            <w:t>.</w:t>
          </w:r>
          <w:r w:rsidR="00542496" w:rsidRPr="00727955">
            <w:rPr>
              <w:rStyle w:val="Hyperlink"/>
              <w:rFonts w:ascii="Arial" w:hAnsi="Arial" w:cs="Arial"/>
              <w:noProof/>
              <w:color w:val="000000" w:themeColor="text1"/>
              <w:sz w:val="20"/>
              <w:szCs w:val="20"/>
              <w:u w:val="none"/>
              <w:lang w:val="es-PY"/>
            </w:rPr>
            <w:t>….4</w:t>
          </w:r>
        </w:p>
        <w:p w14:paraId="251B0F3B" w14:textId="77777777" w:rsidR="003716C6" w:rsidRPr="00727955" w:rsidRDefault="00AE2163" w:rsidP="00F46AE1">
          <w:pPr>
            <w:pStyle w:val="TOC1"/>
            <w:rPr>
              <w:rFonts w:ascii="Arial" w:hAnsi="Arial" w:cs="Arial"/>
              <w:noProof/>
              <w:color w:val="000000" w:themeColor="text1"/>
              <w:sz w:val="20"/>
              <w:szCs w:val="20"/>
              <w:lang w:eastAsia="en-US"/>
            </w:rPr>
          </w:pPr>
          <w:hyperlink w:anchor="_Toc487815084" w:history="1">
            <w:r w:rsidR="00542496" w:rsidRPr="00727955">
              <w:rPr>
                <w:rStyle w:val="Hyperlink"/>
                <w:rFonts w:ascii="Arial" w:hAnsi="Arial" w:cs="Arial"/>
                <w:noProof/>
                <w:color w:val="000000" w:themeColor="text1"/>
                <w:sz w:val="20"/>
                <w:szCs w:val="20"/>
                <w:lang w:val="es-PY"/>
              </w:rPr>
              <w:t>III</w:t>
            </w:r>
            <w:r w:rsidR="003716C6" w:rsidRPr="00727955">
              <w:rPr>
                <w:rStyle w:val="Hyperlink"/>
                <w:rFonts w:ascii="Arial" w:hAnsi="Arial" w:cs="Arial"/>
                <w:noProof/>
                <w:color w:val="000000" w:themeColor="text1"/>
                <w:sz w:val="20"/>
                <w:szCs w:val="20"/>
                <w:lang w:val="es-PY"/>
              </w:rPr>
              <w:t>.</w:t>
            </w:r>
            <w:r w:rsidR="003716C6" w:rsidRPr="00727955">
              <w:rPr>
                <w:rStyle w:val="Hyperlink"/>
                <w:rFonts w:ascii="Arial" w:hAnsi="Arial" w:cs="Arial"/>
                <w:color w:val="000000" w:themeColor="text1"/>
                <w:sz w:val="20"/>
                <w:szCs w:val="20"/>
                <w:lang w:val="es-PY"/>
              </w:rPr>
              <w:tab/>
            </w:r>
            <w:r w:rsidR="003716C6" w:rsidRPr="00727955">
              <w:rPr>
                <w:rStyle w:val="Hyperlink"/>
                <w:rFonts w:ascii="Arial" w:hAnsi="Arial" w:cs="Arial"/>
                <w:noProof/>
                <w:color w:val="000000" w:themeColor="text1"/>
                <w:sz w:val="20"/>
                <w:szCs w:val="20"/>
                <w:lang w:val="es-PY"/>
              </w:rPr>
              <w:t>MONITOREO</w:t>
            </w:r>
            <w:r w:rsidR="003716C6" w:rsidRPr="00727955">
              <w:rPr>
                <w:rStyle w:val="Hyperlink"/>
                <w:rFonts w:ascii="Arial" w:hAnsi="Arial" w:cs="Arial"/>
                <w:webHidden/>
                <w:color w:val="000000" w:themeColor="text1"/>
                <w:sz w:val="20"/>
                <w:szCs w:val="20"/>
                <w:lang w:val="es-PY"/>
              </w:rPr>
              <w:tab/>
            </w:r>
            <w:r w:rsidR="003716C6" w:rsidRPr="00727955">
              <w:rPr>
                <w:rStyle w:val="Hyperlink"/>
                <w:rFonts w:ascii="Arial" w:hAnsi="Arial" w:cs="Arial"/>
                <w:webHidden/>
                <w:color w:val="000000" w:themeColor="text1"/>
                <w:sz w:val="20"/>
                <w:szCs w:val="20"/>
                <w:lang w:val="es-PY"/>
              </w:rPr>
              <w:fldChar w:fldCharType="begin"/>
            </w:r>
            <w:r w:rsidR="003716C6" w:rsidRPr="00727955">
              <w:rPr>
                <w:rStyle w:val="Hyperlink"/>
                <w:rFonts w:ascii="Arial" w:hAnsi="Arial" w:cs="Arial"/>
                <w:webHidden/>
                <w:color w:val="000000" w:themeColor="text1"/>
                <w:sz w:val="20"/>
                <w:szCs w:val="20"/>
                <w:lang w:val="es-PY"/>
              </w:rPr>
              <w:instrText xml:space="preserve"> PAGEREF _Toc487815084 \h </w:instrText>
            </w:r>
            <w:r w:rsidR="003716C6" w:rsidRPr="00727955">
              <w:rPr>
                <w:rStyle w:val="Hyperlink"/>
                <w:rFonts w:ascii="Arial" w:hAnsi="Arial" w:cs="Arial"/>
                <w:webHidden/>
                <w:color w:val="000000" w:themeColor="text1"/>
                <w:sz w:val="20"/>
                <w:szCs w:val="20"/>
                <w:lang w:val="es-PY"/>
              </w:rPr>
            </w:r>
            <w:r w:rsidR="003716C6" w:rsidRPr="00727955">
              <w:rPr>
                <w:rStyle w:val="Hyperlink"/>
                <w:rFonts w:ascii="Arial" w:hAnsi="Arial" w:cs="Arial"/>
                <w:webHidden/>
                <w:color w:val="000000" w:themeColor="text1"/>
                <w:sz w:val="20"/>
                <w:szCs w:val="20"/>
                <w:lang w:val="es-PY"/>
              </w:rPr>
              <w:fldChar w:fldCharType="separate"/>
            </w:r>
            <w:r w:rsidR="005F291E" w:rsidRPr="00727955">
              <w:rPr>
                <w:rStyle w:val="Hyperlink"/>
                <w:rFonts w:ascii="Arial" w:hAnsi="Arial" w:cs="Arial"/>
                <w:webHidden/>
                <w:color w:val="000000" w:themeColor="text1"/>
                <w:sz w:val="20"/>
                <w:szCs w:val="20"/>
                <w:lang w:val="es-PY"/>
              </w:rPr>
              <w:t>6</w:t>
            </w:r>
            <w:r w:rsidR="003716C6" w:rsidRPr="00727955">
              <w:rPr>
                <w:rStyle w:val="Hyperlink"/>
                <w:rFonts w:ascii="Arial" w:hAnsi="Arial" w:cs="Arial"/>
                <w:webHidden/>
                <w:color w:val="000000" w:themeColor="text1"/>
                <w:sz w:val="20"/>
                <w:szCs w:val="20"/>
                <w:lang w:val="es-PY"/>
              </w:rPr>
              <w:fldChar w:fldCharType="end"/>
            </w:r>
          </w:hyperlink>
        </w:p>
        <w:p w14:paraId="1A241763" w14:textId="77777777" w:rsidR="003716C6" w:rsidRPr="00727955" w:rsidRDefault="0002610E" w:rsidP="00F46AE1">
          <w:pPr>
            <w:pStyle w:val="TOC1"/>
            <w:rPr>
              <w:rFonts w:ascii="Arial" w:hAnsi="Arial" w:cs="Arial"/>
              <w:noProof/>
              <w:color w:val="000000" w:themeColor="text1"/>
              <w:sz w:val="20"/>
              <w:szCs w:val="20"/>
              <w:lang w:eastAsia="en-US"/>
            </w:rPr>
          </w:pPr>
          <w:r w:rsidRPr="00727955">
            <w:rPr>
              <w:rStyle w:val="Hyperlink"/>
              <w:rFonts w:ascii="Arial" w:hAnsi="Arial" w:cs="Arial"/>
              <w:noProof/>
              <w:color w:val="000000" w:themeColor="text1"/>
              <w:sz w:val="20"/>
              <w:szCs w:val="20"/>
              <w:u w:val="none"/>
              <w:lang w:val="es-ES_tradnl"/>
            </w:rPr>
            <w:tab/>
          </w:r>
          <w:hyperlink w:anchor="_Toc487815085" w:history="1">
            <w:r w:rsidR="003716C6" w:rsidRPr="00727955">
              <w:rPr>
                <w:rStyle w:val="Hyperlink"/>
                <w:rFonts w:ascii="Arial" w:hAnsi="Arial" w:cs="Arial"/>
                <w:noProof/>
                <w:color w:val="000000" w:themeColor="text1"/>
                <w:sz w:val="20"/>
                <w:szCs w:val="20"/>
                <w:lang w:val="es-ES_tradnl"/>
              </w:rPr>
              <w:t>Indicadores</w:t>
            </w:r>
            <w:r w:rsidR="003716C6" w:rsidRPr="00727955">
              <w:rPr>
                <w:rFonts w:ascii="Arial" w:hAnsi="Arial" w:cs="Arial"/>
                <w:noProof/>
                <w:webHidden/>
                <w:color w:val="000000" w:themeColor="text1"/>
                <w:sz w:val="20"/>
                <w:szCs w:val="20"/>
              </w:rPr>
              <w:tab/>
            </w:r>
            <w:r w:rsidR="003716C6" w:rsidRPr="00727955">
              <w:rPr>
                <w:rFonts w:ascii="Arial" w:hAnsi="Arial" w:cs="Arial"/>
                <w:noProof/>
                <w:webHidden/>
                <w:color w:val="000000" w:themeColor="text1"/>
                <w:sz w:val="20"/>
                <w:szCs w:val="20"/>
              </w:rPr>
              <w:fldChar w:fldCharType="begin"/>
            </w:r>
            <w:r w:rsidR="003716C6" w:rsidRPr="00727955">
              <w:rPr>
                <w:rFonts w:ascii="Arial" w:hAnsi="Arial" w:cs="Arial"/>
                <w:noProof/>
                <w:webHidden/>
                <w:color w:val="000000" w:themeColor="text1"/>
                <w:sz w:val="20"/>
                <w:szCs w:val="20"/>
              </w:rPr>
              <w:instrText xml:space="preserve"> PAGEREF _Toc487815085 \h </w:instrText>
            </w:r>
            <w:r w:rsidR="003716C6" w:rsidRPr="00727955">
              <w:rPr>
                <w:rFonts w:ascii="Arial" w:hAnsi="Arial" w:cs="Arial"/>
                <w:noProof/>
                <w:webHidden/>
                <w:color w:val="000000" w:themeColor="text1"/>
                <w:sz w:val="20"/>
                <w:szCs w:val="20"/>
              </w:rPr>
            </w:r>
            <w:r w:rsidR="003716C6" w:rsidRPr="00727955">
              <w:rPr>
                <w:rFonts w:ascii="Arial" w:hAnsi="Arial" w:cs="Arial"/>
                <w:noProof/>
                <w:webHidden/>
                <w:color w:val="000000" w:themeColor="text1"/>
                <w:sz w:val="20"/>
                <w:szCs w:val="20"/>
              </w:rPr>
              <w:fldChar w:fldCharType="separate"/>
            </w:r>
            <w:r w:rsidR="005F291E" w:rsidRPr="00727955">
              <w:rPr>
                <w:rFonts w:ascii="Arial" w:hAnsi="Arial" w:cs="Arial"/>
                <w:noProof/>
                <w:webHidden/>
                <w:color w:val="000000" w:themeColor="text1"/>
                <w:sz w:val="20"/>
                <w:szCs w:val="20"/>
              </w:rPr>
              <w:t>6</w:t>
            </w:r>
            <w:r w:rsidR="003716C6" w:rsidRPr="00727955">
              <w:rPr>
                <w:rFonts w:ascii="Arial" w:hAnsi="Arial" w:cs="Arial"/>
                <w:noProof/>
                <w:webHidden/>
                <w:color w:val="000000" w:themeColor="text1"/>
                <w:sz w:val="20"/>
                <w:szCs w:val="20"/>
              </w:rPr>
              <w:fldChar w:fldCharType="end"/>
            </w:r>
          </w:hyperlink>
        </w:p>
        <w:p w14:paraId="75A1F958" w14:textId="77777777" w:rsidR="003716C6" w:rsidRPr="00727955" w:rsidRDefault="00AE2163" w:rsidP="0002610E">
          <w:pPr>
            <w:pStyle w:val="TOC1"/>
            <w:ind w:firstLine="440"/>
            <w:rPr>
              <w:rFonts w:ascii="Arial" w:hAnsi="Arial" w:cs="Arial"/>
              <w:noProof/>
              <w:color w:val="000000" w:themeColor="text1"/>
              <w:sz w:val="20"/>
              <w:szCs w:val="20"/>
              <w:lang w:eastAsia="en-US"/>
            </w:rPr>
          </w:pPr>
          <w:hyperlink w:anchor="_Toc487815086" w:history="1">
            <w:r w:rsidR="003716C6" w:rsidRPr="00727955">
              <w:rPr>
                <w:rStyle w:val="Hyperlink"/>
                <w:rFonts w:ascii="Arial" w:hAnsi="Arial" w:cs="Arial"/>
                <w:noProof/>
                <w:color w:val="000000" w:themeColor="text1"/>
                <w:sz w:val="20"/>
                <w:szCs w:val="20"/>
                <w:lang w:val="es-ES_tradnl"/>
              </w:rPr>
              <w:t>Instrumentos de Monitoreo del Proyecto y Recopilación de Datos</w:t>
            </w:r>
            <w:r w:rsidR="003716C6" w:rsidRPr="00727955">
              <w:rPr>
                <w:rFonts w:ascii="Arial" w:hAnsi="Arial" w:cs="Arial"/>
                <w:noProof/>
                <w:webHidden/>
                <w:color w:val="000000" w:themeColor="text1"/>
                <w:sz w:val="20"/>
                <w:szCs w:val="20"/>
              </w:rPr>
              <w:tab/>
            </w:r>
            <w:r w:rsidR="003716C6" w:rsidRPr="00727955">
              <w:rPr>
                <w:rFonts w:ascii="Arial" w:hAnsi="Arial" w:cs="Arial"/>
                <w:noProof/>
                <w:webHidden/>
                <w:color w:val="000000" w:themeColor="text1"/>
                <w:sz w:val="20"/>
                <w:szCs w:val="20"/>
              </w:rPr>
              <w:fldChar w:fldCharType="begin"/>
            </w:r>
            <w:r w:rsidR="003716C6" w:rsidRPr="00727955">
              <w:rPr>
                <w:rFonts w:ascii="Arial" w:hAnsi="Arial" w:cs="Arial"/>
                <w:noProof/>
                <w:webHidden/>
                <w:color w:val="000000" w:themeColor="text1"/>
                <w:sz w:val="20"/>
                <w:szCs w:val="20"/>
              </w:rPr>
              <w:instrText xml:space="preserve"> PAGEREF _Toc487815086 \h </w:instrText>
            </w:r>
            <w:r w:rsidR="003716C6" w:rsidRPr="00727955">
              <w:rPr>
                <w:rFonts w:ascii="Arial" w:hAnsi="Arial" w:cs="Arial"/>
                <w:noProof/>
                <w:webHidden/>
                <w:color w:val="000000" w:themeColor="text1"/>
                <w:sz w:val="20"/>
                <w:szCs w:val="20"/>
              </w:rPr>
            </w:r>
            <w:r w:rsidR="003716C6" w:rsidRPr="00727955">
              <w:rPr>
                <w:rFonts w:ascii="Arial" w:hAnsi="Arial" w:cs="Arial"/>
                <w:noProof/>
                <w:webHidden/>
                <w:color w:val="000000" w:themeColor="text1"/>
                <w:sz w:val="20"/>
                <w:szCs w:val="20"/>
              </w:rPr>
              <w:fldChar w:fldCharType="separate"/>
            </w:r>
            <w:r w:rsidR="005F291E" w:rsidRPr="00727955">
              <w:rPr>
                <w:rFonts w:ascii="Arial" w:hAnsi="Arial" w:cs="Arial"/>
                <w:noProof/>
                <w:webHidden/>
                <w:color w:val="000000" w:themeColor="text1"/>
                <w:sz w:val="20"/>
                <w:szCs w:val="20"/>
              </w:rPr>
              <w:t>18</w:t>
            </w:r>
            <w:r w:rsidR="003716C6" w:rsidRPr="00727955">
              <w:rPr>
                <w:rFonts w:ascii="Arial" w:hAnsi="Arial" w:cs="Arial"/>
                <w:noProof/>
                <w:webHidden/>
                <w:color w:val="000000" w:themeColor="text1"/>
                <w:sz w:val="20"/>
                <w:szCs w:val="20"/>
              </w:rPr>
              <w:fldChar w:fldCharType="end"/>
            </w:r>
          </w:hyperlink>
        </w:p>
        <w:p w14:paraId="61E790A4" w14:textId="77777777" w:rsidR="003716C6" w:rsidRPr="00727955" w:rsidRDefault="00AE2163" w:rsidP="0002610E">
          <w:pPr>
            <w:pStyle w:val="TOC1"/>
            <w:ind w:firstLine="440"/>
            <w:rPr>
              <w:rFonts w:ascii="Arial" w:hAnsi="Arial" w:cs="Arial"/>
              <w:noProof/>
              <w:color w:val="000000" w:themeColor="text1"/>
              <w:sz w:val="20"/>
              <w:szCs w:val="20"/>
              <w:lang w:eastAsia="en-US"/>
            </w:rPr>
          </w:pPr>
          <w:hyperlink w:anchor="_Toc487815087" w:history="1">
            <w:r w:rsidR="003716C6" w:rsidRPr="00727955">
              <w:rPr>
                <w:rStyle w:val="Hyperlink"/>
                <w:rFonts w:ascii="Arial" w:hAnsi="Arial" w:cs="Arial"/>
                <w:noProof/>
                <w:color w:val="000000" w:themeColor="text1"/>
                <w:sz w:val="20"/>
                <w:szCs w:val="20"/>
                <w:lang w:val="es-ES_tradnl"/>
              </w:rPr>
              <w:t xml:space="preserve">Presentación </w:t>
            </w:r>
            <w:r w:rsidR="002C7DBA" w:rsidRPr="00727955">
              <w:rPr>
                <w:rStyle w:val="Hyperlink"/>
                <w:rFonts w:ascii="Arial" w:hAnsi="Arial" w:cs="Arial"/>
                <w:noProof/>
                <w:color w:val="000000" w:themeColor="text1"/>
                <w:sz w:val="20"/>
                <w:szCs w:val="20"/>
                <w:lang w:val="es-ES_tradnl"/>
              </w:rPr>
              <w:t>d</w:t>
            </w:r>
            <w:r w:rsidR="003716C6" w:rsidRPr="00727955">
              <w:rPr>
                <w:rStyle w:val="Hyperlink"/>
                <w:rFonts w:ascii="Arial" w:hAnsi="Arial" w:cs="Arial"/>
                <w:noProof/>
                <w:color w:val="000000" w:themeColor="text1"/>
                <w:sz w:val="20"/>
                <w:szCs w:val="20"/>
                <w:lang w:val="es-ES_tradnl"/>
              </w:rPr>
              <w:t>e Informes</w:t>
            </w:r>
            <w:r w:rsidR="003716C6" w:rsidRPr="00727955">
              <w:rPr>
                <w:rFonts w:ascii="Arial" w:hAnsi="Arial" w:cs="Arial"/>
                <w:noProof/>
                <w:webHidden/>
                <w:color w:val="000000" w:themeColor="text1"/>
                <w:sz w:val="20"/>
                <w:szCs w:val="20"/>
              </w:rPr>
              <w:tab/>
            </w:r>
            <w:r w:rsidR="003716C6" w:rsidRPr="00727955">
              <w:rPr>
                <w:rFonts w:ascii="Arial" w:hAnsi="Arial" w:cs="Arial"/>
                <w:noProof/>
                <w:webHidden/>
                <w:color w:val="000000" w:themeColor="text1"/>
                <w:sz w:val="20"/>
                <w:szCs w:val="20"/>
              </w:rPr>
              <w:fldChar w:fldCharType="begin"/>
            </w:r>
            <w:r w:rsidR="003716C6" w:rsidRPr="00727955">
              <w:rPr>
                <w:rFonts w:ascii="Arial" w:hAnsi="Arial" w:cs="Arial"/>
                <w:noProof/>
                <w:webHidden/>
                <w:color w:val="000000" w:themeColor="text1"/>
                <w:sz w:val="20"/>
                <w:szCs w:val="20"/>
              </w:rPr>
              <w:instrText xml:space="preserve"> PAGEREF _Toc487815087 \h </w:instrText>
            </w:r>
            <w:r w:rsidR="003716C6" w:rsidRPr="00727955">
              <w:rPr>
                <w:rFonts w:ascii="Arial" w:hAnsi="Arial" w:cs="Arial"/>
                <w:noProof/>
                <w:webHidden/>
                <w:color w:val="000000" w:themeColor="text1"/>
                <w:sz w:val="20"/>
                <w:szCs w:val="20"/>
              </w:rPr>
            </w:r>
            <w:r w:rsidR="003716C6" w:rsidRPr="00727955">
              <w:rPr>
                <w:rFonts w:ascii="Arial" w:hAnsi="Arial" w:cs="Arial"/>
                <w:noProof/>
                <w:webHidden/>
                <w:color w:val="000000" w:themeColor="text1"/>
                <w:sz w:val="20"/>
                <w:szCs w:val="20"/>
              </w:rPr>
              <w:fldChar w:fldCharType="separate"/>
            </w:r>
            <w:r w:rsidR="005F291E" w:rsidRPr="00727955">
              <w:rPr>
                <w:rFonts w:ascii="Arial" w:hAnsi="Arial" w:cs="Arial"/>
                <w:noProof/>
                <w:webHidden/>
                <w:color w:val="000000" w:themeColor="text1"/>
                <w:sz w:val="20"/>
                <w:szCs w:val="20"/>
              </w:rPr>
              <w:t>22</w:t>
            </w:r>
            <w:r w:rsidR="003716C6" w:rsidRPr="00727955">
              <w:rPr>
                <w:rFonts w:ascii="Arial" w:hAnsi="Arial" w:cs="Arial"/>
                <w:noProof/>
                <w:webHidden/>
                <w:color w:val="000000" w:themeColor="text1"/>
                <w:sz w:val="20"/>
                <w:szCs w:val="20"/>
              </w:rPr>
              <w:fldChar w:fldCharType="end"/>
            </w:r>
          </w:hyperlink>
        </w:p>
        <w:p w14:paraId="0BA4BE2C" w14:textId="77777777" w:rsidR="003716C6" w:rsidRPr="00727955" w:rsidRDefault="00AE2163" w:rsidP="0002610E">
          <w:pPr>
            <w:pStyle w:val="TOC1"/>
            <w:ind w:firstLine="440"/>
            <w:rPr>
              <w:rFonts w:ascii="Arial" w:hAnsi="Arial" w:cs="Arial"/>
              <w:noProof/>
              <w:color w:val="000000" w:themeColor="text1"/>
              <w:sz w:val="20"/>
              <w:szCs w:val="20"/>
              <w:lang w:eastAsia="en-US"/>
            </w:rPr>
          </w:pPr>
          <w:hyperlink w:anchor="_Toc487815088" w:history="1">
            <w:r w:rsidR="003716C6" w:rsidRPr="00727955">
              <w:rPr>
                <w:rStyle w:val="Hyperlink"/>
                <w:rFonts w:ascii="Arial" w:hAnsi="Arial" w:cs="Arial"/>
                <w:noProof/>
                <w:color w:val="000000" w:themeColor="text1"/>
                <w:sz w:val="20"/>
                <w:szCs w:val="20"/>
                <w:lang w:val="es-ES_tradnl"/>
              </w:rPr>
              <w:t>Coordinación, plan de trabajo y presupuesto del monitoreo</w:t>
            </w:r>
            <w:r w:rsidR="003716C6" w:rsidRPr="00727955">
              <w:rPr>
                <w:rFonts w:ascii="Arial" w:hAnsi="Arial" w:cs="Arial"/>
                <w:noProof/>
                <w:webHidden/>
                <w:color w:val="000000" w:themeColor="text1"/>
                <w:sz w:val="20"/>
                <w:szCs w:val="20"/>
              </w:rPr>
              <w:tab/>
            </w:r>
            <w:r w:rsidR="003716C6" w:rsidRPr="00727955">
              <w:rPr>
                <w:rFonts w:ascii="Arial" w:hAnsi="Arial" w:cs="Arial"/>
                <w:noProof/>
                <w:webHidden/>
                <w:color w:val="000000" w:themeColor="text1"/>
                <w:sz w:val="20"/>
                <w:szCs w:val="20"/>
              </w:rPr>
              <w:fldChar w:fldCharType="begin"/>
            </w:r>
            <w:r w:rsidR="003716C6" w:rsidRPr="00727955">
              <w:rPr>
                <w:rFonts w:ascii="Arial" w:hAnsi="Arial" w:cs="Arial"/>
                <w:noProof/>
                <w:webHidden/>
                <w:color w:val="000000" w:themeColor="text1"/>
                <w:sz w:val="20"/>
                <w:szCs w:val="20"/>
              </w:rPr>
              <w:instrText xml:space="preserve"> PAGEREF _Toc487815088 \h </w:instrText>
            </w:r>
            <w:r w:rsidR="003716C6" w:rsidRPr="00727955">
              <w:rPr>
                <w:rFonts w:ascii="Arial" w:hAnsi="Arial" w:cs="Arial"/>
                <w:noProof/>
                <w:webHidden/>
                <w:color w:val="000000" w:themeColor="text1"/>
                <w:sz w:val="20"/>
                <w:szCs w:val="20"/>
              </w:rPr>
            </w:r>
            <w:r w:rsidR="003716C6" w:rsidRPr="00727955">
              <w:rPr>
                <w:rFonts w:ascii="Arial" w:hAnsi="Arial" w:cs="Arial"/>
                <w:noProof/>
                <w:webHidden/>
                <w:color w:val="000000" w:themeColor="text1"/>
                <w:sz w:val="20"/>
                <w:szCs w:val="20"/>
              </w:rPr>
              <w:fldChar w:fldCharType="separate"/>
            </w:r>
            <w:r w:rsidR="005F291E" w:rsidRPr="00727955">
              <w:rPr>
                <w:rFonts w:ascii="Arial" w:hAnsi="Arial" w:cs="Arial"/>
                <w:noProof/>
                <w:webHidden/>
                <w:color w:val="000000" w:themeColor="text1"/>
                <w:sz w:val="20"/>
                <w:szCs w:val="20"/>
              </w:rPr>
              <w:t>22</w:t>
            </w:r>
            <w:r w:rsidR="003716C6" w:rsidRPr="00727955">
              <w:rPr>
                <w:rFonts w:ascii="Arial" w:hAnsi="Arial" w:cs="Arial"/>
                <w:noProof/>
                <w:webHidden/>
                <w:color w:val="000000" w:themeColor="text1"/>
                <w:sz w:val="20"/>
                <w:szCs w:val="20"/>
              </w:rPr>
              <w:fldChar w:fldCharType="end"/>
            </w:r>
          </w:hyperlink>
        </w:p>
        <w:p w14:paraId="4A204240" w14:textId="77777777" w:rsidR="003716C6" w:rsidRPr="00727955" w:rsidRDefault="00AE2163" w:rsidP="00F46AE1">
          <w:pPr>
            <w:pStyle w:val="TOC1"/>
            <w:rPr>
              <w:rFonts w:ascii="Arial" w:hAnsi="Arial" w:cs="Arial"/>
              <w:noProof/>
              <w:color w:val="000000" w:themeColor="text1"/>
              <w:sz w:val="20"/>
              <w:szCs w:val="20"/>
              <w:lang w:eastAsia="en-US"/>
            </w:rPr>
          </w:pPr>
          <w:hyperlink w:anchor="_Toc487815089" w:history="1">
            <w:r w:rsidR="00F46AE1" w:rsidRPr="00727955">
              <w:rPr>
                <w:rStyle w:val="Hyperlink"/>
                <w:rFonts w:ascii="Arial" w:hAnsi="Arial" w:cs="Arial"/>
                <w:noProof/>
                <w:color w:val="000000" w:themeColor="text1"/>
                <w:sz w:val="20"/>
                <w:szCs w:val="20"/>
                <w:lang w:val="es-PY"/>
              </w:rPr>
              <w:t>IV</w:t>
            </w:r>
            <w:r w:rsidR="003716C6" w:rsidRPr="00727955">
              <w:rPr>
                <w:rFonts w:ascii="Arial" w:hAnsi="Arial" w:cs="Arial"/>
                <w:noProof/>
                <w:color w:val="000000" w:themeColor="text1"/>
                <w:sz w:val="20"/>
                <w:szCs w:val="20"/>
                <w:lang w:eastAsia="en-US"/>
              </w:rPr>
              <w:tab/>
            </w:r>
            <w:r w:rsidR="003716C6" w:rsidRPr="00727955">
              <w:rPr>
                <w:rStyle w:val="Hyperlink"/>
                <w:rFonts w:ascii="Arial" w:hAnsi="Arial" w:cs="Arial"/>
                <w:noProof/>
                <w:color w:val="000000" w:themeColor="text1"/>
                <w:sz w:val="20"/>
                <w:szCs w:val="20"/>
                <w:lang w:val="es-PA"/>
              </w:rPr>
              <w:t>EVALUACIONES</w:t>
            </w:r>
            <w:r w:rsidR="003716C6" w:rsidRPr="00727955">
              <w:rPr>
                <w:rFonts w:ascii="Arial" w:hAnsi="Arial" w:cs="Arial"/>
                <w:noProof/>
                <w:webHidden/>
                <w:color w:val="000000" w:themeColor="text1"/>
                <w:sz w:val="20"/>
                <w:szCs w:val="20"/>
              </w:rPr>
              <w:tab/>
            </w:r>
            <w:r w:rsidR="003716C6" w:rsidRPr="00727955">
              <w:rPr>
                <w:rFonts w:ascii="Arial" w:hAnsi="Arial" w:cs="Arial"/>
                <w:noProof/>
                <w:webHidden/>
                <w:color w:val="000000" w:themeColor="text1"/>
                <w:sz w:val="20"/>
                <w:szCs w:val="20"/>
              </w:rPr>
              <w:fldChar w:fldCharType="begin"/>
            </w:r>
            <w:r w:rsidR="003716C6" w:rsidRPr="00727955">
              <w:rPr>
                <w:rFonts w:ascii="Arial" w:hAnsi="Arial" w:cs="Arial"/>
                <w:noProof/>
                <w:webHidden/>
                <w:color w:val="000000" w:themeColor="text1"/>
                <w:sz w:val="20"/>
                <w:szCs w:val="20"/>
              </w:rPr>
              <w:instrText xml:space="preserve"> PAGEREF _Toc487815089 \h </w:instrText>
            </w:r>
            <w:r w:rsidR="003716C6" w:rsidRPr="00727955">
              <w:rPr>
                <w:rFonts w:ascii="Arial" w:hAnsi="Arial" w:cs="Arial"/>
                <w:noProof/>
                <w:webHidden/>
                <w:color w:val="000000" w:themeColor="text1"/>
                <w:sz w:val="20"/>
                <w:szCs w:val="20"/>
              </w:rPr>
            </w:r>
            <w:r w:rsidR="003716C6" w:rsidRPr="00727955">
              <w:rPr>
                <w:rFonts w:ascii="Arial" w:hAnsi="Arial" w:cs="Arial"/>
                <w:noProof/>
                <w:webHidden/>
                <w:color w:val="000000" w:themeColor="text1"/>
                <w:sz w:val="20"/>
                <w:szCs w:val="20"/>
              </w:rPr>
              <w:fldChar w:fldCharType="separate"/>
            </w:r>
            <w:r w:rsidR="005F291E" w:rsidRPr="00727955">
              <w:rPr>
                <w:rFonts w:ascii="Arial" w:hAnsi="Arial" w:cs="Arial"/>
                <w:noProof/>
                <w:webHidden/>
                <w:color w:val="000000" w:themeColor="text1"/>
                <w:sz w:val="20"/>
                <w:szCs w:val="20"/>
              </w:rPr>
              <w:t>24</w:t>
            </w:r>
            <w:r w:rsidR="003716C6" w:rsidRPr="00727955">
              <w:rPr>
                <w:rFonts w:ascii="Arial" w:hAnsi="Arial" w:cs="Arial"/>
                <w:noProof/>
                <w:webHidden/>
                <w:color w:val="000000" w:themeColor="text1"/>
                <w:sz w:val="20"/>
                <w:szCs w:val="20"/>
              </w:rPr>
              <w:fldChar w:fldCharType="end"/>
            </w:r>
          </w:hyperlink>
        </w:p>
        <w:p w14:paraId="529A67CB" w14:textId="77777777" w:rsidR="003716C6" w:rsidRPr="00727955" w:rsidRDefault="00AE2163" w:rsidP="0002610E">
          <w:pPr>
            <w:pStyle w:val="TOC1"/>
            <w:ind w:firstLine="440"/>
            <w:rPr>
              <w:rFonts w:ascii="Arial" w:hAnsi="Arial" w:cs="Arial"/>
              <w:noProof/>
              <w:color w:val="000000" w:themeColor="text1"/>
              <w:sz w:val="20"/>
              <w:szCs w:val="20"/>
              <w:lang w:eastAsia="en-US"/>
            </w:rPr>
          </w:pPr>
          <w:hyperlink w:anchor="_Toc487815090" w:history="1">
            <w:r w:rsidR="003716C6" w:rsidRPr="00727955">
              <w:rPr>
                <w:rStyle w:val="Hyperlink"/>
                <w:rFonts w:ascii="Arial" w:hAnsi="Arial" w:cs="Arial"/>
                <w:noProof/>
                <w:color w:val="000000" w:themeColor="text1"/>
                <w:sz w:val="20"/>
                <w:szCs w:val="20"/>
                <w:lang w:val="es-ES_tradnl"/>
              </w:rPr>
              <w:t>Evaluación Intermedia</w:t>
            </w:r>
            <w:r w:rsidR="003716C6" w:rsidRPr="00727955">
              <w:rPr>
                <w:rFonts w:ascii="Arial" w:hAnsi="Arial" w:cs="Arial"/>
                <w:noProof/>
                <w:webHidden/>
                <w:color w:val="000000" w:themeColor="text1"/>
                <w:sz w:val="20"/>
                <w:szCs w:val="20"/>
              </w:rPr>
              <w:tab/>
            </w:r>
            <w:r w:rsidR="003716C6" w:rsidRPr="00727955">
              <w:rPr>
                <w:rFonts w:ascii="Arial" w:hAnsi="Arial" w:cs="Arial"/>
                <w:noProof/>
                <w:webHidden/>
                <w:color w:val="000000" w:themeColor="text1"/>
                <w:sz w:val="20"/>
                <w:szCs w:val="20"/>
              </w:rPr>
              <w:fldChar w:fldCharType="begin"/>
            </w:r>
            <w:r w:rsidR="003716C6" w:rsidRPr="00727955">
              <w:rPr>
                <w:rFonts w:ascii="Arial" w:hAnsi="Arial" w:cs="Arial"/>
                <w:noProof/>
                <w:webHidden/>
                <w:color w:val="000000" w:themeColor="text1"/>
                <w:sz w:val="20"/>
                <w:szCs w:val="20"/>
              </w:rPr>
              <w:instrText xml:space="preserve"> PAGEREF _Toc487815090 \h </w:instrText>
            </w:r>
            <w:r w:rsidR="003716C6" w:rsidRPr="00727955">
              <w:rPr>
                <w:rFonts w:ascii="Arial" w:hAnsi="Arial" w:cs="Arial"/>
                <w:noProof/>
                <w:webHidden/>
                <w:color w:val="000000" w:themeColor="text1"/>
                <w:sz w:val="20"/>
                <w:szCs w:val="20"/>
              </w:rPr>
            </w:r>
            <w:r w:rsidR="003716C6" w:rsidRPr="00727955">
              <w:rPr>
                <w:rFonts w:ascii="Arial" w:hAnsi="Arial" w:cs="Arial"/>
                <w:noProof/>
                <w:webHidden/>
                <w:color w:val="000000" w:themeColor="text1"/>
                <w:sz w:val="20"/>
                <w:szCs w:val="20"/>
              </w:rPr>
              <w:fldChar w:fldCharType="separate"/>
            </w:r>
            <w:r w:rsidR="005F291E" w:rsidRPr="00727955">
              <w:rPr>
                <w:rFonts w:ascii="Arial" w:hAnsi="Arial" w:cs="Arial"/>
                <w:noProof/>
                <w:webHidden/>
                <w:color w:val="000000" w:themeColor="text1"/>
                <w:sz w:val="20"/>
                <w:szCs w:val="20"/>
              </w:rPr>
              <w:t>25</w:t>
            </w:r>
            <w:r w:rsidR="003716C6" w:rsidRPr="00727955">
              <w:rPr>
                <w:rFonts w:ascii="Arial" w:hAnsi="Arial" w:cs="Arial"/>
                <w:noProof/>
                <w:webHidden/>
                <w:color w:val="000000" w:themeColor="text1"/>
                <w:sz w:val="20"/>
                <w:szCs w:val="20"/>
              </w:rPr>
              <w:fldChar w:fldCharType="end"/>
            </w:r>
          </w:hyperlink>
        </w:p>
        <w:p w14:paraId="088CA8B9" w14:textId="77777777" w:rsidR="003716C6" w:rsidRPr="00727955" w:rsidRDefault="00AE2163" w:rsidP="0002610E">
          <w:pPr>
            <w:pStyle w:val="TOC1"/>
            <w:ind w:firstLine="440"/>
            <w:rPr>
              <w:rFonts w:ascii="Arial" w:hAnsi="Arial" w:cs="Arial"/>
              <w:noProof/>
              <w:color w:val="000000" w:themeColor="text1"/>
              <w:sz w:val="20"/>
              <w:szCs w:val="20"/>
              <w:lang w:eastAsia="en-US"/>
            </w:rPr>
          </w:pPr>
          <w:hyperlink w:anchor="_Toc487815091" w:history="1">
            <w:r w:rsidR="003716C6" w:rsidRPr="00727955">
              <w:rPr>
                <w:rStyle w:val="Hyperlink"/>
                <w:rFonts w:ascii="Arial" w:hAnsi="Arial" w:cs="Arial"/>
                <w:noProof/>
                <w:color w:val="000000" w:themeColor="text1"/>
                <w:sz w:val="20"/>
                <w:szCs w:val="20"/>
                <w:lang w:val="es-ES_tradnl"/>
              </w:rPr>
              <w:t>Evaluación Final</w:t>
            </w:r>
            <w:r w:rsidR="003716C6" w:rsidRPr="00727955">
              <w:rPr>
                <w:rFonts w:ascii="Arial" w:hAnsi="Arial" w:cs="Arial"/>
                <w:noProof/>
                <w:webHidden/>
                <w:color w:val="000000" w:themeColor="text1"/>
                <w:sz w:val="20"/>
                <w:szCs w:val="20"/>
              </w:rPr>
              <w:tab/>
            </w:r>
            <w:r w:rsidR="003716C6" w:rsidRPr="00727955">
              <w:rPr>
                <w:rFonts w:ascii="Arial" w:hAnsi="Arial" w:cs="Arial"/>
                <w:noProof/>
                <w:webHidden/>
                <w:color w:val="000000" w:themeColor="text1"/>
                <w:sz w:val="20"/>
                <w:szCs w:val="20"/>
              </w:rPr>
              <w:fldChar w:fldCharType="begin"/>
            </w:r>
            <w:r w:rsidR="003716C6" w:rsidRPr="00727955">
              <w:rPr>
                <w:rFonts w:ascii="Arial" w:hAnsi="Arial" w:cs="Arial"/>
                <w:noProof/>
                <w:webHidden/>
                <w:color w:val="000000" w:themeColor="text1"/>
                <w:sz w:val="20"/>
                <w:szCs w:val="20"/>
              </w:rPr>
              <w:instrText xml:space="preserve"> PAGEREF _Toc487815091 \h </w:instrText>
            </w:r>
            <w:r w:rsidR="003716C6" w:rsidRPr="00727955">
              <w:rPr>
                <w:rFonts w:ascii="Arial" w:hAnsi="Arial" w:cs="Arial"/>
                <w:noProof/>
                <w:webHidden/>
                <w:color w:val="000000" w:themeColor="text1"/>
                <w:sz w:val="20"/>
                <w:szCs w:val="20"/>
              </w:rPr>
            </w:r>
            <w:r w:rsidR="003716C6" w:rsidRPr="00727955">
              <w:rPr>
                <w:rFonts w:ascii="Arial" w:hAnsi="Arial" w:cs="Arial"/>
                <w:noProof/>
                <w:webHidden/>
                <w:color w:val="000000" w:themeColor="text1"/>
                <w:sz w:val="20"/>
                <w:szCs w:val="20"/>
              </w:rPr>
              <w:fldChar w:fldCharType="separate"/>
            </w:r>
            <w:r w:rsidR="005F291E" w:rsidRPr="00727955">
              <w:rPr>
                <w:rFonts w:ascii="Arial" w:hAnsi="Arial" w:cs="Arial"/>
                <w:noProof/>
                <w:webHidden/>
                <w:color w:val="000000" w:themeColor="text1"/>
                <w:sz w:val="20"/>
                <w:szCs w:val="20"/>
              </w:rPr>
              <w:t>26</w:t>
            </w:r>
            <w:r w:rsidR="003716C6" w:rsidRPr="00727955">
              <w:rPr>
                <w:rFonts w:ascii="Arial" w:hAnsi="Arial" w:cs="Arial"/>
                <w:noProof/>
                <w:webHidden/>
                <w:color w:val="000000" w:themeColor="text1"/>
                <w:sz w:val="20"/>
                <w:szCs w:val="20"/>
              </w:rPr>
              <w:fldChar w:fldCharType="end"/>
            </w:r>
          </w:hyperlink>
        </w:p>
        <w:p w14:paraId="173169BF" w14:textId="77777777" w:rsidR="003716C6" w:rsidRPr="00727955" w:rsidRDefault="002C7DBA" w:rsidP="002C7DBA">
          <w:pPr>
            <w:pStyle w:val="TOC1"/>
            <w:rPr>
              <w:rFonts w:ascii="Arial" w:hAnsi="Arial" w:cs="Arial"/>
              <w:noProof/>
              <w:color w:val="000000" w:themeColor="text1"/>
              <w:sz w:val="20"/>
              <w:szCs w:val="20"/>
              <w:lang w:eastAsia="en-US"/>
            </w:rPr>
          </w:pPr>
          <w:r w:rsidRPr="00727955">
            <w:rPr>
              <w:rStyle w:val="Hyperlink"/>
              <w:rFonts w:ascii="Arial" w:hAnsi="Arial" w:cs="Arial"/>
              <w:noProof/>
              <w:color w:val="000000" w:themeColor="text1"/>
              <w:sz w:val="20"/>
              <w:szCs w:val="20"/>
              <w:u w:val="none"/>
              <w:lang w:val="es-ES_tradnl"/>
            </w:rPr>
            <w:t>V</w:t>
          </w:r>
          <w:r w:rsidRPr="00727955">
            <w:rPr>
              <w:rStyle w:val="Hyperlink"/>
              <w:rFonts w:ascii="Arial" w:hAnsi="Arial" w:cs="Arial"/>
              <w:noProof/>
              <w:color w:val="000000" w:themeColor="text1"/>
              <w:sz w:val="20"/>
              <w:szCs w:val="20"/>
              <w:u w:val="none"/>
              <w:lang w:val="es-ES_tradnl"/>
            </w:rPr>
            <w:tab/>
            <w:t xml:space="preserve">IMPLEMENTACIÓN </w:t>
          </w:r>
          <w:hyperlink w:anchor="_Toc487815092" w:history="1">
            <w:r w:rsidR="003716C6" w:rsidRPr="00727955">
              <w:rPr>
                <w:rFonts w:ascii="Arial" w:hAnsi="Arial" w:cs="Arial"/>
                <w:noProof/>
                <w:webHidden/>
                <w:color w:val="000000" w:themeColor="text1"/>
                <w:sz w:val="20"/>
                <w:szCs w:val="20"/>
              </w:rPr>
              <w:tab/>
            </w:r>
            <w:r w:rsidRPr="00727955">
              <w:rPr>
                <w:rFonts w:ascii="Arial" w:hAnsi="Arial" w:cs="Arial"/>
                <w:noProof/>
                <w:webHidden/>
                <w:color w:val="000000" w:themeColor="text1"/>
                <w:sz w:val="20"/>
                <w:szCs w:val="20"/>
              </w:rPr>
              <w:t>30</w:t>
            </w:r>
          </w:hyperlink>
        </w:p>
        <w:p w14:paraId="5DB28220" w14:textId="627B33D1" w:rsidR="00C84FAB" w:rsidRPr="00727955" w:rsidRDefault="00C84FAB">
          <w:pPr>
            <w:rPr>
              <w:rFonts w:ascii="Arial" w:hAnsi="Arial" w:cs="Arial"/>
            </w:rPr>
          </w:pPr>
          <w:r w:rsidRPr="00727955">
            <w:rPr>
              <w:rFonts w:ascii="Arial" w:hAnsi="Arial" w:cs="Arial"/>
              <w:b/>
              <w:bCs/>
              <w:sz w:val="20"/>
              <w:szCs w:val="20"/>
              <w:lang w:val="es-ES"/>
            </w:rPr>
            <w:fldChar w:fldCharType="end"/>
          </w:r>
        </w:p>
      </w:sdtContent>
    </w:sdt>
    <w:p w14:paraId="2436F93E" w14:textId="77777777" w:rsidR="00C84FAB" w:rsidRPr="00727955" w:rsidRDefault="00C84FAB">
      <w:pPr>
        <w:rPr>
          <w:rFonts w:ascii="Arial" w:hAnsi="Arial" w:cs="Arial"/>
          <w:sz w:val="18"/>
          <w:szCs w:val="18"/>
          <w:lang w:val="es-PY"/>
        </w:rPr>
      </w:pPr>
    </w:p>
    <w:p w14:paraId="6C047D69" w14:textId="77777777" w:rsidR="00C84FAB" w:rsidRPr="00727955" w:rsidRDefault="00C84FAB">
      <w:pPr>
        <w:rPr>
          <w:rFonts w:ascii="Arial" w:hAnsi="Arial" w:cs="Arial"/>
          <w:sz w:val="18"/>
          <w:szCs w:val="18"/>
          <w:lang w:val="es-PY"/>
        </w:rPr>
      </w:pPr>
    </w:p>
    <w:p w14:paraId="034C26B3" w14:textId="77777777" w:rsidR="00C84FAB" w:rsidRPr="00727955" w:rsidRDefault="00C84FAB">
      <w:pPr>
        <w:rPr>
          <w:rFonts w:ascii="Arial" w:hAnsi="Arial" w:cs="Arial"/>
          <w:sz w:val="18"/>
          <w:szCs w:val="18"/>
          <w:lang w:val="es-PY"/>
        </w:rPr>
      </w:pPr>
    </w:p>
    <w:p w14:paraId="1B7556C1" w14:textId="77777777" w:rsidR="00C84FAB" w:rsidRPr="00727955" w:rsidRDefault="00C84FAB">
      <w:pPr>
        <w:rPr>
          <w:rFonts w:ascii="Arial" w:hAnsi="Arial" w:cs="Arial"/>
          <w:sz w:val="18"/>
          <w:szCs w:val="18"/>
          <w:lang w:val="es-PY"/>
        </w:rPr>
      </w:pPr>
    </w:p>
    <w:p w14:paraId="7F8DE6A7" w14:textId="77777777" w:rsidR="00C84FAB" w:rsidRPr="00727955" w:rsidRDefault="00C84FAB">
      <w:pPr>
        <w:rPr>
          <w:rFonts w:ascii="Arial" w:hAnsi="Arial" w:cs="Arial"/>
          <w:sz w:val="18"/>
          <w:szCs w:val="18"/>
          <w:lang w:val="es-PY"/>
        </w:rPr>
      </w:pPr>
    </w:p>
    <w:p w14:paraId="01D6A2E3" w14:textId="77777777" w:rsidR="00C84FAB" w:rsidRPr="00727955" w:rsidRDefault="00C84FAB">
      <w:pPr>
        <w:rPr>
          <w:rFonts w:ascii="Arial" w:hAnsi="Arial" w:cs="Arial"/>
          <w:sz w:val="18"/>
          <w:szCs w:val="18"/>
          <w:lang w:val="es-PY"/>
        </w:rPr>
      </w:pPr>
    </w:p>
    <w:p w14:paraId="223388A7" w14:textId="77777777" w:rsidR="00C84FAB" w:rsidRPr="00727955" w:rsidRDefault="00C84FAB">
      <w:pPr>
        <w:rPr>
          <w:rFonts w:ascii="Arial" w:hAnsi="Arial" w:cs="Arial"/>
          <w:sz w:val="18"/>
          <w:szCs w:val="18"/>
          <w:lang w:val="es-PY"/>
        </w:rPr>
      </w:pPr>
    </w:p>
    <w:p w14:paraId="2E0E2C43" w14:textId="77777777" w:rsidR="00C84FAB" w:rsidRPr="00727955" w:rsidRDefault="00C84FAB">
      <w:pPr>
        <w:rPr>
          <w:rFonts w:ascii="Arial" w:hAnsi="Arial" w:cs="Arial"/>
          <w:sz w:val="18"/>
          <w:szCs w:val="18"/>
          <w:lang w:val="es-PY"/>
        </w:rPr>
      </w:pPr>
    </w:p>
    <w:p w14:paraId="70C4DCA8" w14:textId="619845E1" w:rsidR="00C84FAB" w:rsidRPr="00727955" w:rsidRDefault="00C84FAB">
      <w:pPr>
        <w:rPr>
          <w:rFonts w:ascii="Arial" w:hAnsi="Arial" w:cs="Arial"/>
          <w:sz w:val="18"/>
          <w:szCs w:val="18"/>
          <w:lang w:val="es-PY"/>
        </w:rPr>
      </w:pPr>
    </w:p>
    <w:p w14:paraId="29BDB623" w14:textId="6E0117AE" w:rsidR="002E08D8" w:rsidRPr="00727955" w:rsidRDefault="002E08D8">
      <w:pPr>
        <w:rPr>
          <w:rFonts w:ascii="Arial" w:hAnsi="Arial" w:cs="Arial"/>
          <w:sz w:val="18"/>
          <w:szCs w:val="18"/>
          <w:lang w:val="es-PY"/>
        </w:rPr>
      </w:pPr>
    </w:p>
    <w:p w14:paraId="3AF66C8A" w14:textId="1AAECD91" w:rsidR="002E08D8" w:rsidRPr="00727955" w:rsidRDefault="002E08D8">
      <w:pPr>
        <w:rPr>
          <w:rFonts w:ascii="Arial" w:hAnsi="Arial" w:cs="Arial"/>
          <w:sz w:val="18"/>
          <w:szCs w:val="18"/>
          <w:lang w:val="es-PY"/>
        </w:rPr>
      </w:pPr>
    </w:p>
    <w:p w14:paraId="3F10E893" w14:textId="77777777" w:rsidR="002E08D8" w:rsidRPr="00727955" w:rsidRDefault="002E08D8">
      <w:pPr>
        <w:rPr>
          <w:rFonts w:ascii="Arial" w:hAnsi="Arial" w:cs="Arial"/>
          <w:sz w:val="18"/>
          <w:szCs w:val="18"/>
          <w:lang w:val="es-PY"/>
        </w:rPr>
      </w:pPr>
    </w:p>
    <w:p w14:paraId="4B51FC76" w14:textId="77777777" w:rsidR="00C84FAB" w:rsidRPr="00727955" w:rsidRDefault="00C84FAB">
      <w:pPr>
        <w:rPr>
          <w:rFonts w:ascii="Arial" w:hAnsi="Arial" w:cs="Arial"/>
          <w:sz w:val="18"/>
          <w:szCs w:val="18"/>
          <w:lang w:val="es-PY"/>
        </w:rPr>
      </w:pPr>
    </w:p>
    <w:p w14:paraId="234F1635" w14:textId="77777777" w:rsidR="00806ADD" w:rsidRPr="00727955" w:rsidRDefault="00806ADD">
      <w:pPr>
        <w:rPr>
          <w:rFonts w:ascii="Arial" w:hAnsi="Arial" w:cs="Arial"/>
          <w:sz w:val="18"/>
          <w:szCs w:val="18"/>
          <w:lang w:val="es-PY"/>
        </w:rPr>
      </w:pPr>
    </w:p>
    <w:p w14:paraId="2C13B2D7" w14:textId="77777777" w:rsidR="00806ADD" w:rsidRPr="00727955" w:rsidRDefault="00806ADD">
      <w:pPr>
        <w:rPr>
          <w:rFonts w:ascii="Arial" w:hAnsi="Arial" w:cs="Arial"/>
          <w:sz w:val="18"/>
          <w:szCs w:val="18"/>
          <w:lang w:val="es-PY"/>
        </w:rPr>
      </w:pPr>
    </w:p>
    <w:p w14:paraId="0AC0B5CE" w14:textId="77777777" w:rsidR="00C73D88" w:rsidRPr="00727955" w:rsidRDefault="00C73D88">
      <w:pPr>
        <w:rPr>
          <w:rFonts w:ascii="Arial" w:hAnsi="Arial" w:cs="Arial"/>
          <w:sz w:val="18"/>
          <w:szCs w:val="18"/>
          <w:lang w:val="es-PY"/>
        </w:rPr>
      </w:pPr>
    </w:p>
    <w:p w14:paraId="1E0B4F31" w14:textId="77777777" w:rsidR="00387C4A" w:rsidRPr="00727955" w:rsidRDefault="00387C4A">
      <w:pPr>
        <w:rPr>
          <w:rFonts w:ascii="Arial" w:hAnsi="Arial" w:cs="Arial"/>
          <w:sz w:val="18"/>
          <w:szCs w:val="18"/>
          <w:lang w:val="es-PY"/>
        </w:rPr>
      </w:pPr>
    </w:p>
    <w:p w14:paraId="32E9DCD9" w14:textId="77777777" w:rsidR="00387C4A" w:rsidRPr="00727955" w:rsidRDefault="00387C4A">
      <w:pPr>
        <w:rPr>
          <w:rFonts w:ascii="Arial" w:hAnsi="Arial" w:cs="Arial"/>
          <w:sz w:val="18"/>
          <w:szCs w:val="18"/>
          <w:lang w:val="es-PY"/>
        </w:rPr>
      </w:pPr>
    </w:p>
    <w:p w14:paraId="50CA46B3" w14:textId="77777777" w:rsidR="00C84FAB" w:rsidRPr="00727955" w:rsidRDefault="00542496" w:rsidP="00A63481">
      <w:pPr>
        <w:pStyle w:val="Heading1"/>
        <w:numPr>
          <w:ilvl w:val="0"/>
          <w:numId w:val="9"/>
        </w:numPr>
        <w:rPr>
          <w:rFonts w:ascii="Arial" w:hAnsi="Arial" w:cs="Arial"/>
          <w:b/>
          <w:smallCaps/>
          <w:color w:val="000000" w:themeColor="text1"/>
          <w:sz w:val="24"/>
          <w:szCs w:val="24"/>
          <w:lang w:val="es-PY"/>
        </w:rPr>
      </w:pPr>
      <w:bookmarkStart w:id="3" w:name="_Toc487815083"/>
      <w:r w:rsidRPr="00727955">
        <w:rPr>
          <w:rFonts w:ascii="Arial" w:hAnsi="Arial" w:cs="Arial"/>
          <w:b/>
          <w:smallCaps/>
          <w:color w:val="000000" w:themeColor="text1"/>
          <w:sz w:val="24"/>
          <w:szCs w:val="24"/>
          <w:lang w:val="es-PY"/>
        </w:rPr>
        <w:lastRenderedPageBreak/>
        <w:t>Introducción</w:t>
      </w:r>
      <w:bookmarkEnd w:id="3"/>
    </w:p>
    <w:p w14:paraId="7B072102" w14:textId="497B25FA" w:rsidR="00E03A04" w:rsidRPr="00727955" w:rsidRDefault="00E03A04" w:rsidP="00F903E2">
      <w:pPr>
        <w:pStyle w:val="Paragraph"/>
        <w:numPr>
          <w:ilvl w:val="1"/>
          <w:numId w:val="1"/>
        </w:numPr>
        <w:tabs>
          <w:tab w:val="left" w:pos="720"/>
        </w:tabs>
        <w:ind w:left="720" w:hanging="720"/>
        <w:rPr>
          <w:rFonts w:ascii="Arial" w:hAnsi="Arial" w:cs="Arial"/>
          <w:sz w:val="22"/>
          <w:lang w:val="es-PY"/>
        </w:rPr>
      </w:pPr>
      <w:r w:rsidRPr="00727955">
        <w:rPr>
          <w:rFonts w:ascii="Arial" w:hAnsi="Arial" w:cs="Arial"/>
          <w:sz w:val="22"/>
          <w:lang w:val="es-PY"/>
        </w:rPr>
        <w:t>El objetivo de este documento es describir el plan de monitoreo y evaluación</w:t>
      </w:r>
      <w:r w:rsidR="00AF4883" w:rsidRPr="00727955">
        <w:rPr>
          <w:rFonts w:ascii="Arial" w:hAnsi="Arial" w:cs="Arial"/>
          <w:sz w:val="22"/>
          <w:lang w:val="es-PY"/>
        </w:rPr>
        <w:t xml:space="preserve"> (PME)</w:t>
      </w:r>
      <w:r w:rsidRPr="00727955">
        <w:rPr>
          <w:rFonts w:ascii="Arial" w:hAnsi="Arial" w:cs="Arial"/>
          <w:sz w:val="22"/>
          <w:lang w:val="es-PY"/>
        </w:rPr>
        <w:t xml:space="preserve"> para la implementación del </w:t>
      </w:r>
      <w:bookmarkStart w:id="4" w:name="_Hlk1485535"/>
      <w:r w:rsidR="00AF4883" w:rsidRPr="00727955">
        <w:rPr>
          <w:rFonts w:ascii="Arial" w:hAnsi="Arial" w:cs="Arial"/>
          <w:sz w:val="22"/>
          <w:lang w:val="es-PY"/>
        </w:rPr>
        <w:t xml:space="preserve">Programa </w:t>
      </w:r>
      <w:r w:rsidR="00F23868" w:rsidRPr="00F23868">
        <w:rPr>
          <w:rFonts w:ascii="Arial" w:hAnsi="Arial" w:cs="Arial"/>
          <w:sz w:val="22"/>
          <w:lang w:val="es-PY"/>
        </w:rPr>
        <w:t xml:space="preserve">de </w:t>
      </w:r>
      <w:r w:rsidR="00F23868">
        <w:rPr>
          <w:rFonts w:ascii="Arial" w:hAnsi="Arial" w:cs="Arial"/>
          <w:sz w:val="22"/>
          <w:lang w:val="es-PY"/>
        </w:rPr>
        <w:t>F</w:t>
      </w:r>
      <w:r w:rsidR="00F23868" w:rsidRPr="00F23868">
        <w:rPr>
          <w:rFonts w:ascii="Arial" w:hAnsi="Arial" w:cs="Arial"/>
          <w:sz w:val="22"/>
          <w:lang w:val="es-PY"/>
        </w:rPr>
        <w:t xml:space="preserve">ortalecimiento </w:t>
      </w:r>
      <w:r w:rsidR="00F23868">
        <w:rPr>
          <w:rFonts w:ascii="Arial" w:hAnsi="Arial" w:cs="Arial"/>
          <w:sz w:val="22"/>
          <w:lang w:val="es-PY"/>
        </w:rPr>
        <w:t>I</w:t>
      </w:r>
      <w:r w:rsidR="00F23868" w:rsidRPr="00F23868">
        <w:rPr>
          <w:rFonts w:ascii="Arial" w:hAnsi="Arial" w:cs="Arial"/>
          <w:sz w:val="22"/>
          <w:lang w:val="es-PY"/>
        </w:rPr>
        <w:t xml:space="preserve">nstitucional para la </w:t>
      </w:r>
      <w:bookmarkEnd w:id="4"/>
      <w:r w:rsidR="00F23868">
        <w:rPr>
          <w:rFonts w:ascii="Arial" w:hAnsi="Arial" w:cs="Arial"/>
          <w:sz w:val="22"/>
          <w:lang w:val="es-PY"/>
        </w:rPr>
        <w:t>C</w:t>
      </w:r>
      <w:r w:rsidR="00F23868" w:rsidRPr="00F23868">
        <w:rPr>
          <w:rFonts w:ascii="Arial" w:hAnsi="Arial" w:cs="Arial"/>
          <w:sz w:val="22"/>
          <w:lang w:val="es-PY"/>
        </w:rPr>
        <w:t>ompetitividad de</w:t>
      </w:r>
      <w:r w:rsidR="00AF4883" w:rsidRPr="00727955">
        <w:rPr>
          <w:rFonts w:ascii="Arial" w:hAnsi="Arial" w:cs="Arial"/>
          <w:sz w:val="22"/>
          <w:lang w:val="es-PY"/>
        </w:rPr>
        <w:t xml:space="preserve"> Ecuador</w:t>
      </w:r>
      <w:r w:rsidRPr="00727955">
        <w:rPr>
          <w:rFonts w:ascii="Arial" w:hAnsi="Arial" w:cs="Arial"/>
          <w:sz w:val="22"/>
          <w:lang w:val="es-PY"/>
        </w:rPr>
        <w:t xml:space="preserve"> (</w:t>
      </w:r>
      <w:r w:rsidR="00AF4883" w:rsidRPr="00727955">
        <w:rPr>
          <w:rFonts w:ascii="Arial" w:hAnsi="Arial" w:cs="Arial"/>
          <w:sz w:val="22"/>
          <w:lang w:val="es-PY"/>
        </w:rPr>
        <w:t>EC</w:t>
      </w:r>
      <w:r w:rsidR="00387C4A" w:rsidRPr="00727955">
        <w:rPr>
          <w:rFonts w:ascii="Arial" w:hAnsi="Arial" w:cs="Arial"/>
          <w:sz w:val="22"/>
          <w:lang w:val="es-PY"/>
        </w:rPr>
        <w:noBreakHyphen/>
      </w:r>
      <w:r w:rsidRPr="00727955">
        <w:rPr>
          <w:rFonts w:ascii="Arial" w:hAnsi="Arial" w:cs="Arial"/>
          <w:sz w:val="22"/>
          <w:lang w:val="es-PY"/>
        </w:rPr>
        <w:t>L1</w:t>
      </w:r>
      <w:r w:rsidR="00AF4883" w:rsidRPr="00727955">
        <w:rPr>
          <w:rFonts w:ascii="Arial" w:hAnsi="Arial" w:cs="Arial"/>
          <w:sz w:val="22"/>
          <w:lang w:val="es-PY"/>
        </w:rPr>
        <w:t>2</w:t>
      </w:r>
      <w:r w:rsidR="00F23868">
        <w:rPr>
          <w:rFonts w:ascii="Arial" w:hAnsi="Arial" w:cs="Arial"/>
          <w:sz w:val="22"/>
          <w:lang w:val="es-PY"/>
        </w:rPr>
        <w:t>50</w:t>
      </w:r>
      <w:r w:rsidRPr="00727955">
        <w:rPr>
          <w:rFonts w:ascii="Arial" w:hAnsi="Arial" w:cs="Arial"/>
          <w:sz w:val="22"/>
          <w:lang w:val="es-PY"/>
        </w:rPr>
        <w:t>)</w:t>
      </w:r>
      <w:r w:rsidR="00824AFB" w:rsidRPr="00727955">
        <w:rPr>
          <w:rFonts w:ascii="Arial" w:hAnsi="Arial" w:cs="Arial"/>
          <w:sz w:val="22"/>
          <w:lang w:val="es-PY"/>
        </w:rPr>
        <w:t xml:space="preserve">. El BID y el gobierno de </w:t>
      </w:r>
      <w:r w:rsidR="00AF4883" w:rsidRPr="00727955">
        <w:rPr>
          <w:rFonts w:ascii="Arial" w:hAnsi="Arial" w:cs="Arial"/>
          <w:sz w:val="22"/>
          <w:lang w:val="es-PY"/>
        </w:rPr>
        <w:t>Ecuador</w:t>
      </w:r>
      <w:r w:rsidR="00824AFB" w:rsidRPr="00727955">
        <w:rPr>
          <w:rFonts w:ascii="Arial" w:hAnsi="Arial" w:cs="Arial"/>
          <w:sz w:val="22"/>
          <w:lang w:val="es-PY"/>
        </w:rPr>
        <w:t xml:space="preserve"> están de acuerdo en que las actividades </w:t>
      </w:r>
      <w:r w:rsidR="002E08D8" w:rsidRPr="00727955">
        <w:rPr>
          <w:rFonts w:ascii="Arial" w:hAnsi="Arial" w:cs="Arial"/>
          <w:sz w:val="22"/>
          <w:lang w:val="es-PY"/>
        </w:rPr>
        <w:t xml:space="preserve">aquí </w:t>
      </w:r>
      <w:r w:rsidR="00824AFB" w:rsidRPr="00727955">
        <w:rPr>
          <w:rFonts w:ascii="Arial" w:hAnsi="Arial" w:cs="Arial"/>
          <w:sz w:val="22"/>
          <w:lang w:val="es-PY"/>
        </w:rPr>
        <w:t xml:space="preserve">especificadas hacen parte integral del documento de contrato de préstamo. </w:t>
      </w:r>
    </w:p>
    <w:p w14:paraId="038F99BD" w14:textId="430FEF57" w:rsidR="00CE0125" w:rsidRPr="00CE0125" w:rsidRDefault="00F23868" w:rsidP="00F903E2">
      <w:pPr>
        <w:pStyle w:val="Paragraph"/>
        <w:numPr>
          <w:ilvl w:val="1"/>
          <w:numId w:val="1"/>
        </w:numPr>
        <w:tabs>
          <w:tab w:val="left" w:pos="720"/>
        </w:tabs>
        <w:ind w:left="720" w:hanging="720"/>
        <w:rPr>
          <w:rFonts w:ascii="Arial" w:hAnsi="Arial" w:cs="Arial"/>
          <w:lang w:val="es-PY"/>
        </w:rPr>
      </w:pPr>
      <w:r w:rsidRPr="00CE0125">
        <w:rPr>
          <w:rFonts w:ascii="Arial" w:hAnsi="Arial" w:cs="Arial"/>
          <w:lang w:val="es-PY"/>
        </w:rPr>
        <w:t>El Programa de Fortalecimiento Institucional para la Competitivida</w:t>
      </w:r>
      <w:r w:rsidR="00CE0125">
        <w:rPr>
          <w:rFonts w:ascii="Arial" w:hAnsi="Arial" w:cs="Arial"/>
          <w:lang w:val="es-PY"/>
        </w:rPr>
        <w:t>d contribuirá a mejorar</w:t>
      </w:r>
      <w:r w:rsidR="00CE0125" w:rsidRPr="00CE0125">
        <w:rPr>
          <w:lang w:val="es-419"/>
        </w:rPr>
        <w:t xml:space="preserve"> </w:t>
      </w:r>
      <w:r w:rsidR="00CE0125" w:rsidRPr="00CE0125">
        <w:rPr>
          <w:rFonts w:ascii="Arial" w:hAnsi="Arial" w:cs="Arial"/>
          <w:lang w:val="es-PY"/>
        </w:rPr>
        <w:t xml:space="preserve">la competitividad del país, a través del fortalecimiento de las instituciones que inciden sobre el ambiente de negocios y la productividad, </w:t>
      </w:r>
      <w:r w:rsidR="00592BAC">
        <w:rPr>
          <w:rFonts w:ascii="Arial" w:hAnsi="Arial" w:cs="Arial"/>
          <w:lang w:val="es-PY"/>
        </w:rPr>
        <w:t xml:space="preserve">mejorando </w:t>
      </w:r>
      <w:r w:rsidR="00CE0125" w:rsidRPr="00E61805">
        <w:rPr>
          <w:rFonts w:ascii="Arial" w:hAnsi="Arial" w:cs="Arial"/>
          <w:sz w:val="22"/>
          <w:lang w:val="es-PY"/>
        </w:rPr>
        <w:t>específicamente</w:t>
      </w:r>
      <w:r w:rsidR="00CE0125" w:rsidRPr="00CE0125">
        <w:rPr>
          <w:rFonts w:ascii="Arial" w:hAnsi="Arial" w:cs="Arial"/>
          <w:lang w:val="es-PY"/>
        </w:rPr>
        <w:t xml:space="preserve">: (i) la gobernanza para la competitividad e innovación; (ii) la calidad regulatoria y transparencia del ambiente de negocios; (iii) la gestión de entidades y activos públicos de apoyo a la competitividad; y (iv) la entrega de servicios a empresas y ciudadanos. </w:t>
      </w:r>
      <w:r w:rsidR="00CE0125" w:rsidRPr="00B76FF9">
        <w:rPr>
          <w:rFonts w:ascii="Arial" w:hAnsi="Arial" w:cs="Arial"/>
          <w:sz w:val="22"/>
          <w:lang w:val="es-419"/>
        </w:rPr>
        <w:t>Para ello, el programa se estructurará en los siguientes componentes:</w:t>
      </w:r>
    </w:p>
    <w:p w14:paraId="5B8A3DB7" w14:textId="0C43DB16" w:rsidR="00C84FAB" w:rsidRPr="00CE0125" w:rsidRDefault="00F23868" w:rsidP="00F903E2">
      <w:pPr>
        <w:pStyle w:val="Paragraph"/>
        <w:numPr>
          <w:ilvl w:val="1"/>
          <w:numId w:val="1"/>
        </w:numPr>
        <w:tabs>
          <w:tab w:val="left" w:pos="720"/>
        </w:tabs>
        <w:ind w:left="720" w:hanging="720"/>
        <w:rPr>
          <w:rFonts w:ascii="Arial" w:hAnsi="Arial" w:cs="Arial"/>
          <w:sz w:val="22"/>
          <w:lang w:val="es-PY"/>
        </w:rPr>
      </w:pPr>
      <w:r w:rsidRPr="00CE0125">
        <w:rPr>
          <w:rFonts w:ascii="Arial" w:hAnsi="Arial" w:cs="Arial"/>
          <w:sz w:val="22"/>
          <w:lang w:val="es-PY"/>
        </w:rPr>
        <w:t xml:space="preserve"> </w:t>
      </w:r>
      <w:r w:rsidR="00EC4B79" w:rsidRPr="00CE0125">
        <w:rPr>
          <w:rFonts w:ascii="Arial" w:hAnsi="Arial" w:cs="Arial"/>
          <w:b/>
          <w:sz w:val="22"/>
        </w:rPr>
        <w:t>Componente 1. Fortalecimiento de la gobernanza para la competitividad e innovación (</w:t>
      </w:r>
      <w:r w:rsidR="00CE0125" w:rsidRPr="00CE0125">
        <w:rPr>
          <w:rFonts w:ascii="Arial" w:hAnsi="Arial" w:cs="Arial"/>
          <w:b/>
          <w:sz w:val="22"/>
        </w:rPr>
        <w:t>BID:US$8,9</w:t>
      </w:r>
      <w:r w:rsidR="00CE0125">
        <w:rPr>
          <w:rFonts w:ascii="Arial" w:hAnsi="Arial" w:cs="Arial"/>
          <w:b/>
          <w:sz w:val="22"/>
        </w:rPr>
        <w:t xml:space="preserve"> millones</w:t>
      </w:r>
      <w:r w:rsidR="00CE0125" w:rsidRPr="00CE0125">
        <w:rPr>
          <w:rFonts w:ascii="Arial" w:hAnsi="Arial" w:cs="Arial"/>
          <w:b/>
          <w:sz w:val="22"/>
        </w:rPr>
        <w:t xml:space="preserve"> y Local:US$1 mill</w:t>
      </w:r>
      <w:r w:rsidR="00CE0125">
        <w:rPr>
          <w:rFonts w:ascii="Arial" w:hAnsi="Arial" w:cs="Arial"/>
          <w:b/>
          <w:sz w:val="22"/>
        </w:rPr>
        <w:t>ón</w:t>
      </w:r>
      <w:r w:rsidR="00CE0125" w:rsidRPr="00CE0125">
        <w:rPr>
          <w:rFonts w:ascii="Arial" w:hAnsi="Arial" w:cs="Arial"/>
          <w:b/>
          <w:sz w:val="22"/>
        </w:rPr>
        <w:t>).</w:t>
      </w:r>
      <w:r w:rsidR="00EC4B79" w:rsidRPr="00CE0125">
        <w:rPr>
          <w:rFonts w:ascii="Arial" w:hAnsi="Arial" w:cs="Arial"/>
          <w:b/>
          <w:sz w:val="22"/>
        </w:rPr>
        <w:t xml:space="preserve"> </w:t>
      </w:r>
      <w:r w:rsidR="00EC4B79" w:rsidRPr="00CE0125">
        <w:rPr>
          <w:rFonts w:ascii="Arial" w:hAnsi="Arial" w:cs="Arial"/>
          <w:sz w:val="22"/>
        </w:rPr>
        <w:t xml:space="preserve">El objetivo es fortalecer los mecanismos de dialogo y coordinación entre los sectores público y privado; así como mejorar la innovación y la productividad de áreas y sectores productivos estratégicos priorizados. </w:t>
      </w:r>
      <w:r w:rsidR="001D4378" w:rsidRPr="00CE0125">
        <w:rPr>
          <w:rFonts w:ascii="Arial" w:hAnsi="Arial" w:cs="Arial"/>
          <w:b/>
          <w:sz w:val="22"/>
        </w:rPr>
        <w:t xml:space="preserve"> </w:t>
      </w:r>
    </w:p>
    <w:p w14:paraId="6EE58942" w14:textId="067FC14C" w:rsidR="001D4378" w:rsidRPr="00EC4B79" w:rsidRDefault="00EC4B79" w:rsidP="00F903E2">
      <w:pPr>
        <w:pStyle w:val="Paragraph"/>
        <w:numPr>
          <w:ilvl w:val="1"/>
          <w:numId w:val="1"/>
        </w:numPr>
        <w:ind w:left="720" w:hanging="720"/>
        <w:rPr>
          <w:rFonts w:ascii="Arial" w:hAnsi="Arial" w:cs="Arial"/>
          <w:sz w:val="22"/>
          <w:lang w:val="es-PY"/>
        </w:rPr>
      </w:pPr>
      <w:r w:rsidRPr="00EC4B79">
        <w:rPr>
          <w:rFonts w:ascii="Arial" w:hAnsi="Arial" w:cs="Arial"/>
          <w:b/>
          <w:sz w:val="22"/>
          <w:lang w:val="es-PY"/>
        </w:rPr>
        <w:t>Componente 2. Mejora regulatoria y transparencia del ambiente de negocios (</w:t>
      </w:r>
      <w:r w:rsidR="00CE0125" w:rsidRPr="00CE0125">
        <w:rPr>
          <w:rFonts w:ascii="Arial" w:hAnsi="Arial" w:cs="Arial"/>
          <w:b/>
          <w:sz w:val="22"/>
          <w:lang w:val="es-PY"/>
        </w:rPr>
        <w:t>BID:US$4,0 y Local:</w:t>
      </w:r>
      <w:r w:rsidR="00CE0125">
        <w:rPr>
          <w:rFonts w:ascii="Arial" w:hAnsi="Arial" w:cs="Arial"/>
          <w:b/>
          <w:sz w:val="22"/>
          <w:lang w:val="es-PY"/>
        </w:rPr>
        <w:t xml:space="preserve"> </w:t>
      </w:r>
      <w:r w:rsidR="00CE0125" w:rsidRPr="00CE0125">
        <w:rPr>
          <w:rFonts w:ascii="Arial" w:hAnsi="Arial" w:cs="Arial"/>
          <w:b/>
          <w:sz w:val="22"/>
          <w:lang w:val="es-PY"/>
        </w:rPr>
        <w:t>US$0,5 mill</w:t>
      </w:r>
      <w:r w:rsidR="00CE0125">
        <w:rPr>
          <w:rFonts w:ascii="Arial" w:hAnsi="Arial" w:cs="Arial"/>
          <w:b/>
          <w:sz w:val="22"/>
          <w:lang w:val="es-PY"/>
        </w:rPr>
        <w:t>ones</w:t>
      </w:r>
      <w:r w:rsidRPr="00EC4B79">
        <w:rPr>
          <w:rFonts w:ascii="Arial" w:hAnsi="Arial" w:cs="Arial"/>
          <w:b/>
          <w:sz w:val="22"/>
          <w:lang w:val="es-PY"/>
        </w:rPr>
        <w:t xml:space="preserve">). </w:t>
      </w:r>
      <w:r w:rsidRPr="00EC4B79">
        <w:rPr>
          <w:rFonts w:ascii="Arial" w:hAnsi="Arial" w:cs="Arial"/>
          <w:sz w:val="22"/>
          <w:lang w:val="es-PY"/>
        </w:rPr>
        <w:t>El objetivo es fortalecer los mecanismos institucionales que apoyan a la calidad regulatoria</w:t>
      </w:r>
      <w:r w:rsidR="005940E5">
        <w:rPr>
          <w:rFonts w:ascii="Arial" w:hAnsi="Arial" w:cs="Arial"/>
          <w:sz w:val="22"/>
          <w:lang w:val="es-PY"/>
        </w:rPr>
        <w:t xml:space="preserve"> y</w:t>
      </w:r>
      <w:r w:rsidRPr="00EC4B79">
        <w:rPr>
          <w:rFonts w:ascii="Arial" w:hAnsi="Arial" w:cs="Arial"/>
          <w:sz w:val="22"/>
          <w:lang w:val="es-PY"/>
        </w:rPr>
        <w:t xml:space="preserve"> la transparencia del ambiente de negocios. </w:t>
      </w:r>
    </w:p>
    <w:p w14:paraId="5D2D47B9" w14:textId="1C4C51D7" w:rsidR="001D4378" w:rsidRPr="00EC4B79" w:rsidRDefault="001D4378" w:rsidP="00F903E2">
      <w:pPr>
        <w:pStyle w:val="Paragraph"/>
        <w:numPr>
          <w:ilvl w:val="1"/>
          <w:numId w:val="1"/>
        </w:numPr>
        <w:ind w:left="720" w:hanging="720"/>
        <w:rPr>
          <w:rFonts w:ascii="Arial" w:hAnsi="Arial" w:cs="Arial"/>
          <w:sz w:val="22"/>
          <w:lang w:val="es-PY"/>
        </w:rPr>
      </w:pPr>
      <w:r w:rsidRPr="00EC4B79">
        <w:rPr>
          <w:rFonts w:ascii="Arial" w:hAnsi="Arial" w:cs="Arial"/>
          <w:b/>
          <w:sz w:val="22"/>
          <w:lang w:val="es-PY"/>
        </w:rPr>
        <w:t xml:space="preserve">Componente 3. </w:t>
      </w:r>
      <w:r w:rsidR="00EC4B79" w:rsidRPr="00EC4B79">
        <w:rPr>
          <w:rFonts w:ascii="Arial" w:hAnsi="Arial" w:cs="Arial"/>
          <w:b/>
          <w:sz w:val="22"/>
          <w:lang w:val="es-PY"/>
        </w:rPr>
        <w:t>Fortalecimiento de la gestión de entidades y activos públicos de apoyo a la competitividad (</w:t>
      </w:r>
      <w:r w:rsidR="00CE0125" w:rsidRPr="00CE0125">
        <w:rPr>
          <w:rFonts w:ascii="Arial" w:hAnsi="Arial" w:cs="Arial"/>
          <w:b/>
          <w:sz w:val="22"/>
          <w:lang w:val="es-PY"/>
        </w:rPr>
        <w:t>BID:US$1</w:t>
      </w:r>
      <w:r w:rsidR="00367963">
        <w:rPr>
          <w:rFonts w:ascii="Arial" w:hAnsi="Arial" w:cs="Arial"/>
          <w:b/>
          <w:sz w:val="22"/>
          <w:lang w:val="es-PY"/>
        </w:rPr>
        <w:t>7</w:t>
      </w:r>
      <w:r w:rsidR="00CE0125" w:rsidRPr="00CE0125">
        <w:rPr>
          <w:rFonts w:ascii="Arial" w:hAnsi="Arial" w:cs="Arial"/>
          <w:b/>
          <w:sz w:val="22"/>
          <w:lang w:val="es-PY"/>
        </w:rPr>
        <w:t>,7 y Local:US$</w:t>
      </w:r>
      <w:r w:rsidR="00367963">
        <w:rPr>
          <w:rFonts w:ascii="Arial" w:hAnsi="Arial" w:cs="Arial"/>
          <w:b/>
          <w:sz w:val="22"/>
          <w:lang w:val="es-PY"/>
        </w:rPr>
        <w:t>2,1</w:t>
      </w:r>
      <w:r w:rsidR="00F903E2">
        <w:rPr>
          <w:rFonts w:ascii="Arial" w:hAnsi="Arial" w:cs="Arial"/>
          <w:b/>
          <w:sz w:val="22"/>
          <w:lang w:val="es-PY"/>
        </w:rPr>
        <w:t> </w:t>
      </w:r>
      <w:r w:rsidR="00CE0125" w:rsidRPr="00CE0125">
        <w:rPr>
          <w:rFonts w:ascii="Arial" w:hAnsi="Arial" w:cs="Arial"/>
          <w:b/>
          <w:sz w:val="22"/>
          <w:lang w:val="es-PY"/>
        </w:rPr>
        <w:t>millones</w:t>
      </w:r>
      <w:r w:rsidR="00EC4B79" w:rsidRPr="00EC4B79">
        <w:rPr>
          <w:rFonts w:ascii="Arial" w:hAnsi="Arial" w:cs="Arial"/>
          <w:b/>
          <w:sz w:val="22"/>
          <w:lang w:val="es-PY"/>
        </w:rPr>
        <w:t xml:space="preserve">). </w:t>
      </w:r>
      <w:r w:rsidR="00EC4B79" w:rsidRPr="00EC4B79">
        <w:rPr>
          <w:rFonts w:ascii="Arial" w:hAnsi="Arial" w:cs="Arial"/>
          <w:sz w:val="22"/>
          <w:lang w:val="es-PY"/>
        </w:rPr>
        <w:t>El objetivo de este componente es mejorar la gestión interna de las entidades, procesos y activos gubernamentales que contribuyen a la productividad del sector privado.</w:t>
      </w:r>
      <w:r w:rsidR="00EC4B79" w:rsidRPr="00EC4B79">
        <w:rPr>
          <w:rFonts w:ascii="Arial" w:hAnsi="Arial" w:cs="Arial"/>
          <w:b/>
          <w:sz w:val="22"/>
          <w:lang w:val="es-PY"/>
        </w:rPr>
        <w:t xml:space="preserve"> </w:t>
      </w:r>
    </w:p>
    <w:p w14:paraId="61183AE4" w14:textId="17A8147D" w:rsidR="00EC4B79" w:rsidRPr="00727955" w:rsidRDefault="00EC4B79" w:rsidP="00C2120C">
      <w:pPr>
        <w:pStyle w:val="Paragraph"/>
        <w:numPr>
          <w:ilvl w:val="1"/>
          <w:numId w:val="1"/>
        </w:numPr>
        <w:ind w:left="720" w:hanging="720"/>
        <w:rPr>
          <w:rFonts w:ascii="Arial" w:hAnsi="Arial" w:cs="Arial"/>
          <w:sz w:val="22"/>
          <w:lang w:val="es-PY"/>
        </w:rPr>
      </w:pPr>
      <w:r w:rsidRPr="00EC4B79">
        <w:rPr>
          <w:rFonts w:ascii="Arial" w:hAnsi="Arial" w:cs="Arial"/>
          <w:b/>
          <w:sz w:val="22"/>
          <w:lang w:val="es-PY"/>
        </w:rPr>
        <w:t>Componente 4. Mejora en la entrega de servicios a empresas y ciudadanos (</w:t>
      </w:r>
      <w:r w:rsidR="00CE0125" w:rsidRPr="00CE0125">
        <w:rPr>
          <w:rFonts w:ascii="Arial" w:hAnsi="Arial" w:cs="Arial"/>
          <w:b/>
          <w:sz w:val="22"/>
          <w:lang w:val="es-PY"/>
        </w:rPr>
        <w:t>BID:US$8,9 y Local:US$1,1 millones</w:t>
      </w:r>
      <w:r w:rsidRPr="00EC4B79">
        <w:rPr>
          <w:rFonts w:ascii="Arial" w:hAnsi="Arial" w:cs="Arial"/>
          <w:b/>
          <w:sz w:val="22"/>
          <w:lang w:val="es-PY"/>
        </w:rPr>
        <w:t xml:space="preserve">). </w:t>
      </w:r>
      <w:r w:rsidRPr="00EC4B79">
        <w:rPr>
          <w:rFonts w:ascii="Arial" w:hAnsi="Arial" w:cs="Arial"/>
          <w:sz w:val="22"/>
          <w:lang w:val="es-PY"/>
        </w:rPr>
        <w:t>El objetivo es reducir los costos de transacción para los usuarios de servicios públicos.</w:t>
      </w:r>
    </w:p>
    <w:p w14:paraId="616E7636" w14:textId="6E4D2546" w:rsidR="0000389B" w:rsidRPr="00727955" w:rsidRDefault="00B34503" w:rsidP="00C2120C">
      <w:pPr>
        <w:pStyle w:val="Paragraph"/>
        <w:numPr>
          <w:ilvl w:val="1"/>
          <w:numId w:val="1"/>
        </w:numPr>
        <w:spacing w:before="0" w:after="0"/>
        <w:ind w:left="720" w:hanging="720"/>
        <w:rPr>
          <w:rFonts w:ascii="Arial" w:hAnsi="Arial" w:cs="Arial"/>
          <w:sz w:val="22"/>
          <w:lang w:val="es-PY"/>
        </w:rPr>
      </w:pPr>
      <w:r w:rsidRPr="00727955">
        <w:rPr>
          <w:rFonts w:ascii="Arial" w:hAnsi="Arial" w:cs="Arial"/>
          <w:sz w:val="22"/>
        </w:rPr>
        <w:t xml:space="preserve">Este </w:t>
      </w:r>
      <w:r w:rsidR="00AF4883" w:rsidRPr="00727955">
        <w:rPr>
          <w:rFonts w:ascii="Arial" w:hAnsi="Arial" w:cs="Arial"/>
          <w:sz w:val="22"/>
        </w:rPr>
        <w:t xml:space="preserve">PME </w:t>
      </w:r>
      <w:r w:rsidRPr="00727955">
        <w:rPr>
          <w:rFonts w:ascii="Arial" w:hAnsi="Arial" w:cs="Arial"/>
          <w:sz w:val="22"/>
        </w:rPr>
        <w:t>define los indicadores</w:t>
      </w:r>
      <w:r w:rsidR="0000389B" w:rsidRPr="00727955">
        <w:rPr>
          <w:rFonts w:ascii="Arial" w:hAnsi="Arial" w:cs="Arial"/>
          <w:sz w:val="22"/>
        </w:rPr>
        <w:t>, impact</w:t>
      </w:r>
      <w:r w:rsidRPr="00727955">
        <w:rPr>
          <w:rFonts w:ascii="Arial" w:hAnsi="Arial" w:cs="Arial"/>
          <w:sz w:val="22"/>
        </w:rPr>
        <w:t>os</w:t>
      </w:r>
      <w:r w:rsidR="0000389B" w:rsidRPr="00727955">
        <w:rPr>
          <w:rFonts w:ascii="Arial" w:hAnsi="Arial" w:cs="Arial"/>
          <w:sz w:val="22"/>
        </w:rPr>
        <w:t xml:space="preserve">, </w:t>
      </w:r>
      <w:r w:rsidRPr="00727955">
        <w:rPr>
          <w:rFonts w:ascii="Arial" w:hAnsi="Arial" w:cs="Arial"/>
          <w:sz w:val="22"/>
        </w:rPr>
        <w:t xml:space="preserve">y </w:t>
      </w:r>
      <w:r w:rsidR="0000389B" w:rsidRPr="00727955">
        <w:rPr>
          <w:rFonts w:ascii="Arial" w:hAnsi="Arial" w:cs="Arial"/>
          <w:sz w:val="22"/>
        </w:rPr>
        <w:t>result</w:t>
      </w:r>
      <w:r w:rsidRPr="00727955">
        <w:rPr>
          <w:rFonts w:ascii="Arial" w:hAnsi="Arial" w:cs="Arial"/>
          <w:sz w:val="22"/>
        </w:rPr>
        <w:t>ados</w:t>
      </w:r>
      <w:r w:rsidR="0000389B" w:rsidRPr="00727955">
        <w:rPr>
          <w:rFonts w:ascii="Arial" w:hAnsi="Arial" w:cs="Arial"/>
          <w:sz w:val="22"/>
        </w:rPr>
        <w:t xml:space="preserve"> </w:t>
      </w:r>
      <w:r w:rsidRPr="00727955">
        <w:rPr>
          <w:rFonts w:ascii="Arial" w:hAnsi="Arial" w:cs="Arial"/>
          <w:sz w:val="22"/>
        </w:rPr>
        <w:t xml:space="preserve">que serán monitoreados a lo largo de la duración del </w:t>
      </w:r>
      <w:r w:rsidR="00C73D88" w:rsidRPr="00727955">
        <w:rPr>
          <w:rFonts w:ascii="Arial" w:hAnsi="Arial" w:cs="Arial"/>
          <w:sz w:val="22"/>
        </w:rPr>
        <w:t>p</w:t>
      </w:r>
      <w:r w:rsidRPr="00727955">
        <w:rPr>
          <w:rFonts w:ascii="Arial" w:hAnsi="Arial" w:cs="Arial"/>
          <w:sz w:val="22"/>
        </w:rPr>
        <w:t xml:space="preserve">royecto, tales como herramientas de recolección de datos, métodos y responsabilidades requeridas para completar este monitoreo. Asimismo, </w:t>
      </w:r>
      <w:r w:rsidR="009A06FD" w:rsidRPr="00727955">
        <w:rPr>
          <w:rFonts w:ascii="Arial" w:hAnsi="Arial" w:cs="Arial"/>
          <w:sz w:val="22"/>
        </w:rPr>
        <w:t xml:space="preserve">el plan de monitoreo define los documentos </w:t>
      </w:r>
      <w:r w:rsidR="003951CE" w:rsidRPr="00727955">
        <w:rPr>
          <w:rFonts w:ascii="Arial" w:hAnsi="Arial" w:cs="Arial"/>
          <w:sz w:val="22"/>
        </w:rPr>
        <w:t>requeridos</w:t>
      </w:r>
      <w:r w:rsidR="009A06FD" w:rsidRPr="00727955">
        <w:rPr>
          <w:rFonts w:ascii="Arial" w:hAnsi="Arial" w:cs="Arial"/>
          <w:sz w:val="22"/>
        </w:rPr>
        <w:t xml:space="preserve"> por el </w:t>
      </w:r>
      <w:r w:rsidR="00194678" w:rsidRPr="00727955">
        <w:rPr>
          <w:rFonts w:ascii="Arial" w:hAnsi="Arial" w:cs="Arial"/>
          <w:sz w:val="22"/>
        </w:rPr>
        <w:t>B</w:t>
      </w:r>
      <w:r w:rsidR="009A06FD" w:rsidRPr="00727955">
        <w:rPr>
          <w:rFonts w:ascii="Arial" w:hAnsi="Arial" w:cs="Arial"/>
          <w:sz w:val="22"/>
        </w:rPr>
        <w:t xml:space="preserve">anco para los fines de monitoreo, tales como las preguntas </w:t>
      </w:r>
      <w:r w:rsidR="003951CE" w:rsidRPr="00727955">
        <w:rPr>
          <w:rFonts w:ascii="Arial" w:hAnsi="Arial" w:cs="Arial"/>
          <w:sz w:val="22"/>
        </w:rPr>
        <w:t>principales</w:t>
      </w:r>
      <w:r w:rsidR="009A06FD" w:rsidRPr="00727955">
        <w:rPr>
          <w:rFonts w:ascii="Arial" w:hAnsi="Arial" w:cs="Arial"/>
          <w:sz w:val="22"/>
        </w:rPr>
        <w:t xml:space="preserve"> a ser evaluadas, la </w:t>
      </w:r>
      <w:r w:rsidR="00213ADA" w:rsidRPr="00727955">
        <w:rPr>
          <w:rFonts w:ascii="Arial" w:hAnsi="Arial" w:cs="Arial"/>
          <w:sz w:val="22"/>
        </w:rPr>
        <w:t>metodología</w:t>
      </w:r>
      <w:r w:rsidR="009A06FD" w:rsidRPr="00727955">
        <w:rPr>
          <w:rFonts w:ascii="Arial" w:hAnsi="Arial" w:cs="Arial"/>
          <w:sz w:val="22"/>
        </w:rPr>
        <w:t xml:space="preserve"> de evaluación y los reportes de evaluación requeridos</w:t>
      </w:r>
      <w:r w:rsidR="00AE507A">
        <w:rPr>
          <w:rFonts w:ascii="Arial" w:hAnsi="Arial" w:cs="Arial"/>
          <w:sz w:val="22"/>
        </w:rPr>
        <w:t>.</w:t>
      </w:r>
      <w:r w:rsidR="009A06FD" w:rsidRPr="00727955">
        <w:rPr>
          <w:rFonts w:ascii="Arial" w:hAnsi="Arial" w:cs="Arial"/>
          <w:sz w:val="22"/>
        </w:rPr>
        <w:t xml:space="preserve"> </w:t>
      </w:r>
    </w:p>
    <w:p w14:paraId="65B9E290" w14:textId="77777777" w:rsidR="00B0177B" w:rsidRPr="00727955" w:rsidRDefault="00B0177B" w:rsidP="00542496">
      <w:pPr>
        <w:pStyle w:val="Paragraph"/>
        <w:numPr>
          <w:ilvl w:val="0"/>
          <w:numId w:val="0"/>
        </w:numPr>
        <w:spacing w:before="0" w:after="0"/>
        <w:ind w:left="-270"/>
        <w:rPr>
          <w:rFonts w:ascii="Arial" w:hAnsi="Arial" w:cs="Arial"/>
          <w:sz w:val="22"/>
        </w:rPr>
      </w:pPr>
    </w:p>
    <w:p w14:paraId="27358C33" w14:textId="77777777" w:rsidR="00552CD5" w:rsidRPr="00727955" w:rsidRDefault="00C73D88" w:rsidP="00A63481">
      <w:pPr>
        <w:pStyle w:val="Heading1"/>
        <w:numPr>
          <w:ilvl w:val="0"/>
          <w:numId w:val="9"/>
        </w:numPr>
        <w:rPr>
          <w:rFonts w:ascii="Arial" w:hAnsi="Arial" w:cs="Arial"/>
          <w:b/>
          <w:smallCaps/>
          <w:color w:val="000000" w:themeColor="text1"/>
          <w:sz w:val="24"/>
          <w:szCs w:val="24"/>
          <w:lang w:val="es-PY"/>
        </w:rPr>
      </w:pPr>
      <w:r w:rsidRPr="00727955">
        <w:rPr>
          <w:rFonts w:ascii="Arial" w:hAnsi="Arial" w:cs="Arial"/>
          <w:b/>
          <w:smallCaps/>
          <w:color w:val="000000" w:themeColor="text1"/>
          <w:sz w:val="24"/>
          <w:szCs w:val="24"/>
          <w:lang w:val="es-PY"/>
        </w:rPr>
        <w:t>Resumen de los arreglos de implementación</w:t>
      </w:r>
    </w:p>
    <w:p w14:paraId="4C504ADB" w14:textId="77777777" w:rsidR="00CD6C2E" w:rsidRPr="00727955" w:rsidRDefault="00CD6C2E" w:rsidP="00542496">
      <w:pPr>
        <w:pStyle w:val="Sections"/>
        <w:numPr>
          <w:ilvl w:val="0"/>
          <w:numId w:val="0"/>
        </w:numPr>
        <w:ind w:left="720"/>
        <w:rPr>
          <w:rFonts w:ascii="Arial" w:hAnsi="Arial" w:cs="Arial"/>
          <w:b w:val="0"/>
          <w:smallCaps/>
          <w:sz w:val="18"/>
          <w:szCs w:val="18"/>
          <w:lang w:val="es-PY"/>
        </w:rPr>
      </w:pPr>
    </w:p>
    <w:p w14:paraId="6C855A66" w14:textId="4E4C2941" w:rsidR="00CE0125" w:rsidRPr="00F22C93" w:rsidRDefault="006C01CE" w:rsidP="00F22C93">
      <w:pPr>
        <w:pStyle w:val="Paragraph"/>
        <w:numPr>
          <w:ilvl w:val="1"/>
          <w:numId w:val="9"/>
        </w:numPr>
        <w:spacing w:before="0" w:after="0"/>
        <w:ind w:left="720" w:hanging="720"/>
        <w:rPr>
          <w:rFonts w:ascii="Arial" w:hAnsi="Arial" w:cs="Arial"/>
          <w:sz w:val="22"/>
          <w:lang w:val="es-ES"/>
        </w:rPr>
      </w:pPr>
      <w:r w:rsidRPr="00F22C93">
        <w:rPr>
          <w:rFonts w:ascii="Arial" w:hAnsi="Arial" w:cs="Arial"/>
          <w:b/>
          <w:sz w:val="22"/>
          <w:lang w:val="es-ES"/>
        </w:rPr>
        <w:t xml:space="preserve">Mecanismo de ejecución. </w:t>
      </w:r>
      <w:r w:rsidR="00CE0125" w:rsidRPr="00F22C93">
        <w:rPr>
          <w:rFonts w:ascii="Arial" w:hAnsi="Arial" w:cs="Arial"/>
          <w:sz w:val="22"/>
          <w:lang w:val="es-ES"/>
        </w:rPr>
        <w:t xml:space="preserve">El prestatario será la República de Ecuador, y el Organismo Ejecutor (OE) y contraparte oficial del programa será el MEF, entidad con capacidades técnicas, administrativas y experiencia suficiente para llevar adelante el programa, contando con la SGP y la VPR como Organismos Sub Ejecutores (OSE). El MEF ha sido el OE de las operaciones 2653/OC-EC, 3073/OC-EC y 4364/OC-EC, que tienen características similares a esta. El MEF será el responsable de la ejecución del </w:t>
      </w:r>
      <w:r w:rsidR="00F22C93">
        <w:rPr>
          <w:rFonts w:ascii="Arial" w:hAnsi="Arial" w:cs="Arial"/>
          <w:sz w:val="22"/>
          <w:lang w:val="es-ES"/>
        </w:rPr>
        <w:t>C</w:t>
      </w:r>
      <w:r w:rsidR="00CE0125" w:rsidRPr="00F22C93">
        <w:rPr>
          <w:rFonts w:ascii="Arial" w:hAnsi="Arial" w:cs="Arial"/>
          <w:sz w:val="22"/>
          <w:lang w:val="es-ES"/>
        </w:rPr>
        <w:t xml:space="preserve">omponente 3, y, la </w:t>
      </w:r>
      <w:r w:rsidR="00CE0125" w:rsidRPr="00F22C93">
        <w:rPr>
          <w:rFonts w:ascii="Arial" w:hAnsi="Arial" w:cs="Arial"/>
          <w:sz w:val="22"/>
          <w:lang w:val="es-ES"/>
        </w:rPr>
        <w:lastRenderedPageBreak/>
        <w:t xml:space="preserve">VPR, del </w:t>
      </w:r>
      <w:r w:rsidR="00F22C93">
        <w:rPr>
          <w:rFonts w:ascii="Arial" w:hAnsi="Arial" w:cs="Arial"/>
          <w:sz w:val="22"/>
          <w:lang w:val="es-ES"/>
        </w:rPr>
        <w:t>C</w:t>
      </w:r>
      <w:r w:rsidR="00CE0125" w:rsidRPr="00F22C93">
        <w:rPr>
          <w:rFonts w:ascii="Arial" w:hAnsi="Arial" w:cs="Arial"/>
          <w:sz w:val="22"/>
          <w:lang w:val="es-ES"/>
        </w:rPr>
        <w:t xml:space="preserve">omponente 1, y la SGP de los </w:t>
      </w:r>
      <w:r w:rsidR="00F22C93">
        <w:rPr>
          <w:rFonts w:ascii="Arial" w:hAnsi="Arial" w:cs="Arial"/>
          <w:sz w:val="22"/>
          <w:lang w:val="es-ES"/>
        </w:rPr>
        <w:t>C</w:t>
      </w:r>
      <w:r w:rsidR="00CE0125" w:rsidRPr="00F22C93">
        <w:rPr>
          <w:rFonts w:ascii="Arial" w:hAnsi="Arial" w:cs="Arial"/>
          <w:sz w:val="22"/>
          <w:lang w:val="es-ES"/>
        </w:rPr>
        <w:t>omponentes 2 y 4, como OSE. Además, el MEF será el responsable de la consolidación y presentación de informes de progreso, desembolsos, de contratar las evaluaciones y las auditorías, así como del cumplimiento de las condiciones contractuales especiales previas al primer desembolso del financiamiento. A los efectos del manejo gerencial, el OE y los OSE conformarán sus equipos de gestión (EDGs) separados para asegurar dedicación exclusiva y de tiempo completo en la ejecución del programa. Los EDGs se conformarán por profesionales con experiencia en la ejecución de este tipo de programa.</w:t>
      </w:r>
    </w:p>
    <w:p w14:paraId="4B0918F8" w14:textId="77777777" w:rsidR="00CE0125" w:rsidRPr="00CE0125" w:rsidRDefault="00CE0125" w:rsidP="00C2120C">
      <w:pPr>
        <w:pStyle w:val="Paragraph"/>
        <w:numPr>
          <w:ilvl w:val="0"/>
          <w:numId w:val="0"/>
        </w:numPr>
        <w:spacing w:before="0" w:after="0"/>
        <w:ind w:left="720" w:hanging="720"/>
        <w:rPr>
          <w:rFonts w:ascii="Arial" w:hAnsi="Arial" w:cs="Arial"/>
          <w:lang w:val="es-ES"/>
        </w:rPr>
      </w:pPr>
    </w:p>
    <w:p w14:paraId="4C7D56F5" w14:textId="65980D44" w:rsidR="00CE0125" w:rsidRDefault="00AE507A" w:rsidP="00F22C93">
      <w:pPr>
        <w:pStyle w:val="ListParagraph"/>
        <w:numPr>
          <w:ilvl w:val="1"/>
          <w:numId w:val="9"/>
        </w:numPr>
        <w:ind w:left="720" w:hanging="720"/>
        <w:jc w:val="both"/>
        <w:rPr>
          <w:rFonts w:ascii="Arial" w:eastAsia="Arial" w:hAnsi="Arial" w:cs="Arial"/>
          <w:lang w:val="es-PE"/>
        </w:rPr>
      </w:pPr>
      <w:r w:rsidRPr="00CE0125">
        <w:rPr>
          <w:rFonts w:ascii="Arial" w:hAnsi="Arial" w:cs="Arial"/>
          <w:b/>
          <w:bCs/>
          <w:lang w:val="es-PE"/>
        </w:rPr>
        <w:t>Funciones de los EDG y mecanismo de coordinación.</w:t>
      </w:r>
      <w:r w:rsidRPr="00CE0125">
        <w:rPr>
          <w:rFonts w:ascii="Arial" w:eastAsia="Arial" w:hAnsi="Arial" w:cs="Arial"/>
          <w:lang w:val="es-PE"/>
        </w:rPr>
        <w:t xml:space="preserve"> </w:t>
      </w:r>
      <w:r w:rsidR="00CE0125" w:rsidRPr="00CE0125">
        <w:rPr>
          <w:rFonts w:ascii="Arial" w:eastAsia="Arial" w:hAnsi="Arial" w:cs="Arial"/>
          <w:lang w:val="es-PE"/>
        </w:rPr>
        <w:t>El EDG del MEF, como OE, contará con un coordinador y un equipo de apoyo y tendrá como funciones:</w:t>
      </w:r>
      <w:r w:rsidR="00F903E2">
        <w:rPr>
          <w:rFonts w:ascii="Arial" w:eastAsia="Arial" w:hAnsi="Arial" w:cs="Arial"/>
          <w:lang w:val="es-PE"/>
        </w:rPr>
        <w:t> </w:t>
      </w:r>
      <w:r w:rsidR="00CE0125" w:rsidRPr="00CE0125">
        <w:rPr>
          <w:rFonts w:ascii="Arial" w:eastAsia="Arial" w:hAnsi="Arial" w:cs="Arial"/>
          <w:lang w:val="es-PE"/>
        </w:rPr>
        <w:t>(i) interlocución con el Banco para temas generales del proyecto; (ii)</w:t>
      </w:r>
      <w:r w:rsidR="00F903E2">
        <w:rPr>
          <w:rFonts w:ascii="Arial" w:eastAsia="Arial" w:hAnsi="Arial" w:cs="Arial"/>
          <w:lang w:val="es-PE"/>
        </w:rPr>
        <w:t> </w:t>
      </w:r>
      <w:r w:rsidR="00CE0125" w:rsidRPr="00CE0125">
        <w:rPr>
          <w:rFonts w:ascii="Arial" w:eastAsia="Arial" w:hAnsi="Arial" w:cs="Arial"/>
          <w:lang w:val="es-PE"/>
        </w:rPr>
        <w:t>administración de los recursos del programa, que incluye la tramitación de las solicitudes de desembolsos y la elaboración de los reportes sobre el uso de los recursos; (iii) preparación y remisión (después de aprobación por parte del Ministro del MEF o la autoridad que él designe y de las autoridades designadas por la VPR y la SGP) al Banco de los Informes Semestrales de Avance, Informes Financieros Auditados, Informe de Evaluación de Medio Término, Informe de Evaluación Final y otros documentos definidos en el ROP</w:t>
      </w:r>
      <w:r w:rsidR="00F903E2">
        <w:rPr>
          <w:rFonts w:ascii="Arial" w:eastAsia="Arial" w:hAnsi="Arial" w:cs="Arial"/>
          <w:lang w:val="es-PE"/>
        </w:rPr>
        <w:t>;</w:t>
      </w:r>
      <w:r w:rsidR="00CE0125" w:rsidRPr="00CE0125">
        <w:rPr>
          <w:rFonts w:ascii="Arial" w:eastAsia="Arial" w:hAnsi="Arial" w:cs="Arial"/>
          <w:lang w:val="es-PE"/>
        </w:rPr>
        <w:t xml:space="preserve"> y (iv) supervisión de la gestión de los aspectos ambientales y sociales del programa. Asimismo, será el responsable de la planificación, el monitoreo y la gestión de las adquisiciones de del </w:t>
      </w:r>
      <w:r w:rsidR="00B7728C">
        <w:rPr>
          <w:rFonts w:ascii="Arial" w:eastAsia="Arial" w:hAnsi="Arial" w:cs="Arial"/>
          <w:lang w:val="es-PE"/>
        </w:rPr>
        <w:t>C</w:t>
      </w:r>
      <w:r w:rsidR="00CE0125" w:rsidRPr="00CE0125">
        <w:rPr>
          <w:rFonts w:ascii="Arial" w:eastAsia="Arial" w:hAnsi="Arial" w:cs="Arial"/>
          <w:lang w:val="es-PE"/>
        </w:rPr>
        <w:t>omponente 3. A su vez, los OSE, deberán entregar oportunamente al MEF toda la información necesaria para el cumplimiento de lo aquí indicado, y deberán, proveer dirección estratégica, planificar, monitorear, gerenciar y reportar sobre el uso de los recursos financieros, licitar, contratar y gestionar técnica y fiduciariamente los bienes, obras y servicios diferentes a consultoría y servicios de consultoría de los componentes a su cargo. En este sentido, cada OSE será el responsable directo de la administración de los recursos del financiamiento que les serán transferidos considerando la preparación de los Términos de Referencia para las compras y contrataciones, así como de los procesos administrativos para que estas se realicen, garantizando un estricto cumplimiento de las políticas del Banco en la materia, y el envío de toda la documentación requerida al Banco para su no objeción.  Para ello, cada OSE contará con un coordinador para su EDGs, que será el responsable de</w:t>
      </w:r>
      <w:r w:rsidR="00F903E2">
        <w:rPr>
          <w:rFonts w:ascii="Arial" w:eastAsia="Arial" w:hAnsi="Arial" w:cs="Arial"/>
          <w:lang w:val="es-PE"/>
        </w:rPr>
        <w:t>:</w:t>
      </w:r>
      <w:r w:rsidR="00CE0125" w:rsidRPr="00CE0125">
        <w:rPr>
          <w:rFonts w:ascii="Arial" w:eastAsia="Arial" w:hAnsi="Arial" w:cs="Arial"/>
          <w:lang w:val="es-PE"/>
        </w:rPr>
        <w:t xml:space="preserve"> (i) la interlocución con el OE para la consolidación de los documentos generales del proyecto que deben ser enviados al Banco; </w:t>
      </w:r>
      <w:r w:rsidR="00F903E2">
        <w:rPr>
          <w:rFonts w:ascii="Arial" w:eastAsia="Arial" w:hAnsi="Arial" w:cs="Arial"/>
          <w:lang w:val="es-PE"/>
        </w:rPr>
        <w:t xml:space="preserve">y </w:t>
      </w:r>
      <w:r w:rsidR="00CE0125" w:rsidRPr="00CE0125">
        <w:rPr>
          <w:rFonts w:ascii="Arial" w:eastAsia="Arial" w:hAnsi="Arial" w:cs="Arial"/>
          <w:lang w:val="es-PE"/>
        </w:rPr>
        <w:t>(ii) la interlocución con el BID para el envío de no objeciones relacionadas con sus contrataciones y adquisiciones. El OE y los OSE tendrán reuniones periódicas mensuales en las que revisarán conjuntamente el avance de las actividades del proyecto y tomarán acción para resolver obstáculos a la ejecución. En el ROP se detallarán las funciones, responsabilidades y la composición de los EDGs y se detallarán las especificidades de los acuerdos interinstitucionales.</w:t>
      </w:r>
    </w:p>
    <w:p w14:paraId="301E4DC5" w14:textId="77777777" w:rsidR="00CE0125" w:rsidRDefault="00CE0125" w:rsidP="00C2120C">
      <w:pPr>
        <w:pStyle w:val="ListParagraph"/>
        <w:ind w:hanging="720"/>
        <w:jc w:val="both"/>
        <w:rPr>
          <w:rFonts w:ascii="Arial" w:eastAsia="Arial" w:hAnsi="Arial" w:cs="Arial"/>
          <w:lang w:val="es-PE"/>
        </w:rPr>
      </w:pPr>
    </w:p>
    <w:p w14:paraId="3B749F8C" w14:textId="470E92A4" w:rsidR="00CE0125" w:rsidRPr="00C2120C" w:rsidRDefault="00CE0125" w:rsidP="00F22C93">
      <w:pPr>
        <w:pStyle w:val="ListParagraph"/>
        <w:numPr>
          <w:ilvl w:val="1"/>
          <w:numId w:val="9"/>
        </w:numPr>
        <w:ind w:left="720" w:hanging="720"/>
        <w:jc w:val="both"/>
        <w:rPr>
          <w:rFonts w:ascii="Arial" w:eastAsia="Arial" w:hAnsi="Arial" w:cs="Arial"/>
          <w:lang w:val="es-PE"/>
        </w:rPr>
      </w:pPr>
      <w:r w:rsidRPr="00CE0125">
        <w:rPr>
          <w:rFonts w:ascii="Arial" w:eastAsia="Arial" w:hAnsi="Arial" w:cs="Arial"/>
          <w:b/>
          <w:lang w:val="es-PE"/>
        </w:rPr>
        <w:t>Acuerdos interinstitucionales.</w:t>
      </w:r>
      <w:r w:rsidRPr="00CE0125">
        <w:rPr>
          <w:rFonts w:ascii="Arial" w:eastAsia="Arial" w:hAnsi="Arial" w:cs="Arial"/>
          <w:lang w:val="es-PE"/>
        </w:rPr>
        <w:t xml:space="preserve"> En la medida que la operación tiene prevista una serie de actividades, cuyos principales responsables y beneficiarios son otras agencias públicas distintas al organismo ejecutor, se establecerán convenios interinstitucionales, en que se fijen los términos de cooperación </w:t>
      </w:r>
      <w:r w:rsidRPr="00CE0125">
        <w:rPr>
          <w:rFonts w:ascii="Arial" w:eastAsia="Arial" w:hAnsi="Arial" w:cs="Arial"/>
          <w:lang w:val="es-PE"/>
        </w:rPr>
        <w:lastRenderedPageBreak/>
        <w:t>incluyendo: la preparación de términos de referencia y las especificaciones técnicas de los bienes y servicios a ser contratados; su transferencia a las entidades beneficiarias; y las responsabilidades de cada uno de los agentes firmantes.</w:t>
      </w:r>
    </w:p>
    <w:p w14:paraId="66EF91BF" w14:textId="77777777" w:rsidR="003965F6" w:rsidRPr="00B1147E" w:rsidRDefault="003965F6" w:rsidP="00C2120C">
      <w:pPr>
        <w:pStyle w:val="Paragraph"/>
        <w:numPr>
          <w:ilvl w:val="0"/>
          <w:numId w:val="0"/>
        </w:numPr>
        <w:spacing w:after="0"/>
        <w:ind w:left="720" w:hanging="720"/>
        <w:rPr>
          <w:rFonts w:ascii="Arial" w:hAnsi="Arial" w:cs="Arial"/>
          <w:sz w:val="22"/>
        </w:rPr>
      </w:pPr>
    </w:p>
    <w:p w14:paraId="2463369A" w14:textId="47F44600" w:rsidR="00CE0125" w:rsidRPr="00B1147E" w:rsidRDefault="00CE0125" w:rsidP="00F22C93">
      <w:pPr>
        <w:pStyle w:val="ListParagraph"/>
        <w:numPr>
          <w:ilvl w:val="1"/>
          <w:numId w:val="9"/>
        </w:numPr>
        <w:ind w:left="720" w:hanging="720"/>
        <w:jc w:val="both"/>
        <w:rPr>
          <w:rFonts w:ascii="Arial" w:eastAsia="Calibri" w:hAnsi="Arial" w:cs="Arial"/>
          <w:lang w:val="es-ES_tradnl" w:eastAsia="en-US"/>
        </w:rPr>
      </w:pPr>
      <w:r w:rsidRPr="00B1147E">
        <w:rPr>
          <w:rFonts w:ascii="Arial" w:eastAsia="Calibri" w:hAnsi="Arial" w:cs="Arial"/>
          <w:b/>
          <w:lang w:val="es-ES_tradnl" w:eastAsia="en-US"/>
        </w:rPr>
        <w:t>Financiamiento retroactivo y reconocimiento de gastos elegibles</w:t>
      </w:r>
      <w:r w:rsidRPr="00B1147E">
        <w:rPr>
          <w:rFonts w:ascii="Arial" w:eastAsia="Calibri" w:hAnsi="Arial" w:cs="Arial"/>
          <w:lang w:val="es-ES_tradnl" w:eastAsia="en-US"/>
        </w:rPr>
        <w:t xml:space="preserve">. El Banco podrá financiar retroactivamente con cargo a los recursos del préstamo, hasta por la suma de </w:t>
      </w:r>
      <w:r w:rsidR="00367963" w:rsidRPr="00B1147E">
        <w:rPr>
          <w:rFonts w:ascii="Arial" w:eastAsia="Calibri" w:hAnsi="Arial" w:cs="Arial"/>
          <w:lang w:val="es-ES_tradnl" w:eastAsia="en-US"/>
        </w:rPr>
        <w:t>US$8.400.000 (20% del monto propuesto del préstamo), y reconocer con cargo al aporte local, hasta por la suma de US$1.008.000 (20% del monto estimado del aporte local), gastos elegibles efectuados por el Prestatario antes de la fecha de aprobación del préstamo en asistencia técnica para la puesta en marcha de las actividades previstas en los diferentes componentes</w:t>
      </w:r>
      <w:r w:rsidRPr="00B1147E">
        <w:rPr>
          <w:rFonts w:ascii="Arial" w:eastAsia="Calibri" w:hAnsi="Arial" w:cs="Arial"/>
          <w:lang w:val="es-ES_tradnl" w:eastAsia="en-US"/>
        </w:rPr>
        <w:t>, así como la formulación de términos de referencia relacionadas con dichas contrataciones de servicios, siempre que se hayan cumplido con requisitos sustancialmente análogos a los establecidos en el contrato de préstamo. Dichos gastos deberán haberse efectuado a partir de la fecha de aprobación del Perfil del Proyecto (2</w:t>
      </w:r>
      <w:r w:rsidR="00F22C93">
        <w:rPr>
          <w:rFonts w:ascii="Arial" w:eastAsia="Calibri" w:hAnsi="Arial" w:cs="Arial"/>
          <w:lang w:val="es-ES_tradnl" w:eastAsia="en-US"/>
        </w:rPr>
        <w:t>5</w:t>
      </w:r>
      <w:r w:rsidRPr="00B1147E">
        <w:rPr>
          <w:rFonts w:ascii="Arial" w:eastAsia="Calibri" w:hAnsi="Arial" w:cs="Arial"/>
          <w:lang w:val="es-ES_tradnl" w:eastAsia="en-US"/>
        </w:rPr>
        <w:t xml:space="preserve"> de </w:t>
      </w:r>
      <w:r w:rsidR="00F22C93">
        <w:rPr>
          <w:rFonts w:ascii="Arial" w:eastAsia="Calibri" w:hAnsi="Arial" w:cs="Arial"/>
          <w:lang w:val="es-ES_tradnl" w:eastAsia="en-US"/>
        </w:rPr>
        <w:t>julio</w:t>
      </w:r>
      <w:r w:rsidRPr="00B1147E">
        <w:rPr>
          <w:rFonts w:ascii="Arial" w:eastAsia="Calibri" w:hAnsi="Arial" w:cs="Arial"/>
          <w:lang w:val="es-ES_tradnl" w:eastAsia="en-US"/>
        </w:rPr>
        <w:t xml:space="preserve"> de 2019), pero en ningún caso se incluirán gastos efectuados más de 18 meses antes de la fecha de aprobación del préstamo.</w:t>
      </w:r>
    </w:p>
    <w:p w14:paraId="49FD59DC" w14:textId="77777777" w:rsidR="003965F6" w:rsidRPr="00B1147E" w:rsidRDefault="003965F6" w:rsidP="000408C2">
      <w:pPr>
        <w:pStyle w:val="Paragraph"/>
        <w:numPr>
          <w:ilvl w:val="0"/>
          <w:numId w:val="0"/>
        </w:numPr>
        <w:spacing w:after="0"/>
        <w:ind w:left="540"/>
        <w:rPr>
          <w:rFonts w:ascii="Arial" w:hAnsi="Arial" w:cs="Arial"/>
          <w:sz w:val="22"/>
        </w:rPr>
      </w:pPr>
    </w:p>
    <w:p w14:paraId="4B158586" w14:textId="77777777" w:rsidR="005C2440" w:rsidRPr="00B1147E" w:rsidRDefault="005C2440" w:rsidP="002643B7">
      <w:pPr>
        <w:pStyle w:val="Paragraph"/>
        <w:numPr>
          <w:ilvl w:val="0"/>
          <w:numId w:val="0"/>
        </w:numPr>
        <w:spacing w:after="0"/>
        <w:ind w:left="540"/>
        <w:rPr>
          <w:rFonts w:ascii="Arial" w:hAnsi="Arial" w:cs="Arial"/>
          <w:sz w:val="22"/>
        </w:rPr>
      </w:pPr>
    </w:p>
    <w:p w14:paraId="087D9D1C" w14:textId="77777777" w:rsidR="005C2440" w:rsidRPr="00B1147E" w:rsidRDefault="005C2440" w:rsidP="005C2440">
      <w:pPr>
        <w:spacing w:after="160" w:line="259" w:lineRule="auto"/>
        <w:rPr>
          <w:rFonts w:ascii="Arial" w:eastAsia="Calibri" w:hAnsi="Arial" w:cs="Arial"/>
          <w:lang w:val="es-ES_tradnl" w:eastAsia="en-US"/>
        </w:rPr>
        <w:sectPr w:rsidR="005C2440" w:rsidRPr="00B1147E" w:rsidSect="00F903E2">
          <w:headerReference w:type="default" r:id="rId14"/>
          <w:footerReference w:type="default" r:id="rId15"/>
          <w:pgSz w:w="11906" w:h="16838"/>
          <w:pgMar w:top="1440" w:right="1800" w:bottom="1440" w:left="1800" w:header="706" w:footer="706" w:gutter="0"/>
          <w:cols w:space="708"/>
          <w:docGrid w:linePitch="360"/>
        </w:sectPr>
      </w:pPr>
    </w:p>
    <w:p w14:paraId="065B7030" w14:textId="77777777" w:rsidR="003951CE" w:rsidRPr="00C2120C" w:rsidRDefault="003951CE" w:rsidP="00542496">
      <w:pPr>
        <w:pStyle w:val="Paragraph"/>
        <w:numPr>
          <w:ilvl w:val="0"/>
          <w:numId w:val="0"/>
        </w:numPr>
        <w:spacing w:before="0" w:after="0"/>
        <w:ind w:left="446"/>
        <w:rPr>
          <w:rFonts w:ascii="Arial" w:hAnsi="Arial" w:cs="Arial"/>
          <w:sz w:val="22"/>
          <w:lang w:val="es-PY"/>
        </w:rPr>
      </w:pPr>
    </w:p>
    <w:p w14:paraId="7CEB95CF" w14:textId="77777777" w:rsidR="00C84FAB" w:rsidRPr="00727955" w:rsidRDefault="00E37318" w:rsidP="00A63481">
      <w:pPr>
        <w:pStyle w:val="Heading1"/>
        <w:numPr>
          <w:ilvl w:val="0"/>
          <w:numId w:val="9"/>
        </w:numPr>
        <w:jc w:val="center"/>
        <w:rPr>
          <w:rFonts w:ascii="Arial" w:hAnsi="Arial" w:cs="Arial"/>
          <w:b/>
          <w:smallCaps/>
          <w:color w:val="000000" w:themeColor="text1"/>
          <w:sz w:val="24"/>
          <w:szCs w:val="24"/>
          <w:lang w:val="es-PY"/>
        </w:rPr>
      </w:pPr>
      <w:bookmarkStart w:id="5" w:name="_Toc487815084"/>
      <w:r w:rsidRPr="00727955">
        <w:rPr>
          <w:rFonts w:ascii="Arial" w:hAnsi="Arial" w:cs="Arial"/>
          <w:b/>
          <w:smallCaps/>
          <w:color w:val="000000" w:themeColor="text1"/>
          <w:sz w:val="24"/>
          <w:szCs w:val="24"/>
          <w:lang w:val="es-PY"/>
        </w:rPr>
        <w:t>Monitoreo</w:t>
      </w:r>
      <w:bookmarkEnd w:id="5"/>
    </w:p>
    <w:p w14:paraId="74DF2520" w14:textId="368F5A1B" w:rsidR="00671C37" w:rsidRDefault="00C84FAB" w:rsidP="00303149">
      <w:pPr>
        <w:pStyle w:val="ListParagraph"/>
        <w:numPr>
          <w:ilvl w:val="1"/>
          <w:numId w:val="8"/>
        </w:numPr>
        <w:spacing w:after="0" w:line="240" w:lineRule="auto"/>
        <w:ind w:left="547" w:hanging="547"/>
        <w:jc w:val="both"/>
        <w:rPr>
          <w:rFonts w:ascii="Arial" w:hAnsi="Arial" w:cs="Arial"/>
          <w:lang w:val="es-PY"/>
        </w:rPr>
      </w:pPr>
      <w:r w:rsidRPr="00727955">
        <w:rPr>
          <w:rFonts w:ascii="Arial" w:hAnsi="Arial" w:cs="Arial"/>
          <w:lang w:val="es-PY"/>
        </w:rPr>
        <w:t xml:space="preserve">Esta sección describe el Plan de Monitoreo del préstamo </w:t>
      </w:r>
      <w:r w:rsidR="00017679" w:rsidRPr="00727955">
        <w:rPr>
          <w:rFonts w:ascii="Arial" w:hAnsi="Arial" w:cs="Arial"/>
          <w:lang w:val="es-PY"/>
        </w:rPr>
        <w:t>EC-L12</w:t>
      </w:r>
      <w:r w:rsidR="007B20D3">
        <w:rPr>
          <w:rFonts w:ascii="Arial" w:hAnsi="Arial" w:cs="Arial"/>
          <w:lang w:val="es-PY"/>
        </w:rPr>
        <w:t>50</w:t>
      </w:r>
      <w:r w:rsidR="007A4664" w:rsidRPr="00727955">
        <w:rPr>
          <w:rFonts w:ascii="Arial" w:hAnsi="Arial" w:cs="Arial"/>
          <w:lang w:val="es-PY"/>
        </w:rPr>
        <w:t xml:space="preserve">. </w:t>
      </w:r>
    </w:p>
    <w:p w14:paraId="34808C1C" w14:textId="77777777" w:rsidR="007B20D3" w:rsidRPr="00727955" w:rsidRDefault="007B20D3" w:rsidP="007B20D3">
      <w:pPr>
        <w:pStyle w:val="ListParagraph"/>
        <w:spacing w:after="0" w:line="240" w:lineRule="auto"/>
        <w:ind w:left="547"/>
        <w:jc w:val="both"/>
        <w:rPr>
          <w:rFonts w:ascii="Arial" w:hAnsi="Arial" w:cs="Arial"/>
          <w:lang w:val="es-PY"/>
        </w:rPr>
      </w:pPr>
    </w:p>
    <w:p w14:paraId="2FA03171" w14:textId="77777777" w:rsidR="000C12D1" w:rsidRPr="00727955" w:rsidRDefault="00671C37" w:rsidP="00297D48">
      <w:pPr>
        <w:pStyle w:val="sub-sections"/>
        <w:ind w:hanging="900"/>
        <w:rPr>
          <w:rFonts w:ascii="Arial" w:hAnsi="Arial" w:cs="Arial"/>
          <w:lang w:val="es-ES_tradnl"/>
        </w:rPr>
      </w:pPr>
      <w:bookmarkStart w:id="6" w:name="_Toc487815085"/>
      <w:r w:rsidRPr="00727955">
        <w:rPr>
          <w:rFonts w:ascii="Arial" w:hAnsi="Arial" w:cs="Arial"/>
          <w:lang w:val="es-ES_tradnl"/>
        </w:rPr>
        <w:t>Indicadores</w:t>
      </w:r>
      <w:bookmarkEnd w:id="6"/>
    </w:p>
    <w:p w14:paraId="2F95766C" w14:textId="77777777" w:rsidR="00272B4C" w:rsidRPr="00727955" w:rsidRDefault="00272B4C" w:rsidP="00542496">
      <w:pPr>
        <w:pStyle w:val="sub-sections"/>
        <w:numPr>
          <w:ilvl w:val="0"/>
          <w:numId w:val="0"/>
        </w:numPr>
        <w:ind w:left="1080"/>
        <w:rPr>
          <w:rFonts w:ascii="Arial" w:hAnsi="Arial" w:cs="Arial"/>
          <w:sz w:val="18"/>
          <w:szCs w:val="18"/>
          <w:lang w:val="es-ES_tradnl"/>
        </w:rPr>
      </w:pPr>
    </w:p>
    <w:p w14:paraId="0EBC4E29" w14:textId="3DAB482D" w:rsidR="005C2440" w:rsidRPr="00727955" w:rsidRDefault="005A23C5" w:rsidP="00C2120C">
      <w:pPr>
        <w:pStyle w:val="ListParagraph"/>
        <w:numPr>
          <w:ilvl w:val="1"/>
          <w:numId w:val="8"/>
        </w:numPr>
        <w:spacing w:after="0" w:line="240" w:lineRule="auto"/>
        <w:ind w:left="547" w:hanging="547"/>
        <w:jc w:val="both"/>
        <w:rPr>
          <w:lang w:val="es-419"/>
        </w:rPr>
      </w:pPr>
      <w:r w:rsidRPr="00727955">
        <w:rPr>
          <w:rFonts w:ascii="Arial" w:hAnsi="Arial" w:cs="Arial"/>
          <w:lang w:val="es-MX"/>
        </w:rPr>
        <w:t>Se han definido dos tipos de indicadores</w:t>
      </w:r>
      <w:r w:rsidR="00683F4E" w:rsidRPr="00727955">
        <w:rPr>
          <w:rFonts w:ascii="Arial" w:hAnsi="Arial" w:cs="Arial"/>
          <w:lang w:val="es-MX"/>
        </w:rPr>
        <w:t>:</w:t>
      </w:r>
      <w:r w:rsidRPr="00727955">
        <w:rPr>
          <w:rFonts w:ascii="Arial" w:hAnsi="Arial" w:cs="Arial"/>
          <w:lang w:val="es-MX"/>
        </w:rPr>
        <w:t xml:space="preserve"> de resultados y de producto</w:t>
      </w:r>
      <w:r w:rsidR="00683F4E" w:rsidRPr="00727955">
        <w:rPr>
          <w:rFonts w:ascii="Arial" w:hAnsi="Arial" w:cs="Arial"/>
          <w:lang w:val="es-MX"/>
        </w:rPr>
        <w:t>s</w:t>
      </w:r>
      <w:r w:rsidRPr="00727955">
        <w:rPr>
          <w:rFonts w:ascii="Arial" w:hAnsi="Arial" w:cs="Arial"/>
          <w:lang w:val="es-MX"/>
        </w:rPr>
        <w:t>. Durante la preparación se acordó con el ejecutor los de la Matriz de Resultados, los medios de verificación y se asignaron recursos para su seguimiento periódico y reporte respectivo.</w:t>
      </w:r>
      <w:r w:rsidR="00440E84" w:rsidRPr="00727955">
        <w:rPr>
          <w:rFonts w:ascii="Arial" w:hAnsi="Arial" w:cs="Arial"/>
          <w:lang w:val="es-MX"/>
        </w:rPr>
        <w:t xml:space="preserve"> En el siguiente cuadro se presenta</w:t>
      </w:r>
      <w:r w:rsidR="00FD05FE" w:rsidRPr="00727955">
        <w:rPr>
          <w:rFonts w:ascii="Arial" w:hAnsi="Arial" w:cs="Arial"/>
          <w:lang w:val="es-MX"/>
        </w:rPr>
        <w:t xml:space="preserve">n los resultados </w:t>
      </w:r>
      <w:r w:rsidR="00D75628" w:rsidRPr="00727955">
        <w:rPr>
          <w:rFonts w:ascii="Arial" w:hAnsi="Arial" w:cs="Arial"/>
          <w:lang w:val="es-MX"/>
        </w:rPr>
        <w:t xml:space="preserve">y productos </w:t>
      </w:r>
      <w:r w:rsidR="00FD05FE" w:rsidRPr="00727955">
        <w:rPr>
          <w:rFonts w:ascii="Arial" w:hAnsi="Arial" w:cs="Arial"/>
          <w:lang w:val="es-MX"/>
        </w:rPr>
        <w:t>esperados de</w:t>
      </w:r>
      <w:r w:rsidR="00440E84" w:rsidRPr="00727955">
        <w:rPr>
          <w:rFonts w:ascii="Arial" w:hAnsi="Arial" w:cs="Arial"/>
          <w:lang w:val="es-MX"/>
        </w:rPr>
        <w:t xml:space="preserve"> la Matriz de Resultados del Programa:</w:t>
      </w:r>
    </w:p>
    <w:p w14:paraId="6A33994A" w14:textId="56176B2D" w:rsidR="00FE4C92" w:rsidRDefault="00D57393" w:rsidP="00FE4C92">
      <w:pPr>
        <w:spacing w:before="240" w:after="240" w:line="240" w:lineRule="auto"/>
        <w:jc w:val="center"/>
        <w:textAlignment w:val="baseline"/>
        <w:rPr>
          <w:rFonts w:ascii="Arial" w:eastAsia="Times New Roman" w:hAnsi="Arial" w:cs="Arial"/>
          <w:b/>
          <w:bCs/>
          <w:smallCaps/>
          <w:color w:val="000000"/>
          <w:sz w:val="20"/>
          <w:szCs w:val="20"/>
          <w:lang w:eastAsia="en-US"/>
        </w:rPr>
      </w:pPr>
      <w:r>
        <w:rPr>
          <w:rFonts w:ascii="Arial" w:eastAsia="Times New Roman" w:hAnsi="Arial" w:cs="Arial"/>
          <w:b/>
          <w:bCs/>
          <w:smallCaps/>
          <w:color w:val="000000"/>
          <w:sz w:val="20"/>
          <w:szCs w:val="20"/>
          <w:lang w:eastAsia="en-US"/>
        </w:rPr>
        <w:t xml:space="preserve">Cuadro 1. </w:t>
      </w:r>
      <w:r w:rsidR="00FE4C92" w:rsidRPr="00FE4C92">
        <w:rPr>
          <w:rFonts w:ascii="Arial" w:eastAsia="Times New Roman" w:hAnsi="Arial" w:cs="Arial"/>
          <w:b/>
          <w:bCs/>
          <w:smallCaps/>
          <w:color w:val="000000"/>
          <w:sz w:val="20"/>
          <w:szCs w:val="20"/>
          <w:lang w:eastAsia="en-US"/>
        </w:rPr>
        <w:t>Resultados Esperados</w:t>
      </w:r>
    </w:p>
    <w:tbl>
      <w:tblPr>
        <w:tblpPr w:leftFromText="180" w:rightFromText="180" w:vertAnchor="text" w:tblpX="-730" w:tblpY="1"/>
        <w:tblOverlap w:val="never"/>
        <w:tblW w:w="14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155"/>
        <w:gridCol w:w="810"/>
        <w:gridCol w:w="1170"/>
        <w:gridCol w:w="723"/>
        <w:gridCol w:w="717"/>
        <w:gridCol w:w="544"/>
        <w:gridCol w:w="536"/>
        <w:gridCol w:w="630"/>
        <w:gridCol w:w="630"/>
        <w:gridCol w:w="900"/>
        <w:gridCol w:w="2340"/>
        <w:gridCol w:w="3603"/>
      </w:tblGrid>
      <w:tr w:rsidR="00F903E2" w:rsidRPr="00692A02" w14:paraId="4762CB50" w14:textId="77777777" w:rsidTr="00E61805">
        <w:trPr>
          <w:trHeight w:val="567"/>
          <w:tblHeader/>
        </w:trPr>
        <w:tc>
          <w:tcPr>
            <w:tcW w:w="2155"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414D881F" w14:textId="77777777" w:rsidR="00692A02" w:rsidRPr="00C2120C" w:rsidRDefault="00692A02" w:rsidP="00692A02">
            <w:pPr>
              <w:spacing w:before="20" w:after="20" w:line="240" w:lineRule="auto"/>
              <w:jc w:val="center"/>
              <w:rPr>
                <w:rFonts w:ascii="Arial" w:eastAsia="Calibri" w:hAnsi="Arial" w:cs="Arial"/>
                <w:b/>
                <w:bCs/>
                <w:spacing w:val="-4"/>
                <w:sz w:val="20"/>
                <w:szCs w:val="20"/>
                <w:lang w:val="es-EC"/>
              </w:rPr>
            </w:pPr>
            <w:bookmarkStart w:id="7" w:name="_Hlk12376833"/>
            <w:r w:rsidRPr="00C2120C">
              <w:rPr>
                <w:rFonts w:ascii="Arial" w:eastAsia="Calibri" w:hAnsi="Arial" w:cs="Arial"/>
                <w:b/>
                <w:bCs/>
                <w:spacing w:val="-4"/>
                <w:sz w:val="20"/>
                <w:szCs w:val="20"/>
                <w:lang w:val="es-EC"/>
              </w:rPr>
              <w:t>Indicadores</w:t>
            </w:r>
          </w:p>
        </w:tc>
        <w:tc>
          <w:tcPr>
            <w:tcW w:w="810"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566BD8DD" w14:textId="77777777" w:rsidR="00692A02" w:rsidRPr="00C2120C" w:rsidRDefault="00692A02" w:rsidP="00692A02">
            <w:pPr>
              <w:spacing w:before="20" w:after="20" w:line="240" w:lineRule="auto"/>
              <w:jc w:val="center"/>
              <w:rPr>
                <w:rFonts w:ascii="Arial" w:eastAsia="Calibri" w:hAnsi="Arial" w:cs="Arial"/>
                <w:b/>
                <w:bCs/>
                <w:spacing w:val="-4"/>
                <w:sz w:val="20"/>
                <w:szCs w:val="20"/>
                <w:lang w:val="es-EC"/>
              </w:rPr>
            </w:pPr>
            <w:r w:rsidRPr="00C2120C">
              <w:rPr>
                <w:rFonts w:ascii="Arial" w:eastAsia="Calibri" w:hAnsi="Arial" w:cs="Arial"/>
                <w:b/>
                <w:bCs/>
                <w:spacing w:val="-4"/>
                <w:sz w:val="20"/>
                <w:szCs w:val="20"/>
                <w:lang w:val="es-EC"/>
              </w:rPr>
              <w:t xml:space="preserve">Unidad de </w:t>
            </w:r>
          </w:p>
          <w:p w14:paraId="026B7AB1" w14:textId="77777777" w:rsidR="00692A02" w:rsidRPr="00C2120C" w:rsidRDefault="00692A02" w:rsidP="00692A02">
            <w:pPr>
              <w:spacing w:before="20" w:after="20" w:line="240" w:lineRule="auto"/>
              <w:jc w:val="center"/>
              <w:rPr>
                <w:rFonts w:ascii="Arial" w:eastAsia="Calibri" w:hAnsi="Arial" w:cs="Arial"/>
                <w:b/>
                <w:bCs/>
                <w:spacing w:val="-4"/>
                <w:sz w:val="20"/>
                <w:szCs w:val="20"/>
                <w:lang w:val="es-EC"/>
              </w:rPr>
            </w:pPr>
            <w:r w:rsidRPr="00C2120C">
              <w:rPr>
                <w:rFonts w:ascii="Arial" w:eastAsia="Calibri" w:hAnsi="Arial" w:cs="Arial"/>
                <w:b/>
                <w:bCs/>
                <w:spacing w:val="-4"/>
                <w:sz w:val="20"/>
                <w:szCs w:val="20"/>
                <w:lang w:val="es-EC"/>
              </w:rPr>
              <w:t>Medida</w:t>
            </w:r>
          </w:p>
        </w:tc>
        <w:tc>
          <w:tcPr>
            <w:tcW w:w="1170"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704E9B0F" w14:textId="77777777" w:rsidR="00692A02" w:rsidRPr="00C2120C" w:rsidRDefault="00692A02" w:rsidP="00692A02">
            <w:pPr>
              <w:spacing w:before="20" w:after="20" w:line="240" w:lineRule="auto"/>
              <w:jc w:val="center"/>
              <w:rPr>
                <w:rFonts w:ascii="Arial" w:eastAsia="Calibri" w:hAnsi="Arial" w:cs="Arial"/>
                <w:b/>
                <w:bCs/>
                <w:spacing w:val="-4"/>
                <w:sz w:val="20"/>
                <w:szCs w:val="20"/>
                <w:lang w:val="es-EC"/>
              </w:rPr>
            </w:pPr>
            <w:r w:rsidRPr="00C2120C">
              <w:rPr>
                <w:rFonts w:ascii="Arial" w:eastAsia="Calibri" w:hAnsi="Arial" w:cs="Arial"/>
                <w:b/>
                <w:bCs/>
                <w:spacing w:val="-4"/>
                <w:sz w:val="20"/>
                <w:szCs w:val="20"/>
                <w:lang w:val="es-EC"/>
              </w:rPr>
              <w:t>Línea de Base</w:t>
            </w:r>
          </w:p>
        </w:tc>
        <w:tc>
          <w:tcPr>
            <w:tcW w:w="723"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4B62D60D" w14:textId="3D08BC75" w:rsidR="005F1393" w:rsidRDefault="00692A02" w:rsidP="00692A02">
            <w:pPr>
              <w:spacing w:before="20" w:after="20" w:line="240" w:lineRule="auto"/>
              <w:jc w:val="center"/>
              <w:rPr>
                <w:rFonts w:ascii="Arial" w:eastAsia="Calibri" w:hAnsi="Arial" w:cs="Arial"/>
                <w:b/>
                <w:bCs/>
                <w:spacing w:val="-4"/>
                <w:sz w:val="20"/>
                <w:szCs w:val="20"/>
                <w:lang w:val="es-EC"/>
              </w:rPr>
            </w:pPr>
            <w:r w:rsidRPr="00C2120C">
              <w:rPr>
                <w:rFonts w:ascii="Arial" w:eastAsia="Calibri" w:hAnsi="Arial" w:cs="Arial"/>
                <w:b/>
                <w:bCs/>
                <w:spacing w:val="-4"/>
                <w:sz w:val="20"/>
                <w:szCs w:val="20"/>
                <w:lang w:val="es-EC"/>
              </w:rPr>
              <w:t>Año</w:t>
            </w:r>
          </w:p>
          <w:p w14:paraId="129F8896" w14:textId="08C36769" w:rsidR="00692A02" w:rsidRPr="00C2120C" w:rsidRDefault="00692A02" w:rsidP="00692A02">
            <w:pPr>
              <w:spacing w:before="20" w:after="20" w:line="240" w:lineRule="auto"/>
              <w:jc w:val="center"/>
              <w:rPr>
                <w:rFonts w:ascii="Arial" w:eastAsia="Calibri" w:hAnsi="Arial" w:cs="Arial"/>
                <w:b/>
                <w:bCs/>
                <w:spacing w:val="-4"/>
                <w:sz w:val="20"/>
                <w:szCs w:val="20"/>
                <w:lang w:val="es-EC"/>
              </w:rPr>
            </w:pPr>
            <w:r w:rsidRPr="00C2120C">
              <w:rPr>
                <w:rFonts w:ascii="Arial" w:eastAsia="Calibri" w:hAnsi="Arial" w:cs="Arial"/>
                <w:b/>
                <w:bCs/>
                <w:spacing w:val="-4"/>
                <w:sz w:val="20"/>
                <w:szCs w:val="20"/>
                <w:lang w:val="es-EC"/>
              </w:rPr>
              <w:t>Línea Base</w:t>
            </w:r>
          </w:p>
        </w:tc>
        <w:tc>
          <w:tcPr>
            <w:tcW w:w="717"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0D47AFE6" w14:textId="77777777" w:rsidR="00692A02" w:rsidRPr="00C2120C" w:rsidRDefault="00692A02" w:rsidP="00692A02">
            <w:pPr>
              <w:spacing w:before="20" w:after="20" w:line="240" w:lineRule="auto"/>
              <w:jc w:val="center"/>
              <w:rPr>
                <w:rFonts w:ascii="Arial" w:eastAsia="Calibri" w:hAnsi="Arial" w:cs="Arial"/>
                <w:b/>
                <w:bCs/>
                <w:spacing w:val="-4"/>
                <w:sz w:val="20"/>
                <w:szCs w:val="20"/>
                <w:lang w:val="es-EC"/>
              </w:rPr>
            </w:pPr>
            <w:r w:rsidRPr="00C2120C">
              <w:rPr>
                <w:rFonts w:ascii="Arial" w:eastAsia="Calibri" w:hAnsi="Arial" w:cs="Arial"/>
                <w:b/>
                <w:bCs/>
                <w:spacing w:val="-4"/>
                <w:sz w:val="20"/>
                <w:szCs w:val="20"/>
                <w:lang w:val="es-EC"/>
              </w:rPr>
              <w:t>Año 1</w:t>
            </w:r>
          </w:p>
        </w:tc>
        <w:tc>
          <w:tcPr>
            <w:tcW w:w="54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1233B006" w14:textId="77777777" w:rsidR="00692A02" w:rsidRPr="00C2120C" w:rsidRDefault="00692A02" w:rsidP="00692A02">
            <w:pPr>
              <w:spacing w:before="20" w:after="20" w:line="240" w:lineRule="auto"/>
              <w:jc w:val="center"/>
              <w:rPr>
                <w:rFonts w:ascii="Arial" w:eastAsia="Calibri" w:hAnsi="Arial" w:cs="Arial"/>
                <w:b/>
                <w:bCs/>
                <w:spacing w:val="-4"/>
                <w:sz w:val="20"/>
                <w:szCs w:val="20"/>
                <w:lang w:val="es-EC"/>
              </w:rPr>
            </w:pPr>
            <w:r w:rsidRPr="00C2120C">
              <w:rPr>
                <w:rFonts w:ascii="Arial" w:eastAsia="Calibri" w:hAnsi="Arial" w:cs="Arial"/>
                <w:b/>
                <w:bCs/>
                <w:spacing w:val="-4"/>
                <w:sz w:val="20"/>
                <w:szCs w:val="20"/>
                <w:lang w:val="es-EC"/>
              </w:rPr>
              <w:t>Año 2</w:t>
            </w:r>
          </w:p>
        </w:tc>
        <w:tc>
          <w:tcPr>
            <w:tcW w:w="536"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63F482C3" w14:textId="77777777" w:rsidR="00692A02" w:rsidRPr="00C2120C" w:rsidRDefault="00692A02" w:rsidP="00692A02">
            <w:pPr>
              <w:spacing w:before="20" w:after="20" w:line="240" w:lineRule="auto"/>
              <w:jc w:val="center"/>
              <w:rPr>
                <w:rFonts w:ascii="Arial" w:eastAsia="Calibri" w:hAnsi="Arial" w:cs="Arial"/>
                <w:b/>
                <w:bCs/>
                <w:spacing w:val="-4"/>
                <w:sz w:val="20"/>
                <w:szCs w:val="20"/>
                <w:lang w:val="es-EC"/>
              </w:rPr>
            </w:pPr>
            <w:r w:rsidRPr="00C2120C">
              <w:rPr>
                <w:rFonts w:ascii="Arial" w:eastAsia="Calibri" w:hAnsi="Arial" w:cs="Arial"/>
                <w:b/>
                <w:bCs/>
                <w:spacing w:val="-4"/>
                <w:sz w:val="20"/>
                <w:szCs w:val="20"/>
                <w:lang w:val="es-EC"/>
              </w:rPr>
              <w:t>Año 3</w:t>
            </w:r>
          </w:p>
        </w:tc>
        <w:tc>
          <w:tcPr>
            <w:tcW w:w="630"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36494F9A" w14:textId="77777777" w:rsidR="00692A02" w:rsidRPr="00C2120C" w:rsidRDefault="00692A02" w:rsidP="00692A02">
            <w:pPr>
              <w:spacing w:before="20" w:after="20" w:line="240" w:lineRule="auto"/>
              <w:jc w:val="center"/>
              <w:rPr>
                <w:rFonts w:ascii="Arial" w:eastAsia="Calibri" w:hAnsi="Arial" w:cs="Arial"/>
                <w:b/>
                <w:bCs/>
                <w:spacing w:val="-4"/>
                <w:sz w:val="20"/>
                <w:szCs w:val="20"/>
                <w:lang w:val="es-EC"/>
              </w:rPr>
            </w:pPr>
            <w:r w:rsidRPr="00C2120C">
              <w:rPr>
                <w:rFonts w:ascii="Arial" w:eastAsia="Calibri" w:hAnsi="Arial" w:cs="Arial"/>
                <w:b/>
                <w:bCs/>
                <w:spacing w:val="-4"/>
                <w:sz w:val="20"/>
                <w:szCs w:val="20"/>
                <w:lang w:val="es-EC"/>
              </w:rPr>
              <w:t>Año 4</w:t>
            </w:r>
          </w:p>
        </w:tc>
        <w:tc>
          <w:tcPr>
            <w:tcW w:w="630" w:type="dxa"/>
            <w:tcBorders>
              <w:top w:val="single" w:sz="4" w:space="0" w:color="000000"/>
              <w:left w:val="single" w:sz="4" w:space="0" w:color="000000"/>
              <w:bottom w:val="single" w:sz="4" w:space="0" w:color="000000"/>
              <w:right w:val="single" w:sz="4" w:space="0" w:color="000000"/>
            </w:tcBorders>
            <w:shd w:val="clear" w:color="auto" w:fill="D6E3BC"/>
            <w:vAlign w:val="center"/>
          </w:tcPr>
          <w:p w14:paraId="357F9BD7" w14:textId="77777777" w:rsidR="00692A02" w:rsidRPr="00C2120C" w:rsidRDefault="00692A02" w:rsidP="00692A02">
            <w:pPr>
              <w:spacing w:before="20" w:after="20" w:line="240" w:lineRule="auto"/>
              <w:jc w:val="center"/>
              <w:rPr>
                <w:rFonts w:ascii="Arial" w:eastAsia="Calibri" w:hAnsi="Arial" w:cs="Arial"/>
                <w:b/>
                <w:bCs/>
                <w:spacing w:val="-4"/>
                <w:sz w:val="20"/>
                <w:szCs w:val="20"/>
                <w:lang w:val="es-EC"/>
              </w:rPr>
            </w:pPr>
            <w:r w:rsidRPr="00C2120C">
              <w:rPr>
                <w:rFonts w:ascii="Arial" w:eastAsia="Calibri" w:hAnsi="Arial" w:cs="Arial"/>
                <w:b/>
                <w:bCs/>
                <w:spacing w:val="-4"/>
                <w:sz w:val="20"/>
                <w:szCs w:val="20"/>
                <w:lang w:val="es-EC"/>
              </w:rPr>
              <w:t>Año 5</w:t>
            </w:r>
          </w:p>
        </w:tc>
        <w:tc>
          <w:tcPr>
            <w:tcW w:w="900"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7B8A5939" w14:textId="1332ABCC" w:rsidR="00692A02" w:rsidRPr="00C2120C" w:rsidRDefault="00692A02" w:rsidP="00692A02">
            <w:pPr>
              <w:spacing w:before="20" w:after="20" w:line="240" w:lineRule="auto"/>
              <w:jc w:val="center"/>
              <w:rPr>
                <w:rFonts w:ascii="Arial" w:eastAsia="Calibri" w:hAnsi="Arial" w:cs="Arial"/>
                <w:b/>
                <w:bCs/>
                <w:spacing w:val="-4"/>
                <w:sz w:val="20"/>
                <w:szCs w:val="20"/>
                <w:lang w:val="es-EC"/>
              </w:rPr>
            </w:pPr>
            <w:r w:rsidRPr="00C2120C">
              <w:rPr>
                <w:rFonts w:ascii="Arial" w:eastAsia="Calibri" w:hAnsi="Arial" w:cs="Arial"/>
                <w:b/>
                <w:bCs/>
                <w:spacing w:val="-4"/>
                <w:sz w:val="20"/>
                <w:szCs w:val="20"/>
                <w:lang w:val="es-EC"/>
              </w:rPr>
              <w:t>Meta Final</w:t>
            </w:r>
          </w:p>
        </w:tc>
        <w:tc>
          <w:tcPr>
            <w:tcW w:w="2340"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058DE2E9" w14:textId="77777777" w:rsidR="00692A02" w:rsidRPr="00C2120C" w:rsidRDefault="00692A02" w:rsidP="00692A02">
            <w:pPr>
              <w:spacing w:before="20" w:after="20" w:line="240" w:lineRule="auto"/>
              <w:jc w:val="center"/>
              <w:rPr>
                <w:rFonts w:ascii="Arial" w:eastAsia="Calibri" w:hAnsi="Arial" w:cs="Arial"/>
                <w:b/>
                <w:bCs/>
                <w:spacing w:val="-4"/>
                <w:sz w:val="20"/>
                <w:szCs w:val="20"/>
                <w:lang w:val="es-EC"/>
              </w:rPr>
            </w:pPr>
            <w:r w:rsidRPr="00C2120C">
              <w:rPr>
                <w:rFonts w:ascii="Arial" w:eastAsia="Calibri" w:hAnsi="Arial" w:cs="Arial"/>
                <w:b/>
                <w:bCs/>
                <w:spacing w:val="-4"/>
                <w:sz w:val="20"/>
                <w:szCs w:val="20"/>
                <w:lang w:val="es-EC"/>
              </w:rPr>
              <w:t>Medios de Verificación</w:t>
            </w:r>
          </w:p>
        </w:tc>
        <w:tc>
          <w:tcPr>
            <w:tcW w:w="3603"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2F46BA38" w14:textId="77777777" w:rsidR="00692A02" w:rsidRPr="00C2120C" w:rsidRDefault="00692A02" w:rsidP="00692A02">
            <w:pPr>
              <w:spacing w:before="20" w:after="20" w:line="240" w:lineRule="auto"/>
              <w:jc w:val="center"/>
              <w:rPr>
                <w:rFonts w:ascii="Arial" w:eastAsia="Calibri" w:hAnsi="Arial" w:cs="Arial"/>
                <w:b/>
                <w:bCs/>
                <w:spacing w:val="-4"/>
                <w:sz w:val="20"/>
                <w:szCs w:val="20"/>
                <w:lang w:val="es-EC"/>
              </w:rPr>
            </w:pPr>
            <w:r w:rsidRPr="00C2120C">
              <w:rPr>
                <w:rFonts w:ascii="Arial" w:eastAsia="Calibri" w:hAnsi="Arial" w:cs="Arial"/>
                <w:b/>
                <w:bCs/>
                <w:spacing w:val="-4"/>
                <w:sz w:val="20"/>
                <w:szCs w:val="20"/>
                <w:lang w:val="es-EC"/>
              </w:rPr>
              <w:t>Comentarios</w:t>
            </w:r>
          </w:p>
        </w:tc>
      </w:tr>
      <w:bookmarkEnd w:id="7"/>
      <w:tr w:rsidR="00692A02" w:rsidRPr="00387315" w14:paraId="144CD1E3" w14:textId="77777777" w:rsidTr="00C2120C">
        <w:trPr>
          <w:trHeight w:val="567"/>
        </w:trPr>
        <w:tc>
          <w:tcPr>
            <w:tcW w:w="14758"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1E9527" w14:textId="155D5416" w:rsidR="00692A02" w:rsidRPr="00692A02" w:rsidRDefault="00692A02" w:rsidP="00692A02">
            <w:pPr>
              <w:spacing w:before="20" w:after="20" w:line="240" w:lineRule="auto"/>
              <w:rPr>
                <w:rFonts w:ascii="Arial" w:eastAsia="Calibri" w:hAnsi="Arial" w:cs="Arial"/>
                <w:spacing w:val="-4"/>
                <w:sz w:val="20"/>
                <w:szCs w:val="20"/>
                <w:lang w:val="es-EC"/>
              </w:rPr>
            </w:pPr>
            <w:r w:rsidRPr="00692A02">
              <w:rPr>
                <w:rFonts w:ascii="Arial" w:eastAsia="Calibri" w:hAnsi="Arial" w:cs="Arial"/>
                <w:b/>
                <w:caps/>
                <w:spacing w:val="-4"/>
                <w:sz w:val="20"/>
                <w:szCs w:val="20"/>
                <w:u w:val="single"/>
                <w:lang w:val="es-EC"/>
              </w:rPr>
              <w:t>resultado #1:</w:t>
            </w:r>
            <w:r w:rsidRPr="00C2120C">
              <w:rPr>
                <w:rFonts w:ascii="Arial" w:eastAsia="Calibri" w:hAnsi="Arial" w:cs="Arial"/>
                <w:b/>
                <w:caps/>
                <w:spacing w:val="-4"/>
                <w:sz w:val="20"/>
                <w:szCs w:val="20"/>
                <w:lang w:val="es-EC"/>
              </w:rPr>
              <w:t xml:space="preserve"> </w:t>
            </w:r>
            <w:r w:rsidR="00B6553A">
              <w:rPr>
                <w:rFonts w:ascii="Arial" w:eastAsia="Calibri" w:hAnsi="Arial" w:cs="Arial"/>
                <w:b/>
                <w:spacing w:val="-4"/>
                <w:sz w:val="20"/>
                <w:szCs w:val="20"/>
                <w:lang w:val="es-EC"/>
              </w:rPr>
              <w:t xml:space="preserve">Mecanismos de </w:t>
            </w:r>
            <w:r w:rsidR="00FB2526">
              <w:rPr>
                <w:rFonts w:ascii="Arial" w:eastAsia="Calibri" w:hAnsi="Arial" w:cs="Arial"/>
                <w:b/>
                <w:spacing w:val="-4"/>
                <w:sz w:val="20"/>
                <w:szCs w:val="20"/>
                <w:lang w:val="es-EC"/>
              </w:rPr>
              <w:t>diálogo</w:t>
            </w:r>
            <w:r w:rsidR="00F903E2" w:rsidRPr="00B1147E">
              <w:rPr>
                <w:rFonts w:ascii="Arial" w:eastAsia="Calibri" w:hAnsi="Arial" w:cs="Arial"/>
                <w:b/>
                <w:spacing w:val="-4"/>
                <w:sz w:val="20"/>
                <w:szCs w:val="20"/>
                <w:lang w:val="es-EC"/>
              </w:rPr>
              <w:t xml:space="preserve"> para la competitividad e innovación fortalecid</w:t>
            </w:r>
            <w:r w:rsidR="00FB2526">
              <w:rPr>
                <w:rFonts w:ascii="Arial" w:eastAsia="Calibri" w:hAnsi="Arial" w:cs="Arial"/>
                <w:b/>
                <w:spacing w:val="-4"/>
                <w:sz w:val="20"/>
                <w:szCs w:val="20"/>
                <w:lang w:val="es-EC"/>
              </w:rPr>
              <w:t>os</w:t>
            </w:r>
          </w:p>
        </w:tc>
      </w:tr>
      <w:tr w:rsidR="00A1054F" w:rsidRPr="00387315" w14:paraId="6ACAA9AF" w14:textId="77777777" w:rsidTr="00E61805">
        <w:trPr>
          <w:trHeight w:val="567"/>
        </w:trPr>
        <w:tc>
          <w:tcPr>
            <w:tcW w:w="2155" w:type="dxa"/>
            <w:tcBorders>
              <w:top w:val="single" w:sz="4" w:space="0" w:color="000000"/>
              <w:left w:val="single" w:sz="4" w:space="0" w:color="000000"/>
              <w:bottom w:val="single" w:sz="4" w:space="0" w:color="000000"/>
              <w:right w:val="single" w:sz="4" w:space="0" w:color="000000"/>
            </w:tcBorders>
          </w:tcPr>
          <w:p w14:paraId="621CA756" w14:textId="7207B548" w:rsidR="00A1054F" w:rsidRPr="008373D5" w:rsidRDefault="00A1054F" w:rsidP="00A1054F">
            <w:pPr>
              <w:pStyle w:val="ListParagraph"/>
              <w:numPr>
                <w:ilvl w:val="1"/>
                <w:numId w:val="46"/>
              </w:numPr>
              <w:spacing w:before="20" w:after="20" w:line="240" w:lineRule="auto"/>
              <w:rPr>
                <w:rFonts w:ascii="Arial" w:eastAsia="Calibri" w:hAnsi="Arial" w:cs="Arial"/>
                <w:spacing w:val="-4"/>
                <w:sz w:val="20"/>
                <w:szCs w:val="20"/>
                <w:lang w:val="es-EC"/>
              </w:rPr>
            </w:pPr>
            <w:r w:rsidRPr="008373D5">
              <w:rPr>
                <w:rFonts w:ascii="Arial" w:eastAsia="Calibri" w:hAnsi="Arial" w:cs="Arial"/>
                <w:spacing w:val="-4"/>
                <w:sz w:val="20"/>
                <w:szCs w:val="20"/>
                <w:lang w:val="es-EC"/>
              </w:rPr>
              <w:t>Aumento de inversión en innovación / ventas (sobre grupo de control)</w:t>
            </w:r>
          </w:p>
        </w:tc>
        <w:tc>
          <w:tcPr>
            <w:tcW w:w="810" w:type="dxa"/>
            <w:tcBorders>
              <w:top w:val="single" w:sz="4" w:space="0" w:color="000000"/>
              <w:left w:val="single" w:sz="4" w:space="0" w:color="000000"/>
              <w:bottom w:val="single" w:sz="4" w:space="0" w:color="000000"/>
              <w:right w:val="single" w:sz="4" w:space="0" w:color="000000"/>
            </w:tcBorders>
          </w:tcPr>
          <w:p w14:paraId="11B4379A" w14:textId="52EEDB59" w:rsidR="00A1054F" w:rsidRPr="00692A02" w:rsidRDefault="00A1054F" w:rsidP="00A1054F">
            <w:pPr>
              <w:spacing w:before="20" w:after="20" w:line="240" w:lineRule="auto"/>
              <w:ind w:right="-104"/>
              <w:jc w:val="center"/>
              <w:rPr>
                <w:rFonts w:ascii="Arial" w:eastAsia="Calibri" w:hAnsi="Arial" w:cs="Arial"/>
                <w:spacing w:val="-4"/>
                <w:sz w:val="20"/>
                <w:szCs w:val="20"/>
                <w:lang w:val="es-EC"/>
              </w:rPr>
            </w:pPr>
            <w:r>
              <w:rPr>
                <w:rFonts w:ascii="Arial" w:eastAsia="Calibri" w:hAnsi="Arial" w:cs="Arial"/>
                <w:spacing w:val="-4"/>
                <w:sz w:val="20"/>
                <w:szCs w:val="20"/>
                <w:lang w:val="es-EC"/>
              </w:rPr>
              <w:t>%</w:t>
            </w:r>
          </w:p>
        </w:tc>
        <w:tc>
          <w:tcPr>
            <w:tcW w:w="1170" w:type="dxa"/>
            <w:tcBorders>
              <w:top w:val="single" w:sz="4" w:space="0" w:color="000000"/>
              <w:left w:val="single" w:sz="4" w:space="0" w:color="000000"/>
              <w:bottom w:val="single" w:sz="4" w:space="0" w:color="000000"/>
              <w:right w:val="single" w:sz="4" w:space="0" w:color="000000"/>
            </w:tcBorders>
          </w:tcPr>
          <w:p w14:paraId="49C5C2CC" w14:textId="77777777" w:rsidR="00A1054F" w:rsidRPr="00692A02" w:rsidRDefault="00A1054F" w:rsidP="00A1054F">
            <w:pPr>
              <w:spacing w:before="20" w:after="20" w:line="240" w:lineRule="auto"/>
              <w:jc w:val="center"/>
              <w:rPr>
                <w:rFonts w:ascii="Arial" w:eastAsia="Calibri" w:hAnsi="Arial" w:cs="Arial"/>
                <w:spacing w:val="-4"/>
                <w:sz w:val="20"/>
                <w:szCs w:val="20"/>
                <w:lang w:val="es-EC"/>
              </w:rPr>
            </w:pPr>
            <w:r w:rsidRPr="00692A02">
              <w:rPr>
                <w:rFonts w:ascii="Arial" w:eastAsia="Calibri" w:hAnsi="Arial" w:cs="Arial"/>
                <w:spacing w:val="-4"/>
                <w:sz w:val="20"/>
                <w:szCs w:val="20"/>
                <w:lang w:val="es-EC"/>
              </w:rPr>
              <w:t>1,54%</w:t>
            </w:r>
          </w:p>
        </w:tc>
        <w:tc>
          <w:tcPr>
            <w:tcW w:w="723" w:type="dxa"/>
            <w:tcBorders>
              <w:top w:val="single" w:sz="4" w:space="0" w:color="000000"/>
              <w:left w:val="single" w:sz="4" w:space="0" w:color="000000"/>
              <w:bottom w:val="single" w:sz="4" w:space="0" w:color="000000"/>
              <w:right w:val="single" w:sz="4" w:space="0" w:color="000000"/>
            </w:tcBorders>
          </w:tcPr>
          <w:p w14:paraId="42CEE8A1" w14:textId="77777777" w:rsidR="00A1054F" w:rsidRPr="00692A02" w:rsidRDefault="00A1054F" w:rsidP="00A1054F">
            <w:pPr>
              <w:spacing w:before="20" w:after="20" w:line="240" w:lineRule="auto"/>
              <w:jc w:val="center"/>
              <w:rPr>
                <w:rFonts w:ascii="Arial" w:eastAsia="Calibri" w:hAnsi="Arial" w:cs="Arial"/>
                <w:spacing w:val="-4"/>
                <w:sz w:val="20"/>
                <w:szCs w:val="20"/>
                <w:lang w:val="es-EC"/>
              </w:rPr>
            </w:pPr>
            <w:r w:rsidRPr="00692A02">
              <w:rPr>
                <w:rFonts w:ascii="Arial" w:eastAsia="Calibri" w:hAnsi="Arial" w:cs="Arial"/>
                <w:spacing w:val="-4"/>
                <w:sz w:val="20"/>
                <w:szCs w:val="20"/>
                <w:lang w:val="es-EC"/>
              </w:rPr>
              <w:t>2015</w:t>
            </w:r>
          </w:p>
        </w:tc>
        <w:tc>
          <w:tcPr>
            <w:tcW w:w="717" w:type="dxa"/>
            <w:tcBorders>
              <w:top w:val="single" w:sz="4" w:space="0" w:color="000000"/>
              <w:left w:val="single" w:sz="4" w:space="0" w:color="000000"/>
              <w:bottom w:val="single" w:sz="4" w:space="0" w:color="000000"/>
              <w:right w:val="single" w:sz="4" w:space="0" w:color="000000"/>
            </w:tcBorders>
          </w:tcPr>
          <w:p w14:paraId="16BF3059" w14:textId="629F0DE2" w:rsidR="00A1054F" w:rsidRPr="00692A02" w:rsidRDefault="00A1054F" w:rsidP="00A1054F">
            <w:pPr>
              <w:spacing w:before="20" w:after="20"/>
              <w:jc w:val="center"/>
              <w:rPr>
                <w:rFonts w:ascii="Arial" w:eastAsia="Calibri" w:hAnsi="Arial" w:cs="Arial"/>
                <w:spacing w:val="-4"/>
                <w:sz w:val="20"/>
                <w:szCs w:val="20"/>
                <w:lang w:val="es-EC"/>
              </w:rPr>
            </w:pPr>
            <w:r>
              <w:rPr>
                <w:rFonts w:ascii="Arial" w:hAnsi="Arial" w:cs="Arial"/>
                <w:sz w:val="20"/>
                <w:szCs w:val="20"/>
                <w:lang w:val="es-ES_tradnl"/>
              </w:rPr>
              <w:t>1.54%</w:t>
            </w:r>
          </w:p>
        </w:tc>
        <w:tc>
          <w:tcPr>
            <w:tcW w:w="544" w:type="dxa"/>
            <w:tcBorders>
              <w:top w:val="single" w:sz="4" w:space="0" w:color="000000"/>
              <w:left w:val="single" w:sz="4" w:space="0" w:color="000000"/>
              <w:bottom w:val="single" w:sz="4" w:space="0" w:color="000000"/>
              <w:right w:val="single" w:sz="4" w:space="0" w:color="000000"/>
            </w:tcBorders>
          </w:tcPr>
          <w:p w14:paraId="3FAE813A" w14:textId="0AE47152" w:rsidR="00A1054F" w:rsidRPr="00692A02" w:rsidRDefault="00A1054F" w:rsidP="00A1054F">
            <w:pPr>
              <w:spacing w:before="20" w:after="20"/>
              <w:jc w:val="center"/>
              <w:rPr>
                <w:rFonts w:ascii="Arial" w:eastAsia="Calibri" w:hAnsi="Arial" w:cs="Arial"/>
                <w:spacing w:val="-4"/>
                <w:sz w:val="20"/>
                <w:szCs w:val="20"/>
                <w:lang w:val="es-EC"/>
              </w:rPr>
            </w:pPr>
            <w:r>
              <w:rPr>
                <w:rFonts w:ascii="Arial" w:hAnsi="Arial" w:cs="Arial"/>
                <w:sz w:val="20"/>
                <w:szCs w:val="20"/>
                <w:lang w:val="es-ES_tradnl"/>
              </w:rPr>
              <w:t>5%</w:t>
            </w:r>
          </w:p>
        </w:tc>
        <w:tc>
          <w:tcPr>
            <w:tcW w:w="536" w:type="dxa"/>
            <w:tcBorders>
              <w:top w:val="single" w:sz="4" w:space="0" w:color="000000"/>
              <w:left w:val="single" w:sz="4" w:space="0" w:color="000000"/>
              <w:bottom w:val="single" w:sz="4" w:space="0" w:color="000000"/>
              <w:right w:val="single" w:sz="4" w:space="0" w:color="000000"/>
            </w:tcBorders>
          </w:tcPr>
          <w:p w14:paraId="24A05F12" w14:textId="78DBFE93" w:rsidR="00A1054F" w:rsidRPr="00692A02" w:rsidRDefault="00A1054F" w:rsidP="00A1054F">
            <w:pPr>
              <w:spacing w:before="20" w:after="20"/>
              <w:jc w:val="center"/>
              <w:rPr>
                <w:rFonts w:ascii="Arial" w:eastAsia="Calibri" w:hAnsi="Arial" w:cs="Arial"/>
                <w:spacing w:val="-4"/>
                <w:sz w:val="20"/>
                <w:szCs w:val="20"/>
                <w:lang w:val="es-EC"/>
              </w:rPr>
            </w:pPr>
            <w:r>
              <w:rPr>
                <w:rFonts w:ascii="Arial" w:hAnsi="Arial" w:cs="Arial"/>
                <w:sz w:val="20"/>
                <w:szCs w:val="20"/>
                <w:lang w:val="es-ES_tradnl"/>
              </w:rPr>
              <w:t>10%</w:t>
            </w:r>
          </w:p>
        </w:tc>
        <w:tc>
          <w:tcPr>
            <w:tcW w:w="630" w:type="dxa"/>
            <w:tcBorders>
              <w:top w:val="single" w:sz="4" w:space="0" w:color="000000"/>
              <w:left w:val="single" w:sz="4" w:space="0" w:color="000000"/>
              <w:bottom w:val="single" w:sz="4" w:space="0" w:color="000000"/>
              <w:right w:val="single" w:sz="4" w:space="0" w:color="000000"/>
            </w:tcBorders>
          </w:tcPr>
          <w:p w14:paraId="376BF694" w14:textId="2AC2388D" w:rsidR="00A1054F" w:rsidRPr="00692A02" w:rsidRDefault="00A1054F" w:rsidP="00A1054F">
            <w:pPr>
              <w:spacing w:before="20" w:after="20"/>
              <w:jc w:val="center"/>
              <w:rPr>
                <w:rFonts w:ascii="Arial" w:eastAsia="Calibri" w:hAnsi="Arial" w:cs="Arial"/>
                <w:spacing w:val="-4"/>
                <w:sz w:val="20"/>
                <w:szCs w:val="20"/>
                <w:lang w:val="es-EC"/>
              </w:rPr>
            </w:pPr>
            <w:r>
              <w:rPr>
                <w:rFonts w:ascii="Arial" w:hAnsi="Arial" w:cs="Arial"/>
                <w:sz w:val="20"/>
                <w:szCs w:val="20"/>
                <w:lang w:val="es-ES_tradnl"/>
              </w:rPr>
              <w:t>20%</w:t>
            </w:r>
          </w:p>
        </w:tc>
        <w:tc>
          <w:tcPr>
            <w:tcW w:w="630" w:type="dxa"/>
            <w:tcBorders>
              <w:top w:val="single" w:sz="4" w:space="0" w:color="000000"/>
              <w:left w:val="single" w:sz="4" w:space="0" w:color="000000"/>
              <w:bottom w:val="single" w:sz="4" w:space="0" w:color="000000"/>
              <w:right w:val="single" w:sz="4" w:space="0" w:color="000000"/>
            </w:tcBorders>
          </w:tcPr>
          <w:p w14:paraId="43DF58B8" w14:textId="1590D966" w:rsidR="00A1054F" w:rsidRPr="00692A02" w:rsidRDefault="00A1054F" w:rsidP="00A1054F">
            <w:pPr>
              <w:spacing w:before="20" w:after="20"/>
              <w:jc w:val="center"/>
              <w:rPr>
                <w:rFonts w:ascii="Arial" w:eastAsia="Calibri" w:hAnsi="Arial" w:cs="Arial"/>
                <w:spacing w:val="-4"/>
                <w:sz w:val="20"/>
                <w:szCs w:val="20"/>
                <w:lang w:val="es-EC"/>
              </w:rPr>
            </w:pPr>
            <w:r>
              <w:rPr>
                <w:rFonts w:ascii="Arial" w:hAnsi="Arial" w:cs="Arial"/>
                <w:spacing w:val="-4"/>
                <w:sz w:val="20"/>
                <w:szCs w:val="20"/>
                <w:lang w:val="es-EC"/>
              </w:rPr>
              <w:t>30%</w:t>
            </w:r>
          </w:p>
        </w:tc>
        <w:tc>
          <w:tcPr>
            <w:tcW w:w="900" w:type="dxa"/>
            <w:tcBorders>
              <w:top w:val="single" w:sz="4" w:space="0" w:color="000000"/>
              <w:left w:val="single" w:sz="4" w:space="0" w:color="000000"/>
              <w:bottom w:val="single" w:sz="4" w:space="0" w:color="000000"/>
              <w:right w:val="single" w:sz="4" w:space="0" w:color="000000"/>
            </w:tcBorders>
          </w:tcPr>
          <w:p w14:paraId="6A5B5339" w14:textId="77777777" w:rsidR="00A1054F" w:rsidRPr="00692A02" w:rsidRDefault="00A1054F" w:rsidP="00A1054F">
            <w:pPr>
              <w:spacing w:before="20" w:after="20"/>
              <w:jc w:val="center"/>
              <w:rPr>
                <w:rFonts w:ascii="Arial" w:eastAsia="Calibri" w:hAnsi="Arial" w:cs="Arial"/>
                <w:spacing w:val="-4"/>
                <w:sz w:val="20"/>
                <w:szCs w:val="20"/>
                <w:lang w:val="es-EC"/>
              </w:rPr>
            </w:pPr>
            <w:r w:rsidRPr="00692A02">
              <w:rPr>
                <w:rFonts w:ascii="Arial" w:eastAsia="Calibri" w:hAnsi="Arial" w:cs="Arial"/>
                <w:spacing w:val="-4"/>
                <w:sz w:val="20"/>
                <w:szCs w:val="20"/>
                <w:lang w:val="es-EC"/>
              </w:rPr>
              <w:t>30%</w:t>
            </w:r>
          </w:p>
        </w:tc>
        <w:tc>
          <w:tcPr>
            <w:tcW w:w="2340" w:type="dxa"/>
            <w:tcBorders>
              <w:top w:val="single" w:sz="4" w:space="0" w:color="000000"/>
              <w:left w:val="single" w:sz="4" w:space="0" w:color="000000"/>
              <w:bottom w:val="single" w:sz="4" w:space="0" w:color="000000"/>
              <w:right w:val="single" w:sz="4" w:space="0" w:color="000000"/>
            </w:tcBorders>
          </w:tcPr>
          <w:p w14:paraId="4C949D61" w14:textId="55EFD1BE" w:rsidR="00A1054F" w:rsidRPr="00692A02" w:rsidRDefault="00A1054F" w:rsidP="00A1054F">
            <w:pPr>
              <w:spacing w:before="20" w:after="20"/>
              <w:jc w:val="both"/>
              <w:rPr>
                <w:rFonts w:ascii="Arial" w:eastAsia="Calibri" w:hAnsi="Arial" w:cs="Arial"/>
                <w:spacing w:val="-4"/>
                <w:sz w:val="20"/>
                <w:szCs w:val="20"/>
                <w:lang w:val="es-EC" w:eastAsia="en-US"/>
              </w:rPr>
            </w:pPr>
            <w:r w:rsidRPr="00692A02">
              <w:rPr>
                <w:rFonts w:ascii="Arial" w:eastAsia="Calibri" w:hAnsi="Arial" w:cs="Arial"/>
                <w:spacing w:val="-4"/>
                <w:sz w:val="20"/>
                <w:szCs w:val="20"/>
                <w:lang w:val="es-EC" w:eastAsia="en-US"/>
              </w:rPr>
              <w:t>Se realizarán mediciones anuales sobre grupo de control y empresas atendidas</w:t>
            </w:r>
          </w:p>
          <w:p w14:paraId="7C666CC0" w14:textId="77777777" w:rsidR="00A1054F" w:rsidRPr="00692A02" w:rsidRDefault="00A1054F" w:rsidP="00A1054F">
            <w:pPr>
              <w:spacing w:before="20" w:after="20" w:line="240" w:lineRule="auto"/>
              <w:jc w:val="both"/>
              <w:rPr>
                <w:rFonts w:ascii="Arial" w:eastAsia="Calibri" w:hAnsi="Arial" w:cs="Arial"/>
                <w:spacing w:val="-4"/>
                <w:sz w:val="20"/>
                <w:szCs w:val="20"/>
                <w:lang w:val="es-EC"/>
              </w:rPr>
            </w:pPr>
          </w:p>
        </w:tc>
        <w:tc>
          <w:tcPr>
            <w:tcW w:w="3603" w:type="dxa"/>
            <w:tcBorders>
              <w:top w:val="single" w:sz="4" w:space="0" w:color="000000"/>
              <w:left w:val="single" w:sz="4" w:space="0" w:color="000000"/>
              <w:bottom w:val="single" w:sz="4" w:space="0" w:color="000000"/>
              <w:right w:val="single" w:sz="4" w:space="0" w:color="000000"/>
            </w:tcBorders>
          </w:tcPr>
          <w:p w14:paraId="7079D4D1" w14:textId="77777777" w:rsidR="000D06EE" w:rsidRDefault="000D06EE" w:rsidP="000D06EE">
            <w:pPr>
              <w:spacing w:before="20" w:after="20"/>
              <w:rPr>
                <w:rFonts w:ascii="Arial" w:hAnsi="Arial" w:cs="Arial"/>
                <w:spacing w:val="-4"/>
                <w:sz w:val="20"/>
                <w:szCs w:val="20"/>
                <w:lang w:val="es-EC"/>
              </w:rPr>
            </w:pPr>
            <w:r w:rsidRPr="00362C35">
              <w:rPr>
                <w:rFonts w:ascii="Arial" w:hAnsi="Arial" w:cs="Arial"/>
                <w:spacing w:val="-4"/>
                <w:sz w:val="20"/>
                <w:szCs w:val="20"/>
                <w:lang w:val="es-EC"/>
              </w:rPr>
              <w:t>Línea de base: Promedio del periodo  </w:t>
            </w:r>
          </w:p>
          <w:p w14:paraId="0066EBC7" w14:textId="0CE6523C" w:rsidR="00A1054F" w:rsidRPr="00692A02" w:rsidRDefault="000D06EE" w:rsidP="000D06EE">
            <w:pPr>
              <w:autoSpaceDE w:val="0"/>
              <w:autoSpaceDN w:val="0"/>
              <w:adjustRightInd w:val="0"/>
              <w:spacing w:after="0" w:line="240" w:lineRule="auto"/>
              <w:jc w:val="both"/>
              <w:rPr>
                <w:rFonts w:ascii="Arial" w:eastAsia="Calibri" w:hAnsi="Arial" w:cs="Arial"/>
                <w:color w:val="000000"/>
                <w:spacing w:val="-4"/>
                <w:sz w:val="20"/>
                <w:szCs w:val="20"/>
                <w:lang w:val="es-EC" w:eastAsia="en-US"/>
              </w:rPr>
            </w:pPr>
            <w:r w:rsidRPr="00362C35">
              <w:rPr>
                <w:rFonts w:ascii="Arial" w:hAnsi="Arial" w:cs="Arial"/>
                <w:spacing w:val="-4"/>
                <w:sz w:val="20"/>
                <w:szCs w:val="20"/>
                <w:lang w:val="es-EC"/>
              </w:rPr>
              <w:t>2012</w:t>
            </w:r>
            <w:r>
              <w:rPr>
                <w:rFonts w:ascii="Arial" w:hAnsi="Arial" w:cs="Arial"/>
                <w:spacing w:val="-4"/>
                <w:sz w:val="20"/>
                <w:szCs w:val="20"/>
                <w:lang w:val="es-EC"/>
              </w:rPr>
              <w:noBreakHyphen/>
            </w:r>
            <w:r w:rsidRPr="00362C35">
              <w:rPr>
                <w:rFonts w:ascii="Arial" w:hAnsi="Arial" w:cs="Arial"/>
                <w:spacing w:val="-4"/>
                <w:sz w:val="20"/>
                <w:szCs w:val="20"/>
                <w:lang w:val="es-EC"/>
              </w:rPr>
              <w:t xml:space="preserve">2015Fuente: Encuesta Nacional de Innovación de Ecuador 2015. </w:t>
            </w:r>
            <w:r w:rsidR="00A1054F" w:rsidRPr="00692A02">
              <w:rPr>
                <w:rFonts w:ascii="Arial" w:eastAsia="Calibri" w:hAnsi="Arial" w:cs="Arial"/>
                <w:spacing w:val="-4"/>
                <w:sz w:val="20"/>
                <w:szCs w:val="20"/>
                <w:lang w:val="es-EC" w:eastAsia="en-US"/>
              </w:rPr>
              <w:t>Se calcula como la variación en la razón de inversión en innovación a ventas en las empresas beneficiarias menos la variación en la razón de inversión en innovación a ventas en las empresas de control (por 100).</w:t>
            </w:r>
          </w:p>
          <w:p w14:paraId="076FE5AC" w14:textId="77777777" w:rsidR="00A1054F" w:rsidRPr="00692A02" w:rsidRDefault="00A1054F" w:rsidP="00A1054F">
            <w:pPr>
              <w:spacing w:before="20" w:after="20" w:line="240" w:lineRule="auto"/>
              <w:jc w:val="both"/>
              <w:rPr>
                <w:rFonts w:ascii="Arial" w:eastAsia="Calibri" w:hAnsi="Arial" w:cs="Arial"/>
                <w:spacing w:val="-4"/>
                <w:sz w:val="20"/>
                <w:szCs w:val="20"/>
                <w:lang w:val="es-EC"/>
              </w:rPr>
            </w:pPr>
          </w:p>
        </w:tc>
      </w:tr>
    </w:tbl>
    <w:p w14:paraId="7BDCA19C" w14:textId="77777777" w:rsidR="00692A02" w:rsidRPr="00692A02" w:rsidRDefault="00692A02" w:rsidP="00692A02">
      <w:pPr>
        <w:rPr>
          <w:rFonts w:ascii="Calibri" w:eastAsia="Calibri" w:hAnsi="Calibri" w:cs="Times New Roman"/>
          <w:lang w:val="es-PE" w:eastAsia="en-US"/>
        </w:rPr>
      </w:pPr>
      <w:r w:rsidRPr="00692A02">
        <w:rPr>
          <w:rFonts w:ascii="Calibri" w:eastAsia="Calibri" w:hAnsi="Calibri" w:cs="Times New Roman"/>
          <w:lang w:val="es-PE" w:eastAsia="en-US"/>
        </w:rPr>
        <w:br w:type="page"/>
      </w:r>
    </w:p>
    <w:tbl>
      <w:tblPr>
        <w:tblpPr w:leftFromText="180" w:rightFromText="180" w:vertAnchor="text" w:tblpX="-730" w:tblpY="1"/>
        <w:tblOverlap w:val="never"/>
        <w:tblW w:w="14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155"/>
        <w:gridCol w:w="810"/>
        <w:gridCol w:w="1170"/>
        <w:gridCol w:w="723"/>
        <w:gridCol w:w="803"/>
        <w:gridCol w:w="634"/>
        <w:gridCol w:w="973"/>
        <w:gridCol w:w="917"/>
        <w:gridCol w:w="1080"/>
        <w:gridCol w:w="1350"/>
        <w:gridCol w:w="1260"/>
        <w:gridCol w:w="2883"/>
      </w:tblGrid>
      <w:tr w:rsidR="00692A02" w:rsidRPr="00692A02" w14:paraId="2BDE92F6" w14:textId="77777777" w:rsidTr="00C2120C">
        <w:trPr>
          <w:trHeight w:val="567"/>
          <w:tblHeader/>
        </w:trPr>
        <w:tc>
          <w:tcPr>
            <w:tcW w:w="2155" w:type="dxa"/>
            <w:tcBorders>
              <w:top w:val="single" w:sz="4" w:space="0" w:color="000000"/>
              <w:left w:val="single" w:sz="4" w:space="0" w:color="000000"/>
              <w:bottom w:val="single" w:sz="4" w:space="0" w:color="000000"/>
              <w:right w:val="single" w:sz="4" w:space="0" w:color="000000"/>
            </w:tcBorders>
            <w:shd w:val="clear" w:color="auto" w:fill="D6E3BC"/>
            <w:vAlign w:val="center"/>
          </w:tcPr>
          <w:p w14:paraId="5A30E91D" w14:textId="77777777" w:rsidR="00692A02" w:rsidRPr="00C2120C" w:rsidRDefault="00692A02" w:rsidP="00C2120C">
            <w:pPr>
              <w:spacing w:before="20" w:after="20" w:line="240" w:lineRule="auto"/>
              <w:ind w:left="318"/>
              <w:contextualSpacing/>
              <w:jc w:val="center"/>
              <w:rPr>
                <w:rFonts w:ascii="Arial" w:eastAsia="Calibri" w:hAnsi="Arial" w:cs="Arial"/>
                <w:b/>
                <w:bCs/>
                <w:spacing w:val="-4"/>
                <w:sz w:val="20"/>
                <w:szCs w:val="20"/>
                <w:lang w:val="es-EC"/>
              </w:rPr>
            </w:pPr>
            <w:r w:rsidRPr="00C2120C">
              <w:rPr>
                <w:rFonts w:ascii="Arial" w:eastAsia="Calibri" w:hAnsi="Arial" w:cs="Arial"/>
                <w:b/>
                <w:bCs/>
                <w:spacing w:val="-4"/>
                <w:sz w:val="20"/>
                <w:szCs w:val="20"/>
                <w:lang w:val="es-EC"/>
              </w:rPr>
              <w:lastRenderedPageBreak/>
              <w:t>Indicadores</w:t>
            </w:r>
          </w:p>
        </w:tc>
        <w:tc>
          <w:tcPr>
            <w:tcW w:w="810" w:type="dxa"/>
            <w:tcBorders>
              <w:top w:val="single" w:sz="4" w:space="0" w:color="000000"/>
              <w:left w:val="single" w:sz="4" w:space="0" w:color="000000"/>
              <w:bottom w:val="single" w:sz="4" w:space="0" w:color="000000"/>
              <w:right w:val="single" w:sz="4" w:space="0" w:color="000000"/>
            </w:tcBorders>
            <w:shd w:val="clear" w:color="auto" w:fill="D6E3BC"/>
            <w:vAlign w:val="center"/>
          </w:tcPr>
          <w:p w14:paraId="216BD8BA" w14:textId="425A9D7C" w:rsidR="00692A02" w:rsidRPr="00C2120C" w:rsidRDefault="00692A02" w:rsidP="00C2120C">
            <w:pPr>
              <w:spacing w:before="20" w:after="20" w:line="240" w:lineRule="auto"/>
              <w:jc w:val="center"/>
              <w:rPr>
                <w:rFonts w:ascii="Arial" w:eastAsia="Calibri" w:hAnsi="Arial" w:cs="Arial"/>
                <w:b/>
                <w:bCs/>
                <w:spacing w:val="-4"/>
                <w:sz w:val="20"/>
                <w:szCs w:val="20"/>
                <w:lang w:val="es-EC"/>
              </w:rPr>
            </w:pPr>
            <w:r w:rsidRPr="00C2120C">
              <w:rPr>
                <w:rFonts w:ascii="Arial" w:eastAsia="Calibri" w:hAnsi="Arial" w:cs="Arial"/>
                <w:b/>
                <w:bCs/>
                <w:spacing w:val="-4"/>
                <w:sz w:val="20"/>
                <w:szCs w:val="20"/>
                <w:lang w:val="es-EC"/>
              </w:rPr>
              <w:t>Unidad de</w:t>
            </w:r>
          </w:p>
          <w:p w14:paraId="41660D38" w14:textId="77777777" w:rsidR="00692A02" w:rsidRPr="00C2120C" w:rsidRDefault="00692A02" w:rsidP="00C2120C">
            <w:pPr>
              <w:spacing w:before="20" w:after="20" w:line="240" w:lineRule="auto"/>
              <w:jc w:val="center"/>
              <w:rPr>
                <w:rFonts w:ascii="Arial" w:eastAsia="Calibri" w:hAnsi="Arial" w:cs="Arial"/>
                <w:b/>
                <w:bCs/>
                <w:spacing w:val="-4"/>
                <w:sz w:val="20"/>
                <w:szCs w:val="20"/>
                <w:lang w:val="es-EC"/>
              </w:rPr>
            </w:pPr>
            <w:r w:rsidRPr="00C2120C">
              <w:rPr>
                <w:rFonts w:ascii="Arial" w:eastAsia="Calibri" w:hAnsi="Arial" w:cs="Arial"/>
                <w:b/>
                <w:bCs/>
                <w:spacing w:val="-4"/>
                <w:sz w:val="20"/>
                <w:szCs w:val="20"/>
                <w:lang w:val="es-EC"/>
              </w:rPr>
              <w:t>Medida</w:t>
            </w:r>
          </w:p>
        </w:tc>
        <w:tc>
          <w:tcPr>
            <w:tcW w:w="1170" w:type="dxa"/>
            <w:tcBorders>
              <w:top w:val="single" w:sz="4" w:space="0" w:color="000000"/>
              <w:left w:val="single" w:sz="4" w:space="0" w:color="000000"/>
              <w:bottom w:val="single" w:sz="4" w:space="0" w:color="000000"/>
              <w:right w:val="single" w:sz="4" w:space="0" w:color="000000"/>
            </w:tcBorders>
            <w:shd w:val="clear" w:color="auto" w:fill="D6E3BC"/>
            <w:vAlign w:val="center"/>
          </w:tcPr>
          <w:p w14:paraId="0315F949" w14:textId="77777777" w:rsidR="00692A02" w:rsidRPr="00C2120C" w:rsidRDefault="00692A02" w:rsidP="00C2120C">
            <w:pPr>
              <w:spacing w:before="20" w:after="20" w:line="240" w:lineRule="auto"/>
              <w:jc w:val="center"/>
              <w:rPr>
                <w:rFonts w:ascii="Arial" w:eastAsia="Calibri" w:hAnsi="Arial" w:cs="Arial"/>
                <w:b/>
                <w:bCs/>
                <w:spacing w:val="-4"/>
                <w:sz w:val="20"/>
                <w:szCs w:val="20"/>
                <w:lang w:val="es-EC"/>
              </w:rPr>
            </w:pPr>
            <w:r w:rsidRPr="00C2120C">
              <w:rPr>
                <w:rFonts w:ascii="Arial" w:eastAsia="Calibri" w:hAnsi="Arial" w:cs="Arial"/>
                <w:b/>
                <w:bCs/>
                <w:spacing w:val="-4"/>
                <w:sz w:val="20"/>
                <w:szCs w:val="20"/>
                <w:lang w:val="es-EC"/>
              </w:rPr>
              <w:t>Línea de Base</w:t>
            </w:r>
          </w:p>
        </w:tc>
        <w:tc>
          <w:tcPr>
            <w:tcW w:w="723" w:type="dxa"/>
            <w:tcBorders>
              <w:top w:val="single" w:sz="4" w:space="0" w:color="000000"/>
              <w:left w:val="single" w:sz="4" w:space="0" w:color="000000"/>
              <w:bottom w:val="single" w:sz="4" w:space="0" w:color="000000"/>
              <w:right w:val="single" w:sz="4" w:space="0" w:color="000000"/>
            </w:tcBorders>
            <w:shd w:val="clear" w:color="auto" w:fill="D6E3BC"/>
            <w:vAlign w:val="center"/>
          </w:tcPr>
          <w:p w14:paraId="7D09141F" w14:textId="77777777" w:rsidR="00692A02" w:rsidRPr="00C2120C" w:rsidRDefault="00692A02" w:rsidP="00C2120C">
            <w:pPr>
              <w:spacing w:before="20" w:after="20" w:line="240" w:lineRule="auto"/>
              <w:jc w:val="center"/>
              <w:rPr>
                <w:rFonts w:ascii="Arial" w:eastAsia="Calibri" w:hAnsi="Arial" w:cs="Arial"/>
                <w:b/>
                <w:bCs/>
                <w:spacing w:val="-4"/>
                <w:sz w:val="20"/>
                <w:szCs w:val="20"/>
                <w:lang w:val="es-EC"/>
              </w:rPr>
            </w:pPr>
            <w:r w:rsidRPr="00C2120C">
              <w:rPr>
                <w:rFonts w:ascii="Arial" w:eastAsia="Calibri" w:hAnsi="Arial" w:cs="Arial"/>
                <w:b/>
                <w:bCs/>
                <w:spacing w:val="-4"/>
                <w:sz w:val="20"/>
                <w:szCs w:val="20"/>
                <w:lang w:val="es-EC"/>
              </w:rPr>
              <w:t>Año</w:t>
            </w:r>
          </w:p>
          <w:p w14:paraId="6055E8B7" w14:textId="77777777" w:rsidR="00692A02" w:rsidRPr="00C2120C" w:rsidRDefault="00692A02" w:rsidP="00C2120C">
            <w:pPr>
              <w:spacing w:before="20" w:after="20" w:line="240" w:lineRule="auto"/>
              <w:jc w:val="center"/>
              <w:rPr>
                <w:rFonts w:ascii="Arial" w:eastAsia="Calibri" w:hAnsi="Arial" w:cs="Arial"/>
                <w:b/>
                <w:bCs/>
                <w:spacing w:val="-4"/>
                <w:sz w:val="20"/>
                <w:szCs w:val="20"/>
                <w:lang w:val="es-EC"/>
              </w:rPr>
            </w:pPr>
            <w:r w:rsidRPr="00C2120C">
              <w:rPr>
                <w:rFonts w:ascii="Arial" w:eastAsia="Calibri" w:hAnsi="Arial" w:cs="Arial"/>
                <w:b/>
                <w:bCs/>
                <w:spacing w:val="-4"/>
                <w:sz w:val="20"/>
                <w:szCs w:val="20"/>
                <w:lang w:val="es-EC"/>
              </w:rPr>
              <w:t>Línea Base</w:t>
            </w:r>
          </w:p>
        </w:tc>
        <w:tc>
          <w:tcPr>
            <w:tcW w:w="803" w:type="dxa"/>
            <w:tcBorders>
              <w:top w:val="single" w:sz="4" w:space="0" w:color="000000"/>
              <w:left w:val="single" w:sz="4" w:space="0" w:color="000000"/>
              <w:bottom w:val="single" w:sz="4" w:space="0" w:color="000000"/>
              <w:right w:val="single" w:sz="4" w:space="0" w:color="000000"/>
            </w:tcBorders>
            <w:shd w:val="clear" w:color="auto" w:fill="D6E3BC"/>
            <w:vAlign w:val="center"/>
          </w:tcPr>
          <w:p w14:paraId="5ACDA432" w14:textId="77777777" w:rsidR="00692A02" w:rsidRPr="00C2120C" w:rsidRDefault="00692A02" w:rsidP="00C2120C">
            <w:pPr>
              <w:spacing w:before="20" w:after="20"/>
              <w:jc w:val="center"/>
              <w:rPr>
                <w:rFonts w:ascii="Arial" w:eastAsia="Calibri" w:hAnsi="Arial" w:cs="Arial"/>
                <w:b/>
                <w:bCs/>
                <w:spacing w:val="-4"/>
                <w:sz w:val="20"/>
                <w:szCs w:val="20"/>
                <w:lang w:val="es-EC"/>
              </w:rPr>
            </w:pPr>
            <w:r w:rsidRPr="00C2120C">
              <w:rPr>
                <w:rFonts w:ascii="Arial" w:eastAsia="Calibri" w:hAnsi="Arial" w:cs="Arial"/>
                <w:b/>
                <w:bCs/>
                <w:spacing w:val="-4"/>
                <w:sz w:val="20"/>
                <w:szCs w:val="20"/>
                <w:lang w:val="es-EC"/>
              </w:rPr>
              <w:t>Año 1</w:t>
            </w:r>
          </w:p>
        </w:tc>
        <w:tc>
          <w:tcPr>
            <w:tcW w:w="634" w:type="dxa"/>
            <w:tcBorders>
              <w:top w:val="single" w:sz="4" w:space="0" w:color="000000"/>
              <w:left w:val="single" w:sz="4" w:space="0" w:color="000000"/>
              <w:bottom w:val="single" w:sz="4" w:space="0" w:color="000000"/>
              <w:right w:val="single" w:sz="4" w:space="0" w:color="000000"/>
            </w:tcBorders>
            <w:shd w:val="clear" w:color="auto" w:fill="D6E3BC"/>
            <w:vAlign w:val="center"/>
          </w:tcPr>
          <w:p w14:paraId="1E210BB3" w14:textId="77777777" w:rsidR="00692A02" w:rsidRPr="00C2120C" w:rsidRDefault="00692A02" w:rsidP="00C2120C">
            <w:pPr>
              <w:spacing w:before="20" w:after="20"/>
              <w:jc w:val="center"/>
              <w:rPr>
                <w:rFonts w:ascii="Arial" w:eastAsia="Calibri" w:hAnsi="Arial" w:cs="Arial"/>
                <w:b/>
                <w:bCs/>
                <w:spacing w:val="-4"/>
                <w:sz w:val="20"/>
                <w:szCs w:val="20"/>
                <w:lang w:val="es-EC"/>
              </w:rPr>
            </w:pPr>
            <w:r w:rsidRPr="00C2120C">
              <w:rPr>
                <w:rFonts w:ascii="Arial" w:eastAsia="Calibri" w:hAnsi="Arial" w:cs="Arial"/>
                <w:b/>
                <w:bCs/>
                <w:spacing w:val="-4"/>
                <w:sz w:val="20"/>
                <w:szCs w:val="20"/>
                <w:lang w:val="es-EC"/>
              </w:rPr>
              <w:t>Año 2</w:t>
            </w:r>
          </w:p>
        </w:tc>
        <w:tc>
          <w:tcPr>
            <w:tcW w:w="973" w:type="dxa"/>
            <w:tcBorders>
              <w:top w:val="single" w:sz="4" w:space="0" w:color="000000"/>
              <w:left w:val="single" w:sz="4" w:space="0" w:color="000000"/>
              <w:bottom w:val="single" w:sz="4" w:space="0" w:color="000000"/>
              <w:right w:val="single" w:sz="4" w:space="0" w:color="000000"/>
            </w:tcBorders>
            <w:shd w:val="clear" w:color="auto" w:fill="D6E3BC"/>
            <w:vAlign w:val="center"/>
          </w:tcPr>
          <w:p w14:paraId="74CA9D54" w14:textId="77777777" w:rsidR="00692A02" w:rsidRPr="00C2120C" w:rsidRDefault="00692A02" w:rsidP="00C2120C">
            <w:pPr>
              <w:spacing w:before="20" w:after="20"/>
              <w:jc w:val="center"/>
              <w:rPr>
                <w:rFonts w:ascii="Arial" w:eastAsia="Calibri" w:hAnsi="Arial" w:cs="Arial"/>
                <w:b/>
                <w:bCs/>
                <w:spacing w:val="-4"/>
                <w:sz w:val="20"/>
                <w:szCs w:val="20"/>
                <w:lang w:val="es-EC"/>
              </w:rPr>
            </w:pPr>
            <w:r w:rsidRPr="00C2120C">
              <w:rPr>
                <w:rFonts w:ascii="Arial" w:eastAsia="Calibri" w:hAnsi="Arial" w:cs="Arial"/>
                <w:b/>
                <w:bCs/>
                <w:spacing w:val="-4"/>
                <w:sz w:val="20"/>
                <w:szCs w:val="20"/>
                <w:lang w:val="es-EC"/>
              </w:rPr>
              <w:t>Año 3</w:t>
            </w:r>
          </w:p>
        </w:tc>
        <w:tc>
          <w:tcPr>
            <w:tcW w:w="917" w:type="dxa"/>
            <w:tcBorders>
              <w:top w:val="single" w:sz="4" w:space="0" w:color="000000"/>
              <w:left w:val="single" w:sz="4" w:space="0" w:color="000000"/>
              <w:bottom w:val="single" w:sz="4" w:space="0" w:color="000000"/>
              <w:right w:val="single" w:sz="4" w:space="0" w:color="000000"/>
            </w:tcBorders>
            <w:shd w:val="clear" w:color="auto" w:fill="D6E3BC"/>
            <w:vAlign w:val="center"/>
          </w:tcPr>
          <w:p w14:paraId="1C028E69" w14:textId="77777777" w:rsidR="00692A02" w:rsidRPr="00C2120C" w:rsidRDefault="00692A02" w:rsidP="00C2120C">
            <w:pPr>
              <w:spacing w:before="20" w:after="20"/>
              <w:jc w:val="center"/>
              <w:rPr>
                <w:rFonts w:ascii="Arial" w:eastAsia="Calibri" w:hAnsi="Arial" w:cs="Arial"/>
                <w:b/>
                <w:bCs/>
                <w:spacing w:val="-4"/>
                <w:sz w:val="20"/>
                <w:szCs w:val="20"/>
                <w:lang w:val="es-EC"/>
              </w:rPr>
            </w:pPr>
            <w:r w:rsidRPr="00C2120C">
              <w:rPr>
                <w:rFonts w:ascii="Arial" w:eastAsia="Calibri" w:hAnsi="Arial" w:cs="Arial"/>
                <w:b/>
                <w:bCs/>
                <w:spacing w:val="-4"/>
                <w:sz w:val="20"/>
                <w:szCs w:val="20"/>
                <w:lang w:val="es-EC"/>
              </w:rPr>
              <w:t>Año 4</w:t>
            </w:r>
          </w:p>
        </w:tc>
        <w:tc>
          <w:tcPr>
            <w:tcW w:w="1080" w:type="dxa"/>
            <w:tcBorders>
              <w:top w:val="single" w:sz="4" w:space="0" w:color="000000"/>
              <w:left w:val="single" w:sz="4" w:space="0" w:color="000000"/>
              <w:bottom w:val="single" w:sz="4" w:space="0" w:color="000000"/>
              <w:right w:val="single" w:sz="4" w:space="0" w:color="000000"/>
            </w:tcBorders>
            <w:shd w:val="clear" w:color="auto" w:fill="D6E3BC"/>
            <w:vAlign w:val="center"/>
          </w:tcPr>
          <w:p w14:paraId="291E2564" w14:textId="77777777" w:rsidR="00692A02" w:rsidRPr="00C2120C" w:rsidRDefault="00692A02" w:rsidP="00C2120C">
            <w:pPr>
              <w:spacing w:before="20" w:after="20"/>
              <w:jc w:val="center"/>
              <w:rPr>
                <w:rFonts w:ascii="Arial" w:eastAsia="Calibri" w:hAnsi="Arial" w:cs="Arial"/>
                <w:b/>
                <w:bCs/>
                <w:spacing w:val="-4"/>
                <w:sz w:val="20"/>
                <w:szCs w:val="20"/>
                <w:lang w:val="es-EC"/>
              </w:rPr>
            </w:pPr>
            <w:r w:rsidRPr="00C2120C">
              <w:rPr>
                <w:rFonts w:ascii="Arial" w:eastAsia="Calibri" w:hAnsi="Arial" w:cs="Arial"/>
                <w:b/>
                <w:bCs/>
                <w:spacing w:val="-4"/>
                <w:sz w:val="20"/>
                <w:szCs w:val="20"/>
                <w:lang w:val="es-EC"/>
              </w:rPr>
              <w:t>Año 5</w:t>
            </w:r>
          </w:p>
        </w:tc>
        <w:tc>
          <w:tcPr>
            <w:tcW w:w="1350" w:type="dxa"/>
            <w:tcBorders>
              <w:top w:val="single" w:sz="4" w:space="0" w:color="000000"/>
              <w:left w:val="single" w:sz="4" w:space="0" w:color="000000"/>
              <w:bottom w:val="single" w:sz="4" w:space="0" w:color="000000"/>
              <w:right w:val="single" w:sz="4" w:space="0" w:color="000000"/>
            </w:tcBorders>
            <w:shd w:val="clear" w:color="auto" w:fill="D6E3BC"/>
            <w:vAlign w:val="center"/>
          </w:tcPr>
          <w:p w14:paraId="048D3F9A" w14:textId="70F0DD5E" w:rsidR="00692A02" w:rsidRPr="00C2120C" w:rsidRDefault="00692A02" w:rsidP="00C2120C">
            <w:pPr>
              <w:spacing w:before="20" w:after="20"/>
              <w:jc w:val="center"/>
              <w:rPr>
                <w:rFonts w:ascii="Arial" w:eastAsia="Calibri" w:hAnsi="Arial" w:cs="Arial"/>
                <w:b/>
                <w:bCs/>
                <w:spacing w:val="-4"/>
                <w:sz w:val="20"/>
                <w:szCs w:val="20"/>
                <w:lang w:val="es-EC"/>
              </w:rPr>
            </w:pPr>
            <w:r w:rsidRPr="00C2120C">
              <w:rPr>
                <w:rFonts w:ascii="Arial" w:eastAsia="Calibri" w:hAnsi="Arial" w:cs="Arial"/>
                <w:b/>
                <w:bCs/>
                <w:spacing w:val="-4"/>
                <w:sz w:val="20"/>
                <w:szCs w:val="20"/>
                <w:lang w:val="es-EC"/>
              </w:rPr>
              <w:t>Meta Final</w:t>
            </w:r>
          </w:p>
        </w:tc>
        <w:tc>
          <w:tcPr>
            <w:tcW w:w="1260" w:type="dxa"/>
            <w:tcBorders>
              <w:top w:val="single" w:sz="4" w:space="0" w:color="000000"/>
              <w:left w:val="single" w:sz="4" w:space="0" w:color="000000"/>
              <w:bottom w:val="single" w:sz="4" w:space="0" w:color="000000"/>
              <w:right w:val="single" w:sz="4" w:space="0" w:color="000000"/>
            </w:tcBorders>
            <w:shd w:val="clear" w:color="auto" w:fill="D6E3BC"/>
            <w:vAlign w:val="center"/>
          </w:tcPr>
          <w:p w14:paraId="39CDBB5B" w14:textId="77777777" w:rsidR="00692A02" w:rsidRPr="00C2120C" w:rsidRDefault="00692A02" w:rsidP="00C2120C">
            <w:pPr>
              <w:spacing w:before="20" w:after="20" w:line="240" w:lineRule="auto"/>
              <w:jc w:val="center"/>
              <w:rPr>
                <w:rFonts w:ascii="Arial" w:eastAsia="Calibri" w:hAnsi="Arial" w:cs="Arial"/>
                <w:b/>
                <w:bCs/>
                <w:spacing w:val="-4"/>
                <w:sz w:val="20"/>
                <w:szCs w:val="20"/>
                <w:lang w:val="es-EC"/>
              </w:rPr>
            </w:pPr>
            <w:r w:rsidRPr="00C2120C">
              <w:rPr>
                <w:rFonts w:ascii="Arial" w:eastAsia="Calibri" w:hAnsi="Arial" w:cs="Arial"/>
                <w:b/>
                <w:bCs/>
                <w:spacing w:val="-4"/>
                <w:sz w:val="20"/>
                <w:szCs w:val="20"/>
                <w:lang w:val="es-EC"/>
              </w:rPr>
              <w:t>Medios de Verificación</w:t>
            </w:r>
          </w:p>
        </w:tc>
        <w:tc>
          <w:tcPr>
            <w:tcW w:w="2883" w:type="dxa"/>
            <w:tcBorders>
              <w:top w:val="single" w:sz="4" w:space="0" w:color="000000"/>
              <w:left w:val="single" w:sz="4" w:space="0" w:color="000000"/>
              <w:bottom w:val="single" w:sz="4" w:space="0" w:color="000000"/>
              <w:right w:val="single" w:sz="4" w:space="0" w:color="000000"/>
            </w:tcBorders>
            <w:shd w:val="clear" w:color="auto" w:fill="D6E3BC"/>
            <w:vAlign w:val="center"/>
          </w:tcPr>
          <w:p w14:paraId="249965AE" w14:textId="77777777" w:rsidR="00692A02" w:rsidRPr="00C2120C" w:rsidRDefault="00692A02" w:rsidP="00C2120C">
            <w:pPr>
              <w:spacing w:before="20" w:after="20" w:line="240" w:lineRule="auto"/>
              <w:jc w:val="center"/>
              <w:rPr>
                <w:rFonts w:ascii="Arial" w:eastAsia="Calibri" w:hAnsi="Arial" w:cs="Arial"/>
                <w:b/>
                <w:bCs/>
                <w:spacing w:val="-4"/>
                <w:sz w:val="20"/>
                <w:szCs w:val="20"/>
                <w:lang w:val="es-EC"/>
              </w:rPr>
            </w:pPr>
            <w:r w:rsidRPr="00C2120C">
              <w:rPr>
                <w:rFonts w:ascii="Arial" w:eastAsia="Calibri" w:hAnsi="Arial" w:cs="Arial"/>
                <w:b/>
                <w:bCs/>
                <w:spacing w:val="-4"/>
                <w:sz w:val="20"/>
                <w:szCs w:val="20"/>
                <w:lang w:val="es-EC"/>
              </w:rPr>
              <w:t>Comentarios</w:t>
            </w:r>
          </w:p>
        </w:tc>
      </w:tr>
      <w:tr w:rsidR="00A1054F" w:rsidRPr="00387315" w14:paraId="38356261" w14:textId="77777777" w:rsidTr="00C2120C">
        <w:trPr>
          <w:trHeight w:val="567"/>
        </w:trPr>
        <w:tc>
          <w:tcPr>
            <w:tcW w:w="2155" w:type="dxa"/>
            <w:tcBorders>
              <w:top w:val="single" w:sz="4" w:space="0" w:color="000000"/>
              <w:left w:val="single" w:sz="4" w:space="0" w:color="000000"/>
              <w:bottom w:val="single" w:sz="4" w:space="0" w:color="000000"/>
              <w:right w:val="single" w:sz="4" w:space="0" w:color="000000"/>
            </w:tcBorders>
          </w:tcPr>
          <w:p w14:paraId="14B8BD8A" w14:textId="798E44AC" w:rsidR="00A1054F" w:rsidRPr="00692A02" w:rsidRDefault="00A1054F" w:rsidP="00A1054F">
            <w:pPr>
              <w:pStyle w:val="ListParagraph"/>
              <w:numPr>
                <w:ilvl w:val="1"/>
                <w:numId w:val="46"/>
              </w:numPr>
              <w:spacing w:before="20" w:after="20" w:line="240" w:lineRule="auto"/>
              <w:rPr>
                <w:rFonts w:ascii="Arial" w:eastAsia="Calibri" w:hAnsi="Arial" w:cs="Arial"/>
                <w:spacing w:val="-4"/>
                <w:sz w:val="20"/>
                <w:szCs w:val="20"/>
                <w:lang w:val="es-EC"/>
              </w:rPr>
            </w:pPr>
            <w:r w:rsidRPr="00692A02">
              <w:rPr>
                <w:rFonts w:ascii="Arial" w:eastAsia="Calibri" w:hAnsi="Arial" w:cs="Arial"/>
                <w:spacing w:val="-4"/>
                <w:sz w:val="20"/>
                <w:szCs w:val="20"/>
                <w:lang w:val="es-EC"/>
              </w:rPr>
              <w:t xml:space="preserve">Porcentaje de cumplimiento del plan de acción comprometido por parte de las </w:t>
            </w:r>
            <w:r w:rsidR="00F41781">
              <w:rPr>
                <w:rFonts w:ascii="Arial" w:eastAsia="Calibri" w:hAnsi="Arial" w:cs="Arial"/>
                <w:spacing w:val="-4"/>
                <w:sz w:val="20"/>
                <w:szCs w:val="20"/>
                <w:lang w:val="es-EC"/>
              </w:rPr>
              <w:t>MERO</w:t>
            </w:r>
            <w:r w:rsidRPr="00692A02">
              <w:rPr>
                <w:rFonts w:ascii="Arial" w:eastAsia="Calibri" w:hAnsi="Arial" w:cs="Arial"/>
                <w:spacing w:val="-4"/>
                <w:sz w:val="20"/>
                <w:szCs w:val="20"/>
                <w:lang w:val="es-EC"/>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0E4C0644" w14:textId="2FD8F934" w:rsidR="00A1054F" w:rsidRPr="00692A02" w:rsidRDefault="00A1054F" w:rsidP="00A1054F">
            <w:pPr>
              <w:spacing w:before="20" w:after="20" w:line="240" w:lineRule="auto"/>
              <w:jc w:val="center"/>
              <w:rPr>
                <w:rFonts w:ascii="Arial" w:eastAsia="Calibri" w:hAnsi="Arial" w:cs="Arial"/>
                <w:spacing w:val="-4"/>
                <w:sz w:val="20"/>
                <w:szCs w:val="20"/>
                <w:lang w:val="es-EC"/>
              </w:rPr>
            </w:pPr>
            <w:r>
              <w:rPr>
                <w:rFonts w:ascii="Arial" w:eastAsia="Calibri" w:hAnsi="Arial" w:cs="Arial"/>
                <w:spacing w:val="-4"/>
                <w:sz w:val="20"/>
                <w:szCs w:val="20"/>
                <w:lang w:val="es-EC"/>
              </w:rPr>
              <w:t>%</w:t>
            </w:r>
          </w:p>
        </w:tc>
        <w:tc>
          <w:tcPr>
            <w:tcW w:w="1170" w:type="dxa"/>
            <w:tcBorders>
              <w:top w:val="single" w:sz="4" w:space="0" w:color="000000"/>
              <w:left w:val="single" w:sz="4" w:space="0" w:color="000000"/>
              <w:bottom w:val="single" w:sz="4" w:space="0" w:color="000000"/>
              <w:right w:val="single" w:sz="4" w:space="0" w:color="000000"/>
            </w:tcBorders>
          </w:tcPr>
          <w:p w14:paraId="15991BD9" w14:textId="77777777" w:rsidR="00A1054F" w:rsidRPr="00692A02" w:rsidRDefault="00A1054F" w:rsidP="00A1054F">
            <w:pPr>
              <w:spacing w:before="20" w:after="20" w:line="240" w:lineRule="auto"/>
              <w:jc w:val="center"/>
              <w:rPr>
                <w:rFonts w:ascii="Arial" w:eastAsia="Calibri" w:hAnsi="Arial" w:cs="Arial"/>
                <w:spacing w:val="-4"/>
                <w:sz w:val="20"/>
                <w:szCs w:val="20"/>
                <w:lang w:val="es-EC"/>
              </w:rPr>
            </w:pPr>
            <w:r w:rsidRPr="00692A02">
              <w:rPr>
                <w:rFonts w:ascii="Arial" w:eastAsia="Calibri" w:hAnsi="Arial" w:cs="Arial"/>
                <w:spacing w:val="-4"/>
                <w:sz w:val="20"/>
                <w:szCs w:val="20"/>
                <w:lang w:val="es-EC"/>
              </w:rPr>
              <w:t>0</w:t>
            </w:r>
          </w:p>
        </w:tc>
        <w:tc>
          <w:tcPr>
            <w:tcW w:w="723" w:type="dxa"/>
            <w:tcBorders>
              <w:top w:val="single" w:sz="4" w:space="0" w:color="000000"/>
              <w:left w:val="single" w:sz="4" w:space="0" w:color="000000"/>
              <w:bottom w:val="single" w:sz="4" w:space="0" w:color="000000"/>
              <w:right w:val="single" w:sz="4" w:space="0" w:color="000000"/>
            </w:tcBorders>
          </w:tcPr>
          <w:p w14:paraId="2DCE0FB4" w14:textId="77777777" w:rsidR="00A1054F" w:rsidRPr="00692A02" w:rsidRDefault="00A1054F" w:rsidP="00A1054F">
            <w:pPr>
              <w:spacing w:before="20" w:after="20" w:line="240" w:lineRule="auto"/>
              <w:jc w:val="center"/>
              <w:rPr>
                <w:rFonts w:ascii="Arial" w:eastAsia="Calibri" w:hAnsi="Arial" w:cs="Arial"/>
                <w:spacing w:val="-4"/>
                <w:sz w:val="20"/>
                <w:szCs w:val="20"/>
                <w:lang w:val="es-EC"/>
              </w:rPr>
            </w:pPr>
            <w:r w:rsidRPr="00692A02">
              <w:rPr>
                <w:rFonts w:ascii="Arial" w:eastAsia="Calibri" w:hAnsi="Arial" w:cs="Arial"/>
                <w:spacing w:val="-4"/>
                <w:sz w:val="20"/>
                <w:szCs w:val="20"/>
                <w:lang w:val="es-EC"/>
              </w:rPr>
              <w:t>2018</w:t>
            </w:r>
          </w:p>
        </w:tc>
        <w:tc>
          <w:tcPr>
            <w:tcW w:w="803" w:type="dxa"/>
            <w:tcBorders>
              <w:top w:val="single" w:sz="4" w:space="0" w:color="000000"/>
              <w:left w:val="single" w:sz="4" w:space="0" w:color="000000"/>
              <w:bottom w:val="single" w:sz="4" w:space="0" w:color="000000"/>
              <w:right w:val="single" w:sz="4" w:space="0" w:color="000000"/>
            </w:tcBorders>
          </w:tcPr>
          <w:p w14:paraId="553D24E3" w14:textId="361E820E" w:rsidR="00A1054F" w:rsidRPr="00692A02" w:rsidRDefault="00A1054F" w:rsidP="00A1054F">
            <w:pPr>
              <w:spacing w:before="20" w:after="20"/>
              <w:jc w:val="center"/>
              <w:rPr>
                <w:rFonts w:ascii="Arial" w:eastAsia="Calibri" w:hAnsi="Arial" w:cs="Arial"/>
                <w:spacing w:val="-4"/>
                <w:sz w:val="20"/>
                <w:szCs w:val="20"/>
                <w:lang w:val="es-EC"/>
              </w:rPr>
            </w:pPr>
            <w:r>
              <w:rPr>
                <w:rFonts w:ascii="Arial" w:hAnsi="Arial" w:cs="Arial"/>
                <w:sz w:val="20"/>
                <w:szCs w:val="20"/>
              </w:rPr>
              <w:t>20%</w:t>
            </w:r>
          </w:p>
        </w:tc>
        <w:tc>
          <w:tcPr>
            <w:tcW w:w="634" w:type="dxa"/>
            <w:tcBorders>
              <w:top w:val="single" w:sz="4" w:space="0" w:color="000000"/>
              <w:left w:val="single" w:sz="4" w:space="0" w:color="000000"/>
              <w:bottom w:val="single" w:sz="4" w:space="0" w:color="000000"/>
              <w:right w:val="single" w:sz="4" w:space="0" w:color="000000"/>
            </w:tcBorders>
          </w:tcPr>
          <w:p w14:paraId="25BCF0A8" w14:textId="4B70323F" w:rsidR="00A1054F" w:rsidRPr="00692A02" w:rsidRDefault="00A1054F" w:rsidP="00A1054F">
            <w:pPr>
              <w:spacing w:before="20" w:after="20"/>
              <w:jc w:val="center"/>
              <w:rPr>
                <w:rFonts w:ascii="Arial" w:eastAsia="Calibri" w:hAnsi="Arial" w:cs="Arial"/>
                <w:spacing w:val="-4"/>
                <w:sz w:val="20"/>
                <w:szCs w:val="20"/>
                <w:lang w:val="es-EC"/>
              </w:rPr>
            </w:pPr>
            <w:r>
              <w:rPr>
                <w:rFonts w:ascii="Arial" w:hAnsi="Arial" w:cs="Arial"/>
                <w:sz w:val="20"/>
                <w:szCs w:val="20"/>
              </w:rPr>
              <w:t>30%</w:t>
            </w:r>
          </w:p>
        </w:tc>
        <w:tc>
          <w:tcPr>
            <w:tcW w:w="973" w:type="dxa"/>
            <w:tcBorders>
              <w:top w:val="single" w:sz="4" w:space="0" w:color="000000"/>
              <w:left w:val="single" w:sz="4" w:space="0" w:color="000000"/>
              <w:bottom w:val="single" w:sz="4" w:space="0" w:color="000000"/>
              <w:right w:val="single" w:sz="4" w:space="0" w:color="000000"/>
            </w:tcBorders>
          </w:tcPr>
          <w:p w14:paraId="5C692EDA" w14:textId="63694BA5" w:rsidR="00A1054F" w:rsidRPr="00692A02" w:rsidRDefault="00A1054F" w:rsidP="00A1054F">
            <w:pPr>
              <w:spacing w:before="20" w:after="20"/>
              <w:jc w:val="center"/>
              <w:rPr>
                <w:rFonts w:ascii="Arial" w:eastAsia="Calibri" w:hAnsi="Arial" w:cs="Arial"/>
                <w:spacing w:val="-4"/>
                <w:sz w:val="20"/>
                <w:szCs w:val="20"/>
                <w:lang w:val="es-EC"/>
              </w:rPr>
            </w:pPr>
            <w:r w:rsidRPr="00362C35">
              <w:rPr>
                <w:rFonts w:ascii="Arial" w:hAnsi="Arial" w:cs="Arial"/>
                <w:spacing w:val="-4"/>
                <w:sz w:val="20"/>
                <w:szCs w:val="20"/>
                <w:lang w:val="es-EC"/>
              </w:rPr>
              <w:t>40%</w:t>
            </w:r>
          </w:p>
        </w:tc>
        <w:tc>
          <w:tcPr>
            <w:tcW w:w="917" w:type="dxa"/>
            <w:tcBorders>
              <w:top w:val="single" w:sz="4" w:space="0" w:color="000000"/>
              <w:left w:val="single" w:sz="4" w:space="0" w:color="000000"/>
              <w:bottom w:val="single" w:sz="4" w:space="0" w:color="000000"/>
              <w:right w:val="single" w:sz="4" w:space="0" w:color="000000"/>
            </w:tcBorders>
          </w:tcPr>
          <w:p w14:paraId="4A374885" w14:textId="7FF8829F" w:rsidR="00A1054F" w:rsidRPr="00692A02" w:rsidRDefault="00A1054F" w:rsidP="00A1054F">
            <w:pPr>
              <w:spacing w:before="20" w:after="20"/>
              <w:jc w:val="center"/>
              <w:rPr>
                <w:rFonts w:ascii="Arial" w:eastAsia="Calibri" w:hAnsi="Arial" w:cs="Arial"/>
                <w:spacing w:val="-4"/>
                <w:sz w:val="20"/>
                <w:szCs w:val="20"/>
                <w:lang w:val="es-EC"/>
              </w:rPr>
            </w:pPr>
            <w:r>
              <w:rPr>
                <w:rFonts w:ascii="Arial" w:hAnsi="Arial" w:cs="Arial"/>
                <w:sz w:val="20"/>
                <w:szCs w:val="20"/>
              </w:rPr>
              <w:t>50%</w:t>
            </w:r>
          </w:p>
        </w:tc>
        <w:tc>
          <w:tcPr>
            <w:tcW w:w="1080" w:type="dxa"/>
            <w:tcBorders>
              <w:top w:val="single" w:sz="4" w:space="0" w:color="000000"/>
              <w:left w:val="single" w:sz="4" w:space="0" w:color="000000"/>
              <w:bottom w:val="single" w:sz="4" w:space="0" w:color="000000"/>
              <w:right w:val="single" w:sz="4" w:space="0" w:color="000000"/>
            </w:tcBorders>
          </w:tcPr>
          <w:p w14:paraId="45E602AA" w14:textId="7BB81262" w:rsidR="00A1054F" w:rsidRPr="00692A02" w:rsidRDefault="00A1054F" w:rsidP="00A1054F">
            <w:pPr>
              <w:spacing w:before="20" w:after="20"/>
              <w:jc w:val="center"/>
              <w:rPr>
                <w:rFonts w:ascii="Arial" w:eastAsia="Calibri" w:hAnsi="Arial" w:cs="Arial"/>
                <w:spacing w:val="-4"/>
                <w:sz w:val="20"/>
                <w:szCs w:val="20"/>
                <w:lang w:val="es-EC"/>
              </w:rPr>
            </w:pPr>
            <w:r>
              <w:rPr>
                <w:rFonts w:ascii="Arial" w:hAnsi="Arial" w:cs="Arial"/>
                <w:sz w:val="20"/>
                <w:szCs w:val="20"/>
              </w:rPr>
              <w:t>60%</w:t>
            </w:r>
          </w:p>
        </w:tc>
        <w:tc>
          <w:tcPr>
            <w:tcW w:w="1350" w:type="dxa"/>
            <w:tcBorders>
              <w:top w:val="single" w:sz="4" w:space="0" w:color="000000"/>
              <w:left w:val="single" w:sz="4" w:space="0" w:color="000000"/>
              <w:bottom w:val="single" w:sz="4" w:space="0" w:color="000000"/>
              <w:right w:val="single" w:sz="4" w:space="0" w:color="000000"/>
            </w:tcBorders>
          </w:tcPr>
          <w:p w14:paraId="24010043" w14:textId="77777777" w:rsidR="00A1054F" w:rsidRPr="00692A02" w:rsidRDefault="00A1054F" w:rsidP="00A1054F">
            <w:pPr>
              <w:spacing w:before="20" w:after="20"/>
              <w:jc w:val="center"/>
              <w:rPr>
                <w:rFonts w:ascii="Arial" w:eastAsia="Calibri" w:hAnsi="Arial" w:cs="Arial"/>
                <w:spacing w:val="-4"/>
                <w:sz w:val="20"/>
                <w:szCs w:val="20"/>
                <w:lang w:val="es-EC"/>
              </w:rPr>
            </w:pPr>
            <w:r w:rsidRPr="00692A02">
              <w:rPr>
                <w:rFonts w:ascii="Arial" w:eastAsia="Calibri" w:hAnsi="Arial" w:cs="Arial"/>
                <w:spacing w:val="-4"/>
                <w:sz w:val="20"/>
                <w:szCs w:val="20"/>
                <w:lang w:val="es-EC"/>
              </w:rPr>
              <w:t>60%</w:t>
            </w:r>
          </w:p>
        </w:tc>
        <w:tc>
          <w:tcPr>
            <w:tcW w:w="1260" w:type="dxa"/>
            <w:tcBorders>
              <w:top w:val="single" w:sz="4" w:space="0" w:color="000000"/>
              <w:left w:val="single" w:sz="4" w:space="0" w:color="000000"/>
              <w:bottom w:val="single" w:sz="4" w:space="0" w:color="000000"/>
              <w:right w:val="single" w:sz="4" w:space="0" w:color="000000"/>
            </w:tcBorders>
          </w:tcPr>
          <w:p w14:paraId="5573CF46" w14:textId="6B6D7E49" w:rsidR="00A1054F" w:rsidRPr="00692A02" w:rsidRDefault="00A1054F" w:rsidP="00A1054F">
            <w:pPr>
              <w:spacing w:before="20" w:after="20" w:line="240" w:lineRule="auto"/>
              <w:jc w:val="both"/>
              <w:rPr>
                <w:rFonts w:ascii="Arial" w:eastAsia="Calibri" w:hAnsi="Arial" w:cs="Arial"/>
                <w:spacing w:val="-4"/>
                <w:sz w:val="20"/>
                <w:szCs w:val="20"/>
                <w:lang w:val="es-EC"/>
              </w:rPr>
            </w:pPr>
            <w:r w:rsidRPr="00692A02">
              <w:rPr>
                <w:rFonts w:ascii="Arial" w:eastAsia="Calibri" w:hAnsi="Arial" w:cs="Arial"/>
                <w:spacing w:val="-4"/>
                <w:sz w:val="20"/>
                <w:szCs w:val="20"/>
                <w:lang w:val="es-EC"/>
              </w:rPr>
              <w:t xml:space="preserve">Informes de las </w:t>
            </w:r>
            <w:r w:rsidR="00702EF1">
              <w:rPr>
                <w:rFonts w:ascii="Arial" w:eastAsia="Calibri" w:hAnsi="Arial" w:cs="Arial"/>
                <w:spacing w:val="-4"/>
                <w:sz w:val="20"/>
                <w:szCs w:val="20"/>
                <w:lang w:val="es-EC"/>
              </w:rPr>
              <w:t>MERO</w:t>
            </w:r>
          </w:p>
        </w:tc>
        <w:tc>
          <w:tcPr>
            <w:tcW w:w="2883" w:type="dxa"/>
            <w:tcBorders>
              <w:top w:val="single" w:sz="4" w:space="0" w:color="000000"/>
              <w:left w:val="single" w:sz="4" w:space="0" w:color="000000"/>
              <w:bottom w:val="single" w:sz="4" w:space="0" w:color="000000"/>
              <w:right w:val="single" w:sz="4" w:space="0" w:color="000000"/>
            </w:tcBorders>
          </w:tcPr>
          <w:p w14:paraId="56E38E77" w14:textId="7D05DA9C" w:rsidR="00A1054F" w:rsidRPr="00692A02" w:rsidRDefault="00A1054F" w:rsidP="00A1054F">
            <w:pPr>
              <w:spacing w:before="20" w:after="20" w:line="240" w:lineRule="auto"/>
              <w:jc w:val="both"/>
              <w:rPr>
                <w:rFonts w:ascii="Arial" w:eastAsia="Calibri" w:hAnsi="Arial" w:cs="Arial"/>
                <w:spacing w:val="-4"/>
                <w:sz w:val="20"/>
                <w:szCs w:val="20"/>
                <w:lang w:val="es-EC"/>
              </w:rPr>
            </w:pPr>
            <w:r w:rsidRPr="00692A02">
              <w:rPr>
                <w:rFonts w:ascii="Arial" w:eastAsia="Calibri" w:hAnsi="Arial" w:cs="Arial"/>
                <w:spacing w:val="-4"/>
                <w:sz w:val="20"/>
                <w:szCs w:val="20"/>
                <w:lang w:val="es-EC"/>
              </w:rPr>
              <w:t xml:space="preserve">Cada una de las </w:t>
            </w:r>
            <w:r w:rsidR="00702EF1">
              <w:rPr>
                <w:rFonts w:ascii="Arial" w:eastAsia="Calibri" w:hAnsi="Arial" w:cs="Arial"/>
                <w:spacing w:val="-4"/>
                <w:sz w:val="20"/>
                <w:szCs w:val="20"/>
                <w:lang w:val="es-EC"/>
              </w:rPr>
              <w:t>MERO</w:t>
            </w:r>
            <w:r w:rsidRPr="00692A02">
              <w:rPr>
                <w:rFonts w:ascii="Arial" w:eastAsia="Calibri" w:hAnsi="Arial" w:cs="Arial"/>
                <w:spacing w:val="-4"/>
                <w:sz w:val="20"/>
                <w:szCs w:val="20"/>
                <w:lang w:val="es-EC"/>
              </w:rPr>
              <w:t xml:space="preserve"> elaborará un plan de acción identificando los obstáculos a resolver. Se identificarán los obstáculos a ser atendidos durante el período de actividad de la </w:t>
            </w:r>
            <w:r w:rsidR="00702EF1">
              <w:rPr>
                <w:rFonts w:ascii="Arial" w:eastAsia="Calibri" w:hAnsi="Arial" w:cs="Arial"/>
                <w:spacing w:val="-4"/>
                <w:sz w:val="20"/>
                <w:szCs w:val="20"/>
                <w:lang w:val="es-EC"/>
              </w:rPr>
              <w:t>MERO</w:t>
            </w:r>
            <w:r w:rsidRPr="00692A02">
              <w:rPr>
                <w:rFonts w:ascii="Arial" w:eastAsia="Calibri" w:hAnsi="Arial" w:cs="Arial"/>
                <w:spacing w:val="-4"/>
                <w:sz w:val="20"/>
                <w:szCs w:val="20"/>
                <w:lang w:val="es-EC"/>
              </w:rPr>
              <w:t xml:space="preserve"> y se reportarán periódicamente el % de cumplimiento del plan de acción de cada </w:t>
            </w:r>
            <w:r w:rsidR="00702EF1">
              <w:rPr>
                <w:rFonts w:ascii="Arial" w:eastAsia="Calibri" w:hAnsi="Arial" w:cs="Arial"/>
                <w:spacing w:val="-4"/>
                <w:sz w:val="20"/>
                <w:szCs w:val="20"/>
                <w:lang w:val="es-EC"/>
              </w:rPr>
              <w:t>MERO</w:t>
            </w:r>
            <w:r w:rsidRPr="00692A02">
              <w:rPr>
                <w:rFonts w:ascii="Arial" w:eastAsia="Calibri" w:hAnsi="Arial" w:cs="Arial"/>
                <w:spacing w:val="-4"/>
                <w:sz w:val="20"/>
                <w:szCs w:val="20"/>
                <w:lang w:val="es-EC"/>
              </w:rPr>
              <w:t xml:space="preserve">.  </w:t>
            </w:r>
          </w:p>
          <w:p w14:paraId="72DD437E" w14:textId="77777777" w:rsidR="00A1054F" w:rsidRPr="00692A02" w:rsidRDefault="00A1054F" w:rsidP="00A1054F">
            <w:pPr>
              <w:spacing w:before="20" w:after="20" w:line="240" w:lineRule="auto"/>
              <w:jc w:val="both"/>
              <w:rPr>
                <w:rFonts w:ascii="Arial" w:eastAsia="Calibri" w:hAnsi="Arial" w:cs="Arial"/>
                <w:spacing w:val="-4"/>
                <w:sz w:val="20"/>
                <w:szCs w:val="20"/>
                <w:lang w:val="es-EC"/>
              </w:rPr>
            </w:pPr>
            <w:r w:rsidRPr="00692A02">
              <w:rPr>
                <w:rFonts w:ascii="Arial" w:eastAsia="Calibri" w:hAnsi="Arial" w:cs="Arial"/>
                <w:spacing w:val="-4"/>
                <w:sz w:val="20"/>
                <w:szCs w:val="20"/>
                <w:lang w:val="es-EC"/>
              </w:rPr>
              <w:t xml:space="preserve">El porcentaje corresponde al promedio de los últimos tres años </w:t>
            </w:r>
          </w:p>
          <w:p w14:paraId="2D7337EE" w14:textId="77777777" w:rsidR="00A1054F" w:rsidRPr="00692A02" w:rsidRDefault="00A1054F" w:rsidP="00A1054F">
            <w:pPr>
              <w:spacing w:before="20" w:after="20" w:line="240" w:lineRule="auto"/>
              <w:jc w:val="both"/>
              <w:rPr>
                <w:rFonts w:ascii="Arial" w:eastAsia="Calibri" w:hAnsi="Arial" w:cs="Arial"/>
                <w:spacing w:val="-4"/>
                <w:sz w:val="20"/>
                <w:szCs w:val="20"/>
                <w:lang w:val="es-EC"/>
              </w:rPr>
            </w:pPr>
            <w:r w:rsidRPr="00692A02">
              <w:rPr>
                <w:rFonts w:ascii="Arial" w:eastAsia="Calibri" w:hAnsi="Arial" w:cs="Arial"/>
                <w:spacing w:val="-4"/>
                <w:sz w:val="20"/>
                <w:szCs w:val="20"/>
                <w:lang w:val="es-EC"/>
              </w:rPr>
              <w:t xml:space="preserve">Adicionalmente una vez iniciada la ejecución se establecerán indicadores específicos respecto de los sectores que sean priorizados que se reportarán en los ISP del Programa </w:t>
            </w:r>
          </w:p>
        </w:tc>
      </w:tr>
      <w:tr w:rsidR="00692A02" w:rsidRPr="00387315" w14:paraId="7A014597" w14:textId="77777777" w:rsidTr="00C2120C">
        <w:trPr>
          <w:trHeight w:val="567"/>
        </w:trPr>
        <w:tc>
          <w:tcPr>
            <w:tcW w:w="2155" w:type="dxa"/>
            <w:tcBorders>
              <w:top w:val="single" w:sz="4" w:space="0" w:color="000000"/>
              <w:left w:val="single" w:sz="4" w:space="0" w:color="000000"/>
              <w:bottom w:val="single" w:sz="4" w:space="0" w:color="000000"/>
              <w:right w:val="single" w:sz="4" w:space="0" w:color="000000"/>
            </w:tcBorders>
          </w:tcPr>
          <w:p w14:paraId="730BF090" w14:textId="3D23885A" w:rsidR="00692A02" w:rsidRPr="00692A02" w:rsidRDefault="00692A02" w:rsidP="008373D5">
            <w:pPr>
              <w:pStyle w:val="ListParagraph"/>
              <w:numPr>
                <w:ilvl w:val="1"/>
                <w:numId w:val="46"/>
              </w:numPr>
              <w:spacing w:before="20" w:after="20" w:line="240" w:lineRule="auto"/>
              <w:rPr>
                <w:rFonts w:ascii="Arial" w:eastAsia="Calibri" w:hAnsi="Arial" w:cs="Arial"/>
                <w:spacing w:val="-4"/>
                <w:sz w:val="20"/>
                <w:szCs w:val="20"/>
                <w:lang w:val="es-EC"/>
              </w:rPr>
            </w:pPr>
            <w:r w:rsidRPr="00692A02">
              <w:rPr>
                <w:rFonts w:ascii="Arial" w:eastAsia="Calibri" w:hAnsi="Arial" w:cs="Arial"/>
                <w:spacing w:val="-4"/>
                <w:sz w:val="20"/>
                <w:szCs w:val="20"/>
                <w:lang w:val="es-EC"/>
              </w:rPr>
              <w:t xml:space="preserve">Nivel de satisfacción de los representantes gremiales de las </w:t>
            </w:r>
            <w:r w:rsidR="00F41781">
              <w:rPr>
                <w:rFonts w:ascii="Arial" w:eastAsia="Calibri" w:hAnsi="Arial" w:cs="Arial"/>
                <w:spacing w:val="-4"/>
                <w:sz w:val="20"/>
                <w:szCs w:val="20"/>
                <w:lang w:val="es-EC"/>
              </w:rPr>
              <w:t>MERO</w:t>
            </w:r>
            <w:r w:rsidRPr="00692A02">
              <w:rPr>
                <w:rFonts w:ascii="Arial" w:eastAsia="Calibri" w:hAnsi="Arial" w:cs="Arial"/>
                <w:spacing w:val="-4"/>
                <w:sz w:val="20"/>
                <w:szCs w:val="20"/>
                <w:lang w:val="es-EC"/>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2C18AF89" w14:textId="31DD0307" w:rsidR="00692A02" w:rsidRPr="00692A02" w:rsidRDefault="00367963" w:rsidP="00692A02">
            <w:pPr>
              <w:spacing w:before="20" w:after="20" w:line="240" w:lineRule="auto"/>
              <w:jc w:val="center"/>
              <w:rPr>
                <w:rFonts w:ascii="Arial" w:eastAsia="Calibri" w:hAnsi="Arial" w:cs="Arial"/>
                <w:spacing w:val="-4"/>
                <w:sz w:val="20"/>
                <w:szCs w:val="20"/>
                <w:lang w:val="es-EC"/>
              </w:rPr>
            </w:pPr>
            <w:r>
              <w:rPr>
                <w:rFonts w:ascii="Arial" w:eastAsia="Calibri" w:hAnsi="Arial" w:cs="Arial"/>
                <w:spacing w:val="-4"/>
                <w:sz w:val="20"/>
                <w:szCs w:val="20"/>
                <w:lang w:val="es-EC"/>
              </w:rPr>
              <w:t>%</w:t>
            </w:r>
          </w:p>
        </w:tc>
        <w:tc>
          <w:tcPr>
            <w:tcW w:w="1170" w:type="dxa"/>
            <w:tcBorders>
              <w:top w:val="single" w:sz="4" w:space="0" w:color="000000"/>
              <w:left w:val="single" w:sz="4" w:space="0" w:color="000000"/>
              <w:bottom w:val="single" w:sz="4" w:space="0" w:color="000000"/>
              <w:right w:val="single" w:sz="4" w:space="0" w:color="000000"/>
            </w:tcBorders>
          </w:tcPr>
          <w:p w14:paraId="4A12F1E9" w14:textId="77777777" w:rsidR="00692A02" w:rsidRPr="00692A02" w:rsidRDefault="00692A02" w:rsidP="00692A02">
            <w:pPr>
              <w:spacing w:before="20" w:after="20" w:line="240" w:lineRule="auto"/>
              <w:jc w:val="center"/>
              <w:rPr>
                <w:rFonts w:ascii="Arial" w:eastAsia="Calibri" w:hAnsi="Arial" w:cs="Arial"/>
                <w:spacing w:val="-4"/>
                <w:sz w:val="20"/>
                <w:szCs w:val="20"/>
                <w:lang w:val="es-EC"/>
              </w:rPr>
            </w:pPr>
            <w:r w:rsidRPr="00692A02">
              <w:rPr>
                <w:rFonts w:ascii="Arial" w:eastAsia="Calibri" w:hAnsi="Arial" w:cs="Arial"/>
                <w:spacing w:val="-4"/>
                <w:sz w:val="20"/>
                <w:szCs w:val="20"/>
                <w:lang w:val="es-EC"/>
              </w:rPr>
              <w:t>0</w:t>
            </w:r>
          </w:p>
        </w:tc>
        <w:tc>
          <w:tcPr>
            <w:tcW w:w="723" w:type="dxa"/>
            <w:tcBorders>
              <w:top w:val="single" w:sz="4" w:space="0" w:color="000000"/>
              <w:left w:val="single" w:sz="4" w:space="0" w:color="000000"/>
              <w:bottom w:val="single" w:sz="4" w:space="0" w:color="000000"/>
              <w:right w:val="single" w:sz="4" w:space="0" w:color="000000"/>
            </w:tcBorders>
          </w:tcPr>
          <w:p w14:paraId="53D75B00" w14:textId="77777777" w:rsidR="00692A02" w:rsidRPr="00692A02" w:rsidRDefault="00692A02" w:rsidP="00692A02">
            <w:pPr>
              <w:spacing w:before="20" w:after="20" w:line="240" w:lineRule="auto"/>
              <w:jc w:val="center"/>
              <w:rPr>
                <w:rFonts w:ascii="Arial" w:eastAsia="Calibri" w:hAnsi="Arial" w:cs="Arial"/>
                <w:spacing w:val="-4"/>
                <w:sz w:val="20"/>
                <w:szCs w:val="20"/>
                <w:lang w:val="es-EC"/>
              </w:rPr>
            </w:pPr>
            <w:r w:rsidRPr="00692A02">
              <w:rPr>
                <w:rFonts w:ascii="Arial" w:eastAsia="Calibri" w:hAnsi="Arial" w:cs="Arial"/>
                <w:spacing w:val="-4"/>
                <w:sz w:val="20"/>
                <w:szCs w:val="20"/>
                <w:lang w:val="es-EC"/>
              </w:rPr>
              <w:t>2018</w:t>
            </w:r>
          </w:p>
        </w:tc>
        <w:tc>
          <w:tcPr>
            <w:tcW w:w="803" w:type="dxa"/>
            <w:tcBorders>
              <w:top w:val="single" w:sz="4" w:space="0" w:color="000000"/>
              <w:left w:val="single" w:sz="4" w:space="0" w:color="000000"/>
              <w:bottom w:val="single" w:sz="4" w:space="0" w:color="000000"/>
              <w:right w:val="single" w:sz="4" w:space="0" w:color="000000"/>
            </w:tcBorders>
          </w:tcPr>
          <w:p w14:paraId="07CAE34C" w14:textId="2FBC29F9" w:rsidR="00692A02" w:rsidRPr="00692A02" w:rsidRDefault="00D05B15" w:rsidP="00692A02">
            <w:pPr>
              <w:spacing w:before="20" w:after="20"/>
              <w:jc w:val="center"/>
              <w:rPr>
                <w:rFonts w:ascii="Arial" w:eastAsia="Calibri" w:hAnsi="Arial" w:cs="Arial"/>
                <w:spacing w:val="-4"/>
                <w:sz w:val="20"/>
                <w:szCs w:val="20"/>
                <w:lang w:val="es-EC"/>
              </w:rPr>
            </w:pPr>
            <w:r>
              <w:rPr>
                <w:rFonts w:ascii="Arial" w:eastAsia="Calibri" w:hAnsi="Arial" w:cs="Arial"/>
                <w:spacing w:val="-4"/>
                <w:sz w:val="20"/>
                <w:szCs w:val="20"/>
                <w:lang w:val="es-EC"/>
              </w:rPr>
              <w:t>20%</w:t>
            </w:r>
          </w:p>
        </w:tc>
        <w:tc>
          <w:tcPr>
            <w:tcW w:w="634" w:type="dxa"/>
            <w:tcBorders>
              <w:top w:val="single" w:sz="4" w:space="0" w:color="000000"/>
              <w:left w:val="single" w:sz="4" w:space="0" w:color="000000"/>
              <w:bottom w:val="single" w:sz="4" w:space="0" w:color="000000"/>
              <w:right w:val="single" w:sz="4" w:space="0" w:color="000000"/>
            </w:tcBorders>
          </w:tcPr>
          <w:p w14:paraId="0D7E9B5A" w14:textId="066F8C06" w:rsidR="00692A02" w:rsidRPr="00692A02" w:rsidRDefault="00D05B15" w:rsidP="00692A02">
            <w:pPr>
              <w:spacing w:before="20" w:after="20"/>
              <w:jc w:val="center"/>
              <w:rPr>
                <w:rFonts w:ascii="Arial" w:eastAsia="Calibri" w:hAnsi="Arial" w:cs="Arial"/>
                <w:spacing w:val="-4"/>
                <w:sz w:val="20"/>
                <w:szCs w:val="20"/>
                <w:lang w:val="es-EC"/>
              </w:rPr>
            </w:pPr>
            <w:r>
              <w:rPr>
                <w:rFonts w:ascii="Arial" w:eastAsia="Calibri" w:hAnsi="Arial" w:cs="Arial"/>
                <w:spacing w:val="-4"/>
                <w:sz w:val="20"/>
                <w:szCs w:val="20"/>
                <w:lang w:val="es-EC"/>
              </w:rPr>
              <w:t>30%</w:t>
            </w:r>
          </w:p>
        </w:tc>
        <w:tc>
          <w:tcPr>
            <w:tcW w:w="973" w:type="dxa"/>
            <w:tcBorders>
              <w:top w:val="single" w:sz="4" w:space="0" w:color="000000"/>
              <w:left w:val="single" w:sz="4" w:space="0" w:color="000000"/>
              <w:bottom w:val="single" w:sz="4" w:space="0" w:color="000000"/>
              <w:right w:val="single" w:sz="4" w:space="0" w:color="000000"/>
            </w:tcBorders>
          </w:tcPr>
          <w:p w14:paraId="4D1A7CC6" w14:textId="77777777" w:rsidR="00692A02" w:rsidRPr="00692A02" w:rsidRDefault="00692A02" w:rsidP="00692A02">
            <w:pPr>
              <w:spacing w:before="20" w:after="20"/>
              <w:jc w:val="center"/>
              <w:rPr>
                <w:rFonts w:ascii="Arial" w:eastAsia="Calibri" w:hAnsi="Arial" w:cs="Arial"/>
                <w:spacing w:val="-4"/>
                <w:sz w:val="20"/>
                <w:szCs w:val="20"/>
                <w:lang w:val="es-EC"/>
              </w:rPr>
            </w:pPr>
            <w:r w:rsidRPr="00692A02">
              <w:rPr>
                <w:rFonts w:ascii="Arial" w:eastAsia="Calibri" w:hAnsi="Arial" w:cs="Arial"/>
                <w:spacing w:val="-4"/>
                <w:sz w:val="20"/>
                <w:szCs w:val="20"/>
                <w:lang w:val="es-EC"/>
              </w:rPr>
              <w:t>40%</w:t>
            </w:r>
          </w:p>
        </w:tc>
        <w:tc>
          <w:tcPr>
            <w:tcW w:w="917" w:type="dxa"/>
            <w:tcBorders>
              <w:top w:val="single" w:sz="4" w:space="0" w:color="000000"/>
              <w:left w:val="single" w:sz="4" w:space="0" w:color="000000"/>
              <w:bottom w:val="single" w:sz="4" w:space="0" w:color="000000"/>
              <w:right w:val="single" w:sz="4" w:space="0" w:color="000000"/>
            </w:tcBorders>
          </w:tcPr>
          <w:p w14:paraId="0C3190CC" w14:textId="7BEC1237" w:rsidR="00692A02" w:rsidRPr="00692A02" w:rsidRDefault="00D05B15" w:rsidP="00692A02">
            <w:pPr>
              <w:spacing w:before="20" w:after="20"/>
              <w:jc w:val="center"/>
              <w:rPr>
                <w:rFonts w:ascii="Arial" w:eastAsia="Calibri" w:hAnsi="Arial" w:cs="Arial"/>
                <w:spacing w:val="-4"/>
                <w:sz w:val="20"/>
                <w:szCs w:val="20"/>
                <w:lang w:val="es-EC"/>
              </w:rPr>
            </w:pPr>
            <w:r>
              <w:rPr>
                <w:rFonts w:ascii="Arial" w:eastAsia="Calibri" w:hAnsi="Arial" w:cs="Arial"/>
                <w:spacing w:val="-4"/>
                <w:sz w:val="20"/>
                <w:szCs w:val="20"/>
                <w:lang w:val="es-EC"/>
              </w:rPr>
              <w:t>50%</w:t>
            </w:r>
          </w:p>
        </w:tc>
        <w:tc>
          <w:tcPr>
            <w:tcW w:w="1080" w:type="dxa"/>
            <w:tcBorders>
              <w:top w:val="single" w:sz="4" w:space="0" w:color="000000"/>
              <w:left w:val="single" w:sz="4" w:space="0" w:color="000000"/>
              <w:bottom w:val="single" w:sz="4" w:space="0" w:color="000000"/>
              <w:right w:val="single" w:sz="4" w:space="0" w:color="000000"/>
            </w:tcBorders>
          </w:tcPr>
          <w:p w14:paraId="648CA5EB" w14:textId="64D250E5" w:rsidR="00692A02" w:rsidRPr="00692A02" w:rsidRDefault="00D05B15" w:rsidP="00692A02">
            <w:pPr>
              <w:spacing w:before="20" w:after="20"/>
              <w:jc w:val="center"/>
              <w:rPr>
                <w:rFonts w:ascii="Arial" w:eastAsia="Calibri" w:hAnsi="Arial" w:cs="Arial"/>
                <w:spacing w:val="-4"/>
                <w:sz w:val="20"/>
                <w:szCs w:val="20"/>
                <w:lang w:val="es-EC"/>
              </w:rPr>
            </w:pPr>
            <w:r>
              <w:rPr>
                <w:rFonts w:ascii="Arial" w:eastAsia="Calibri" w:hAnsi="Arial" w:cs="Arial"/>
                <w:spacing w:val="-4"/>
                <w:sz w:val="20"/>
                <w:szCs w:val="20"/>
                <w:lang w:val="es-EC"/>
              </w:rPr>
              <w:t>60%</w:t>
            </w:r>
          </w:p>
        </w:tc>
        <w:tc>
          <w:tcPr>
            <w:tcW w:w="1350" w:type="dxa"/>
            <w:tcBorders>
              <w:top w:val="single" w:sz="4" w:space="0" w:color="000000"/>
              <w:left w:val="single" w:sz="4" w:space="0" w:color="000000"/>
              <w:bottom w:val="single" w:sz="4" w:space="0" w:color="000000"/>
              <w:right w:val="single" w:sz="4" w:space="0" w:color="000000"/>
            </w:tcBorders>
          </w:tcPr>
          <w:p w14:paraId="02C610FA" w14:textId="6F5A6CB1" w:rsidR="00692A02" w:rsidRPr="00692A02" w:rsidRDefault="00D05B15" w:rsidP="00692A02">
            <w:pPr>
              <w:spacing w:before="20" w:after="20"/>
              <w:jc w:val="center"/>
              <w:rPr>
                <w:rFonts w:ascii="Arial" w:eastAsia="Calibri" w:hAnsi="Arial" w:cs="Arial"/>
                <w:spacing w:val="-4"/>
                <w:sz w:val="20"/>
                <w:szCs w:val="20"/>
                <w:lang w:val="es-EC"/>
              </w:rPr>
            </w:pPr>
            <w:r>
              <w:rPr>
                <w:rFonts w:ascii="Arial" w:eastAsia="Calibri" w:hAnsi="Arial" w:cs="Arial"/>
                <w:spacing w:val="-4"/>
                <w:sz w:val="20"/>
                <w:szCs w:val="20"/>
                <w:lang w:val="es-EC"/>
              </w:rPr>
              <w:t>6</w:t>
            </w:r>
            <w:r w:rsidR="006C4CD8">
              <w:rPr>
                <w:rFonts w:ascii="Arial" w:eastAsia="Calibri" w:hAnsi="Arial" w:cs="Arial"/>
                <w:spacing w:val="-4"/>
                <w:sz w:val="20"/>
                <w:szCs w:val="20"/>
                <w:lang w:val="es-EC"/>
              </w:rPr>
              <w:t>0</w:t>
            </w:r>
            <w:r w:rsidR="00692A02" w:rsidRPr="00692A02">
              <w:rPr>
                <w:rFonts w:ascii="Arial" w:eastAsia="Calibri" w:hAnsi="Arial" w:cs="Arial"/>
                <w:spacing w:val="-4"/>
                <w:sz w:val="20"/>
                <w:szCs w:val="20"/>
                <w:lang w:val="es-EC"/>
              </w:rPr>
              <w:t>%</w:t>
            </w:r>
          </w:p>
        </w:tc>
        <w:tc>
          <w:tcPr>
            <w:tcW w:w="1260" w:type="dxa"/>
            <w:tcBorders>
              <w:top w:val="single" w:sz="4" w:space="0" w:color="000000"/>
              <w:left w:val="single" w:sz="4" w:space="0" w:color="000000"/>
              <w:bottom w:val="single" w:sz="4" w:space="0" w:color="000000"/>
              <w:right w:val="single" w:sz="4" w:space="0" w:color="000000"/>
            </w:tcBorders>
          </w:tcPr>
          <w:p w14:paraId="0385E9D1" w14:textId="291F6C3A" w:rsidR="00692A02" w:rsidRPr="00692A02" w:rsidRDefault="00692A02" w:rsidP="00692A02">
            <w:pPr>
              <w:spacing w:before="20" w:after="20" w:line="240" w:lineRule="auto"/>
              <w:jc w:val="both"/>
              <w:rPr>
                <w:rFonts w:ascii="Arial" w:eastAsia="Calibri" w:hAnsi="Arial" w:cs="Arial"/>
                <w:spacing w:val="-4"/>
                <w:sz w:val="20"/>
                <w:szCs w:val="20"/>
                <w:lang w:val="es-EC"/>
              </w:rPr>
            </w:pPr>
            <w:r w:rsidRPr="00692A02">
              <w:rPr>
                <w:rFonts w:ascii="Arial" w:eastAsia="Calibri" w:hAnsi="Arial" w:cs="Arial"/>
                <w:spacing w:val="-4"/>
                <w:sz w:val="20"/>
                <w:szCs w:val="20"/>
                <w:lang w:val="es-EC"/>
              </w:rPr>
              <w:t xml:space="preserve">Evaluaciones de satisfacción de la atención de las </w:t>
            </w:r>
            <w:r w:rsidR="00F41781">
              <w:rPr>
                <w:rFonts w:ascii="Arial" w:eastAsia="Calibri" w:hAnsi="Arial" w:cs="Arial"/>
                <w:spacing w:val="-4"/>
                <w:sz w:val="20"/>
                <w:szCs w:val="20"/>
                <w:lang w:val="es-EC"/>
              </w:rPr>
              <w:t>MERO</w:t>
            </w:r>
          </w:p>
        </w:tc>
        <w:tc>
          <w:tcPr>
            <w:tcW w:w="2883" w:type="dxa"/>
            <w:tcBorders>
              <w:top w:val="single" w:sz="4" w:space="0" w:color="000000"/>
              <w:left w:val="single" w:sz="4" w:space="0" w:color="000000"/>
              <w:bottom w:val="single" w:sz="4" w:space="0" w:color="000000"/>
              <w:right w:val="single" w:sz="4" w:space="0" w:color="000000"/>
            </w:tcBorders>
          </w:tcPr>
          <w:p w14:paraId="4367A3BC" w14:textId="0C1BBA43" w:rsidR="00692A02" w:rsidRPr="00692A02" w:rsidRDefault="00692A02" w:rsidP="00692A02">
            <w:pPr>
              <w:spacing w:before="20" w:after="20" w:line="240" w:lineRule="auto"/>
              <w:jc w:val="both"/>
              <w:rPr>
                <w:rFonts w:ascii="Arial" w:eastAsia="Calibri" w:hAnsi="Arial" w:cs="Arial"/>
                <w:spacing w:val="-4"/>
                <w:sz w:val="20"/>
                <w:szCs w:val="20"/>
                <w:lang w:val="es-EC"/>
              </w:rPr>
            </w:pPr>
            <w:r w:rsidRPr="00692A02">
              <w:rPr>
                <w:rFonts w:ascii="Arial" w:eastAsia="Calibri" w:hAnsi="Arial" w:cs="Arial"/>
                <w:spacing w:val="-4"/>
                <w:sz w:val="20"/>
                <w:szCs w:val="20"/>
                <w:lang w:val="es-EC"/>
              </w:rPr>
              <w:t xml:space="preserve">Cuestionario aplicado en las </w:t>
            </w:r>
            <w:r w:rsidR="00702EF1">
              <w:rPr>
                <w:rFonts w:ascii="Arial" w:eastAsia="Calibri" w:hAnsi="Arial" w:cs="Arial"/>
                <w:spacing w:val="-4"/>
                <w:sz w:val="20"/>
                <w:szCs w:val="20"/>
                <w:lang w:val="es-EC"/>
              </w:rPr>
              <w:t>MERO</w:t>
            </w:r>
            <w:r w:rsidRPr="00692A02">
              <w:rPr>
                <w:rFonts w:ascii="Arial" w:eastAsia="Calibri" w:hAnsi="Arial" w:cs="Arial"/>
                <w:spacing w:val="-4"/>
                <w:sz w:val="20"/>
                <w:szCs w:val="20"/>
                <w:lang w:val="es-EC"/>
              </w:rPr>
              <w:t xml:space="preserve"> </w:t>
            </w:r>
          </w:p>
        </w:tc>
      </w:tr>
      <w:tr w:rsidR="00692A02" w:rsidRPr="00387315" w14:paraId="765840E2" w14:textId="77777777" w:rsidTr="00C2120C">
        <w:trPr>
          <w:trHeight w:val="567"/>
        </w:trPr>
        <w:tc>
          <w:tcPr>
            <w:tcW w:w="14758"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14:paraId="1DD7AEC3" w14:textId="1B8E85BF" w:rsidR="00692A02" w:rsidRPr="00692A02" w:rsidDel="006E3FA0" w:rsidRDefault="00692A02" w:rsidP="00692A02">
            <w:pPr>
              <w:spacing w:before="20" w:after="20" w:line="240" w:lineRule="auto"/>
              <w:jc w:val="both"/>
              <w:rPr>
                <w:rFonts w:ascii="Arial" w:eastAsia="Calibri" w:hAnsi="Arial" w:cs="Arial"/>
                <w:spacing w:val="-4"/>
                <w:sz w:val="20"/>
                <w:szCs w:val="20"/>
                <w:lang w:val="es-EC"/>
              </w:rPr>
            </w:pPr>
            <w:r w:rsidRPr="00692A02">
              <w:rPr>
                <w:rFonts w:ascii="Arial" w:eastAsia="Calibri" w:hAnsi="Arial" w:cs="Arial"/>
                <w:b/>
                <w:caps/>
                <w:spacing w:val="-4"/>
                <w:sz w:val="20"/>
                <w:szCs w:val="20"/>
                <w:u w:val="single"/>
                <w:lang w:val="es-EC"/>
              </w:rPr>
              <w:t>resultado # 2:</w:t>
            </w:r>
            <w:r w:rsidR="00F903E2" w:rsidRPr="00B1147E">
              <w:rPr>
                <w:rFonts w:ascii="Arial" w:eastAsia="Calibri" w:hAnsi="Arial" w:cs="Arial"/>
                <w:b/>
                <w:spacing w:val="-4"/>
                <w:sz w:val="20"/>
                <w:szCs w:val="20"/>
                <w:lang w:val="es-EC"/>
              </w:rPr>
              <w:t xml:space="preserve"> </w:t>
            </w:r>
            <w:r w:rsidR="007B6B0D">
              <w:rPr>
                <w:rFonts w:ascii="Arial" w:eastAsia="Calibri" w:hAnsi="Arial" w:cs="Arial"/>
                <w:b/>
                <w:spacing w:val="-4"/>
                <w:sz w:val="20"/>
                <w:szCs w:val="20"/>
                <w:lang w:val="es-EC"/>
              </w:rPr>
              <w:t xml:space="preserve">Ciclo de la gobernanza </w:t>
            </w:r>
            <w:r w:rsidR="00F903E2" w:rsidRPr="00B1147E">
              <w:rPr>
                <w:rFonts w:ascii="Arial" w:eastAsia="Calibri" w:hAnsi="Arial" w:cs="Arial"/>
                <w:b/>
                <w:spacing w:val="-4"/>
                <w:sz w:val="20"/>
                <w:szCs w:val="20"/>
                <w:lang w:val="es-EC"/>
              </w:rPr>
              <w:t xml:space="preserve">regulatoria </w:t>
            </w:r>
            <w:r w:rsidR="00B9707A">
              <w:rPr>
                <w:rFonts w:ascii="Arial" w:eastAsia="Calibri" w:hAnsi="Arial" w:cs="Arial"/>
                <w:b/>
                <w:spacing w:val="-4"/>
                <w:sz w:val="20"/>
                <w:szCs w:val="20"/>
                <w:lang w:val="es-EC"/>
              </w:rPr>
              <w:t>m</w:t>
            </w:r>
            <w:r w:rsidR="00F903E2" w:rsidRPr="00B1147E">
              <w:rPr>
                <w:rFonts w:ascii="Arial" w:eastAsia="Calibri" w:hAnsi="Arial" w:cs="Arial"/>
                <w:b/>
                <w:spacing w:val="-4"/>
                <w:sz w:val="20"/>
                <w:szCs w:val="20"/>
                <w:lang w:val="es-EC"/>
              </w:rPr>
              <w:t>ejorado</w:t>
            </w:r>
          </w:p>
        </w:tc>
      </w:tr>
      <w:tr w:rsidR="00692A02" w:rsidRPr="00387315" w14:paraId="356DEFA8" w14:textId="77777777" w:rsidTr="00C2120C">
        <w:trPr>
          <w:trHeight w:val="567"/>
        </w:trPr>
        <w:tc>
          <w:tcPr>
            <w:tcW w:w="215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2BE1A55" w14:textId="4A2B86A4" w:rsidR="00692A02" w:rsidRPr="008373D5" w:rsidRDefault="00692A02" w:rsidP="008373D5">
            <w:pPr>
              <w:pStyle w:val="ListParagraph"/>
              <w:numPr>
                <w:ilvl w:val="1"/>
                <w:numId w:val="47"/>
              </w:numPr>
              <w:spacing w:before="20" w:after="20" w:line="240" w:lineRule="auto"/>
              <w:ind w:left="390"/>
              <w:rPr>
                <w:rFonts w:ascii="Arial" w:eastAsia="Calibri" w:hAnsi="Arial" w:cs="Arial"/>
                <w:spacing w:val="-4"/>
                <w:sz w:val="20"/>
                <w:szCs w:val="20"/>
                <w:lang w:val="pt-BR"/>
              </w:rPr>
            </w:pPr>
            <w:r w:rsidRPr="008373D5">
              <w:rPr>
                <w:rFonts w:ascii="Arial" w:eastAsia="Calibri" w:hAnsi="Arial" w:cs="Arial"/>
                <w:spacing w:val="-4"/>
                <w:sz w:val="20"/>
                <w:szCs w:val="20"/>
                <w:lang w:val="pt-BR"/>
              </w:rPr>
              <w:t>Número de consultas públicas previas de nuevas regulaciones realizadas por entidades pública</w:t>
            </w:r>
            <w:r w:rsidR="008373D5">
              <w:rPr>
                <w:rFonts w:ascii="Arial" w:eastAsia="Calibri" w:hAnsi="Arial" w:cs="Arial"/>
                <w:spacing w:val="-4"/>
                <w:sz w:val="20"/>
                <w:szCs w:val="20"/>
                <w:lang w:val="pt-BR"/>
              </w:rPr>
              <w:t>s</w:t>
            </w:r>
          </w:p>
        </w:tc>
        <w:tc>
          <w:tcPr>
            <w:tcW w:w="810" w:type="dxa"/>
            <w:tcBorders>
              <w:top w:val="single" w:sz="4" w:space="0" w:color="000000"/>
              <w:left w:val="single" w:sz="4" w:space="0" w:color="000000"/>
              <w:bottom w:val="single" w:sz="4" w:space="0" w:color="000000"/>
              <w:right w:val="single" w:sz="4" w:space="0" w:color="000000"/>
            </w:tcBorders>
          </w:tcPr>
          <w:p w14:paraId="42050F03" w14:textId="77777777" w:rsidR="00692A02" w:rsidRPr="00692A02" w:rsidRDefault="00692A02" w:rsidP="00692A02">
            <w:pPr>
              <w:spacing w:before="20" w:after="20" w:line="240" w:lineRule="auto"/>
              <w:jc w:val="center"/>
              <w:rPr>
                <w:rFonts w:ascii="Arial" w:eastAsia="Calibri" w:hAnsi="Arial" w:cs="Arial"/>
                <w:spacing w:val="-4"/>
                <w:sz w:val="20"/>
                <w:szCs w:val="20"/>
                <w:lang w:val="es-EC"/>
              </w:rPr>
            </w:pPr>
            <w:r w:rsidRPr="00692A02">
              <w:rPr>
                <w:rFonts w:ascii="Arial" w:eastAsia="Calibri" w:hAnsi="Arial" w:cs="Arial"/>
                <w:spacing w:val="-4"/>
                <w:sz w:val="20"/>
                <w:szCs w:val="20"/>
                <w:lang w:val="es-EC"/>
              </w:rPr>
              <w:t>Numero</w:t>
            </w:r>
          </w:p>
        </w:tc>
        <w:tc>
          <w:tcPr>
            <w:tcW w:w="1170" w:type="dxa"/>
            <w:tcBorders>
              <w:top w:val="single" w:sz="4" w:space="0" w:color="000000"/>
              <w:left w:val="single" w:sz="4" w:space="0" w:color="000000"/>
              <w:bottom w:val="single" w:sz="4" w:space="0" w:color="000000"/>
              <w:right w:val="single" w:sz="4" w:space="0" w:color="000000"/>
            </w:tcBorders>
          </w:tcPr>
          <w:p w14:paraId="571DC1A7" w14:textId="7559E6B7" w:rsidR="00692A02" w:rsidRPr="00692A02" w:rsidRDefault="00D05B15" w:rsidP="00692A02">
            <w:pPr>
              <w:spacing w:before="20" w:after="20" w:line="240" w:lineRule="auto"/>
              <w:jc w:val="center"/>
              <w:rPr>
                <w:rFonts w:ascii="Arial" w:eastAsia="Calibri" w:hAnsi="Arial" w:cs="Arial"/>
                <w:spacing w:val="-4"/>
                <w:sz w:val="20"/>
                <w:szCs w:val="20"/>
                <w:lang w:val="es-EC"/>
              </w:rPr>
            </w:pPr>
            <w:r>
              <w:rPr>
                <w:rFonts w:ascii="Arial" w:eastAsia="Calibri" w:hAnsi="Arial" w:cs="Arial"/>
                <w:spacing w:val="-4"/>
                <w:sz w:val="20"/>
                <w:szCs w:val="20"/>
                <w:lang w:val="es-EC"/>
              </w:rPr>
              <w:t>0</w:t>
            </w:r>
          </w:p>
        </w:tc>
        <w:tc>
          <w:tcPr>
            <w:tcW w:w="723" w:type="dxa"/>
            <w:tcBorders>
              <w:top w:val="single" w:sz="4" w:space="0" w:color="000000"/>
              <w:left w:val="single" w:sz="4" w:space="0" w:color="000000"/>
              <w:bottom w:val="single" w:sz="4" w:space="0" w:color="000000"/>
              <w:right w:val="single" w:sz="4" w:space="0" w:color="000000"/>
            </w:tcBorders>
          </w:tcPr>
          <w:p w14:paraId="2B9AFC29" w14:textId="77777777" w:rsidR="00692A02" w:rsidRPr="00692A02" w:rsidRDefault="00692A02" w:rsidP="00692A02">
            <w:pPr>
              <w:spacing w:before="20" w:after="20" w:line="240" w:lineRule="auto"/>
              <w:jc w:val="center"/>
              <w:rPr>
                <w:rFonts w:ascii="Arial" w:eastAsia="Calibri" w:hAnsi="Arial" w:cs="Arial"/>
                <w:spacing w:val="-4"/>
                <w:sz w:val="20"/>
                <w:szCs w:val="20"/>
                <w:lang w:val="es-EC"/>
              </w:rPr>
            </w:pPr>
            <w:r w:rsidRPr="00692A02">
              <w:rPr>
                <w:rFonts w:ascii="Arial" w:eastAsia="Calibri" w:hAnsi="Arial" w:cs="Arial"/>
                <w:spacing w:val="-4"/>
                <w:sz w:val="20"/>
                <w:szCs w:val="20"/>
                <w:lang w:val="es-EC"/>
              </w:rPr>
              <w:t>2018</w:t>
            </w:r>
          </w:p>
        </w:tc>
        <w:tc>
          <w:tcPr>
            <w:tcW w:w="803" w:type="dxa"/>
            <w:tcBorders>
              <w:top w:val="single" w:sz="4" w:space="0" w:color="000000"/>
              <w:left w:val="single" w:sz="4" w:space="0" w:color="000000"/>
              <w:bottom w:val="single" w:sz="4" w:space="0" w:color="000000"/>
              <w:right w:val="single" w:sz="4" w:space="0" w:color="000000"/>
            </w:tcBorders>
          </w:tcPr>
          <w:p w14:paraId="73C87839" w14:textId="5B7671AB" w:rsidR="00692A02" w:rsidRPr="00692A02" w:rsidRDefault="00D05B15" w:rsidP="00692A02">
            <w:pPr>
              <w:spacing w:before="20" w:after="20"/>
              <w:jc w:val="center"/>
              <w:rPr>
                <w:rFonts w:ascii="Arial" w:eastAsia="Calibri" w:hAnsi="Arial" w:cs="Arial"/>
                <w:spacing w:val="-4"/>
                <w:sz w:val="20"/>
                <w:szCs w:val="20"/>
                <w:lang w:val="es-EC"/>
              </w:rPr>
            </w:pPr>
            <w:r>
              <w:rPr>
                <w:rFonts w:ascii="Arial" w:eastAsia="Calibri" w:hAnsi="Arial" w:cs="Arial"/>
                <w:spacing w:val="-4"/>
                <w:sz w:val="20"/>
                <w:szCs w:val="20"/>
                <w:lang w:val="es-EC"/>
              </w:rPr>
              <w:t>0</w:t>
            </w:r>
          </w:p>
        </w:tc>
        <w:tc>
          <w:tcPr>
            <w:tcW w:w="634" w:type="dxa"/>
            <w:tcBorders>
              <w:top w:val="single" w:sz="4" w:space="0" w:color="000000"/>
              <w:left w:val="single" w:sz="4" w:space="0" w:color="000000"/>
              <w:bottom w:val="single" w:sz="4" w:space="0" w:color="000000"/>
              <w:right w:val="single" w:sz="4" w:space="0" w:color="000000"/>
            </w:tcBorders>
          </w:tcPr>
          <w:p w14:paraId="6CB91FE9" w14:textId="69F38A08" w:rsidR="00692A02" w:rsidRPr="00692A02" w:rsidRDefault="00D05B15" w:rsidP="00692A02">
            <w:pPr>
              <w:spacing w:before="20" w:after="20"/>
              <w:jc w:val="center"/>
              <w:rPr>
                <w:rFonts w:ascii="Arial" w:eastAsia="Calibri" w:hAnsi="Arial" w:cs="Arial"/>
                <w:spacing w:val="-4"/>
                <w:sz w:val="20"/>
                <w:szCs w:val="20"/>
                <w:lang w:val="es-EC"/>
              </w:rPr>
            </w:pPr>
            <w:r>
              <w:rPr>
                <w:rFonts w:ascii="Arial" w:eastAsia="Calibri" w:hAnsi="Arial" w:cs="Arial"/>
                <w:spacing w:val="-4"/>
                <w:sz w:val="20"/>
                <w:szCs w:val="20"/>
                <w:lang w:val="es-EC"/>
              </w:rPr>
              <w:t>0</w:t>
            </w:r>
          </w:p>
        </w:tc>
        <w:tc>
          <w:tcPr>
            <w:tcW w:w="973" w:type="dxa"/>
            <w:tcBorders>
              <w:top w:val="single" w:sz="4" w:space="0" w:color="000000"/>
              <w:left w:val="single" w:sz="4" w:space="0" w:color="000000"/>
              <w:bottom w:val="single" w:sz="4" w:space="0" w:color="000000"/>
              <w:right w:val="single" w:sz="4" w:space="0" w:color="000000"/>
            </w:tcBorders>
          </w:tcPr>
          <w:p w14:paraId="150A1B91" w14:textId="77777777" w:rsidR="00692A02" w:rsidRPr="00692A02" w:rsidRDefault="00692A02" w:rsidP="00692A02">
            <w:pPr>
              <w:spacing w:before="20" w:after="20"/>
              <w:jc w:val="center"/>
              <w:rPr>
                <w:rFonts w:ascii="Arial" w:eastAsia="Calibri" w:hAnsi="Arial" w:cs="Arial"/>
                <w:spacing w:val="-4"/>
                <w:sz w:val="20"/>
                <w:szCs w:val="20"/>
                <w:lang w:val="es-EC"/>
              </w:rPr>
            </w:pPr>
            <w:r w:rsidRPr="00692A02">
              <w:rPr>
                <w:rFonts w:ascii="Arial" w:eastAsia="Calibri" w:hAnsi="Arial" w:cs="Arial"/>
                <w:spacing w:val="-4"/>
                <w:sz w:val="20"/>
                <w:szCs w:val="20"/>
                <w:lang w:val="es-EC"/>
              </w:rPr>
              <w:t>5</w:t>
            </w:r>
          </w:p>
        </w:tc>
        <w:tc>
          <w:tcPr>
            <w:tcW w:w="917" w:type="dxa"/>
            <w:tcBorders>
              <w:top w:val="single" w:sz="4" w:space="0" w:color="000000"/>
              <w:left w:val="single" w:sz="4" w:space="0" w:color="000000"/>
              <w:bottom w:val="single" w:sz="4" w:space="0" w:color="000000"/>
              <w:right w:val="single" w:sz="4" w:space="0" w:color="000000"/>
            </w:tcBorders>
          </w:tcPr>
          <w:p w14:paraId="3FD04F22" w14:textId="77777777" w:rsidR="00692A02" w:rsidRPr="00692A02" w:rsidRDefault="00692A02" w:rsidP="00692A02">
            <w:pPr>
              <w:spacing w:before="20" w:after="20"/>
              <w:jc w:val="center"/>
              <w:rPr>
                <w:rFonts w:ascii="Arial" w:eastAsia="Calibri" w:hAnsi="Arial" w:cs="Arial"/>
                <w:spacing w:val="-4"/>
                <w:sz w:val="20"/>
                <w:szCs w:val="20"/>
                <w:lang w:val="es-EC"/>
              </w:rPr>
            </w:pPr>
            <w:r w:rsidRPr="00692A02">
              <w:rPr>
                <w:rFonts w:ascii="Arial" w:eastAsia="Calibri" w:hAnsi="Arial" w:cs="Arial"/>
                <w:spacing w:val="-4"/>
                <w:sz w:val="20"/>
                <w:szCs w:val="20"/>
                <w:lang w:val="es-EC"/>
              </w:rPr>
              <w:t>10</w:t>
            </w:r>
          </w:p>
        </w:tc>
        <w:tc>
          <w:tcPr>
            <w:tcW w:w="1080" w:type="dxa"/>
            <w:tcBorders>
              <w:top w:val="single" w:sz="4" w:space="0" w:color="000000"/>
              <w:left w:val="single" w:sz="4" w:space="0" w:color="000000"/>
              <w:bottom w:val="single" w:sz="4" w:space="0" w:color="000000"/>
              <w:right w:val="single" w:sz="4" w:space="0" w:color="000000"/>
            </w:tcBorders>
          </w:tcPr>
          <w:p w14:paraId="3578B3CD" w14:textId="77777777" w:rsidR="00692A02" w:rsidRPr="00692A02" w:rsidRDefault="00692A02" w:rsidP="00692A02">
            <w:pPr>
              <w:spacing w:before="20" w:after="20"/>
              <w:jc w:val="center"/>
              <w:rPr>
                <w:rFonts w:ascii="Arial" w:eastAsia="Calibri" w:hAnsi="Arial" w:cs="Arial"/>
                <w:spacing w:val="-4"/>
                <w:sz w:val="20"/>
                <w:szCs w:val="20"/>
                <w:lang w:val="es-EC"/>
              </w:rPr>
            </w:pPr>
            <w:r w:rsidRPr="00692A02">
              <w:rPr>
                <w:rFonts w:ascii="Arial" w:eastAsia="Calibri" w:hAnsi="Arial" w:cs="Arial"/>
                <w:spacing w:val="-4"/>
                <w:sz w:val="20"/>
                <w:szCs w:val="20"/>
                <w:lang w:val="es-EC"/>
              </w:rPr>
              <w:t>15</w:t>
            </w:r>
          </w:p>
        </w:tc>
        <w:tc>
          <w:tcPr>
            <w:tcW w:w="1350" w:type="dxa"/>
            <w:tcBorders>
              <w:top w:val="single" w:sz="4" w:space="0" w:color="000000"/>
              <w:left w:val="single" w:sz="4" w:space="0" w:color="000000"/>
              <w:bottom w:val="single" w:sz="4" w:space="0" w:color="000000"/>
              <w:right w:val="single" w:sz="4" w:space="0" w:color="000000"/>
            </w:tcBorders>
          </w:tcPr>
          <w:p w14:paraId="7296A140" w14:textId="7B08C340" w:rsidR="00692A02" w:rsidRPr="00692A02" w:rsidRDefault="00D05B15" w:rsidP="00692A02">
            <w:pPr>
              <w:spacing w:before="20" w:after="20"/>
              <w:jc w:val="center"/>
              <w:rPr>
                <w:rFonts w:ascii="Arial" w:eastAsia="Calibri" w:hAnsi="Arial" w:cs="Arial"/>
                <w:spacing w:val="-4"/>
                <w:sz w:val="20"/>
                <w:szCs w:val="20"/>
                <w:lang w:val="es-EC"/>
              </w:rPr>
            </w:pPr>
            <w:r>
              <w:rPr>
                <w:rFonts w:ascii="Arial" w:eastAsia="Calibri" w:hAnsi="Arial" w:cs="Arial"/>
                <w:spacing w:val="-4"/>
                <w:sz w:val="20"/>
                <w:szCs w:val="20"/>
                <w:lang w:val="es-EC"/>
              </w:rPr>
              <w:t>3</w:t>
            </w:r>
            <w:r w:rsidR="00692A02" w:rsidRPr="00692A02">
              <w:rPr>
                <w:rFonts w:ascii="Arial" w:eastAsia="Calibri" w:hAnsi="Arial" w:cs="Arial"/>
                <w:spacing w:val="-4"/>
                <w:sz w:val="20"/>
                <w:szCs w:val="20"/>
                <w:lang w:val="es-EC"/>
              </w:rPr>
              <w:t>0</w:t>
            </w:r>
          </w:p>
        </w:tc>
        <w:tc>
          <w:tcPr>
            <w:tcW w:w="1260" w:type="dxa"/>
            <w:tcBorders>
              <w:top w:val="single" w:sz="4" w:space="0" w:color="000000"/>
              <w:left w:val="single" w:sz="4" w:space="0" w:color="000000"/>
              <w:bottom w:val="single" w:sz="4" w:space="0" w:color="000000"/>
              <w:right w:val="single" w:sz="4" w:space="0" w:color="000000"/>
            </w:tcBorders>
          </w:tcPr>
          <w:p w14:paraId="17B51607" w14:textId="3511C861" w:rsidR="00692A02" w:rsidRPr="00692A02" w:rsidRDefault="00692A02" w:rsidP="00692A02">
            <w:pPr>
              <w:spacing w:before="20" w:after="20" w:line="240" w:lineRule="auto"/>
              <w:jc w:val="center"/>
              <w:rPr>
                <w:rFonts w:ascii="Arial" w:eastAsia="Calibri" w:hAnsi="Arial" w:cs="Arial"/>
                <w:spacing w:val="-4"/>
                <w:sz w:val="20"/>
                <w:szCs w:val="20"/>
                <w:lang w:val="es-EC"/>
              </w:rPr>
            </w:pPr>
            <w:r w:rsidRPr="00692A02">
              <w:rPr>
                <w:rFonts w:ascii="Arial" w:eastAsia="Calibri" w:hAnsi="Arial" w:cs="Arial"/>
                <w:spacing w:val="-4"/>
                <w:sz w:val="20"/>
                <w:szCs w:val="20"/>
                <w:lang w:val="es-EC"/>
              </w:rPr>
              <w:t>Informe de la</w:t>
            </w:r>
            <w:r w:rsidR="00F41781">
              <w:rPr>
                <w:rFonts w:ascii="Arial" w:eastAsia="Calibri" w:hAnsi="Arial" w:cs="Arial"/>
                <w:spacing w:val="-4"/>
                <w:sz w:val="20"/>
                <w:szCs w:val="20"/>
                <w:lang w:val="es-EC"/>
              </w:rPr>
              <w:t xml:space="preserve"> </w:t>
            </w:r>
            <w:r w:rsidRPr="00692A02">
              <w:rPr>
                <w:rFonts w:ascii="Arial" w:eastAsia="Calibri" w:hAnsi="Arial" w:cs="Arial"/>
                <w:spacing w:val="-4"/>
                <w:sz w:val="20"/>
                <w:szCs w:val="20"/>
                <w:lang w:val="es-EC"/>
              </w:rPr>
              <w:t>SGP</w:t>
            </w:r>
          </w:p>
        </w:tc>
        <w:tc>
          <w:tcPr>
            <w:tcW w:w="2883" w:type="dxa"/>
            <w:tcBorders>
              <w:top w:val="single" w:sz="4" w:space="0" w:color="000000"/>
              <w:left w:val="single" w:sz="4" w:space="0" w:color="000000"/>
              <w:bottom w:val="single" w:sz="4" w:space="0" w:color="000000"/>
              <w:right w:val="single" w:sz="4" w:space="0" w:color="000000"/>
            </w:tcBorders>
          </w:tcPr>
          <w:p w14:paraId="191AD519" w14:textId="6EB0817E" w:rsidR="00692A02" w:rsidRPr="00692A02" w:rsidRDefault="00AE2163" w:rsidP="00692A02">
            <w:pPr>
              <w:spacing w:before="20" w:after="20" w:line="240" w:lineRule="auto"/>
              <w:jc w:val="both"/>
              <w:rPr>
                <w:rFonts w:ascii="Arial" w:eastAsia="Calibri" w:hAnsi="Arial" w:cs="Arial"/>
                <w:spacing w:val="-4"/>
                <w:sz w:val="20"/>
                <w:szCs w:val="20"/>
                <w:lang w:val="es-EC"/>
              </w:rPr>
            </w:pPr>
            <w:hyperlink r:id="rId16" w:history="1">
              <w:r w:rsidR="00692A02" w:rsidRPr="00692A02">
                <w:rPr>
                  <w:rFonts w:ascii="Arial" w:eastAsia="Calibri" w:hAnsi="Arial" w:cs="Arial"/>
                  <w:spacing w:val="-4"/>
                  <w:sz w:val="20"/>
                  <w:szCs w:val="20"/>
                  <w:lang w:val="es-EC"/>
                </w:rPr>
                <w:t>La consulta pública es una de las principales herramientas que los países miembros de la OCDE utilizan para dar transparencia al proceso de elaboración de regulaciones</w:t>
              </w:r>
            </w:hyperlink>
            <w:r w:rsidR="00692A02" w:rsidRPr="00692A02">
              <w:rPr>
                <w:rFonts w:ascii="Arial" w:eastAsia="Calibri" w:hAnsi="Arial" w:cs="Arial"/>
                <w:spacing w:val="-4"/>
                <w:sz w:val="20"/>
                <w:szCs w:val="20"/>
                <w:lang w:val="es-EC"/>
              </w:rPr>
              <w:t>.</w:t>
            </w:r>
            <w:r w:rsidR="00E223B1">
              <w:rPr>
                <w:rFonts w:ascii="Arial" w:eastAsia="Calibri" w:hAnsi="Arial" w:cs="Arial"/>
                <w:spacing w:val="-4"/>
                <w:sz w:val="20"/>
                <w:szCs w:val="20"/>
                <w:lang w:val="es-EC"/>
              </w:rPr>
              <w:t xml:space="preserve"> El resultado es relevante puesto que el haber podido realizar estas consultas </w:t>
            </w:r>
            <w:r w:rsidR="00E223B1">
              <w:rPr>
                <w:rFonts w:ascii="Arial" w:eastAsia="Calibri" w:hAnsi="Arial" w:cs="Arial"/>
                <w:spacing w:val="-4"/>
                <w:sz w:val="20"/>
                <w:szCs w:val="20"/>
                <w:lang w:val="es-EC"/>
              </w:rPr>
              <w:lastRenderedPageBreak/>
              <w:t xml:space="preserve">públicas, implica que se hayan ejecutado los productos 2.1 y 2.2 y que estos estén ya siendo utilizados por distintas agencias reguladoras y que los mismos están produciendo resultados. </w:t>
            </w:r>
          </w:p>
        </w:tc>
      </w:tr>
      <w:tr w:rsidR="00692A02" w:rsidRPr="00387315" w14:paraId="0A165827" w14:textId="77777777" w:rsidTr="00C2120C">
        <w:trPr>
          <w:trHeight w:val="567"/>
        </w:trPr>
        <w:tc>
          <w:tcPr>
            <w:tcW w:w="14758"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14:paraId="558FD61F" w14:textId="2F874601" w:rsidR="00692A02" w:rsidRPr="00692A02" w:rsidDel="006E3FA0" w:rsidRDefault="00692A02" w:rsidP="00692A02">
            <w:pPr>
              <w:spacing w:before="20" w:after="20" w:line="240" w:lineRule="auto"/>
              <w:rPr>
                <w:rFonts w:ascii="Arial" w:eastAsia="Calibri" w:hAnsi="Arial" w:cs="Arial"/>
                <w:b/>
                <w:caps/>
                <w:spacing w:val="-4"/>
                <w:sz w:val="20"/>
                <w:szCs w:val="20"/>
                <w:u w:val="single"/>
                <w:lang w:val="es-EC"/>
              </w:rPr>
            </w:pPr>
            <w:r w:rsidRPr="00692A02">
              <w:rPr>
                <w:rFonts w:ascii="Arial" w:eastAsia="Calibri" w:hAnsi="Arial" w:cs="Arial"/>
                <w:b/>
                <w:caps/>
                <w:spacing w:val="-4"/>
                <w:sz w:val="20"/>
                <w:szCs w:val="20"/>
                <w:u w:val="single"/>
                <w:lang w:val="es-EC"/>
              </w:rPr>
              <w:lastRenderedPageBreak/>
              <w:t>resultado # 3:</w:t>
            </w:r>
            <w:r w:rsidR="00F903E2" w:rsidRPr="00B1147E">
              <w:rPr>
                <w:rFonts w:ascii="Arial" w:eastAsia="Calibri" w:hAnsi="Arial" w:cs="Arial"/>
                <w:b/>
                <w:spacing w:val="-4"/>
                <w:sz w:val="20"/>
                <w:szCs w:val="20"/>
                <w:lang w:val="es-EC"/>
              </w:rPr>
              <w:t xml:space="preserve"> </w:t>
            </w:r>
            <w:r w:rsidR="00D65F71">
              <w:rPr>
                <w:rFonts w:ascii="Arial" w:eastAsia="Calibri" w:hAnsi="Arial" w:cs="Arial"/>
                <w:b/>
                <w:spacing w:val="-4"/>
                <w:sz w:val="20"/>
                <w:szCs w:val="20"/>
                <w:lang w:val="es-EC"/>
              </w:rPr>
              <w:t xml:space="preserve">Servicios y activos públicos </w:t>
            </w:r>
            <w:r w:rsidR="00F903E2" w:rsidRPr="00B1147E">
              <w:rPr>
                <w:rFonts w:ascii="Arial" w:eastAsia="Calibri" w:hAnsi="Arial" w:cs="Arial"/>
                <w:b/>
                <w:spacing w:val="-4"/>
                <w:sz w:val="20"/>
                <w:szCs w:val="20"/>
                <w:lang w:val="es-EC"/>
              </w:rPr>
              <w:t xml:space="preserve">de apoyo a la competitividad </w:t>
            </w:r>
            <w:r w:rsidR="00D866DB">
              <w:rPr>
                <w:rFonts w:ascii="Arial" w:eastAsia="Calibri" w:hAnsi="Arial" w:cs="Arial"/>
                <w:b/>
                <w:spacing w:val="-4"/>
                <w:sz w:val="20"/>
                <w:szCs w:val="20"/>
                <w:lang w:val="es-EC"/>
              </w:rPr>
              <w:t>gestionados eficientemente</w:t>
            </w:r>
          </w:p>
        </w:tc>
      </w:tr>
      <w:tr w:rsidR="00692A02" w:rsidRPr="00387315" w14:paraId="5A215EED" w14:textId="77777777" w:rsidTr="00C2120C">
        <w:trPr>
          <w:trHeight w:val="567"/>
        </w:trPr>
        <w:tc>
          <w:tcPr>
            <w:tcW w:w="2155" w:type="dxa"/>
            <w:tcBorders>
              <w:top w:val="single" w:sz="4" w:space="0" w:color="000000"/>
              <w:left w:val="single" w:sz="4" w:space="0" w:color="000000"/>
              <w:bottom w:val="single" w:sz="4" w:space="0" w:color="000000"/>
              <w:right w:val="single" w:sz="4" w:space="0" w:color="000000"/>
            </w:tcBorders>
          </w:tcPr>
          <w:p w14:paraId="1640916F" w14:textId="602F47A6" w:rsidR="00692A02" w:rsidRPr="008373D5" w:rsidRDefault="00692A02" w:rsidP="008373D5">
            <w:pPr>
              <w:pStyle w:val="ListParagraph"/>
              <w:numPr>
                <w:ilvl w:val="1"/>
                <w:numId w:val="9"/>
              </w:numPr>
              <w:spacing w:before="20" w:after="20" w:line="240" w:lineRule="auto"/>
              <w:ind w:left="390"/>
              <w:rPr>
                <w:rFonts w:ascii="Arial" w:eastAsia="Calibri" w:hAnsi="Arial" w:cs="Arial"/>
                <w:spacing w:val="-4"/>
                <w:sz w:val="20"/>
                <w:szCs w:val="20"/>
                <w:lang w:val="es-EC"/>
              </w:rPr>
            </w:pPr>
            <w:r w:rsidRPr="008373D5">
              <w:rPr>
                <w:rFonts w:ascii="Arial" w:eastAsia="Calibri" w:hAnsi="Arial" w:cs="Arial"/>
                <w:spacing w:val="-4"/>
                <w:sz w:val="20"/>
                <w:szCs w:val="20"/>
                <w:lang w:val="es-EC"/>
              </w:rPr>
              <w:t>Procesos de compras públicas realizados con un solo proveedor</w:t>
            </w:r>
          </w:p>
        </w:tc>
        <w:tc>
          <w:tcPr>
            <w:tcW w:w="810" w:type="dxa"/>
            <w:tcBorders>
              <w:top w:val="single" w:sz="4" w:space="0" w:color="000000"/>
              <w:left w:val="single" w:sz="4" w:space="0" w:color="000000"/>
              <w:bottom w:val="single" w:sz="4" w:space="0" w:color="000000"/>
              <w:right w:val="single" w:sz="4" w:space="0" w:color="000000"/>
            </w:tcBorders>
          </w:tcPr>
          <w:p w14:paraId="46180AD1" w14:textId="06C9F3CC" w:rsidR="00692A02" w:rsidRPr="00692A02" w:rsidRDefault="00367963" w:rsidP="00692A02">
            <w:pPr>
              <w:spacing w:before="20" w:after="20" w:line="240" w:lineRule="auto"/>
              <w:jc w:val="center"/>
              <w:rPr>
                <w:rFonts w:ascii="Arial" w:eastAsia="Calibri" w:hAnsi="Arial" w:cs="Arial"/>
                <w:spacing w:val="-4"/>
                <w:sz w:val="20"/>
                <w:szCs w:val="20"/>
                <w:lang w:val="es-EC"/>
              </w:rPr>
            </w:pPr>
            <w:r>
              <w:rPr>
                <w:rFonts w:ascii="Arial" w:eastAsia="Calibri" w:hAnsi="Arial" w:cs="Arial"/>
                <w:spacing w:val="-4"/>
                <w:sz w:val="20"/>
                <w:szCs w:val="20"/>
                <w:lang w:val="es-EC"/>
              </w:rPr>
              <w:t>%</w:t>
            </w:r>
          </w:p>
        </w:tc>
        <w:tc>
          <w:tcPr>
            <w:tcW w:w="1170" w:type="dxa"/>
            <w:tcBorders>
              <w:top w:val="single" w:sz="4" w:space="0" w:color="000000"/>
              <w:left w:val="single" w:sz="4" w:space="0" w:color="000000"/>
              <w:bottom w:val="single" w:sz="4" w:space="0" w:color="000000"/>
              <w:right w:val="single" w:sz="4" w:space="0" w:color="000000"/>
            </w:tcBorders>
          </w:tcPr>
          <w:p w14:paraId="2363D64F" w14:textId="77777777" w:rsidR="00692A02" w:rsidRPr="00692A02" w:rsidRDefault="00692A02" w:rsidP="00692A02">
            <w:pPr>
              <w:spacing w:before="20" w:after="20" w:line="240" w:lineRule="auto"/>
              <w:jc w:val="center"/>
              <w:rPr>
                <w:rFonts w:ascii="Arial" w:eastAsia="Calibri" w:hAnsi="Arial" w:cs="Arial"/>
                <w:spacing w:val="-4"/>
                <w:sz w:val="20"/>
                <w:szCs w:val="20"/>
                <w:lang w:val="es-EC"/>
              </w:rPr>
            </w:pPr>
            <w:r w:rsidRPr="00692A02">
              <w:rPr>
                <w:rFonts w:ascii="Arial" w:eastAsia="Calibri" w:hAnsi="Arial" w:cs="Arial"/>
                <w:spacing w:val="-4"/>
                <w:sz w:val="20"/>
                <w:szCs w:val="20"/>
                <w:lang w:val="es-EC"/>
              </w:rPr>
              <w:t xml:space="preserve">73% </w:t>
            </w:r>
            <w:r w:rsidRPr="00692A02">
              <w:rPr>
                <w:rFonts w:ascii="Arial" w:eastAsia="Calibri" w:hAnsi="Arial" w:cs="Arial"/>
                <w:spacing w:val="-4"/>
                <w:sz w:val="20"/>
                <w:szCs w:val="20"/>
                <w:vertAlign w:val="superscript"/>
                <w:lang w:val="es-EC"/>
              </w:rPr>
              <w:footnoteReference w:id="2"/>
            </w:r>
          </w:p>
        </w:tc>
        <w:tc>
          <w:tcPr>
            <w:tcW w:w="723" w:type="dxa"/>
            <w:tcBorders>
              <w:top w:val="single" w:sz="4" w:space="0" w:color="000000"/>
              <w:left w:val="single" w:sz="4" w:space="0" w:color="000000"/>
              <w:bottom w:val="single" w:sz="4" w:space="0" w:color="000000"/>
              <w:right w:val="single" w:sz="4" w:space="0" w:color="000000"/>
            </w:tcBorders>
          </w:tcPr>
          <w:p w14:paraId="48215B22" w14:textId="77777777" w:rsidR="00692A02" w:rsidRPr="00692A02" w:rsidRDefault="00692A02" w:rsidP="00692A02">
            <w:pPr>
              <w:spacing w:before="20" w:after="20" w:line="240" w:lineRule="auto"/>
              <w:jc w:val="center"/>
              <w:rPr>
                <w:rFonts w:ascii="Arial" w:eastAsia="Calibri" w:hAnsi="Arial" w:cs="Arial"/>
                <w:spacing w:val="-4"/>
                <w:sz w:val="20"/>
                <w:szCs w:val="20"/>
                <w:lang w:val="es-EC"/>
              </w:rPr>
            </w:pPr>
            <w:r w:rsidRPr="00692A02">
              <w:rPr>
                <w:rFonts w:ascii="Arial" w:eastAsia="Calibri" w:hAnsi="Arial" w:cs="Arial"/>
                <w:spacing w:val="-4"/>
                <w:sz w:val="20"/>
                <w:szCs w:val="20"/>
                <w:lang w:val="es-EC"/>
              </w:rPr>
              <w:t>2018</w:t>
            </w:r>
          </w:p>
        </w:tc>
        <w:tc>
          <w:tcPr>
            <w:tcW w:w="803" w:type="dxa"/>
            <w:tcBorders>
              <w:top w:val="single" w:sz="4" w:space="0" w:color="000000"/>
              <w:left w:val="single" w:sz="4" w:space="0" w:color="000000"/>
              <w:bottom w:val="single" w:sz="4" w:space="0" w:color="000000"/>
              <w:right w:val="single" w:sz="4" w:space="0" w:color="000000"/>
            </w:tcBorders>
          </w:tcPr>
          <w:p w14:paraId="42B1F74D" w14:textId="4E74D73F" w:rsidR="00692A02" w:rsidRPr="00692A02" w:rsidRDefault="00D05B15" w:rsidP="00692A02">
            <w:pPr>
              <w:spacing w:before="20" w:after="20"/>
              <w:jc w:val="center"/>
              <w:rPr>
                <w:rFonts w:ascii="Arial" w:eastAsia="Calibri" w:hAnsi="Arial" w:cs="Arial"/>
                <w:spacing w:val="-4"/>
                <w:sz w:val="20"/>
                <w:szCs w:val="20"/>
                <w:lang w:val="es-EC"/>
              </w:rPr>
            </w:pPr>
            <w:r>
              <w:rPr>
                <w:rFonts w:ascii="Arial" w:eastAsia="Calibri" w:hAnsi="Arial" w:cs="Arial"/>
                <w:spacing w:val="-4"/>
                <w:sz w:val="20"/>
                <w:szCs w:val="20"/>
                <w:lang w:val="es-EC"/>
              </w:rPr>
              <w:t>73%</w:t>
            </w:r>
          </w:p>
        </w:tc>
        <w:tc>
          <w:tcPr>
            <w:tcW w:w="634" w:type="dxa"/>
            <w:tcBorders>
              <w:top w:val="single" w:sz="4" w:space="0" w:color="000000"/>
              <w:left w:val="single" w:sz="4" w:space="0" w:color="000000"/>
              <w:bottom w:val="single" w:sz="4" w:space="0" w:color="000000"/>
              <w:right w:val="single" w:sz="4" w:space="0" w:color="000000"/>
            </w:tcBorders>
          </w:tcPr>
          <w:p w14:paraId="4069178B" w14:textId="77777777" w:rsidR="00692A02" w:rsidRPr="00692A02" w:rsidRDefault="00692A02" w:rsidP="00692A02">
            <w:pPr>
              <w:spacing w:before="20" w:after="20"/>
              <w:jc w:val="center"/>
              <w:rPr>
                <w:rFonts w:ascii="Arial" w:eastAsia="Calibri" w:hAnsi="Arial" w:cs="Arial"/>
                <w:spacing w:val="-4"/>
                <w:sz w:val="20"/>
                <w:szCs w:val="20"/>
                <w:lang w:val="es-EC"/>
              </w:rPr>
            </w:pPr>
            <w:r w:rsidRPr="00692A02">
              <w:rPr>
                <w:rFonts w:ascii="Arial" w:eastAsia="Calibri" w:hAnsi="Arial" w:cs="Arial"/>
                <w:spacing w:val="-4"/>
                <w:sz w:val="20"/>
                <w:szCs w:val="20"/>
                <w:lang w:val="es-EC"/>
              </w:rPr>
              <w:t>60%</w:t>
            </w:r>
          </w:p>
        </w:tc>
        <w:tc>
          <w:tcPr>
            <w:tcW w:w="973" w:type="dxa"/>
            <w:tcBorders>
              <w:top w:val="single" w:sz="4" w:space="0" w:color="000000"/>
              <w:left w:val="single" w:sz="4" w:space="0" w:color="000000"/>
              <w:bottom w:val="single" w:sz="4" w:space="0" w:color="000000"/>
              <w:right w:val="single" w:sz="4" w:space="0" w:color="000000"/>
            </w:tcBorders>
          </w:tcPr>
          <w:p w14:paraId="1AB90FC8" w14:textId="79E468A4" w:rsidR="00692A02" w:rsidRPr="00692A02" w:rsidRDefault="00D05B15" w:rsidP="00692A02">
            <w:pPr>
              <w:spacing w:before="20" w:after="20"/>
              <w:jc w:val="center"/>
              <w:rPr>
                <w:rFonts w:ascii="Arial" w:eastAsia="Calibri" w:hAnsi="Arial" w:cs="Arial"/>
                <w:spacing w:val="-4"/>
                <w:sz w:val="20"/>
                <w:szCs w:val="20"/>
                <w:lang w:val="es-EC"/>
              </w:rPr>
            </w:pPr>
            <w:r>
              <w:rPr>
                <w:rFonts w:ascii="Arial" w:eastAsia="Calibri" w:hAnsi="Arial" w:cs="Arial"/>
                <w:spacing w:val="-4"/>
                <w:sz w:val="20"/>
                <w:szCs w:val="20"/>
                <w:lang w:val="es-EC"/>
              </w:rPr>
              <w:t>57%</w:t>
            </w:r>
          </w:p>
        </w:tc>
        <w:tc>
          <w:tcPr>
            <w:tcW w:w="917" w:type="dxa"/>
            <w:tcBorders>
              <w:top w:val="single" w:sz="4" w:space="0" w:color="000000"/>
              <w:left w:val="single" w:sz="4" w:space="0" w:color="000000"/>
              <w:bottom w:val="single" w:sz="4" w:space="0" w:color="000000"/>
              <w:right w:val="single" w:sz="4" w:space="0" w:color="000000"/>
            </w:tcBorders>
          </w:tcPr>
          <w:p w14:paraId="489F2ECB" w14:textId="77777777" w:rsidR="00692A02" w:rsidRPr="00692A02" w:rsidRDefault="00692A02" w:rsidP="00692A02">
            <w:pPr>
              <w:spacing w:before="20" w:after="20"/>
              <w:jc w:val="center"/>
              <w:rPr>
                <w:rFonts w:ascii="Arial" w:eastAsia="Calibri" w:hAnsi="Arial" w:cs="Arial"/>
                <w:spacing w:val="-4"/>
                <w:sz w:val="20"/>
                <w:szCs w:val="20"/>
                <w:lang w:val="es-EC"/>
              </w:rPr>
            </w:pPr>
            <w:r w:rsidRPr="00692A02">
              <w:rPr>
                <w:rFonts w:ascii="Arial" w:eastAsia="Calibri" w:hAnsi="Arial" w:cs="Arial"/>
                <w:spacing w:val="-4"/>
                <w:sz w:val="20"/>
                <w:szCs w:val="20"/>
                <w:lang w:val="es-EC"/>
              </w:rPr>
              <w:t>55%</w:t>
            </w:r>
          </w:p>
        </w:tc>
        <w:tc>
          <w:tcPr>
            <w:tcW w:w="1080" w:type="dxa"/>
            <w:tcBorders>
              <w:top w:val="single" w:sz="4" w:space="0" w:color="000000"/>
              <w:left w:val="single" w:sz="4" w:space="0" w:color="000000"/>
              <w:bottom w:val="single" w:sz="4" w:space="0" w:color="000000"/>
              <w:right w:val="single" w:sz="4" w:space="0" w:color="000000"/>
            </w:tcBorders>
          </w:tcPr>
          <w:p w14:paraId="1DD2F1FF" w14:textId="3EC7CC54" w:rsidR="00692A02" w:rsidRPr="00692A02" w:rsidRDefault="00D05B15" w:rsidP="00692A02">
            <w:pPr>
              <w:spacing w:before="20" w:after="20"/>
              <w:jc w:val="center"/>
              <w:rPr>
                <w:rFonts w:ascii="Arial" w:eastAsia="Calibri" w:hAnsi="Arial" w:cs="Arial"/>
                <w:spacing w:val="-4"/>
                <w:sz w:val="20"/>
                <w:szCs w:val="20"/>
                <w:lang w:val="es-EC"/>
              </w:rPr>
            </w:pPr>
            <w:r>
              <w:rPr>
                <w:rFonts w:ascii="Arial" w:eastAsia="Calibri" w:hAnsi="Arial" w:cs="Arial"/>
                <w:spacing w:val="-4"/>
                <w:sz w:val="20"/>
                <w:szCs w:val="20"/>
                <w:lang w:val="es-EC"/>
              </w:rPr>
              <w:t>50%</w:t>
            </w:r>
          </w:p>
        </w:tc>
        <w:tc>
          <w:tcPr>
            <w:tcW w:w="1350" w:type="dxa"/>
            <w:tcBorders>
              <w:top w:val="single" w:sz="4" w:space="0" w:color="000000"/>
              <w:left w:val="single" w:sz="4" w:space="0" w:color="000000"/>
              <w:bottom w:val="single" w:sz="4" w:space="0" w:color="000000"/>
              <w:right w:val="single" w:sz="4" w:space="0" w:color="000000"/>
            </w:tcBorders>
          </w:tcPr>
          <w:p w14:paraId="409A8BB8" w14:textId="77777777" w:rsidR="00692A02" w:rsidRPr="00692A02" w:rsidRDefault="00692A02" w:rsidP="00692A02">
            <w:pPr>
              <w:spacing w:before="20" w:after="20"/>
              <w:jc w:val="center"/>
              <w:rPr>
                <w:rFonts w:ascii="Arial" w:eastAsia="Calibri" w:hAnsi="Arial" w:cs="Arial"/>
                <w:spacing w:val="-4"/>
                <w:sz w:val="20"/>
                <w:szCs w:val="20"/>
                <w:lang w:val="es-EC"/>
              </w:rPr>
            </w:pPr>
            <w:r w:rsidRPr="00692A02">
              <w:rPr>
                <w:rFonts w:ascii="Arial" w:eastAsia="Calibri" w:hAnsi="Arial" w:cs="Arial"/>
                <w:spacing w:val="-4"/>
                <w:sz w:val="20"/>
                <w:szCs w:val="20"/>
                <w:lang w:val="es-EC"/>
              </w:rPr>
              <w:t>50%</w:t>
            </w:r>
          </w:p>
        </w:tc>
        <w:tc>
          <w:tcPr>
            <w:tcW w:w="1260" w:type="dxa"/>
            <w:tcBorders>
              <w:top w:val="single" w:sz="4" w:space="0" w:color="000000"/>
              <w:left w:val="single" w:sz="4" w:space="0" w:color="000000"/>
              <w:bottom w:val="single" w:sz="4" w:space="0" w:color="000000"/>
              <w:right w:val="single" w:sz="4" w:space="0" w:color="000000"/>
            </w:tcBorders>
          </w:tcPr>
          <w:p w14:paraId="03EEE1A5" w14:textId="77777777" w:rsidR="00692A02" w:rsidRPr="00692A02" w:rsidRDefault="00692A02" w:rsidP="00692A02">
            <w:pPr>
              <w:spacing w:before="20" w:after="20" w:line="240" w:lineRule="auto"/>
              <w:rPr>
                <w:rFonts w:ascii="Arial" w:eastAsia="Calibri" w:hAnsi="Arial" w:cs="Arial"/>
                <w:spacing w:val="-4"/>
                <w:sz w:val="20"/>
                <w:szCs w:val="20"/>
                <w:lang w:val="es-EC"/>
              </w:rPr>
            </w:pPr>
            <w:r w:rsidRPr="00692A02">
              <w:rPr>
                <w:rFonts w:ascii="Arial" w:eastAsia="Calibri" w:hAnsi="Arial" w:cs="Arial"/>
                <w:spacing w:val="-4"/>
                <w:sz w:val="20"/>
                <w:szCs w:val="20"/>
                <w:lang w:val="es-EC"/>
              </w:rPr>
              <w:t>Caracterización de la Compra Pública SERCOP</w:t>
            </w:r>
          </w:p>
        </w:tc>
        <w:tc>
          <w:tcPr>
            <w:tcW w:w="2883" w:type="dxa"/>
            <w:tcBorders>
              <w:top w:val="single" w:sz="4" w:space="0" w:color="000000"/>
              <w:left w:val="single" w:sz="4" w:space="0" w:color="000000"/>
              <w:bottom w:val="single" w:sz="4" w:space="0" w:color="000000"/>
              <w:right w:val="single" w:sz="4" w:space="0" w:color="000000"/>
            </w:tcBorders>
          </w:tcPr>
          <w:p w14:paraId="7E533B92" w14:textId="77777777" w:rsidR="00692A02" w:rsidRPr="00692A02" w:rsidRDefault="00692A02" w:rsidP="00692A02">
            <w:pPr>
              <w:spacing w:before="20" w:after="20" w:line="240" w:lineRule="auto"/>
              <w:jc w:val="both"/>
              <w:rPr>
                <w:rFonts w:ascii="Arial" w:eastAsia="Calibri" w:hAnsi="Arial" w:cs="Arial"/>
                <w:spacing w:val="-4"/>
                <w:sz w:val="20"/>
                <w:szCs w:val="20"/>
                <w:lang w:val="es-EC"/>
              </w:rPr>
            </w:pPr>
            <w:r w:rsidRPr="00692A02">
              <w:rPr>
                <w:rFonts w:ascii="Arial" w:eastAsia="Calibri" w:hAnsi="Arial" w:cs="Arial"/>
                <w:spacing w:val="-4"/>
                <w:sz w:val="20"/>
                <w:szCs w:val="20"/>
                <w:lang w:val="es-EC"/>
              </w:rPr>
              <w:t>Mide el incremento de la competencia en los procesos de compras públicas del Gobierno. La participación y competencia en los procesos de contratación es crítica para obtención de buenos precios y calidad. Se estima que se podría ahorrar 2.4% solamente agregando un licitante más en los procesos con uno o dos participantes.</w:t>
            </w:r>
          </w:p>
        </w:tc>
      </w:tr>
      <w:tr w:rsidR="00D05B15" w:rsidRPr="00387315" w14:paraId="1D802A7C" w14:textId="77777777" w:rsidTr="00C2120C">
        <w:trPr>
          <w:trHeight w:val="567"/>
        </w:trPr>
        <w:tc>
          <w:tcPr>
            <w:tcW w:w="2155" w:type="dxa"/>
            <w:tcBorders>
              <w:top w:val="single" w:sz="4" w:space="0" w:color="000000"/>
              <w:left w:val="single" w:sz="4" w:space="0" w:color="000000"/>
              <w:bottom w:val="single" w:sz="4" w:space="0" w:color="000000"/>
              <w:right w:val="single" w:sz="4" w:space="0" w:color="000000"/>
            </w:tcBorders>
          </w:tcPr>
          <w:p w14:paraId="4D4392EC" w14:textId="020383E1" w:rsidR="00D05B15" w:rsidRPr="00692A02" w:rsidRDefault="00D05B15" w:rsidP="00D05B15">
            <w:pPr>
              <w:pStyle w:val="ListParagraph"/>
              <w:numPr>
                <w:ilvl w:val="1"/>
                <w:numId w:val="9"/>
              </w:numPr>
              <w:spacing w:before="20" w:after="20" w:line="240" w:lineRule="auto"/>
              <w:ind w:left="390"/>
              <w:rPr>
                <w:rFonts w:ascii="Arial" w:eastAsia="Calibri" w:hAnsi="Arial" w:cs="Arial"/>
                <w:spacing w:val="-4"/>
                <w:sz w:val="20"/>
                <w:szCs w:val="20"/>
                <w:lang w:val="es-EC"/>
              </w:rPr>
            </w:pPr>
            <w:r>
              <w:rPr>
                <w:rFonts w:ascii="Arial" w:eastAsia="Calibri" w:hAnsi="Arial" w:cs="Arial"/>
                <w:spacing w:val="-4"/>
                <w:sz w:val="20"/>
                <w:szCs w:val="20"/>
                <w:lang w:val="es-EC"/>
              </w:rPr>
              <w:t>B</w:t>
            </w:r>
            <w:r w:rsidRPr="00692A02">
              <w:rPr>
                <w:rFonts w:ascii="Arial" w:eastAsia="Calibri" w:hAnsi="Arial" w:cs="Arial"/>
                <w:spacing w:val="-4"/>
                <w:sz w:val="20"/>
                <w:szCs w:val="20"/>
                <w:lang w:val="es-EC"/>
              </w:rPr>
              <w:t>uenas prácticas en gestión de activos públicos implementadas</w:t>
            </w:r>
          </w:p>
        </w:tc>
        <w:tc>
          <w:tcPr>
            <w:tcW w:w="810" w:type="dxa"/>
            <w:tcBorders>
              <w:top w:val="single" w:sz="4" w:space="0" w:color="000000"/>
              <w:left w:val="single" w:sz="4" w:space="0" w:color="000000"/>
              <w:bottom w:val="single" w:sz="4" w:space="0" w:color="000000"/>
              <w:right w:val="single" w:sz="4" w:space="0" w:color="000000"/>
            </w:tcBorders>
          </w:tcPr>
          <w:p w14:paraId="346845FF" w14:textId="47D51A45" w:rsidR="00D05B15" w:rsidRPr="00692A02" w:rsidRDefault="00D05B15" w:rsidP="00D05B15">
            <w:pPr>
              <w:spacing w:before="20" w:after="20" w:line="240" w:lineRule="auto"/>
              <w:jc w:val="center"/>
              <w:rPr>
                <w:rFonts w:ascii="Arial" w:eastAsia="Calibri" w:hAnsi="Arial" w:cs="Arial"/>
                <w:spacing w:val="-4"/>
                <w:sz w:val="20"/>
                <w:szCs w:val="20"/>
                <w:lang w:val="es-EC"/>
              </w:rPr>
            </w:pPr>
            <w:r>
              <w:rPr>
                <w:rFonts w:ascii="Arial" w:eastAsia="Calibri" w:hAnsi="Arial" w:cs="Arial"/>
                <w:spacing w:val="-4"/>
                <w:sz w:val="20"/>
                <w:szCs w:val="20"/>
                <w:lang w:val="es-EC"/>
              </w:rPr>
              <w:t>%</w:t>
            </w:r>
          </w:p>
        </w:tc>
        <w:tc>
          <w:tcPr>
            <w:tcW w:w="1170" w:type="dxa"/>
            <w:tcBorders>
              <w:top w:val="single" w:sz="4" w:space="0" w:color="000000"/>
              <w:left w:val="single" w:sz="4" w:space="0" w:color="000000"/>
              <w:bottom w:val="single" w:sz="4" w:space="0" w:color="000000"/>
              <w:right w:val="single" w:sz="4" w:space="0" w:color="000000"/>
            </w:tcBorders>
          </w:tcPr>
          <w:p w14:paraId="1F520E72" w14:textId="4F926AA8" w:rsidR="00D05B15" w:rsidRPr="00692A02" w:rsidRDefault="00D05B15" w:rsidP="00D05B15">
            <w:pPr>
              <w:spacing w:before="20" w:after="20" w:line="240" w:lineRule="auto"/>
              <w:jc w:val="center"/>
              <w:rPr>
                <w:rFonts w:ascii="Arial" w:eastAsia="Calibri" w:hAnsi="Arial" w:cs="Arial"/>
                <w:spacing w:val="-4"/>
                <w:sz w:val="20"/>
                <w:szCs w:val="20"/>
                <w:lang w:val="es-EC"/>
              </w:rPr>
            </w:pPr>
            <w:r w:rsidRPr="00692A02">
              <w:rPr>
                <w:rFonts w:ascii="Arial" w:eastAsia="Calibri" w:hAnsi="Arial" w:cs="Arial"/>
                <w:spacing w:val="-4"/>
                <w:sz w:val="20"/>
                <w:szCs w:val="20"/>
                <w:lang w:val="es-EC"/>
              </w:rPr>
              <w:t>30</w:t>
            </w:r>
            <w:r>
              <w:rPr>
                <w:rFonts w:ascii="Arial" w:eastAsia="Calibri" w:hAnsi="Arial" w:cs="Arial"/>
                <w:spacing w:val="-4"/>
                <w:sz w:val="20"/>
                <w:szCs w:val="20"/>
                <w:lang w:val="es-EC"/>
              </w:rPr>
              <w:t>,</w:t>
            </w:r>
            <w:r w:rsidRPr="00692A02">
              <w:rPr>
                <w:rFonts w:ascii="Arial" w:eastAsia="Calibri" w:hAnsi="Arial" w:cs="Arial"/>
                <w:spacing w:val="-4"/>
                <w:sz w:val="20"/>
                <w:szCs w:val="20"/>
                <w:lang w:val="es-EC"/>
              </w:rPr>
              <w:t>36</w:t>
            </w:r>
          </w:p>
        </w:tc>
        <w:tc>
          <w:tcPr>
            <w:tcW w:w="723" w:type="dxa"/>
            <w:tcBorders>
              <w:top w:val="single" w:sz="4" w:space="0" w:color="000000"/>
              <w:left w:val="single" w:sz="4" w:space="0" w:color="000000"/>
              <w:bottom w:val="single" w:sz="4" w:space="0" w:color="000000"/>
              <w:right w:val="single" w:sz="4" w:space="0" w:color="000000"/>
            </w:tcBorders>
          </w:tcPr>
          <w:p w14:paraId="2A00F7D8" w14:textId="77777777" w:rsidR="00D05B15" w:rsidRPr="00692A02" w:rsidRDefault="00D05B15" w:rsidP="00D05B15">
            <w:pPr>
              <w:spacing w:before="20" w:after="20" w:line="240" w:lineRule="auto"/>
              <w:jc w:val="center"/>
              <w:rPr>
                <w:rFonts w:ascii="Arial" w:eastAsia="Calibri" w:hAnsi="Arial" w:cs="Arial"/>
                <w:spacing w:val="-4"/>
                <w:sz w:val="20"/>
                <w:szCs w:val="20"/>
                <w:lang w:val="es-EC"/>
              </w:rPr>
            </w:pPr>
            <w:r w:rsidRPr="00692A02">
              <w:rPr>
                <w:rFonts w:ascii="Arial" w:eastAsia="Calibri" w:hAnsi="Arial" w:cs="Arial"/>
                <w:spacing w:val="-4"/>
                <w:sz w:val="20"/>
                <w:szCs w:val="20"/>
                <w:lang w:val="es-EC"/>
              </w:rPr>
              <w:t>2017</w:t>
            </w:r>
          </w:p>
        </w:tc>
        <w:tc>
          <w:tcPr>
            <w:tcW w:w="803" w:type="dxa"/>
            <w:tcBorders>
              <w:top w:val="single" w:sz="4" w:space="0" w:color="000000"/>
              <w:left w:val="single" w:sz="4" w:space="0" w:color="000000"/>
              <w:bottom w:val="single" w:sz="4" w:space="0" w:color="000000"/>
              <w:right w:val="single" w:sz="4" w:space="0" w:color="000000"/>
            </w:tcBorders>
          </w:tcPr>
          <w:p w14:paraId="0230D770" w14:textId="181C208D" w:rsidR="00D05B15" w:rsidRPr="00692A02" w:rsidRDefault="00D05B15" w:rsidP="00D05B15">
            <w:pPr>
              <w:spacing w:before="20" w:after="20"/>
              <w:jc w:val="center"/>
              <w:rPr>
                <w:rFonts w:ascii="Arial" w:eastAsia="Calibri" w:hAnsi="Arial" w:cs="Arial"/>
                <w:spacing w:val="-4"/>
                <w:sz w:val="20"/>
                <w:szCs w:val="20"/>
                <w:lang w:val="es-EC"/>
              </w:rPr>
            </w:pPr>
            <w:r>
              <w:rPr>
                <w:rFonts w:ascii="Arial" w:hAnsi="Arial" w:cs="Arial"/>
                <w:sz w:val="20"/>
                <w:szCs w:val="20"/>
              </w:rPr>
              <w:t>30.36%</w:t>
            </w:r>
          </w:p>
        </w:tc>
        <w:tc>
          <w:tcPr>
            <w:tcW w:w="634" w:type="dxa"/>
            <w:tcBorders>
              <w:top w:val="single" w:sz="4" w:space="0" w:color="000000"/>
              <w:left w:val="single" w:sz="4" w:space="0" w:color="000000"/>
              <w:bottom w:val="single" w:sz="4" w:space="0" w:color="000000"/>
              <w:right w:val="single" w:sz="4" w:space="0" w:color="000000"/>
            </w:tcBorders>
          </w:tcPr>
          <w:p w14:paraId="26C59F7B" w14:textId="0A198CFB" w:rsidR="00D05B15" w:rsidRPr="00692A02" w:rsidRDefault="00D05B15" w:rsidP="00D05B15">
            <w:pPr>
              <w:spacing w:before="20" w:after="20"/>
              <w:jc w:val="center"/>
              <w:rPr>
                <w:rFonts w:ascii="Arial" w:eastAsia="Calibri" w:hAnsi="Arial" w:cs="Arial"/>
                <w:spacing w:val="-4"/>
                <w:sz w:val="20"/>
                <w:szCs w:val="20"/>
                <w:lang w:val="es-EC"/>
              </w:rPr>
            </w:pPr>
            <w:r>
              <w:rPr>
                <w:rFonts w:ascii="Arial" w:hAnsi="Arial" w:cs="Arial"/>
                <w:spacing w:val="-4"/>
                <w:sz w:val="20"/>
                <w:szCs w:val="20"/>
                <w:lang w:val="es-EC"/>
              </w:rPr>
              <w:t>35%</w:t>
            </w:r>
          </w:p>
        </w:tc>
        <w:tc>
          <w:tcPr>
            <w:tcW w:w="973" w:type="dxa"/>
            <w:tcBorders>
              <w:top w:val="single" w:sz="4" w:space="0" w:color="000000"/>
              <w:left w:val="single" w:sz="4" w:space="0" w:color="000000"/>
              <w:bottom w:val="single" w:sz="4" w:space="0" w:color="000000"/>
              <w:right w:val="single" w:sz="4" w:space="0" w:color="000000"/>
            </w:tcBorders>
          </w:tcPr>
          <w:p w14:paraId="06840995" w14:textId="67BB1B20" w:rsidR="00D05B15" w:rsidRPr="00692A02" w:rsidRDefault="00D05B15" w:rsidP="00D05B15">
            <w:pPr>
              <w:spacing w:before="20" w:after="20"/>
              <w:jc w:val="center"/>
              <w:rPr>
                <w:rFonts w:ascii="Arial" w:eastAsia="Calibri" w:hAnsi="Arial" w:cs="Arial"/>
                <w:spacing w:val="-4"/>
                <w:sz w:val="20"/>
                <w:szCs w:val="20"/>
                <w:lang w:val="es-EC"/>
              </w:rPr>
            </w:pPr>
            <w:r w:rsidRPr="00362C35">
              <w:rPr>
                <w:rFonts w:ascii="Arial" w:hAnsi="Arial" w:cs="Arial"/>
                <w:spacing w:val="-4"/>
                <w:sz w:val="20"/>
                <w:szCs w:val="20"/>
                <w:lang w:val="es-EC"/>
              </w:rPr>
              <w:t>40</w:t>
            </w:r>
            <w:r>
              <w:rPr>
                <w:rFonts w:ascii="Arial" w:hAnsi="Arial" w:cs="Arial"/>
                <w:spacing w:val="-4"/>
                <w:sz w:val="20"/>
                <w:szCs w:val="20"/>
                <w:lang w:val="es-EC"/>
              </w:rPr>
              <w:t>%</w:t>
            </w:r>
          </w:p>
        </w:tc>
        <w:tc>
          <w:tcPr>
            <w:tcW w:w="917" w:type="dxa"/>
            <w:tcBorders>
              <w:top w:val="single" w:sz="4" w:space="0" w:color="000000"/>
              <w:left w:val="single" w:sz="4" w:space="0" w:color="000000"/>
              <w:bottom w:val="single" w:sz="4" w:space="0" w:color="000000"/>
              <w:right w:val="single" w:sz="4" w:space="0" w:color="000000"/>
            </w:tcBorders>
          </w:tcPr>
          <w:p w14:paraId="12703FB8" w14:textId="1A375F52" w:rsidR="00D05B15" w:rsidRPr="00692A02" w:rsidRDefault="00D05B15" w:rsidP="00D05B15">
            <w:pPr>
              <w:spacing w:before="20" w:after="20"/>
              <w:jc w:val="center"/>
              <w:rPr>
                <w:rFonts w:ascii="Arial" w:eastAsia="Calibri" w:hAnsi="Arial" w:cs="Arial"/>
                <w:spacing w:val="-4"/>
                <w:sz w:val="20"/>
                <w:szCs w:val="20"/>
                <w:lang w:val="es-EC"/>
              </w:rPr>
            </w:pPr>
            <w:r>
              <w:rPr>
                <w:rFonts w:ascii="Arial" w:hAnsi="Arial" w:cs="Arial"/>
                <w:spacing w:val="-4"/>
                <w:sz w:val="20"/>
                <w:szCs w:val="20"/>
                <w:lang w:val="es-EC"/>
              </w:rPr>
              <w:t>45%</w:t>
            </w:r>
          </w:p>
        </w:tc>
        <w:tc>
          <w:tcPr>
            <w:tcW w:w="1080" w:type="dxa"/>
            <w:tcBorders>
              <w:top w:val="single" w:sz="4" w:space="0" w:color="000000"/>
              <w:left w:val="single" w:sz="4" w:space="0" w:color="000000"/>
              <w:bottom w:val="single" w:sz="4" w:space="0" w:color="000000"/>
              <w:right w:val="single" w:sz="4" w:space="0" w:color="000000"/>
            </w:tcBorders>
          </w:tcPr>
          <w:p w14:paraId="77493E39" w14:textId="4EB72068" w:rsidR="00D05B15" w:rsidRPr="00692A02" w:rsidRDefault="00D05B15" w:rsidP="00D05B15">
            <w:pPr>
              <w:spacing w:before="20" w:after="20"/>
              <w:jc w:val="center"/>
              <w:rPr>
                <w:rFonts w:ascii="Arial" w:eastAsia="Calibri" w:hAnsi="Arial" w:cs="Arial"/>
                <w:spacing w:val="-4"/>
                <w:sz w:val="20"/>
                <w:szCs w:val="20"/>
                <w:lang w:val="es-EC"/>
              </w:rPr>
            </w:pPr>
            <w:r>
              <w:rPr>
                <w:rFonts w:ascii="Arial" w:hAnsi="Arial" w:cs="Arial"/>
                <w:sz w:val="20"/>
                <w:szCs w:val="20"/>
              </w:rPr>
              <w:t>50%</w:t>
            </w:r>
          </w:p>
        </w:tc>
        <w:tc>
          <w:tcPr>
            <w:tcW w:w="1350" w:type="dxa"/>
            <w:tcBorders>
              <w:top w:val="single" w:sz="4" w:space="0" w:color="000000"/>
              <w:left w:val="single" w:sz="4" w:space="0" w:color="000000"/>
              <w:bottom w:val="single" w:sz="4" w:space="0" w:color="000000"/>
              <w:right w:val="single" w:sz="4" w:space="0" w:color="000000"/>
            </w:tcBorders>
          </w:tcPr>
          <w:p w14:paraId="4FE4FC61" w14:textId="4E070F69" w:rsidR="00D05B15" w:rsidRPr="00692A02" w:rsidRDefault="00D05B15" w:rsidP="00D05B15">
            <w:pPr>
              <w:spacing w:before="20" w:after="20"/>
              <w:jc w:val="center"/>
              <w:rPr>
                <w:rFonts w:ascii="Arial" w:eastAsia="Calibri" w:hAnsi="Arial" w:cs="Arial"/>
                <w:spacing w:val="-4"/>
                <w:sz w:val="20"/>
                <w:szCs w:val="20"/>
                <w:lang w:val="es-EC"/>
              </w:rPr>
            </w:pPr>
            <w:r w:rsidRPr="00362C35">
              <w:rPr>
                <w:rFonts w:ascii="Arial" w:hAnsi="Arial" w:cs="Arial"/>
                <w:spacing w:val="-4"/>
                <w:sz w:val="20"/>
                <w:szCs w:val="20"/>
                <w:lang w:val="es-EC"/>
              </w:rPr>
              <w:t>50</w:t>
            </w:r>
            <w:r>
              <w:rPr>
                <w:rFonts w:ascii="Arial" w:hAnsi="Arial" w:cs="Arial"/>
                <w:spacing w:val="-4"/>
                <w:sz w:val="20"/>
                <w:szCs w:val="20"/>
                <w:lang w:val="es-EC"/>
              </w:rPr>
              <w:t>%</w:t>
            </w:r>
          </w:p>
        </w:tc>
        <w:tc>
          <w:tcPr>
            <w:tcW w:w="1260" w:type="dxa"/>
            <w:tcBorders>
              <w:top w:val="single" w:sz="4" w:space="0" w:color="000000"/>
              <w:left w:val="single" w:sz="4" w:space="0" w:color="000000"/>
              <w:bottom w:val="single" w:sz="4" w:space="0" w:color="000000"/>
              <w:right w:val="single" w:sz="4" w:space="0" w:color="000000"/>
            </w:tcBorders>
          </w:tcPr>
          <w:p w14:paraId="1EB2EFD4" w14:textId="77777777" w:rsidR="00D05B15" w:rsidRPr="00692A02" w:rsidRDefault="00D05B15" w:rsidP="00E61805">
            <w:pPr>
              <w:spacing w:before="20" w:after="20" w:line="240" w:lineRule="auto"/>
              <w:rPr>
                <w:rFonts w:ascii="Arial" w:eastAsia="Calibri" w:hAnsi="Arial" w:cs="Arial"/>
                <w:spacing w:val="-4"/>
                <w:sz w:val="20"/>
                <w:szCs w:val="20"/>
                <w:lang w:val="es-EC"/>
              </w:rPr>
            </w:pPr>
            <w:r w:rsidRPr="00E61805">
              <w:rPr>
                <w:rFonts w:ascii="Arial" w:hAnsi="Arial" w:cs="Arial"/>
                <w:spacing w:val="-4"/>
                <w:sz w:val="20"/>
                <w:szCs w:val="20"/>
                <w:lang w:val="es-EC"/>
              </w:rPr>
              <w:t>Informe</w:t>
            </w:r>
            <w:r w:rsidRPr="00692A02">
              <w:rPr>
                <w:rFonts w:ascii="Arial" w:eastAsia="Calibri" w:hAnsi="Arial" w:cs="Arial"/>
                <w:spacing w:val="-4"/>
                <w:sz w:val="20"/>
                <w:szCs w:val="20"/>
                <w:lang w:val="es-EC"/>
              </w:rPr>
              <w:t xml:space="preserve"> de SGP</w:t>
            </w:r>
          </w:p>
        </w:tc>
        <w:tc>
          <w:tcPr>
            <w:tcW w:w="2883" w:type="dxa"/>
            <w:tcBorders>
              <w:top w:val="single" w:sz="4" w:space="0" w:color="000000"/>
              <w:left w:val="single" w:sz="4" w:space="0" w:color="000000"/>
              <w:bottom w:val="single" w:sz="4" w:space="0" w:color="000000"/>
              <w:right w:val="single" w:sz="4" w:space="0" w:color="000000"/>
            </w:tcBorders>
          </w:tcPr>
          <w:p w14:paraId="51A762A5" w14:textId="77777777" w:rsidR="00D05B15" w:rsidRPr="00692A02" w:rsidRDefault="00D05B15" w:rsidP="00D05B15">
            <w:pPr>
              <w:spacing w:before="20" w:after="20" w:line="240" w:lineRule="auto"/>
              <w:jc w:val="both"/>
              <w:rPr>
                <w:rFonts w:ascii="Arial" w:eastAsia="Calibri" w:hAnsi="Arial" w:cs="Arial"/>
                <w:spacing w:val="-4"/>
                <w:sz w:val="20"/>
                <w:szCs w:val="20"/>
                <w:lang w:val="es-EC"/>
              </w:rPr>
            </w:pPr>
            <w:r w:rsidRPr="00692A02">
              <w:rPr>
                <w:rFonts w:ascii="Arial" w:eastAsia="Calibri" w:hAnsi="Arial" w:cs="Arial"/>
                <w:spacing w:val="-4"/>
                <w:sz w:val="20"/>
                <w:szCs w:val="20"/>
                <w:lang w:val="es-EC"/>
              </w:rPr>
              <w:t>El porcentaje corresponde a buenas prácticas alcanzadas en gestión de activos en promedio en entidades de la APCID, según se definen en la norma ISO 55001</w:t>
            </w:r>
          </w:p>
        </w:tc>
      </w:tr>
      <w:tr w:rsidR="00692A02" w:rsidRPr="00387315" w14:paraId="3D62F3B7" w14:textId="77777777" w:rsidTr="00C2120C">
        <w:trPr>
          <w:trHeight w:val="567"/>
        </w:trPr>
        <w:tc>
          <w:tcPr>
            <w:tcW w:w="1475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58EAA904" w14:textId="59899666" w:rsidR="00692A02" w:rsidRPr="00692A02" w:rsidRDefault="00692A02" w:rsidP="00692A02">
            <w:pPr>
              <w:spacing w:before="20" w:after="20" w:line="240" w:lineRule="auto"/>
              <w:rPr>
                <w:rFonts w:ascii="Arial" w:eastAsia="Calibri" w:hAnsi="Arial" w:cs="Arial"/>
                <w:spacing w:val="-4"/>
                <w:sz w:val="20"/>
                <w:szCs w:val="20"/>
                <w:highlight w:val="yellow"/>
                <w:lang w:val="es-EC"/>
              </w:rPr>
            </w:pPr>
            <w:r w:rsidRPr="00692A02">
              <w:rPr>
                <w:rFonts w:ascii="Arial" w:eastAsia="Calibri" w:hAnsi="Arial" w:cs="Arial"/>
                <w:b/>
                <w:caps/>
                <w:spacing w:val="-4"/>
                <w:sz w:val="20"/>
                <w:szCs w:val="20"/>
                <w:u w:val="single"/>
                <w:lang w:val="es-EC"/>
              </w:rPr>
              <w:t xml:space="preserve">resultado # 4: </w:t>
            </w:r>
            <w:r w:rsidR="004B6739">
              <w:rPr>
                <w:rFonts w:ascii="Arial" w:hAnsi="Arial" w:cs="Arial"/>
                <w:b/>
                <w:spacing w:val="-4"/>
                <w:sz w:val="20"/>
                <w:szCs w:val="20"/>
                <w:lang w:val="es-EC"/>
              </w:rPr>
              <w:t xml:space="preserve"> </w:t>
            </w:r>
            <w:r w:rsidR="004B6739">
              <w:rPr>
                <w:rFonts w:ascii="Arial" w:hAnsi="Arial" w:cs="Arial"/>
                <w:b/>
                <w:spacing w:val="-4"/>
                <w:sz w:val="20"/>
                <w:szCs w:val="20"/>
                <w:lang w:val="es-EC"/>
              </w:rPr>
              <w:t>Costos de transacción para empresas y ciudadanos reducidos</w:t>
            </w:r>
            <w:bookmarkStart w:id="8" w:name="_GoBack"/>
            <w:bookmarkEnd w:id="8"/>
          </w:p>
        </w:tc>
      </w:tr>
      <w:tr w:rsidR="00692A02" w:rsidRPr="00387315" w14:paraId="5989AA46" w14:textId="77777777" w:rsidTr="00C2120C">
        <w:trPr>
          <w:trHeight w:val="567"/>
        </w:trPr>
        <w:tc>
          <w:tcPr>
            <w:tcW w:w="2155" w:type="dxa"/>
            <w:tcBorders>
              <w:top w:val="single" w:sz="4" w:space="0" w:color="000000"/>
              <w:left w:val="single" w:sz="4" w:space="0" w:color="000000"/>
              <w:bottom w:val="single" w:sz="4" w:space="0" w:color="000000"/>
              <w:right w:val="single" w:sz="4" w:space="0" w:color="000000"/>
            </w:tcBorders>
          </w:tcPr>
          <w:p w14:paraId="182C9796" w14:textId="02240560" w:rsidR="00692A02" w:rsidRPr="00692A02" w:rsidRDefault="008373D5" w:rsidP="008373D5">
            <w:pPr>
              <w:pStyle w:val="ListParagraph"/>
              <w:spacing w:before="20" w:after="20" w:line="240" w:lineRule="auto"/>
              <w:ind w:left="390" w:hanging="360"/>
              <w:rPr>
                <w:rFonts w:ascii="Arial" w:eastAsia="Calibri" w:hAnsi="Arial" w:cs="Arial"/>
                <w:spacing w:val="-4"/>
                <w:sz w:val="20"/>
                <w:szCs w:val="20"/>
                <w:lang w:val="es-EC"/>
              </w:rPr>
            </w:pPr>
            <w:r>
              <w:rPr>
                <w:rFonts w:ascii="Arial" w:eastAsia="Calibri" w:hAnsi="Arial" w:cs="Arial"/>
                <w:spacing w:val="-4"/>
                <w:sz w:val="20"/>
                <w:szCs w:val="20"/>
                <w:lang w:val="es-EC"/>
              </w:rPr>
              <w:t xml:space="preserve">4.1 </w:t>
            </w:r>
            <w:r w:rsidR="00692A02" w:rsidRPr="00692A02">
              <w:rPr>
                <w:rFonts w:ascii="Arial" w:eastAsia="Calibri" w:hAnsi="Arial" w:cs="Arial"/>
                <w:spacing w:val="-4"/>
                <w:sz w:val="20"/>
                <w:szCs w:val="20"/>
                <w:lang w:val="es-EC"/>
              </w:rPr>
              <w:t>Firmas en riesgo que son inactivadas oportunamente</w:t>
            </w:r>
          </w:p>
          <w:p w14:paraId="01C022BF" w14:textId="77777777" w:rsidR="00692A02" w:rsidRPr="00692A02" w:rsidRDefault="00692A02" w:rsidP="00A37C22">
            <w:pPr>
              <w:spacing w:before="20" w:after="20" w:line="240" w:lineRule="auto"/>
              <w:ind w:left="360"/>
              <w:contextualSpacing/>
              <w:rPr>
                <w:rFonts w:ascii="Arial" w:eastAsia="Calibri" w:hAnsi="Arial" w:cs="Arial"/>
                <w:spacing w:val="-4"/>
                <w:sz w:val="20"/>
                <w:szCs w:val="20"/>
                <w:lang w:val="es-EC"/>
              </w:rPr>
            </w:pPr>
          </w:p>
        </w:tc>
        <w:tc>
          <w:tcPr>
            <w:tcW w:w="810" w:type="dxa"/>
            <w:tcBorders>
              <w:top w:val="single" w:sz="4" w:space="0" w:color="000000"/>
              <w:left w:val="single" w:sz="4" w:space="0" w:color="000000"/>
              <w:bottom w:val="single" w:sz="4" w:space="0" w:color="000000"/>
              <w:right w:val="single" w:sz="4" w:space="0" w:color="000000"/>
            </w:tcBorders>
          </w:tcPr>
          <w:p w14:paraId="4301B747" w14:textId="555D9FD5" w:rsidR="00692A02" w:rsidRPr="00692A02" w:rsidRDefault="00367963" w:rsidP="00692A02">
            <w:pPr>
              <w:spacing w:before="20" w:after="20" w:line="240" w:lineRule="auto"/>
              <w:jc w:val="center"/>
              <w:rPr>
                <w:rFonts w:ascii="Arial" w:eastAsia="Calibri" w:hAnsi="Arial" w:cs="Arial"/>
                <w:spacing w:val="-4"/>
                <w:sz w:val="20"/>
                <w:szCs w:val="20"/>
                <w:lang w:val="es-EC"/>
              </w:rPr>
            </w:pPr>
            <w:r>
              <w:rPr>
                <w:rFonts w:ascii="Arial" w:eastAsia="Calibri" w:hAnsi="Arial" w:cs="Arial"/>
                <w:spacing w:val="-4"/>
                <w:sz w:val="20"/>
                <w:szCs w:val="20"/>
                <w:lang w:val="es-EC"/>
              </w:rPr>
              <w:t>%</w:t>
            </w:r>
          </w:p>
        </w:tc>
        <w:tc>
          <w:tcPr>
            <w:tcW w:w="1170" w:type="dxa"/>
            <w:tcBorders>
              <w:top w:val="single" w:sz="4" w:space="0" w:color="000000"/>
              <w:left w:val="single" w:sz="4" w:space="0" w:color="000000"/>
              <w:bottom w:val="single" w:sz="4" w:space="0" w:color="000000"/>
              <w:right w:val="single" w:sz="4" w:space="0" w:color="000000"/>
            </w:tcBorders>
          </w:tcPr>
          <w:p w14:paraId="33E0F9FC" w14:textId="3F1291F0" w:rsidR="00692A02" w:rsidRPr="00692A02" w:rsidRDefault="00692A02" w:rsidP="00692A02">
            <w:pPr>
              <w:spacing w:before="20" w:after="20" w:line="240" w:lineRule="auto"/>
              <w:jc w:val="center"/>
              <w:rPr>
                <w:rFonts w:ascii="Arial" w:eastAsia="Calibri" w:hAnsi="Arial" w:cs="Arial"/>
                <w:spacing w:val="-4"/>
                <w:sz w:val="20"/>
                <w:szCs w:val="20"/>
                <w:lang w:val="es-EC"/>
              </w:rPr>
            </w:pPr>
            <w:r w:rsidRPr="00692A02">
              <w:rPr>
                <w:rFonts w:ascii="Arial" w:eastAsia="Calibri" w:hAnsi="Arial" w:cs="Arial"/>
                <w:spacing w:val="-4"/>
                <w:sz w:val="20"/>
                <w:szCs w:val="20"/>
                <w:lang w:val="es-EC"/>
              </w:rPr>
              <w:t>22</w:t>
            </w:r>
            <w:r w:rsidR="009C76B0">
              <w:rPr>
                <w:rFonts w:ascii="Arial" w:eastAsia="Calibri" w:hAnsi="Arial" w:cs="Arial"/>
                <w:spacing w:val="-4"/>
                <w:sz w:val="20"/>
                <w:szCs w:val="20"/>
                <w:lang w:val="es-EC"/>
              </w:rPr>
              <w:t>%</w:t>
            </w:r>
          </w:p>
        </w:tc>
        <w:tc>
          <w:tcPr>
            <w:tcW w:w="723" w:type="dxa"/>
            <w:tcBorders>
              <w:top w:val="single" w:sz="4" w:space="0" w:color="000000"/>
              <w:left w:val="single" w:sz="4" w:space="0" w:color="000000"/>
              <w:bottom w:val="single" w:sz="4" w:space="0" w:color="000000"/>
              <w:right w:val="single" w:sz="4" w:space="0" w:color="000000"/>
            </w:tcBorders>
          </w:tcPr>
          <w:p w14:paraId="58E30533" w14:textId="77777777" w:rsidR="00692A02" w:rsidRPr="00692A02" w:rsidRDefault="00692A02" w:rsidP="00692A02">
            <w:pPr>
              <w:spacing w:before="20" w:after="20" w:line="240" w:lineRule="auto"/>
              <w:jc w:val="center"/>
              <w:rPr>
                <w:rFonts w:ascii="Arial" w:eastAsia="Calibri" w:hAnsi="Arial" w:cs="Arial"/>
                <w:spacing w:val="-4"/>
                <w:sz w:val="20"/>
                <w:szCs w:val="20"/>
                <w:lang w:val="es-EC"/>
              </w:rPr>
            </w:pPr>
            <w:r w:rsidRPr="00692A02">
              <w:rPr>
                <w:rFonts w:ascii="Arial" w:eastAsia="Calibri" w:hAnsi="Arial" w:cs="Arial"/>
                <w:spacing w:val="-4"/>
                <w:sz w:val="20"/>
                <w:szCs w:val="20"/>
                <w:lang w:val="es-EC"/>
              </w:rPr>
              <w:t>2018</w:t>
            </w:r>
          </w:p>
        </w:tc>
        <w:tc>
          <w:tcPr>
            <w:tcW w:w="803" w:type="dxa"/>
            <w:tcBorders>
              <w:top w:val="single" w:sz="4" w:space="0" w:color="000000"/>
              <w:left w:val="single" w:sz="4" w:space="0" w:color="000000"/>
              <w:bottom w:val="single" w:sz="4" w:space="0" w:color="000000"/>
              <w:right w:val="single" w:sz="4" w:space="0" w:color="000000"/>
            </w:tcBorders>
          </w:tcPr>
          <w:p w14:paraId="184B4867" w14:textId="59A2D14B" w:rsidR="00692A02" w:rsidRPr="00692A02" w:rsidRDefault="00D05B15" w:rsidP="00692A02">
            <w:pPr>
              <w:spacing w:before="20" w:after="20"/>
              <w:jc w:val="center"/>
              <w:rPr>
                <w:rFonts w:ascii="Arial" w:eastAsia="Calibri" w:hAnsi="Arial" w:cs="Arial"/>
                <w:spacing w:val="-4"/>
                <w:sz w:val="20"/>
                <w:szCs w:val="20"/>
                <w:lang w:val="es-EC"/>
              </w:rPr>
            </w:pPr>
            <w:r>
              <w:rPr>
                <w:rFonts w:ascii="Arial" w:eastAsia="Calibri" w:hAnsi="Arial" w:cs="Arial"/>
                <w:spacing w:val="-4"/>
                <w:sz w:val="20"/>
                <w:szCs w:val="20"/>
                <w:lang w:val="es-EC"/>
              </w:rPr>
              <w:t>22%</w:t>
            </w:r>
          </w:p>
        </w:tc>
        <w:tc>
          <w:tcPr>
            <w:tcW w:w="634" w:type="dxa"/>
            <w:tcBorders>
              <w:top w:val="single" w:sz="4" w:space="0" w:color="000000"/>
              <w:left w:val="single" w:sz="4" w:space="0" w:color="000000"/>
              <w:bottom w:val="single" w:sz="4" w:space="0" w:color="000000"/>
              <w:right w:val="single" w:sz="4" w:space="0" w:color="000000"/>
            </w:tcBorders>
          </w:tcPr>
          <w:p w14:paraId="1B2546DA" w14:textId="3C3AA551" w:rsidR="00692A02" w:rsidRPr="00692A02" w:rsidRDefault="00D05B15" w:rsidP="00692A02">
            <w:pPr>
              <w:spacing w:before="20" w:after="20"/>
              <w:jc w:val="center"/>
              <w:rPr>
                <w:rFonts w:ascii="Arial" w:eastAsia="Calibri" w:hAnsi="Arial" w:cs="Arial"/>
                <w:spacing w:val="-4"/>
                <w:sz w:val="20"/>
                <w:szCs w:val="20"/>
                <w:lang w:val="es-EC"/>
              </w:rPr>
            </w:pPr>
            <w:r>
              <w:rPr>
                <w:rFonts w:ascii="Arial" w:eastAsia="Calibri" w:hAnsi="Arial" w:cs="Arial"/>
                <w:spacing w:val="-4"/>
                <w:sz w:val="20"/>
                <w:szCs w:val="20"/>
                <w:lang w:val="es-EC"/>
              </w:rPr>
              <w:t>25%</w:t>
            </w:r>
          </w:p>
        </w:tc>
        <w:tc>
          <w:tcPr>
            <w:tcW w:w="973" w:type="dxa"/>
            <w:tcBorders>
              <w:top w:val="single" w:sz="4" w:space="0" w:color="000000"/>
              <w:left w:val="single" w:sz="4" w:space="0" w:color="000000"/>
              <w:bottom w:val="single" w:sz="4" w:space="0" w:color="000000"/>
              <w:right w:val="single" w:sz="4" w:space="0" w:color="000000"/>
            </w:tcBorders>
          </w:tcPr>
          <w:p w14:paraId="001BCBDA" w14:textId="46757509" w:rsidR="00692A02" w:rsidRPr="00692A02" w:rsidRDefault="00692A02" w:rsidP="00692A02">
            <w:pPr>
              <w:spacing w:before="20" w:after="20"/>
              <w:jc w:val="center"/>
              <w:rPr>
                <w:rFonts w:ascii="Arial" w:eastAsia="Calibri" w:hAnsi="Arial" w:cs="Arial"/>
                <w:spacing w:val="-4"/>
                <w:sz w:val="20"/>
                <w:szCs w:val="20"/>
                <w:lang w:val="es-EC"/>
              </w:rPr>
            </w:pPr>
            <w:r w:rsidRPr="00692A02">
              <w:rPr>
                <w:rFonts w:ascii="Arial" w:eastAsia="Calibri" w:hAnsi="Arial" w:cs="Arial"/>
                <w:spacing w:val="-4"/>
                <w:sz w:val="20"/>
                <w:szCs w:val="20"/>
                <w:lang w:val="es-EC"/>
              </w:rPr>
              <w:t>35</w:t>
            </w:r>
            <w:r w:rsidR="009C76B0">
              <w:rPr>
                <w:rFonts w:ascii="Arial" w:eastAsia="Calibri" w:hAnsi="Arial" w:cs="Arial"/>
                <w:spacing w:val="-4"/>
                <w:sz w:val="20"/>
                <w:szCs w:val="20"/>
                <w:lang w:val="es-EC"/>
              </w:rPr>
              <w:t>%</w:t>
            </w:r>
          </w:p>
        </w:tc>
        <w:tc>
          <w:tcPr>
            <w:tcW w:w="917" w:type="dxa"/>
            <w:tcBorders>
              <w:top w:val="single" w:sz="4" w:space="0" w:color="000000"/>
              <w:left w:val="single" w:sz="4" w:space="0" w:color="000000"/>
              <w:bottom w:val="single" w:sz="4" w:space="0" w:color="000000"/>
              <w:right w:val="single" w:sz="4" w:space="0" w:color="000000"/>
            </w:tcBorders>
          </w:tcPr>
          <w:p w14:paraId="45681594" w14:textId="4AED98FD" w:rsidR="00692A02" w:rsidRPr="00692A02" w:rsidRDefault="00D05B15" w:rsidP="00692A02">
            <w:pPr>
              <w:spacing w:before="20" w:after="20"/>
              <w:jc w:val="center"/>
              <w:rPr>
                <w:rFonts w:ascii="Arial" w:eastAsia="Calibri" w:hAnsi="Arial" w:cs="Arial"/>
                <w:spacing w:val="-4"/>
                <w:sz w:val="20"/>
                <w:szCs w:val="20"/>
                <w:lang w:val="es-EC"/>
              </w:rPr>
            </w:pPr>
            <w:r>
              <w:rPr>
                <w:rFonts w:ascii="Arial" w:eastAsia="Calibri" w:hAnsi="Arial" w:cs="Arial"/>
                <w:spacing w:val="-4"/>
                <w:sz w:val="20"/>
                <w:szCs w:val="20"/>
                <w:lang w:val="es-EC"/>
              </w:rPr>
              <w:t>40%</w:t>
            </w:r>
          </w:p>
        </w:tc>
        <w:tc>
          <w:tcPr>
            <w:tcW w:w="1080" w:type="dxa"/>
            <w:tcBorders>
              <w:top w:val="single" w:sz="4" w:space="0" w:color="000000"/>
              <w:left w:val="single" w:sz="4" w:space="0" w:color="000000"/>
              <w:bottom w:val="single" w:sz="4" w:space="0" w:color="000000"/>
              <w:right w:val="single" w:sz="4" w:space="0" w:color="000000"/>
            </w:tcBorders>
          </w:tcPr>
          <w:p w14:paraId="4510AF20" w14:textId="7E3F093F" w:rsidR="00692A02" w:rsidRPr="00692A02" w:rsidRDefault="00D05B15" w:rsidP="00692A02">
            <w:pPr>
              <w:spacing w:before="20" w:after="20"/>
              <w:jc w:val="center"/>
              <w:rPr>
                <w:rFonts w:ascii="Arial" w:eastAsia="Calibri" w:hAnsi="Arial" w:cs="Arial"/>
                <w:spacing w:val="-4"/>
                <w:sz w:val="20"/>
                <w:szCs w:val="20"/>
                <w:lang w:val="es-EC"/>
              </w:rPr>
            </w:pPr>
            <w:r>
              <w:rPr>
                <w:rFonts w:ascii="Arial" w:eastAsia="Calibri" w:hAnsi="Arial" w:cs="Arial"/>
                <w:spacing w:val="-4"/>
                <w:sz w:val="20"/>
                <w:szCs w:val="20"/>
                <w:lang w:val="es-EC"/>
              </w:rPr>
              <w:t>50%</w:t>
            </w:r>
          </w:p>
        </w:tc>
        <w:tc>
          <w:tcPr>
            <w:tcW w:w="1350" w:type="dxa"/>
            <w:tcBorders>
              <w:top w:val="single" w:sz="4" w:space="0" w:color="000000"/>
              <w:left w:val="single" w:sz="4" w:space="0" w:color="000000"/>
              <w:bottom w:val="single" w:sz="4" w:space="0" w:color="000000"/>
              <w:right w:val="single" w:sz="4" w:space="0" w:color="000000"/>
            </w:tcBorders>
          </w:tcPr>
          <w:p w14:paraId="2C1B371E" w14:textId="2317B3BC" w:rsidR="00692A02" w:rsidRPr="00692A02" w:rsidRDefault="00692A02" w:rsidP="00692A02">
            <w:pPr>
              <w:spacing w:before="20" w:after="20"/>
              <w:jc w:val="center"/>
              <w:rPr>
                <w:rFonts w:ascii="Arial" w:eastAsia="Calibri" w:hAnsi="Arial" w:cs="Arial"/>
                <w:spacing w:val="-4"/>
                <w:sz w:val="20"/>
                <w:szCs w:val="20"/>
                <w:lang w:val="es-EC"/>
              </w:rPr>
            </w:pPr>
            <w:r w:rsidRPr="00692A02">
              <w:rPr>
                <w:rFonts w:ascii="Arial" w:eastAsia="Calibri" w:hAnsi="Arial" w:cs="Arial"/>
                <w:spacing w:val="-4"/>
                <w:sz w:val="20"/>
                <w:szCs w:val="20"/>
                <w:lang w:val="es-EC"/>
              </w:rPr>
              <w:t>50</w:t>
            </w:r>
            <w:r w:rsidR="009C76B0">
              <w:rPr>
                <w:rFonts w:ascii="Arial" w:eastAsia="Calibri" w:hAnsi="Arial" w:cs="Arial"/>
                <w:spacing w:val="-4"/>
                <w:sz w:val="20"/>
                <w:szCs w:val="20"/>
                <w:lang w:val="es-EC"/>
              </w:rPr>
              <w:t>%</w:t>
            </w:r>
          </w:p>
        </w:tc>
        <w:tc>
          <w:tcPr>
            <w:tcW w:w="1260" w:type="dxa"/>
            <w:tcBorders>
              <w:top w:val="single" w:sz="4" w:space="0" w:color="000000"/>
              <w:left w:val="single" w:sz="4" w:space="0" w:color="000000"/>
              <w:bottom w:val="single" w:sz="4" w:space="0" w:color="000000"/>
              <w:right w:val="single" w:sz="4" w:space="0" w:color="000000"/>
            </w:tcBorders>
          </w:tcPr>
          <w:p w14:paraId="2B1E413B" w14:textId="2409E598" w:rsidR="00692A02" w:rsidRPr="00692A02" w:rsidRDefault="00D05B15" w:rsidP="00692A02">
            <w:pPr>
              <w:spacing w:before="20" w:after="20" w:line="240" w:lineRule="auto"/>
              <w:rPr>
                <w:rFonts w:ascii="Arial" w:eastAsia="Calibri" w:hAnsi="Arial" w:cs="Arial"/>
                <w:spacing w:val="-4"/>
                <w:sz w:val="20"/>
                <w:szCs w:val="20"/>
                <w:lang w:val="es-EC"/>
              </w:rPr>
            </w:pPr>
            <w:r>
              <w:rPr>
                <w:rFonts w:ascii="Arial" w:hAnsi="Arial" w:cs="Arial"/>
                <w:spacing w:val="-4"/>
                <w:sz w:val="20"/>
                <w:szCs w:val="20"/>
                <w:lang w:val="es-EC"/>
              </w:rPr>
              <w:t>Informe de Evaluación de Impacto</w:t>
            </w:r>
          </w:p>
        </w:tc>
        <w:tc>
          <w:tcPr>
            <w:tcW w:w="2883" w:type="dxa"/>
            <w:tcBorders>
              <w:top w:val="single" w:sz="4" w:space="0" w:color="000000"/>
              <w:left w:val="single" w:sz="4" w:space="0" w:color="000000"/>
              <w:bottom w:val="single" w:sz="4" w:space="0" w:color="000000"/>
              <w:right w:val="single" w:sz="4" w:space="0" w:color="000000"/>
            </w:tcBorders>
          </w:tcPr>
          <w:p w14:paraId="42B94B47" w14:textId="77777777" w:rsidR="00692A02" w:rsidRPr="00692A02" w:rsidRDefault="00692A02" w:rsidP="00692A02">
            <w:pPr>
              <w:spacing w:before="20" w:after="20" w:line="240" w:lineRule="auto"/>
              <w:jc w:val="both"/>
              <w:rPr>
                <w:rFonts w:ascii="Arial" w:eastAsia="Calibri" w:hAnsi="Arial" w:cs="Arial"/>
                <w:spacing w:val="-4"/>
                <w:sz w:val="20"/>
                <w:szCs w:val="20"/>
                <w:lang w:val="es-EC"/>
              </w:rPr>
            </w:pPr>
            <w:r w:rsidRPr="00692A02">
              <w:rPr>
                <w:rFonts w:ascii="Arial" w:eastAsia="Calibri" w:hAnsi="Arial" w:cs="Arial"/>
                <w:spacing w:val="-4"/>
                <w:sz w:val="20"/>
                <w:szCs w:val="20"/>
                <w:lang w:val="es-EC"/>
              </w:rPr>
              <w:t xml:space="preserve">Número de sociedades pequeñas y medianas en riesgo que iniciaron el proceso de liquidación o disolución en el año t / Número sociedades pequeñas y mediana en riesgo en el año t.  Firmas en riesgo son aquellas </w:t>
            </w:r>
            <w:r w:rsidRPr="00692A02">
              <w:rPr>
                <w:rFonts w:ascii="Arial" w:eastAsia="Calibri" w:hAnsi="Arial" w:cs="Arial"/>
                <w:spacing w:val="-4"/>
                <w:sz w:val="20"/>
                <w:szCs w:val="20"/>
                <w:lang w:val="es-EC"/>
              </w:rPr>
              <w:lastRenderedPageBreak/>
              <w:t>con ventas positivas en t y 0 los dos años siguientes</w:t>
            </w:r>
          </w:p>
        </w:tc>
      </w:tr>
      <w:tr w:rsidR="00692A02" w:rsidRPr="00387315" w14:paraId="543D78A1" w14:textId="77777777" w:rsidTr="00C2120C">
        <w:trPr>
          <w:trHeight w:val="567"/>
        </w:trPr>
        <w:tc>
          <w:tcPr>
            <w:tcW w:w="2155" w:type="dxa"/>
            <w:tcBorders>
              <w:top w:val="single" w:sz="4" w:space="0" w:color="000000"/>
              <w:left w:val="single" w:sz="4" w:space="0" w:color="000000"/>
              <w:bottom w:val="single" w:sz="4" w:space="0" w:color="000000"/>
              <w:right w:val="single" w:sz="4" w:space="0" w:color="000000"/>
            </w:tcBorders>
          </w:tcPr>
          <w:p w14:paraId="11562436" w14:textId="1865E5B9" w:rsidR="00692A02" w:rsidRPr="00692A02" w:rsidRDefault="008373D5" w:rsidP="008373D5">
            <w:pPr>
              <w:spacing w:before="20" w:after="20" w:line="240" w:lineRule="auto"/>
              <w:ind w:left="360" w:hanging="330"/>
              <w:contextualSpacing/>
              <w:rPr>
                <w:rFonts w:ascii="Arial" w:eastAsia="Calibri" w:hAnsi="Arial" w:cs="Arial"/>
                <w:spacing w:val="-4"/>
                <w:sz w:val="20"/>
                <w:szCs w:val="20"/>
                <w:lang w:val="es-EC"/>
              </w:rPr>
            </w:pPr>
            <w:bookmarkStart w:id="9" w:name="_Hlk11347487"/>
            <w:r>
              <w:rPr>
                <w:rFonts w:ascii="Arial" w:eastAsia="Calibri" w:hAnsi="Arial" w:cs="Arial"/>
                <w:spacing w:val="-4"/>
                <w:sz w:val="20"/>
                <w:szCs w:val="20"/>
                <w:lang w:val="es-ES_tradnl"/>
              </w:rPr>
              <w:lastRenderedPageBreak/>
              <w:t xml:space="preserve">4.2 </w:t>
            </w:r>
            <w:hyperlink r:id="rId17" w:history="1">
              <w:r w:rsidR="00692A02" w:rsidRPr="00692A02">
                <w:rPr>
                  <w:rFonts w:ascii="Calibri" w:eastAsia="Calibri" w:hAnsi="Calibri" w:cs="Times New Roman"/>
                  <w:color w:val="0000FF"/>
                  <w:sz w:val="20"/>
                  <w:szCs w:val="20"/>
                  <w:u w:val="single"/>
                  <w:lang w:val="es-CO" w:eastAsia="en-US"/>
                </w:rPr>
                <w:t>Costos</w:t>
              </w:r>
            </w:hyperlink>
            <w:r w:rsidR="00692A02" w:rsidRPr="00692A02">
              <w:rPr>
                <w:rFonts w:ascii="Arial" w:eastAsia="Calibri" w:hAnsi="Arial" w:cs="Arial"/>
                <w:spacing w:val="-4"/>
                <w:sz w:val="20"/>
                <w:szCs w:val="20"/>
                <w:lang w:val="es-EC"/>
              </w:rPr>
              <w:t xml:space="preserve"> de realización de trámites de operación empresarial para el usuario por año</w:t>
            </w:r>
          </w:p>
        </w:tc>
        <w:tc>
          <w:tcPr>
            <w:tcW w:w="810" w:type="dxa"/>
            <w:tcBorders>
              <w:top w:val="single" w:sz="4" w:space="0" w:color="000000"/>
              <w:left w:val="single" w:sz="4" w:space="0" w:color="000000"/>
              <w:bottom w:val="single" w:sz="4" w:space="0" w:color="000000"/>
              <w:right w:val="single" w:sz="4" w:space="0" w:color="000000"/>
            </w:tcBorders>
          </w:tcPr>
          <w:p w14:paraId="30B7EADC" w14:textId="29E3C517" w:rsidR="00692A02" w:rsidRPr="00692A02" w:rsidRDefault="00692A02" w:rsidP="00692A02">
            <w:pPr>
              <w:spacing w:before="20" w:after="20" w:line="240" w:lineRule="auto"/>
              <w:jc w:val="center"/>
              <w:rPr>
                <w:rFonts w:ascii="Arial" w:eastAsia="Calibri" w:hAnsi="Arial" w:cs="Arial"/>
                <w:spacing w:val="-4"/>
                <w:sz w:val="20"/>
                <w:szCs w:val="20"/>
                <w:lang w:val="es-EC"/>
              </w:rPr>
            </w:pPr>
            <w:r w:rsidRPr="00692A02">
              <w:rPr>
                <w:rFonts w:ascii="Arial" w:eastAsia="Calibri" w:hAnsi="Arial" w:cs="Arial"/>
                <w:spacing w:val="-4"/>
                <w:sz w:val="20"/>
                <w:szCs w:val="20"/>
                <w:lang w:val="es-EC"/>
              </w:rPr>
              <w:t>US</w:t>
            </w:r>
            <w:r w:rsidR="00F903E2">
              <w:rPr>
                <w:rFonts w:ascii="Arial" w:eastAsia="Calibri" w:hAnsi="Arial" w:cs="Arial"/>
                <w:spacing w:val="-4"/>
                <w:sz w:val="20"/>
                <w:szCs w:val="20"/>
                <w:lang w:val="es-EC"/>
              </w:rPr>
              <w:t>$</w:t>
            </w:r>
          </w:p>
        </w:tc>
        <w:tc>
          <w:tcPr>
            <w:tcW w:w="1170" w:type="dxa"/>
            <w:tcBorders>
              <w:top w:val="single" w:sz="4" w:space="0" w:color="000000"/>
              <w:left w:val="single" w:sz="4" w:space="0" w:color="000000"/>
              <w:bottom w:val="single" w:sz="4" w:space="0" w:color="000000"/>
              <w:right w:val="single" w:sz="4" w:space="0" w:color="000000"/>
            </w:tcBorders>
          </w:tcPr>
          <w:p w14:paraId="1AB9B917" w14:textId="77777777" w:rsidR="00692A02" w:rsidRPr="00692A02" w:rsidRDefault="00692A02" w:rsidP="00692A02">
            <w:pPr>
              <w:spacing w:before="20" w:after="20" w:line="240" w:lineRule="auto"/>
              <w:jc w:val="center"/>
              <w:rPr>
                <w:rFonts w:ascii="Arial" w:eastAsia="Calibri" w:hAnsi="Arial" w:cs="Arial"/>
                <w:spacing w:val="-4"/>
                <w:sz w:val="20"/>
                <w:szCs w:val="20"/>
                <w:lang w:val="es-EC"/>
              </w:rPr>
            </w:pPr>
            <w:r w:rsidRPr="00692A02">
              <w:rPr>
                <w:rFonts w:ascii="Arial" w:eastAsia="Calibri" w:hAnsi="Arial" w:cs="Arial"/>
                <w:spacing w:val="-4"/>
                <w:sz w:val="20"/>
                <w:szCs w:val="20"/>
                <w:lang w:val="es-EC"/>
              </w:rPr>
              <w:t>11.447.745</w:t>
            </w:r>
          </w:p>
        </w:tc>
        <w:tc>
          <w:tcPr>
            <w:tcW w:w="723" w:type="dxa"/>
            <w:tcBorders>
              <w:top w:val="single" w:sz="4" w:space="0" w:color="000000"/>
              <w:left w:val="single" w:sz="4" w:space="0" w:color="000000"/>
              <w:bottom w:val="single" w:sz="4" w:space="0" w:color="000000"/>
              <w:right w:val="single" w:sz="4" w:space="0" w:color="000000"/>
            </w:tcBorders>
          </w:tcPr>
          <w:p w14:paraId="61FE5F8D" w14:textId="77777777" w:rsidR="00692A02" w:rsidRPr="00692A02" w:rsidRDefault="00692A02" w:rsidP="00692A02">
            <w:pPr>
              <w:spacing w:before="20" w:after="20" w:line="240" w:lineRule="auto"/>
              <w:jc w:val="center"/>
              <w:rPr>
                <w:rFonts w:ascii="Arial" w:eastAsia="Calibri" w:hAnsi="Arial" w:cs="Arial"/>
                <w:spacing w:val="-4"/>
                <w:sz w:val="20"/>
                <w:szCs w:val="20"/>
                <w:lang w:val="es-EC"/>
              </w:rPr>
            </w:pPr>
            <w:r w:rsidRPr="00692A02">
              <w:rPr>
                <w:rFonts w:ascii="Arial" w:eastAsia="Calibri" w:hAnsi="Arial" w:cs="Arial"/>
                <w:spacing w:val="-4"/>
                <w:sz w:val="20"/>
                <w:szCs w:val="20"/>
                <w:lang w:val="es-EC"/>
              </w:rPr>
              <w:t>2016</w:t>
            </w:r>
          </w:p>
        </w:tc>
        <w:tc>
          <w:tcPr>
            <w:tcW w:w="803" w:type="dxa"/>
            <w:tcBorders>
              <w:top w:val="single" w:sz="4" w:space="0" w:color="000000"/>
              <w:left w:val="single" w:sz="4" w:space="0" w:color="000000"/>
              <w:bottom w:val="single" w:sz="4" w:space="0" w:color="000000"/>
              <w:right w:val="single" w:sz="4" w:space="0" w:color="000000"/>
            </w:tcBorders>
          </w:tcPr>
          <w:p w14:paraId="76A486E6" w14:textId="5513AA00" w:rsidR="00692A02" w:rsidRPr="00692A02" w:rsidRDefault="00FD059E" w:rsidP="00692A02">
            <w:pPr>
              <w:spacing w:before="20" w:after="20"/>
              <w:jc w:val="center"/>
              <w:rPr>
                <w:rFonts w:ascii="Arial" w:eastAsia="Calibri" w:hAnsi="Arial" w:cs="Arial"/>
                <w:spacing w:val="-4"/>
                <w:sz w:val="20"/>
                <w:szCs w:val="20"/>
                <w:lang w:val="es-EC"/>
              </w:rPr>
            </w:pPr>
            <w:r>
              <w:rPr>
                <w:rFonts w:ascii="Arial" w:eastAsia="Calibri" w:hAnsi="Arial" w:cs="Arial"/>
                <w:spacing w:val="-4"/>
                <w:sz w:val="20"/>
                <w:szCs w:val="20"/>
                <w:lang w:val="es-EC"/>
              </w:rPr>
              <w:t>11.447.745</w:t>
            </w:r>
          </w:p>
        </w:tc>
        <w:tc>
          <w:tcPr>
            <w:tcW w:w="634" w:type="dxa"/>
            <w:tcBorders>
              <w:top w:val="single" w:sz="4" w:space="0" w:color="000000"/>
              <w:left w:val="single" w:sz="4" w:space="0" w:color="000000"/>
              <w:bottom w:val="single" w:sz="4" w:space="0" w:color="000000"/>
              <w:right w:val="single" w:sz="4" w:space="0" w:color="000000"/>
            </w:tcBorders>
          </w:tcPr>
          <w:p w14:paraId="20D82E3A" w14:textId="629AA602" w:rsidR="00692A02" w:rsidRPr="00692A02" w:rsidRDefault="00FD059E" w:rsidP="00692A02">
            <w:pPr>
              <w:spacing w:before="20" w:after="20"/>
              <w:jc w:val="center"/>
              <w:rPr>
                <w:rFonts w:ascii="Arial" w:eastAsia="Calibri" w:hAnsi="Arial" w:cs="Arial"/>
                <w:spacing w:val="-4"/>
                <w:sz w:val="20"/>
                <w:szCs w:val="20"/>
                <w:lang w:val="es-EC"/>
              </w:rPr>
            </w:pPr>
            <w:r>
              <w:rPr>
                <w:rFonts w:ascii="Arial" w:eastAsia="Calibri" w:hAnsi="Arial" w:cs="Arial"/>
                <w:spacing w:val="-4"/>
                <w:sz w:val="20"/>
                <w:szCs w:val="20"/>
                <w:lang w:val="es-EC"/>
              </w:rPr>
              <w:t>10.000.000</w:t>
            </w:r>
          </w:p>
        </w:tc>
        <w:tc>
          <w:tcPr>
            <w:tcW w:w="973" w:type="dxa"/>
            <w:tcBorders>
              <w:top w:val="single" w:sz="4" w:space="0" w:color="000000"/>
              <w:left w:val="single" w:sz="4" w:space="0" w:color="000000"/>
              <w:bottom w:val="single" w:sz="4" w:space="0" w:color="000000"/>
              <w:right w:val="single" w:sz="4" w:space="0" w:color="000000"/>
            </w:tcBorders>
          </w:tcPr>
          <w:p w14:paraId="20722689" w14:textId="77777777" w:rsidR="00692A02" w:rsidRPr="00692A02" w:rsidRDefault="00692A02" w:rsidP="00692A02">
            <w:pPr>
              <w:spacing w:before="20" w:after="20"/>
              <w:jc w:val="center"/>
              <w:rPr>
                <w:rFonts w:ascii="Arial" w:eastAsia="Calibri" w:hAnsi="Arial" w:cs="Arial"/>
                <w:spacing w:val="-4"/>
                <w:sz w:val="20"/>
                <w:szCs w:val="20"/>
                <w:lang w:val="es-EC"/>
              </w:rPr>
            </w:pPr>
            <w:r w:rsidRPr="00692A02">
              <w:rPr>
                <w:rFonts w:ascii="Arial" w:eastAsia="Calibri" w:hAnsi="Arial" w:cs="Arial"/>
                <w:spacing w:val="-4"/>
                <w:sz w:val="20"/>
                <w:szCs w:val="20"/>
                <w:lang w:val="es-EC"/>
              </w:rPr>
              <w:t>7.000.000</w:t>
            </w:r>
          </w:p>
        </w:tc>
        <w:tc>
          <w:tcPr>
            <w:tcW w:w="917" w:type="dxa"/>
            <w:tcBorders>
              <w:top w:val="single" w:sz="4" w:space="0" w:color="000000"/>
              <w:left w:val="single" w:sz="4" w:space="0" w:color="000000"/>
              <w:bottom w:val="single" w:sz="4" w:space="0" w:color="000000"/>
              <w:right w:val="single" w:sz="4" w:space="0" w:color="000000"/>
            </w:tcBorders>
          </w:tcPr>
          <w:p w14:paraId="563D29D7" w14:textId="776CFA8C" w:rsidR="00692A02" w:rsidRPr="00692A02" w:rsidRDefault="00FD059E" w:rsidP="00692A02">
            <w:pPr>
              <w:spacing w:before="20" w:after="20"/>
              <w:jc w:val="center"/>
              <w:rPr>
                <w:rFonts w:ascii="Arial" w:eastAsia="Calibri" w:hAnsi="Arial" w:cs="Arial"/>
                <w:spacing w:val="-4"/>
                <w:sz w:val="20"/>
                <w:szCs w:val="20"/>
                <w:lang w:val="es-EC"/>
              </w:rPr>
            </w:pPr>
            <w:r>
              <w:rPr>
                <w:rFonts w:ascii="Arial" w:eastAsia="Calibri" w:hAnsi="Arial" w:cs="Arial"/>
                <w:spacing w:val="-4"/>
                <w:sz w:val="20"/>
                <w:szCs w:val="20"/>
                <w:lang w:val="es-EC"/>
              </w:rPr>
              <w:t>6.000.000</w:t>
            </w:r>
          </w:p>
        </w:tc>
        <w:tc>
          <w:tcPr>
            <w:tcW w:w="1080" w:type="dxa"/>
            <w:tcBorders>
              <w:top w:val="single" w:sz="4" w:space="0" w:color="000000"/>
              <w:left w:val="single" w:sz="4" w:space="0" w:color="000000"/>
              <w:bottom w:val="single" w:sz="4" w:space="0" w:color="000000"/>
              <w:right w:val="single" w:sz="4" w:space="0" w:color="000000"/>
            </w:tcBorders>
          </w:tcPr>
          <w:p w14:paraId="037AEF4E" w14:textId="59508403" w:rsidR="00692A02" w:rsidRPr="00692A02" w:rsidRDefault="00692A02" w:rsidP="00692A02">
            <w:pPr>
              <w:spacing w:before="20" w:after="20"/>
              <w:jc w:val="center"/>
              <w:rPr>
                <w:rFonts w:ascii="Arial" w:eastAsia="Calibri" w:hAnsi="Arial" w:cs="Arial"/>
                <w:spacing w:val="-4"/>
                <w:sz w:val="20"/>
                <w:szCs w:val="20"/>
                <w:lang w:val="es-EC"/>
              </w:rPr>
            </w:pPr>
            <w:r w:rsidRPr="00692A02">
              <w:rPr>
                <w:rFonts w:ascii="Arial" w:eastAsia="Calibri" w:hAnsi="Arial" w:cs="Arial"/>
                <w:spacing w:val="-4"/>
                <w:sz w:val="20"/>
                <w:szCs w:val="20"/>
                <w:lang w:val="es-EC"/>
              </w:rPr>
              <w:t>4.800.000</w:t>
            </w:r>
          </w:p>
        </w:tc>
        <w:tc>
          <w:tcPr>
            <w:tcW w:w="1350" w:type="dxa"/>
            <w:tcBorders>
              <w:top w:val="single" w:sz="4" w:space="0" w:color="000000"/>
              <w:left w:val="single" w:sz="4" w:space="0" w:color="000000"/>
              <w:bottom w:val="single" w:sz="4" w:space="0" w:color="000000"/>
              <w:right w:val="single" w:sz="4" w:space="0" w:color="000000"/>
            </w:tcBorders>
          </w:tcPr>
          <w:p w14:paraId="1E3B40C8" w14:textId="00E53BEA" w:rsidR="00692A02" w:rsidRPr="00692A02" w:rsidRDefault="00692A02" w:rsidP="00692A02">
            <w:pPr>
              <w:spacing w:before="20" w:after="20"/>
              <w:jc w:val="center"/>
              <w:rPr>
                <w:rFonts w:ascii="Arial" w:eastAsia="Calibri" w:hAnsi="Arial" w:cs="Arial"/>
                <w:spacing w:val="-4"/>
                <w:sz w:val="20"/>
                <w:szCs w:val="20"/>
                <w:lang w:val="es-EC"/>
              </w:rPr>
            </w:pPr>
            <w:r w:rsidRPr="00692A02">
              <w:rPr>
                <w:rFonts w:ascii="Arial" w:eastAsia="Calibri" w:hAnsi="Arial" w:cs="Arial"/>
                <w:spacing w:val="-4"/>
                <w:sz w:val="20"/>
                <w:szCs w:val="20"/>
                <w:lang w:val="es-EC"/>
              </w:rPr>
              <w:t>4.800.000</w:t>
            </w:r>
          </w:p>
        </w:tc>
        <w:tc>
          <w:tcPr>
            <w:tcW w:w="1260" w:type="dxa"/>
            <w:tcBorders>
              <w:top w:val="single" w:sz="4" w:space="0" w:color="000000"/>
              <w:left w:val="single" w:sz="4" w:space="0" w:color="000000"/>
              <w:bottom w:val="single" w:sz="4" w:space="0" w:color="000000"/>
              <w:right w:val="single" w:sz="4" w:space="0" w:color="000000"/>
            </w:tcBorders>
          </w:tcPr>
          <w:p w14:paraId="6230EA08" w14:textId="77777777" w:rsidR="00692A02" w:rsidRPr="00692A02" w:rsidRDefault="00692A02" w:rsidP="009C76B0">
            <w:pPr>
              <w:spacing w:before="20" w:after="20" w:line="240" w:lineRule="auto"/>
              <w:ind w:right="-60"/>
              <w:rPr>
                <w:rFonts w:ascii="Arial" w:eastAsia="Calibri" w:hAnsi="Arial" w:cs="Arial"/>
                <w:spacing w:val="-4"/>
                <w:sz w:val="20"/>
                <w:szCs w:val="20"/>
                <w:lang w:val="es-EC"/>
              </w:rPr>
            </w:pPr>
            <w:r w:rsidRPr="00692A02">
              <w:rPr>
                <w:rFonts w:ascii="Arial" w:eastAsia="Calibri" w:hAnsi="Arial" w:cs="Arial"/>
                <w:spacing w:val="-4"/>
                <w:sz w:val="20"/>
                <w:szCs w:val="20"/>
                <w:lang w:val="es-EC"/>
              </w:rPr>
              <w:t>Informe de SENPLADES</w:t>
            </w:r>
          </w:p>
        </w:tc>
        <w:tc>
          <w:tcPr>
            <w:tcW w:w="2883" w:type="dxa"/>
            <w:tcBorders>
              <w:top w:val="single" w:sz="4" w:space="0" w:color="000000"/>
              <w:left w:val="single" w:sz="4" w:space="0" w:color="000000"/>
              <w:bottom w:val="single" w:sz="4" w:space="0" w:color="000000"/>
              <w:right w:val="single" w:sz="4" w:space="0" w:color="000000"/>
            </w:tcBorders>
          </w:tcPr>
          <w:p w14:paraId="098F29A6" w14:textId="753824CB" w:rsidR="00692A02" w:rsidRPr="00692A02" w:rsidRDefault="00FD059E" w:rsidP="00692A02">
            <w:pPr>
              <w:spacing w:before="20" w:after="20" w:line="240" w:lineRule="auto"/>
              <w:jc w:val="both"/>
              <w:rPr>
                <w:rFonts w:ascii="Arial" w:eastAsia="Calibri" w:hAnsi="Arial" w:cs="Arial"/>
                <w:spacing w:val="-4"/>
                <w:sz w:val="20"/>
                <w:szCs w:val="20"/>
                <w:highlight w:val="yellow"/>
                <w:lang w:val="es-EC"/>
              </w:rPr>
            </w:pPr>
            <w:r>
              <w:rPr>
                <w:rFonts w:ascii="Arial" w:eastAsia="Calibri" w:hAnsi="Arial" w:cs="Arial"/>
                <w:spacing w:val="-4"/>
                <w:sz w:val="20"/>
                <w:szCs w:val="20"/>
                <w:lang w:val="es-EC"/>
              </w:rPr>
              <w:t>M</w:t>
            </w:r>
            <w:r w:rsidR="00692A02" w:rsidRPr="00692A02">
              <w:rPr>
                <w:rFonts w:ascii="Arial" w:eastAsia="Calibri" w:hAnsi="Arial" w:cs="Arial"/>
                <w:spacing w:val="-4"/>
                <w:sz w:val="20"/>
                <w:szCs w:val="20"/>
                <w:lang w:val="es-EC"/>
              </w:rPr>
              <w:t>uestra de 10 trámites posteriores a la primera facturación</w:t>
            </w:r>
            <w:r w:rsidR="00692A02" w:rsidRPr="00692A02">
              <w:rPr>
                <w:rFonts w:ascii="Arial" w:eastAsia="Calibri" w:hAnsi="Arial" w:cs="Arial"/>
                <w:sz w:val="20"/>
                <w:szCs w:val="20"/>
                <w:lang w:val="es-PE" w:eastAsia="en-US"/>
              </w:rPr>
              <w:t xml:space="preserve"> </w:t>
            </w:r>
          </w:p>
        </w:tc>
      </w:tr>
      <w:bookmarkEnd w:id="9"/>
      <w:tr w:rsidR="00692A02" w:rsidRPr="00387315" w14:paraId="4596D3EA" w14:textId="77777777" w:rsidTr="00C2120C">
        <w:trPr>
          <w:trHeight w:val="567"/>
        </w:trPr>
        <w:tc>
          <w:tcPr>
            <w:tcW w:w="2155" w:type="dxa"/>
            <w:tcBorders>
              <w:top w:val="single" w:sz="4" w:space="0" w:color="000000"/>
              <w:left w:val="single" w:sz="4" w:space="0" w:color="000000"/>
              <w:bottom w:val="single" w:sz="4" w:space="0" w:color="000000"/>
              <w:right w:val="single" w:sz="4" w:space="0" w:color="000000"/>
            </w:tcBorders>
          </w:tcPr>
          <w:p w14:paraId="5549A296" w14:textId="28FE3D43" w:rsidR="00692A02" w:rsidRPr="008373D5" w:rsidRDefault="00692A02" w:rsidP="008373D5">
            <w:pPr>
              <w:pStyle w:val="ListParagraph"/>
              <w:numPr>
                <w:ilvl w:val="1"/>
                <w:numId w:val="48"/>
              </w:numPr>
              <w:spacing w:before="20" w:after="20" w:line="240" w:lineRule="auto"/>
              <w:rPr>
                <w:rFonts w:ascii="Arial" w:eastAsia="Calibri" w:hAnsi="Arial" w:cs="Arial"/>
                <w:spacing w:val="-4"/>
                <w:sz w:val="20"/>
                <w:szCs w:val="20"/>
                <w:lang w:val="es-EC"/>
              </w:rPr>
            </w:pPr>
            <w:r w:rsidRPr="008373D5">
              <w:rPr>
                <w:rFonts w:ascii="Arial" w:eastAsia="Calibri" w:hAnsi="Arial" w:cs="Arial"/>
                <w:spacing w:val="-4"/>
                <w:sz w:val="20"/>
                <w:szCs w:val="20"/>
                <w:lang w:val="es-EC"/>
              </w:rPr>
              <w:t>Agencias gubernamentales que son beneficiadas mediante el fortalecimiento de sus instrumentos tecnológicos y de gestión para mejorar los servicios públicos</w:t>
            </w:r>
          </w:p>
        </w:tc>
        <w:tc>
          <w:tcPr>
            <w:tcW w:w="810" w:type="dxa"/>
            <w:tcBorders>
              <w:top w:val="single" w:sz="4" w:space="0" w:color="000000"/>
              <w:left w:val="single" w:sz="4" w:space="0" w:color="000000"/>
              <w:bottom w:val="single" w:sz="4" w:space="0" w:color="000000"/>
              <w:right w:val="single" w:sz="4" w:space="0" w:color="000000"/>
            </w:tcBorders>
          </w:tcPr>
          <w:p w14:paraId="04EF3621" w14:textId="77777777" w:rsidR="00692A02" w:rsidRPr="00692A02" w:rsidRDefault="00692A02" w:rsidP="00692A02">
            <w:pPr>
              <w:spacing w:before="20" w:after="20" w:line="240" w:lineRule="auto"/>
              <w:jc w:val="center"/>
              <w:rPr>
                <w:rFonts w:ascii="Arial" w:eastAsia="Calibri" w:hAnsi="Arial" w:cs="Arial"/>
                <w:spacing w:val="-4"/>
                <w:sz w:val="20"/>
                <w:szCs w:val="20"/>
                <w:lang w:val="es-EC"/>
              </w:rPr>
            </w:pPr>
            <w:r w:rsidRPr="00692A02">
              <w:rPr>
                <w:rFonts w:ascii="Arial" w:eastAsia="Calibri" w:hAnsi="Arial" w:cs="Arial"/>
                <w:spacing w:val="-4"/>
                <w:sz w:val="20"/>
                <w:szCs w:val="20"/>
                <w:lang w:val="es-EC"/>
              </w:rPr>
              <w:t>Número</w:t>
            </w:r>
          </w:p>
        </w:tc>
        <w:tc>
          <w:tcPr>
            <w:tcW w:w="1170" w:type="dxa"/>
            <w:tcBorders>
              <w:top w:val="single" w:sz="4" w:space="0" w:color="000000"/>
              <w:left w:val="single" w:sz="4" w:space="0" w:color="000000"/>
              <w:bottom w:val="single" w:sz="4" w:space="0" w:color="000000"/>
              <w:right w:val="single" w:sz="4" w:space="0" w:color="000000"/>
            </w:tcBorders>
          </w:tcPr>
          <w:p w14:paraId="67FC3719" w14:textId="77777777" w:rsidR="00692A02" w:rsidRPr="00692A02" w:rsidRDefault="00692A02" w:rsidP="00692A02">
            <w:pPr>
              <w:spacing w:before="20" w:after="20" w:line="240" w:lineRule="auto"/>
              <w:jc w:val="center"/>
              <w:rPr>
                <w:rFonts w:ascii="Arial" w:eastAsia="Calibri" w:hAnsi="Arial" w:cs="Arial"/>
                <w:spacing w:val="-4"/>
                <w:sz w:val="20"/>
                <w:szCs w:val="20"/>
                <w:lang w:val="es-EC"/>
              </w:rPr>
            </w:pPr>
            <w:r w:rsidRPr="00692A02">
              <w:rPr>
                <w:rFonts w:ascii="Arial" w:eastAsia="Calibri" w:hAnsi="Arial" w:cs="Arial"/>
                <w:spacing w:val="-4"/>
                <w:sz w:val="20"/>
                <w:szCs w:val="20"/>
                <w:lang w:val="es-EC"/>
              </w:rPr>
              <w:t>0</w:t>
            </w:r>
          </w:p>
        </w:tc>
        <w:tc>
          <w:tcPr>
            <w:tcW w:w="723" w:type="dxa"/>
            <w:tcBorders>
              <w:top w:val="single" w:sz="4" w:space="0" w:color="000000"/>
              <w:left w:val="single" w:sz="4" w:space="0" w:color="000000"/>
              <w:bottom w:val="single" w:sz="4" w:space="0" w:color="000000"/>
              <w:right w:val="single" w:sz="4" w:space="0" w:color="000000"/>
            </w:tcBorders>
          </w:tcPr>
          <w:p w14:paraId="51DAB33E" w14:textId="77777777" w:rsidR="00692A02" w:rsidRPr="00692A02" w:rsidRDefault="00692A02" w:rsidP="00692A02">
            <w:pPr>
              <w:spacing w:before="20" w:after="20" w:line="240" w:lineRule="auto"/>
              <w:jc w:val="center"/>
              <w:rPr>
                <w:rFonts w:ascii="Arial" w:eastAsia="Calibri" w:hAnsi="Arial" w:cs="Arial"/>
                <w:spacing w:val="-4"/>
                <w:sz w:val="20"/>
                <w:szCs w:val="20"/>
                <w:lang w:val="es-EC"/>
              </w:rPr>
            </w:pPr>
            <w:r w:rsidRPr="00692A02">
              <w:rPr>
                <w:rFonts w:ascii="Arial" w:eastAsia="Calibri" w:hAnsi="Arial" w:cs="Arial"/>
                <w:spacing w:val="-4"/>
                <w:sz w:val="20"/>
                <w:szCs w:val="20"/>
                <w:lang w:val="es-EC"/>
              </w:rPr>
              <w:t>2018</w:t>
            </w:r>
          </w:p>
        </w:tc>
        <w:tc>
          <w:tcPr>
            <w:tcW w:w="803" w:type="dxa"/>
            <w:tcBorders>
              <w:top w:val="single" w:sz="4" w:space="0" w:color="000000"/>
              <w:left w:val="single" w:sz="4" w:space="0" w:color="000000"/>
              <w:bottom w:val="single" w:sz="4" w:space="0" w:color="000000"/>
              <w:right w:val="single" w:sz="4" w:space="0" w:color="000000"/>
            </w:tcBorders>
          </w:tcPr>
          <w:p w14:paraId="4E1B2059" w14:textId="77777777" w:rsidR="00692A02" w:rsidRPr="00692A02" w:rsidRDefault="00692A02" w:rsidP="00692A02">
            <w:pPr>
              <w:spacing w:before="20" w:after="20"/>
              <w:jc w:val="center"/>
              <w:rPr>
                <w:rFonts w:ascii="Arial" w:eastAsia="Calibri" w:hAnsi="Arial" w:cs="Arial"/>
                <w:spacing w:val="-4"/>
                <w:sz w:val="20"/>
                <w:szCs w:val="20"/>
                <w:lang w:val="es-EC"/>
              </w:rPr>
            </w:pPr>
            <w:r w:rsidRPr="00692A02">
              <w:rPr>
                <w:rFonts w:ascii="Arial" w:eastAsia="Calibri" w:hAnsi="Arial" w:cs="Arial"/>
                <w:spacing w:val="-4"/>
                <w:sz w:val="20"/>
                <w:szCs w:val="20"/>
                <w:lang w:val="es-EC"/>
              </w:rPr>
              <w:t>0</w:t>
            </w:r>
          </w:p>
        </w:tc>
        <w:tc>
          <w:tcPr>
            <w:tcW w:w="634" w:type="dxa"/>
            <w:tcBorders>
              <w:top w:val="single" w:sz="4" w:space="0" w:color="000000"/>
              <w:left w:val="single" w:sz="4" w:space="0" w:color="000000"/>
              <w:bottom w:val="single" w:sz="4" w:space="0" w:color="000000"/>
              <w:right w:val="single" w:sz="4" w:space="0" w:color="000000"/>
            </w:tcBorders>
          </w:tcPr>
          <w:p w14:paraId="01B4D379" w14:textId="77777777" w:rsidR="00692A02" w:rsidRPr="00692A02" w:rsidRDefault="00692A02" w:rsidP="00692A02">
            <w:pPr>
              <w:spacing w:before="20" w:after="20"/>
              <w:jc w:val="center"/>
              <w:rPr>
                <w:rFonts w:ascii="Arial" w:eastAsia="Calibri" w:hAnsi="Arial" w:cs="Arial"/>
                <w:spacing w:val="-4"/>
                <w:sz w:val="20"/>
                <w:szCs w:val="20"/>
                <w:lang w:val="es-EC"/>
              </w:rPr>
            </w:pPr>
            <w:r w:rsidRPr="00692A02">
              <w:rPr>
                <w:rFonts w:ascii="Arial" w:eastAsia="Calibri" w:hAnsi="Arial" w:cs="Arial"/>
                <w:spacing w:val="-4"/>
                <w:sz w:val="20"/>
                <w:szCs w:val="20"/>
                <w:lang w:val="es-EC"/>
              </w:rPr>
              <w:t>2</w:t>
            </w:r>
          </w:p>
        </w:tc>
        <w:tc>
          <w:tcPr>
            <w:tcW w:w="973" w:type="dxa"/>
            <w:tcBorders>
              <w:top w:val="single" w:sz="4" w:space="0" w:color="000000"/>
              <w:left w:val="single" w:sz="4" w:space="0" w:color="000000"/>
              <w:bottom w:val="single" w:sz="4" w:space="0" w:color="000000"/>
              <w:right w:val="single" w:sz="4" w:space="0" w:color="000000"/>
            </w:tcBorders>
          </w:tcPr>
          <w:p w14:paraId="112173F8" w14:textId="77777777" w:rsidR="00692A02" w:rsidRPr="00692A02" w:rsidRDefault="00692A02" w:rsidP="00692A02">
            <w:pPr>
              <w:spacing w:before="20" w:after="20"/>
              <w:jc w:val="center"/>
              <w:rPr>
                <w:rFonts w:ascii="Arial" w:eastAsia="Calibri" w:hAnsi="Arial" w:cs="Arial"/>
                <w:spacing w:val="-4"/>
                <w:sz w:val="20"/>
                <w:szCs w:val="20"/>
                <w:lang w:val="es-EC"/>
              </w:rPr>
            </w:pPr>
            <w:r w:rsidRPr="00692A02">
              <w:rPr>
                <w:rFonts w:ascii="Arial" w:eastAsia="Calibri" w:hAnsi="Arial" w:cs="Arial"/>
                <w:spacing w:val="-4"/>
                <w:sz w:val="20"/>
                <w:szCs w:val="20"/>
                <w:lang w:val="es-EC"/>
              </w:rPr>
              <w:t>2</w:t>
            </w:r>
          </w:p>
        </w:tc>
        <w:tc>
          <w:tcPr>
            <w:tcW w:w="917" w:type="dxa"/>
            <w:tcBorders>
              <w:top w:val="single" w:sz="4" w:space="0" w:color="000000"/>
              <w:left w:val="single" w:sz="4" w:space="0" w:color="000000"/>
              <w:bottom w:val="single" w:sz="4" w:space="0" w:color="000000"/>
              <w:right w:val="single" w:sz="4" w:space="0" w:color="000000"/>
            </w:tcBorders>
          </w:tcPr>
          <w:p w14:paraId="4B6AAE9D" w14:textId="77777777" w:rsidR="00692A02" w:rsidRPr="00692A02" w:rsidRDefault="00692A02" w:rsidP="00692A02">
            <w:pPr>
              <w:spacing w:before="20" w:after="20"/>
              <w:jc w:val="center"/>
              <w:rPr>
                <w:rFonts w:ascii="Arial" w:eastAsia="Calibri" w:hAnsi="Arial" w:cs="Arial"/>
                <w:spacing w:val="-4"/>
                <w:sz w:val="20"/>
                <w:szCs w:val="20"/>
                <w:lang w:val="es-EC"/>
              </w:rPr>
            </w:pPr>
            <w:r w:rsidRPr="00692A02">
              <w:rPr>
                <w:rFonts w:ascii="Arial" w:eastAsia="Calibri" w:hAnsi="Arial" w:cs="Arial"/>
                <w:spacing w:val="-4"/>
                <w:sz w:val="20"/>
                <w:szCs w:val="20"/>
                <w:lang w:val="es-EC"/>
              </w:rPr>
              <w:t>2</w:t>
            </w:r>
          </w:p>
        </w:tc>
        <w:tc>
          <w:tcPr>
            <w:tcW w:w="1080" w:type="dxa"/>
            <w:tcBorders>
              <w:top w:val="single" w:sz="4" w:space="0" w:color="000000"/>
              <w:left w:val="single" w:sz="4" w:space="0" w:color="000000"/>
              <w:bottom w:val="single" w:sz="4" w:space="0" w:color="000000"/>
              <w:right w:val="single" w:sz="4" w:space="0" w:color="000000"/>
            </w:tcBorders>
          </w:tcPr>
          <w:p w14:paraId="56B98C62" w14:textId="77777777" w:rsidR="00692A02" w:rsidRPr="00692A02" w:rsidRDefault="00692A02" w:rsidP="00692A02">
            <w:pPr>
              <w:spacing w:before="20" w:after="20"/>
              <w:jc w:val="center"/>
              <w:rPr>
                <w:rFonts w:ascii="Arial" w:eastAsia="Calibri" w:hAnsi="Arial" w:cs="Arial"/>
                <w:spacing w:val="-4"/>
                <w:sz w:val="20"/>
                <w:szCs w:val="20"/>
                <w:lang w:val="es-EC"/>
              </w:rPr>
            </w:pPr>
            <w:r w:rsidRPr="00692A02">
              <w:rPr>
                <w:rFonts w:ascii="Arial" w:eastAsia="Calibri" w:hAnsi="Arial" w:cs="Arial"/>
                <w:spacing w:val="-4"/>
                <w:sz w:val="20"/>
                <w:szCs w:val="20"/>
                <w:lang w:val="es-EC"/>
              </w:rPr>
              <w:t>4</w:t>
            </w:r>
          </w:p>
        </w:tc>
        <w:tc>
          <w:tcPr>
            <w:tcW w:w="1350" w:type="dxa"/>
            <w:tcBorders>
              <w:top w:val="single" w:sz="4" w:space="0" w:color="000000"/>
              <w:left w:val="single" w:sz="4" w:space="0" w:color="000000"/>
              <w:bottom w:val="single" w:sz="4" w:space="0" w:color="000000"/>
              <w:right w:val="single" w:sz="4" w:space="0" w:color="000000"/>
            </w:tcBorders>
          </w:tcPr>
          <w:p w14:paraId="274B7327" w14:textId="77777777" w:rsidR="00692A02" w:rsidRPr="00692A02" w:rsidRDefault="00692A02" w:rsidP="00692A02">
            <w:pPr>
              <w:spacing w:before="20" w:after="20"/>
              <w:jc w:val="center"/>
              <w:rPr>
                <w:rFonts w:ascii="Arial" w:eastAsia="Calibri" w:hAnsi="Arial" w:cs="Arial"/>
                <w:spacing w:val="-4"/>
                <w:sz w:val="20"/>
                <w:szCs w:val="20"/>
                <w:lang w:val="es-EC"/>
              </w:rPr>
            </w:pPr>
            <w:r w:rsidRPr="00692A02">
              <w:rPr>
                <w:rFonts w:ascii="Arial" w:eastAsia="Calibri" w:hAnsi="Arial" w:cs="Arial"/>
                <w:spacing w:val="-4"/>
                <w:sz w:val="20"/>
                <w:szCs w:val="20"/>
                <w:lang w:val="es-EC"/>
              </w:rPr>
              <w:t>10</w:t>
            </w:r>
          </w:p>
        </w:tc>
        <w:tc>
          <w:tcPr>
            <w:tcW w:w="1260" w:type="dxa"/>
            <w:tcBorders>
              <w:top w:val="single" w:sz="4" w:space="0" w:color="000000"/>
              <w:left w:val="single" w:sz="4" w:space="0" w:color="000000"/>
              <w:bottom w:val="single" w:sz="4" w:space="0" w:color="000000"/>
              <w:right w:val="single" w:sz="4" w:space="0" w:color="000000"/>
            </w:tcBorders>
          </w:tcPr>
          <w:p w14:paraId="148D7A0F" w14:textId="05E88712" w:rsidR="00692A02" w:rsidRPr="00692A02" w:rsidRDefault="00692A02" w:rsidP="00692A02">
            <w:pPr>
              <w:spacing w:before="20" w:after="20" w:line="240" w:lineRule="auto"/>
              <w:rPr>
                <w:rFonts w:ascii="Arial" w:eastAsia="Calibri" w:hAnsi="Arial" w:cs="Arial"/>
                <w:spacing w:val="-4"/>
                <w:sz w:val="20"/>
                <w:szCs w:val="20"/>
                <w:lang w:val="es-EC"/>
              </w:rPr>
            </w:pPr>
            <w:r w:rsidRPr="00692A02">
              <w:rPr>
                <w:rFonts w:ascii="Arial" w:eastAsia="Calibri" w:hAnsi="Arial" w:cs="Arial"/>
                <w:spacing w:val="-4"/>
                <w:sz w:val="20"/>
                <w:szCs w:val="20"/>
                <w:lang w:val="es-EC"/>
              </w:rPr>
              <w:t>Informes Semestrales de Progreso del Programa; EDG</w:t>
            </w:r>
            <w:r w:rsidR="00C03039">
              <w:rPr>
                <w:rFonts w:ascii="Arial" w:eastAsia="Calibri" w:hAnsi="Arial" w:cs="Arial"/>
                <w:spacing w:val="-4"/>
                <w:sz w:val="20"/>
                <w:szCs w:val="20"/>
                <w:lang w:val="es-EC"/>
              </w:rPr>
              <w:t>-</w:t>
            </w:r>
            <w:r w:rsidRPr="00692A02">
              <w:rPr>
                <w:rFonts w:ascii="Arial" w:eastAsia="Calibri" w:hAnsi="Arial" w:cs="Arial"/>
                <w:spacing w:val="-4"/>
                <w:sz w:val="20"/>
                <w:szCs w:val="20"/>
                <w:lang w:val="es-EC"/>
              </w:rPr>
              <w:t xml:space="preserve">MEF </w:t>
            </w:r>
          </w:p>
        </w:tc>
        <w:tc>
          <w:tcPr>
            <w:tcW w:w="2883" w:type="dxa"/>
            <w:tcBorders>
              <w:top w:val="single" w:sz="4" w:space="0" w:color="000000"/>
              <w:left w:val="single" w:sz="4" w:space="0" w:color="000000"/>
              <w:bottom w:val="single" w:sz="4" w:space="0" w:color="000000"/>
              <w:right w:val="single" w:sz="4" w:space="0" w:color="000000"/>
            </w:tcBorders>
          </w:tcPr>
          <w:p w14:paraId="12905197" w14:textId="77777777" w:rsidR="00692A02" w:rsidRPr="00692A02" w:rsidRDefault="00692A02" w:rsidP="00692A02">
            <w:pPr>
              <w:spacing w:before="20" w:after="20" w:line="240" w:lineRule="auto"/>
              <w:jc w:val="both"/>
              <w:rPr>
                <w:rFonts w:ascii="Arial" w:eastAsia="Calibri" w:hAnsi="Arial" w:cs="Arial"/>
                <w:spacing w:val="-4"/>
                <w:sz w:val="20"/>
                <w:szCs w:val="20"/>
                <w:lang w:val="es-EC"/>
              </w:rPr>
            </w:pPr>
            <w:r w:rsidRPr="00692A02">
              <w:rPr>
                <w:rFonts w:ascii="Arial" w:eastAsia="Calibri" w:hAnsi="Arial" w:cs="Arial"/>
                <w:spacing w:val="-4"/>
                <w:sz w:val="20"/>
                <w:szCs w:val="20"/>
                <w:lang w:val="es-EC"/>
              </w:rPr>
              <w:t>Agencias beneficiarias de automatización de trámites y fortalecimiento de la gestión</w:t>
            </w:r>
          </w:p>
        </w:tc>
      </w:tr>
      <w:tr w:rsidR="00692A02" w:rsidRPr="00692A02" w14:paraId="010938DC" w14:textId="77777777" w:rsidTr="00C2120C">
        <w:trPr>
          <w:trHeight w:val="567"/>
        </w:trPr>
        <w:tc>
          <w:tcPr>
            <w:tcW w:w="2155" w:type="dxa"/>
            <w:tcBorders>
              <w:top w:val="single" w:sz="4" w:space="0" w:color="000000"/>
              <w:left w:val="single" w:sz="4" w:space="0" w:color="000000"/>
              <w:bottom w:val="single" w:sz="4" w:space="0" w:color="000000"/>
              <w:right w:val="single" w:sz="4" w:space="0" w:color="000000"/>
            </w:tcBorders>
          </w:tcPr>
          <w:p w14:paraId="464C8B7A" w14:textId="670184B2" w:rsidR="00692A02" w:rsidRPr="008373D5" w:rsidRDefault="00692A02" w:rsidP="008373D5">
            <w:pPr>
              <w:pStyle w:val="ListParagraph"/>
              <w:numPr>
                <w:ilvl w:val="1"/>
                <w:numId w:val="48"/>
              </w:numPr>
              <w:spacing w:before="20" w:after="20" w:line="240" w:lineRule="auto"/>
              <w:rPr>
                <w:rFonts w:ascii="Arial" w:eastAsia="Calibri" w:hAnsi="Arial" w:cs="Arial"/>
                <w:spacing w:val="-4"/>
                <w:sz w:val="20"/>
                <w:szCs w:val="20"/>
                <w:lang w:val="es-EC"/>
              </w:rPr>
            </w:pPr>
            <w:r w:rsidRPr="008373D5">
              <w:rPr>
                <w:rFonts w:ascii="Arial" w:eastAsia="Calibri" w:hAnsi="Arial" w:cs="Arial"/>
                <w:spacing w:val="-4"/>
                <w:sz w:val="20"/>
                <w:szCs w:val="20"/>
                <w:lang w:val="es-EC"/>
              </w:rPr>
              <w:t>Transacciones anuales realizadas</w:t>
            </w:r>
            <w:r w:rsidR="00592BAC">
              <w:rPr>
                <w:rFonts w:ascii="Arial" w:eastAsia="Calibri" w:hAnsi="Arial" w:cs="Arial"/>
                <w:spacing w:val="-4"/>
                <w:sz w:val="20"/>
                <w:szCs w:val="20"/>
                <w:lang w:val="es-EC"/>
              </w:rPr>
              <w:t xml:space="preserve"> exitosamente</w:t>
            </w:r>
            <w:r w:rsidRPr="008373D5">
              <w:rPr>
                <w:rFonts w:ascii="Arial" w:eastAsia="Calibri" w:hAnsi="Arial" w:cs="Arial"/>
                <w:spacing w:val="-4"/>
                <w:sz w:val="20"/>
                <w:szCs w:val="20"/>
                <w:lang w:val="es-EC"/>
              </w:rPr>
              <w:t xml:space="preserve"> a través del portal único</w:t>
            </w:r>
          </w:p>
        </w:tc>
        <w:tc>
          <w:tcPr>
            <w:tcW w:w="810" w:type="dxa"/>
            <w:tcBorders>
              <w:top w:val="single" w:sz="4" w:space="0" w:color="000000"/>
              <w:left w:val="single" w:sz="4" w:space="0" w:color="000000"/>
              <w:bottom w:val="single" w:sz="4" w:space="0" w:color="000000"/>
              <w:right w:val="single" w:sz="4" w:space="0" w:color="000000"/>
            </w:tcBorders>
          </w:tcPr>
          <w:p w14:paraId="018FAE80" w14:textId="77777777" w:rsidR="00692A02" w:rsidRPr="00692A02" w:rsidRDefault="00692A02" w:rsidP="00692A02">
            <w:pPr>
              <w:spacing w:before="20" w:after="20" w:line="240" w:lineRule="auto"/>
              <w:jc w:val="center"/>
              <w:rPr>
                <w:rFonts w:ascii="Arial" w:eastAsia="Calibri" w:hAnsi="Arial" w:cs="Arial"/>
                <w:spacing w:val="-4"/>
                <w:sz w:val="20"/>
                <w:szCs w:val="20"/>
                <w:lang w:val="es-EC"/>
              </w:rPr>
            </w:pPr>
            <w:r w:rsidRPr="00692A02">
              <w:rPr>
                <w:rFonts w:ascii="Arial" w:eastAsia="Calibri" w:hAnsi="Arial" w:cs="Arial"/>
                <w:spacing w:val="-4"/>
                <w:sz w:val="20"/>
                <w:szCs w:val="20"/>
                <w:lang w:val="es-EC"/>
              </w:rPr>
              <w:t>Número</w:t>
            </w:r>
          </w:p>
        </w:tc>
        <w:tc>
          <w:tcPr>
            <w:tcW w:w="1170" w:type="dxa"/>
            <w:tcBorders>
              <w:top w:val="single" w:sz="4" w:space="0" w:color="000000"/>
              <w:left w:val="single" w:sz="4" w:space="0" w:color="000000"/>
              <w:bottom w:val="single" w:sz="4" w:space="0" w:color="000000"/>
              <w:right w:val="single" w:sz="4" w:space="0" w:color="000000"/>
            </w:tcBorders>
          </w:tcPr>
          <w:p w14:paraId="00261C8D" w14:textId="77777777" w:rsidR="00692A02" w:rsidRPr="00692A02" w:rsidRDefault="00692A02" w:rsidP="00692A02">
            <w:pPr>
              <w:spacing w:before="20" w:after="20" w:line="240" w:lineRule="auto"/>
              <w:jc w:val="center"/>
              <w:rPr>
                <w:rFonts w:ascii="Arial" w:eastAsia="Calibri" w:hAnsi="Arial" w:cs="Arial"/>
                <w:spacing w:val="-4"/>
                <w:sz w:val="20"/>
                <w:szCs w:val="20"/>
                <w:lang w:val="es-EC"/>
              </w:rPr>
            </w:pPr>
            <w:r w:rsidRPr="00692A02">
              <w:rPr>
                <w:rFonts w:ascii="Arial" w:eastAsia="Calibri" w:hAnsi="Arial" w:cs="Arial"/>
                <w:spacing w:val="-4"/>
                <w:sz w:val="20"/>
                <w:szCs w:val="20"/>
                <w:lang w:val="es-EC"/>
              </w:rPr>
              <w:t>0</w:t>
            </w:r>
          </w:p>
        </w:tc>
        <w:tc>
          <w:tcPr>
            <w:tcW w:w="723" w:type="dxa"/>
            <w:tcBorders>
              <w:top w:val="single" w:sz="4" w:space="0" w:color="000000"/>
              <w:left w:val="single" w:sz="4" w:space="0" w:color="000000"/>
              <w:bottom w:val="single" w:sz="4" w:space="0" w:color="000000"/>
              <w:right w:val="single" w:sz="4" w:space="0" w:color="000000"/>
            </w:tcBorders>
          </w:tcPr>
          <w:p w14:paraId="5121FB9B" w14:textId="77777777" w:rsidR="00692A02" w:rsidRPr="00692A02" w:rsidRDefault="00692A02" w:rsidP="00692A02">
            <w:pPr>
              <w:spacing w:before="20" w:after="20" w:line="240" w:lineRule="auto"/>
              <w:jc w:val="center"/>
              <w:rPr>
                <w:rFonts w:ascii="Arial" w:eastAsia="Calibri" w:hAnsi="Arial" w:cs="Arial"/>
                <w:spacing w:val="-4"/>
                <w:sz w:val="20"/>
                <w:szCs w:val="20"/>
                <w:lang w:val="es-EC"/>
              </w:rPr>
            </w:pPr>
            <w:r w:rsidRPr="00692A02">
              <w:rPr>
                <w:rFonts w:ascii="Arial" w:eastAsia="Calibri" w:hAnsi="Arial" w:cs="Arial"/>
                <w:spacing w:val="-4"/>
                <w:sz w:val="20"/>
                <w:szCs w:val="20"/>
                <w:lang w:val="es-EC"/>
              </w:rPr>
              <w:t>2018</w:t>
            </w:r>
          </w:p>
        </w:tc>
        <w:tc>
          <w:tcPr>
            <w:tcW w:w="803" w:type="dxa"/>
            <w:tcBorders>
              <w:top w:val="single" w:sz="4" w:space="0" w:color="000000"/>
              <w:left w:val="single" w:sz="4" w:space="0" w:color="000000"/>
              <w:bottom w:val="single" w:sz="4" w:space="0" w:color="000000"/>
              <w:right w:val="single" w:sz="4" w:space="0" w:color="000000"/>
            </w:tcBorders>
          </w:tcPr>
          <w:p w14:paraId="1FBE38FF" w14:textId="77777777" w:rsidR="00692A02" w:rsidRPr="00692A02" w:rsidRDefault="00692A02" w:rsidP="00692A02">
            <w:pPr>
              <w:spacing w:before="20" w:after="20"/>
              <w:jc w:val="center"/>
              <w:rPr>
                <w:rFonts w:ascii="Arial" w:eastAsia="Calibri" w:hAnsi="Arial" w:cs="Arial"/>
                <w:spacing w:val="-4"/>
                <w:sz w:val="20"/>
                <w:szCs w:val="20"/>
                <w:lang w:val="es-EC"/>
              </w:rPr>
            </w:pPr>
            <w:r w:rsidRPr="00692A02">
              <w:rPr>
                <w:rFonts w:ascii="Arial" w:eastAsia="Calibri" w:hAnsi="Arial" w:cs="Arial"/>
                <w:spacing w:val="-4"/>
                <w:sz w:val="20"/>
                <w:szCs w:val="20"/>
                <w:lang w:val="es-EC"/>
              </w:rPr>
              <w:t>0</w:t>
            </w:r>
          </w:p>
        </w:tc>
        <w:tc>
          <w:tcPr>
            <w:tcW w:w="634" w:type="dxa"/>
            <w:tcBorders>
              <w:top w:val="single" w:sz="4" w:space="0" w:color="000000"/>
              <w:left w:val="single" w:sz="4" w:space="0" w:color="000000"/>
              <w:bottom w:val="single" w:sz="4" w:space="0" w:color="000000"/>
              <w:right w:val="single" w:sz="4" w:space="0" w:color="000000"/>
            </w:tcBorders>
          </w:tcPr>
          <w:p w14:paraId="5F9D47E1" w14:textId="77777777" w:rsidR="00692A02" w:rsidRPr="00692A02" w:rsidRDefault="00692A02" w:rsidP="00692A02">
            <w:pPr>
              <w:spacing w:before="20" w:after="20"/>
              <w:jc w:val="center"/>
              <w:rPr>
                <w:rFonts w:ascii="Arial" w:eastAsia="Calibri" w:hAnsi="Arial" w:cs="Arial"/>
                <w:spacing w:val="-4"/>
                <w:sz w:val="20"/>
                <w:szCs w:val="20"/>
                <w:lang w:val="es-EC"/>
              </w:rPr>
            </w:pPr>
            <w:r w:rsidRPr="00692A02">
              <w:rPr>
                <w:rFonts w:ascii="Arial" w:eastAsia="Calibri" w:hAnsi="Arial" w:cs="Arial"/>
                <w:spacing w:val="-4"/>
                <w:sz w:val="20"/>
                <w:szCs w:val="20"/>
                <w:lang w:val="es-EC"/>
              </w:rPr>
              <w:t>0</w:t>
            </w:r>
          </w:p>
        </w:tc>
        <w:tc>
          <w:tcPr>
            <w:tcW w:w="973" w:type="dxa"/>
            <w:tcBorders>
              <w:top w:val="single" w:sz="4" w:space="0" w:color="000000"/>
              <w:left w:val="single" w:sz="4" w:space="0" w:color="000000"/>
              <w:bottom w:val="single" w:sz="4" w:space="0" w:color="000000"/>
              <w:right w:val="single" w:sz="4" w:space="0" w:color="000000"/>
            </w:tcBorders>
          </w:tcPr>
          <w:p w14:paraId="2FDB7A40" w14:textId="77777777" w:rsidR="00692A02" w:rsidRPr="00692A02" w:rsidRDefault="00692A02" w:rsidP="00692A02">
            <w:pPr>
              <w:spacing w:before="20" w:after="20"/>
              <w:jc w:val="center"/>
              <w:rPr>
                <w:rFonts w:ascii="Arial" w:eastAsia="Calibri" w:hAnsi="Arial" w:cs="Arial"/>
                <w:spacing w:val="-4"/>
                <w:sz w:val="20"/>
                <w:szCs w:val="20"/>
                <w:lang w:val="es-EC"/>
              </w:rPr>
            </w:pPr>
            <w:r w:rsidRPr="00692A02">
              <w:rPr>
                <w:rFonts w:ascii="Arial" w:eastAsia="Calibri" w:hAnsi="Arial" w:cs="Arial"/>
                <w:spacing w:val="-4"/>
                <w:sz w:val="20"/>
                <w:szCs w:val="20"/>
                <w:lang w:val="es-EC"/>
              </w:rPr>
              <w:t>300.000</w:t>
            </w:r>
          </w:p>
        </w:tc>
        <w:tc>
          <w:tcPr>
            <w:tcW w:w="917" w:type="dxa"/>
            <w:tcBorders>
              <w:top w:val="single" w:sz="4" w:space="0" w:color="000000"/>
              <w:left w:val="single" w:sz="4" w:space="0" w:color="000000"/>
              <w:bottom w:val="single" w:sz="4" w:space="0" w:color="000000"/>
              <w:right w:val="single" w:sz="4" w:space="0" w:color="000000"/>
            </w:tcBorders>
          </w:tcPr>
          <w:p w14:paraId="11EDB83A" w14:textId="77777777" w:rsidR="00692A02" w:rsidRPr="00692A02" w:rsidRDefault="00692A02" w:rsidP="00692A02">
            <w:pPr>
              <w:spacing w:before="20" w:after="20"/>
              <w:jc w:val="center"/>
              <w:rPr>
                <w:rFonts w:ascii="Arial" w:eastAsia="Calibri" w:hAnsi="Arial" w:cs="Arial"/>
                <w:spacing w:val="-4"/>
                <w:sz w:val="20"/>
                <w:szCs w:val="20"/>
                <w:lang w:val="es-EC"/>
              </w:rPr>
            </w:pPr>
            <w:r w:rsidRPr="00692A02">
              <w:rPr>
                <w:rFonts w:ascii="Arial" w:eastAsia="Calibri" w:hAnsi="Arial" w:cs="Arial"/>
                <w:spacing w:val="-4"/>
                <w:sz w:val="20"/>
                <w:szCs w:val="20"/>
                <w:lang w:val="es-EC"/>
              </w:rPr>
              <w:t>600.000</w:t>
            </w:r>
          </w:p>
        </w:tc>
        <w:tc>
          <w:tcPr>
            <w:tcW w:w="1080" w:type="dxa"/>
            <w:tcBorders>
              <w:top w:val="single" w:sz="4" w:space="0" w:color="000000"/>
              <w:left w:val="single" w:sz="4" w:space="0" w:color="000000"/>
              <w:bottom w:val="single" w:sz="4" w:space="0" w:color="000000"/>
              <w:right w:val="single" w:sz="4" w:space="0" w:color="000000"/>
            </w:tcBorders>
          </w:tcPr>
          <w:p w14:paraId="67C14DC7" w14:textId="77777777" w:rsidR="00692A02" w:rsidRPr="00692A02" w:rsidRDefault="00692A02" w:rsidP="00692A02">
            <w:pPr>
              <w:spacing w:before="20" w:after="20"/>
              <w:jc w:val="center"/>
              <w:rPr>
                <w:rFonts w:ascii="Arial" w:eastAsia="Calibri" w:hAnsi="Arial" w:cs="Arial"/>
                <w:spacing w:val="-4"/>
                <w:sz w:val="20"/>
                <w:szCs w:val="20"/>
                <w:lang w:val="es-EC"/>
              </w:rPr>
            </w:pPr>
            <w:r w:rsidRPr="00692A02">
              <w:rPr>
                <w:rFonts w:ascii="Arial" w:eastAsia="Calibri" w:hAnsi="Arial" w:cs="Arial"/>
                <w:spacing w:val="-4"/>
                <w:sz w:val="20"/>
                <w:szCs w:val="20"/>
                <w:lang w:val="es-EC"/>
              </w:rPr>
              <w:t>1.200.000</w:t>
            </w:r>
          </w:p>
        </w:tc>
        <w:tc>
          <w:tcPr>
            <w:tcW w:w="1350" w:type="dxa"/>
            <w:tcBorders>
              <w:top w:val="single" w:sz="4" w:space="0" w:color="000000"/>
              <w:left w:val="single" w:sz="4" w:space="0" w:color="000000"/>
              <w:bottom w:val="single" w:sz="4" w:space="0" w:color="000000"/>
              <w:right w:val="single" w:sz="4" w:space="0" w:color="000000"/>
            </w:tcBorders>
          </w:tcPr>
          <w:p w14:paraId="7DD1BAC8" w14:textId="77777777" w:rsidR="00692A02" w:rsidRPr="00692A02" w:rsidRDefault="00692A02" w:rsidP="00692A02">
            <w:pPr>
              <w:spacing w:before="20" w:after="20"/>
              <w:jc w:val="center"/>
              <w:rPr>
                <w:rFonts w:ascii="Arial" w:eastAsia="Calibri" w:hAnsi="Arial" w:cs="Arial"/>
                <w:spacing w:val="-4"/>
                <w:sz w:val="20"/>
                <w:szCs w:val="20"/>
                <w:lang w:val="es-EC"/>
              </w:rPr>
            </w:pPr>
            <w:r w:rsidRPr="00692A02">
              <w:rPr>
                <w:rFonts w:ascii="Arial" w:eastAsia="Calibri" w:hAnsi="Arial" w:cs="Arial"/>
                <w:spacing w:val="-4"/>
                <w:sz w:val="20"/>
                <w:szCs w:val="20"/>
                <w:lang w:val="es-EC"/>
              </w:rPr>
              <w:t>2.100.000</w:t>
            </w:r>
          </w:p>
        </w:tc>
        <w:tc>
          <w:tcPr>
            <w:tcW w:w="1260" w:type="dxa"/>
            <w:tcBorders>
              <w:top w:val="single" w:sz="4" w:space="0" w:color="000000"/>
              <w:left w:val="single" w:sz="4" w:space="0" w:color="000000"/>
              <w:bottom w:val="single" w:sz="4" w:space="0" w:color="000000"/>
              <w:right w:val="single" w:sz="4" w:space="0" w:color="000000"/>
            </w:tcBorders>
          </w:tcPr>
          <w:p w14:paraId="71F795A5" w14:textId="77777777" w:rsidR="00692A02" w:rsidRPr="00692A02" w:rsidRDefault="00692A02" w:rsidP="00692A02">
            <w:pPr>
              <w:spacing w:before="20" w:after="20" w:line="240" w:lineRule="auto"/>
              <w:rPr>
                <w:rFonts w:ascii="Arial" w:eastAsia="Calibri" w:hAnsi="Arial" w:cs="Arial"/>
                <w:spacing w:val="-4"/>
                <w:sz w:val="20"/>
                <w:szCs w:val="20"/>
                <w:lang w:val="es-EC"/>
              </w:rPr>
            </w:pPr>
            <w:r w:rsidRPr="00692A02">
              <w:rPr>
                <w:rFonts w:ascii="Arial" w:eastAsia="Calibri" w:hAnsi="Arial" w:cs="Arial"/>
                <w:spacing w:val="-4"/>
                <w:sz w:val="20"/>
                <w:szCs w:val="20"/>
                <w:lang w:val="es-EC"/>
              </w:rPr>
              <w:t>Portal único GOB.EC (RUTER)</w:t>
            </w:r>
          </w:p>
          <w:p w14:paraId="4234D90C" w14:textId="77777777" w:rsidR="00692A02" w:rsidRPr="00692A02" w:rsidRDefault="00692A02" w:rsidP="00692A02">
            <w:pPr>
              <w:spacing w:before="20" w:after="20" w:line="240" w:lineRule="auto"/>
              <w:rPr>
                <w:rFonts w:ascii="Arial" w:eastAsia="Calibri" w:hAnsi="Arial" w:cs="Arial"/>
                <w:spacing w:val="-4"/>
                <w:sz w:val="20"/>
                <w:szCs w:val="20"/>
                <w:lang w:val="es-EC"/>
              </w:rPr>
            </w:pPr>
            <w:r w:rsidRPr="00692A02">
              <w:rPr>
                <w:rFonts w:ascii="Arial" w:eastAsia="Calibri" w:hAnsi="Arial" w:cs="Arial"/>
                <w:spacing w:val="-4"/>
                <w:sz w:val="20"/>
                <w:szCs w:val="20"/>
                <w:lang w:val="es-EC"/>
              </w:rPr>
              <w:t>MINTEL</w:t>
            </w:r>
          </w:p>
        </w:tc>
        <w:tc>
          <w:tcPr>
            <w:tcW w:w="2883" w:type="dxa"/>
            <w:tcBorders>
              <w:top w:val="single" w:sz="4" w:space="0" w:color="000000"/>
              <w:left w:val="single" w:sz="4" w:space="0" w:color="000000"/>
              <w:bottom w:val="single" w:sz="4" w:space="0" w:color="000000"/>
              <w:right w:val="single" w:sz="4" w:space="0" w:color="000000"/>
            </w:tcBorders>
          </w:tcPr>
          <w:p w14:paraId="00776FD0" w14:textId="77777777" w:rsidR="00692A02" w:rsidRPr="00692A02" w:rsidRDefault="00692A02" w:rsidP="00692A02">
            <w:pPr>
              <w:spacing w:before="20" w:after="20" w:line="240" w:lineRule="auto"/>
              <w:jc w:val="both"/>
              <w:rPr>
                <w:rFonts w:ascii="Arial" w:eastAsia="Calibri" w:hAnsi="Arial" w:cs="Arial"/>
                <w:spacing w:val="-4"/>
                <w:sz w:val="20"/>
                <w:szCs w:val="20"/>
                <w:highlight w:val="yellow"/>
                <w:lang w:val="es-EC"/>
              </w:rPr>
            </w:pPr>
          </w:p>
        </w:tc>
      </w:tr>
    </w:tbl>
    <w:p w14:paraId="5B777E14" w14:textId="77777777" w:rsidR="00692A02" w:rsidRDefault="00692A02" w:rsidP="00FE4C92">
      <w:pPr>
        <w:spacing w:before="240" w:after="240" w:line="240" w:lineRule="auto"/>
        <w:jc w:val="center"/>
        <w:textAlignment w:val="baseline"/>
        <w:rPr>
          <w:rFonts w:ascii="Arial" w:eastAsia="Times New Roman" w:hAnsi="Arial" w:cs="Arial"/>
          <w:b/>
          <w:bCs/>
          <w:smallCaps/>
          <w:color w:val="000000"/>
          <w:sz w:val="20"/>
          <w:szCs w:val="20"/>
          <w:lang w:eastAsia="en-US"/>
        </w:rPr>
      </w:pPr>
    </w:p>
    <w:p w14:paraId="059BF010" w14:textId="0B6BDDAF" w:rsidR="004627CF" w:rsidRPr="004627CF" w:rsidRDefault="004627CF" w:rsidP="004627CF">
      <w:pPr>
        <w:spacing w:after="0" w:line="240" w:lineRule="auto"/>
        <w:rPr>
          <w:rFonts w:ascii="Arial" w:eastAsia="Calibri" w:hAnsi="Arial" w:cs="Arial"/>
          <w:b/>
          <w:smallCaps/>
          <w:color w:val="000000"/>
          <w:sz w:val="20"/>
          <w:szCs w:val="20"/>
          <w:lang w:val="es-EC" w:eastAsia="en-US"/>
        </w:rPr>
      </w:pPr>
    </w:p>
    <w:p w14:paraId="44AFB865" w14:textId="25150BA1" w:rsidR="00EB1D84" w:rsidRPr="00727955" w:rsidRDefault="00EB1D84" w:rsidP="008373D5">
      <w:pPr>
        <w:pStyle w:val="ListParagraph"/>
        <w:numPr>
          <w:ilvl w:val="1"/>
          <w:numId w:val="48"/>
        </w:numPr>
        <w:spacing w:after="0" w:line="240" w:lineRule="auto"/>
        <w:ind w:left="547" w:hanging="547"/>
        <w:jc w:val="both"/>
        <w:rPr>
          <w:rFonts w:ascii="Arial" w:eastAsia="Arial" w:hAnsi="Arial" w:cs="Arial"/>
          <w:bCs/>
          <w:smallCaps/>
          <w:lang w:val="es-419"/>
        </w:rPr>
      </w:pPr>
      <w:r w:rsidRPr="00727955">
        <w:rPr>
          <w:rFonts w:ascii="Arial" w:eastAsia="Arial" w:hAnsi="Arial" w:cs="Arial"/>
          <w:bCs/>
          <w:smallCaps/>
          <w:lang w:val="es-419"/>
        </w:rPr>
        <w:t>A continuación, se presentan los indicadores definidos para el monitoreo del avance en la implementación de los productos del Programa. Los costos para su recopilación ya están incluidos en la remuneración de</w:t>
      </w:r>
      <w:r w:rsidR="00B52554">
        <w:rPr>
          <w:rFonts w:ascii="Arial" w:eastAsia="Arial" w:hAnsi="Arial" w:cs="Arial"/>
          <w:bCs/>
          <w:smallCaps/>
          <w:lang w:val="es-419"/>
        </w:rPr>
        <w:t xml:space="preserve"> los</w:t>
      </w:r>
      <w:r w:rsidRPr="00727955">
        <w:rPr>
          <w:rFonts w:ascii="Arial" w:eastAsia="Arial" w:hAnsi="Arial" w:cs="Arial"/>
          <w:bCs/>
          <w:smallCaps/>
          <w:lang w:val="es-419"/>
        </w:rPr>
        <w:t xml:space="preserve"> Especialista</w:t>
      </w:r>
      <w:r w:rsidR="00B52554">
        <w:rPr>
          <w:rFonts w:ascii="Arial" w:eastAsia="Arial" w:hAnsi="Arial" w:cs="Arial"/>
          <w:bCs/>
          <w:smallCaps/>
          <w:lang w:val="es-419"/>
        </w:rPr>
        <w:t>s</w:t>
      </w:r>
      <w:r w:rsidRPr="00727955">
        <w:rPr>
          <w:rFonts w:ascii="Arial" w:eastAsia="Arial" w:hAnsi="Arial" w:cs="Arial"/>
          <w:bCs/>
          <w:smallCaps/>
          <w:lang w:val="es-419"/>
        </w:rPr>
        <w:t xml:space="preserve"> en Planeación y Monitoreo </w:t>
      </w:r>
      <w:r w:rsidR="005B4435" w:rsidRPr="00727955">
        <w:rPr>
          <w:rFonts w:ascii="Arial" w:eastAsia="Arial" w:hAnsi="Arial" w:cs="Arial"/>
          <w:bCs/>
          <w:smallCaps/>
          <w:lang w:val="es-419"/>
        </w:rPr>
        <w:t xml:space="preserve">del MEF </w:t>
      </w:r>
      <w:r w:rsidRPr="00727955">
        <w:rPr>
          <w:rFonts w:ascii="Arial" w:eastAsia="Arial" w:hAnsi="Arial" w:cs="Arial"/>
          <w:bCs/>
          <w:smallCaps/>
          <w:lang w:val="es-419"/>
        </w:rPr>
        <w:t>y</w:t>
      </w:r>
      <w:r w:rsidR="00B52554">
        <w:rPr>
          <w:rFonts w:ascii="Arial" w:eastAsia="Arial" w:hAnsi="Arial" w:cs="Arial"/>
          <w:bCs/>
          <w:smallCaps/>
          <w:lang w:val="es-419"/>
        </w:rPr>
        <w:t xml:space="preserve"> considerados</w:t>
      </w:r>
      <w:r w:rsidRPr="00727955">
        <w:rPr>
          <w:rFonts w:ascii="Arial" w:eastAsia="Arial" w:hAnsi="Arial" w:cs="Arial"/>
          <w:bCs/>
          <w:smallCaps/>
          <w:lang w:val="es-419"/>
        </w:rPr>
        <w:t xml:space="preserve"> en el presupuesto del programa</w:t>
      </w:r>
      <w:r w:rsidR="005B4435" w:rsidRPr="00727955">
        <w:rPr>
          <w:rFonts w:ascii="Arial" w:eastAsia="Arial" w:hAnsi="Arial" w:cs="Arial"/>
          <w:bCs/>
          <w:smallCaps/>
          <w:lang w:val="es-419"/>
        </w:rPr>
        <w:t xml:space="preserve"> (ver tabla de costos más abajo)</w:t>
      </w:r>
      <w:r w:rsidRPr="00727955">
        <w:rPr>
          <w:rFonts w:ascii="Arial" w:eastAsia="Arial" w:hAnsi="Arial" w:cs="Arial"/>
          <w:bCs/>
          <w:smallCaps/>
          <w:lang w:val="es-419"/>
        </w:rPr>
        <w:t xml:space="preserve">, o sea no </w:t>
      </w:r>
      <w:r w:rsidRPr="002643B7">
        <w:rPr>
          <w:rFonts w:ascii="Arial" w:eastAsia="Arial" w:hAnsi="Arial" w:cs="Arial"/>
          <w:bCs/>
          <w:sz w:val="20"/>
          <w:szCs w:val="20"/>
          <w:lang w:val="es-419"/>
        </w:rPr>
        <w:t>representar</w:t>
      </w:r>
      <w:r w:rsidR="00136CB2">
        <w:rPr>
          <w:rFonts w:ascii="Arial" w:eastAsia="Arial" w:hAnsi="Arial" w:cs="Arial"/>
          <w:bCs/>
          <w:sz w:val="20"/>
          <w:szCs w:val="20"/>
          <w:lang w:val="es-419"/>
        </w:rPr>
        <w:t>á</w:t>
      </w:r>
      <w:r w:rsidRPr="002643B7">
        <w:rPr>
          <w:rFonts w:ascii="Arial" w:eastAsia="Arial" w:hAnsi="Arial" w:cs="Arial"/>
          <w:bCs/>
          <w:sz w:val="20"/>
          <w:szCs w:val="20"/>
          <w:lang w:val="es-419"/>
        </w:rPr>
        <w:t>n</w:t>
      </w:r>
      <w:r w:rsidRPr="00727955">
        <w:rPr>
          <w:rFonts w:ascii="Arial" w:eastAsia="Arial" w:hAnsi="Arial" w:cs="Arial"/>
          <w:bCs/>
          <w:smallCaps/>
          <w:lang w:val="es-419"/>
        </w:rPr>
        <w:t xml:space="preserve"> un cargo extra.</w:t>
      </w:r>
    </w:p>
    <w:p w14:paraId="2441C8D8" w14:textId="76465DF0" w:rsidR="00EB1D84" w:rsidRDefault="00EB1D84" w:rsidP="00EB1D84">
      <w:pPr>
        <w:spacing w:after="0" w:line="240" w:lineRule="auto"/>
        <w:jc w:val="both"/>
        <w:rPr>
          <w:rFonts w:ascii="Arial" w:eastAsia="Arial" w:hAnsi="Arial" w:cs="Arial"/>
          <w:bCs/>
          <w:smallCaps/>
          <w:lang w:val="es-419"/>
        </w:rPr>
      </w:pPr>
    </w:p>
    <w:p w14:paraId="048EB5D4" w14:textId="57605F49" w:rsidR="00B262F4" w:rsidRDefault="00B262F4" w:rsidP="00EB1D84">
      <w:pPr>
        <w:spacing w:after="0" w:line="240" w:lineRule="auto"/>
        <w:jc w:val="both"/>
        <w:rPr>
          <w:rFonts w:ascii="Arial" w:eastAsia="Arial" w:hAnsi="Arial" w:cs="Arial"/>
          <w:bCs/>
          <w:smallCaps/>
          <w:lang w:val="es-419"/>
        </w:rPr>
      </w:pPr>
    </w:p>
    <w:p w14:paraId="27345022" w14:textId="1CF2EF50" w:rsidR="00F903E2" w:rsidRDefault="00F903E2" w:rsidP="00EB1D84">
      <w:pPr>
        <w:spacing w:after="0" w:line="240" w:lineRule="auto"/>
        <w:jc w:val="both"/>
        <w:rPr>
          <w:rFonts w:ascii="Arial" w:eastAsia="Arial" w:hAnsi="Arial" w:cs="Arial"/>
          <w:bCs/>
          <w:smallCaps/>
          <w:lang w:val="es-419"/>
        </w:rPr>
      </w:pPr>
    </w:p>
    <w:p w14:paraId="2ED38410" w14:textId="77777777" w:rsidR="00F903E2" w:rsidRDefault="00F903E2" w:rsidP="00EB1D84">
      <w:pPr>
        <w:spacing w:after="0" w:line="240" w:lineRule="auto"/>
        <w:jc w:val="both"/>
        <w:rPr>
          <w:rFonts w:ascii="Arial" w:eastAsia="Arial" w:hAnsi="Arial" w:cs="Arial"/>
          <w:bCs/>
          <w:smallCaps/>
          <w:lang w:val="es-419"/>
        </w:rPr>
      </w:pPr>
    </w:p>
    <w:p w14:paraId="0FCCDC8D" w14:textId="77777777" w:rsidR="00B262F4" w:rsidRPr="00727955" w:rsidRDefault="00B262F4" w:rsidP="00EB1D84">
      <w:pPr>
        <w:spacing w:after="0" w:line="240" w:lineRule="auto"/>
        <w:jc w:val="both"/>
        <w:rPr>
          <w:rFonts w:ascii="Arial" w:eastAsia="Arial" w:hAnsi="Arial" w:cs="Arial"/>
          <w:bCs/>
          <w:smallCaps/>
          <w:lang w:val="es-419"/>
        </w:rPr>
      </w:pPr>
    </w:p>
    <w:p w14:paraId="597B37EC" w14:textId="77777777" w:rsidR="00303149" w:rsidRPr="00727955" w:rsidRDefault="00303149" w:rsidP="00B26973">
      <w:pPr>
        <w:spacing w:after="0" w:line="240" w:lineRule="auto"/>
        <w:jc w:val="center"/>
        <w:rPr>
          <w:rFonts w:ascii="Arial" w:eastAsia="Arial" w:hAnsi="Arial" w:cs="Arial"/>
          <w:b/>
          <w:bCs/>
          <w:smallCaps/>
          <w:lang w:val="es-419"/>
        </w:rPr>
      </w:pPr>
    </w:p>
    <w:p w14:paraId="0EB10EB6" w14:textId="77777777" w:rsidR="00EC19E5" w:rsidRDefault="00EC19E5" w:rsidP="00B26973">
      <w:pPr>
        <w:spacing w:after="0" w:line="240" w:lineRule="auto"/>
        <w:jc w:val="center"/>
        <w:rPr>
          <w:rFonts w:ascii="Arial" w:eastAsia="Arial" w:hAnsi="Arial" w:cs="Arial"/>
          <w:b/>
          <w:bCs/>
          <w:smallCaps/>
          <w:lang w:val="es-419"/>
        </w:rPr>
      </w:pPr>
    </w:p>
    <w:p w14:paraId="3D4C2EE2" w14:textId="75DE0131" w:rsidR="00502BB2" w:rsidRDefault="00EB1D84" w:rsidP="00B26973">
      <w:pPr>
        <w:spacing w:after="0" w:line="240" w:lineRule="auto"/>
        <w:jc w:val="center"/>
        <w:rPr>
          <w:rFonts w:ascii="Arial" w:eastAsia="Arial" w:hAnsi="Arial" w:cs="Arial"/>
          <w:b/>
          <w:bCs/>
          <w:smallCaps/>
          <w:lang w:val="es-419"/>
        </w:rPr>
      </w:pPr>
      <w:r w:rsidRPr="00727955">
        <w:rPr>
          <w:rFonts w:ascii="Arial" w:eastAsia="Arial" w:hAnsi="Arial" w:cs="Arial"/>
          <w:b/>
          <w:bCs/>
          <w:smallCaps/>
          <w:lang w:val="es-419"/>
        </w:rPr>
        <w:t>Cuadro 2: Indicadores de producto</w:t>
      </w:r>
      <w:r w:rsidR="007C0D33">
        <w:rPr>
          <w:rFonts w:ascii="Arial" w:eastAsia="Arial" w:hAnsi="Arial" w:cs="Arial"/>
          <w:b/>
          <w:bCs/>
          <w:smallCaps/>
          <w:lang w:val="es-419"/>
        </w:rPr>
        <w:t xml:space="preserve"> y</w:t>
      </w:r>
      <w:r w:rsidRPr="00727955">
        <w:rPr>
          <w:rFonts w:ascii="Arial" w:eastAsia="Arial" w:hAnsi="Arial" w:cs="Arial"/>
          <w:b/>
          <w:bCs/>
          <w:smallCaps/>
          <w:lang w:val="es-419"/>
        </w:rPr>
        <w:t xml:space="preserve"> </w:t>
      </w:r>
      <w:r w:rsidR="006926E6">
        <w:rPr>
          <w:rFonts w:ascii="Arial" w:eastAsia="Arial" w:hAnsi="Arial" w:cs="Arial"/>
          <w:b/>
          <w:bCs/>
          <w:smallCaps/>
          <w:lang w:val="es-419"/>
        </w:rPr>
        <w:t>costo</w:t>
      </w:r>
      <w:r w:rsidRPr="00727955">
        <w:rPr>
          <w:rFonts w:ascii="Arial" w:eastAsia="Arial" w:hAnsi="Arial" w:cs="Arial"/>
          <w:b/>
          <w:bCs/>
          <w:smallCaps/>
          <w:lang w:val="es-419"/>
        </w:rPr>
        <w:t xml:space="preserve"> por componente</w:t>
      </w:r>
    </w:p>
    <w:p w14:paraId="1B0F3FD5" w14:textId="39A6C0CE" w:rsidR="00B262F4" w:rsidRDefault="00B262F4" w:rsidP="00B26973">
      <w:pPr>
        <w:spacing w:after="0" w:line="240" w:lineRule="auto"/>
        <w:jc w:val="center"/>
        <w:rPr>
          <w:rFonts w:ascii="Arial" w:eastAsia="Arial" w:hAnsi="Arial" w:cs="Arial"/>
          <w:b/>
          <w:bCs/>
          <w:smallCaps/>
          <w:lang w:val="es-419"/>
        </w:rPr>
      </w:pPr>
    </w:p>
    <w:tbl>
      <w:tblPr>
        <w:tblW w:w="14948"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1"/>
        <w:gridCol w:w="1749"/>
        <w:gridCol w:w="990"/>
        <w:gridCol w:w="1260"/>
        <w:gridCol w:w="1080"/>
        <w:gridCol w:w="990"/>
        <w:gridCol w:w="1080"/>
        <w:gridCol w:w="1080"/>
        <w:gridCol w:w="1080"/>
        <w:gridCol w:w="1080"/>
        <w:gridCol w:w="419"/>
        <w:gridCol w:w="3631"/>
        <w:gridCol w:w="8"/>
      </w:tblGrid>
      <w:tr w:rsidR="00734DF5" w:rsidRPr="00387315" w14:paraId="1EB3B94E" w14:textId="3A12096F" w:rsidTr="7679B09A">
        <w:trPr>
          <w:trHeight w:val="457"/>
          <w:tblHeader/>
        </w:trPr>
        <w:tc>
          <w:tcPr>
            <w:tcW w:w="11309" w:type="dxa"/>
            <w:gridSpan w:val="11"/>
            <w:shd w:val="clear" w:color="auto" w:fill="222B35"/>
            <w:noWrap/>
            <w:vAlign w:val="center"/>
            <w:hideMark/>
          </w:tcPr>
          <w:p w14:paraId="33109869" w14:textId="77777777" w:rsidR="00585F8B" w:rsidRPr="00C2120C" w:rsidRDefault="00585F8B" w:rsidP="00953E1E">
            <w:pPr>
              <w:spacing w:after="0" w:line="240" w:lineRule="auto"/>
              <w:jc w:val="center"/>
              <w:rPr>
                <w:rFonts w:ascii="Arial" w:eastAsia="Times New Roman" w:hAnsi="Arial" w:cs="Arial"/>
                <w:b/>
                <w:bCs/>
                <w:color w:val="FFFFFF"/>
                <w:sz w:val="18"/>
                <w:szCs w:val="18"/>
                <w:lang w:val="es-EC" w:eastAsia="es-EC"/>
              </w:rPr>
            </w:pPr>
            <w:r w:rsidRPr="00C2120C">
              <w:rPr>
                <w:rFonts w:ascii="Arial" w:eastAsia="Times New Roman" w:hAnsi="Arial" w:cs="Arial"/>
                <w:b/>
                <w:bCs/>
                <w:color w:val="FFFFFF"/>
                <w:sz w:val="18"/>
                <w:szCs w:val="18"/>
                <w:lang w:val="es-EC" w:eastAsia="es-EC"/>
              </w:rPr>
              <w:t>“PROGRAMA DE FORTALECIMIENTO INSTITUCIONAL PARA LA COMPETITIVIDAD (EC-L1250)”</w:t>
            </w:r>
          </w:p>
        </w:tc>
        <w:tc>
          <w:tcPr>
            <w:tcW w:w="3639" w:type="dxa"/>
            <w:gridSpan w:val="2"/>
            <w:shd w:val="clear" w:color="auto" w:fill="222B35"/>
          </w:tcPr>
          <w:p w14:paraId="6100B553" w14:textId="77777777" w:rsidR="00585F8B" w:rsidRPr="00C2120C" w:rsidRDefault="00585F8B" w:rsidP="00953E1E">
            <w:pPr>
              <w:spacing w:after="0" w:line="240" w:lineRule="auto"/>
              <w:jc w:val="center"/>
              <w:rPr>
                <w:rFonts w:ascii="Arial" w:eastAsia="Times New Roman" w:hAnsi="Arial" w:cs="Arial"/>
                <w:b/>
                <w:bCs/>
                <w:color w:val="FFFFFF"/>
                <w:sz w:val="18"/>
                <w:szCs w:val="18"/>
                <w:lang w:val="es-EC" w:eastAsia="es-EC"/>
              </w:rPr>
            </w:pPr>
          </w:p>
        </w:tc>
      </w:tr>
      <w:tr w:rsidR="00707B38" w:rsidRPr="00A01772" w14:paraId="2595C702" w14:textId="73390E5C" w:rsidTr="000D5546">
        <w:trPr>
          <w:gridAfter w:val="1"/>
          <w:wAfter w:w="8" w:type="dxa"/>
          <w:trHeight w:val="380"/>
          <w:tblHeader/>
        </w:trPr>
        <w:tc>
          <w:tcPr>
            <w:tcW w:w="501" w:type="dxa"/>
            <w:shd w:val="clear" w:color="auto" w:fill="305496"/>
            <w:noWrap/>
            <w:vAlign w:val="center"/>
            <w:hideMark/>
          </w:tcPr>
          <w:p w14:paraId="6FD8B1E9" w14:textId="77777777" w:rsidR="00585F8B" w:rsidRPr="00C2120C" w:rsidRDefault="00585F8B" w:rsidP="00B262F4">
            <w:pPr>
              <w:spacing w:after="0" w:line="240" w:lineRule="auto"/>
              <w:jc w:val="center"/>
              <w:rPr>
                <w:rFonts w:ascii="Arial" w:eastAsia="Times New Roman" w:hAnsi="Arial" w:cs="Arial"/>
                <w:b/>
                <w:bCs/>
                <w:color w:val="FFFFFF"/>
                <w:sz w:val="18"/>
                <w:szCs w:val="18"/>
                <w:lang w:val="es-EC" w:eastAsia="es-EC"/>
              </w:rPr>
            </w:pPr>
            <w:r w:rsidRPr="00C2120C">
              <w:rPr>
                <w:rFonts w:ascii="Arial" w:eastAsia="Times New Roman" w:hAnsi="Arial" w:cs="Arial"/>
                <w:b/>
                <w:bCs/>
                <w:color w:val="FFFFFF"/>
                <w:sz w:val="18"/>
                <w:szCs w:val="18"/>
                <w:lang w:val="es-EC" w:eastAsia="es-EC"/>
              </w:rPr>
              <w:t>EDT</w:t>
            </w:r>
          </w:p>
        </w:tc>
        <w:tc>
          <w:tcPr>
            <w:tcW w:w="1749" w:type="dxa"/>
            <w:shd w:val="clear" w:color="auto" w:fill="305496"/>
            <w:noWrap/>
            <w:vAlign w:val="center"/>
            <w:hideMark/>
          </w:tcPr>
          <w:p w14:paraId="672E29E8" w14:textId="77777777" w:rsidR="00585F8B" w:rsidRPr="00C2120C" w:rsidRDefault="00585F8B" w:rsidP="00B262F4">
            <w:pPr>
              <w:spacing w:after="0" w:line="240" w:lineRule="auto"/>
              <w:jc w:val="center"/>
              <w:rPr>
                <w:rFonts w:ascii="Arial" w:eastAsia="Times New Roman" w:hAnsi="Arial" w:cs="Arial"/>
                <w:b/>
                <w:bCs/>
                <w:color w:val="FFFFFF"/>
                <w:sz w:val="18"/>
                <w:szCs w:val="18"/>
                <w:lang w:val="es-EC" w:eastAsia="es-EC"/>
              </w:rPr>
            </w:pPr>
            <w:r w:rsidRPr="00C2120C">
              <w:rPr>
                <w:rFonts w:ascii="Arial" w:eastAsia="Times New Roman" w:hAnsi="Arial" w:cs="Arial"/>
                <w:b/>
                <w:bCs/>
                <w:color w:val="FFFFFF"/>
                <w:sz w:val="18"/>
                <w:szCs w:val="18"/>
                <w:lang w:val="es-EC" w:eastAsia="es-EC"/>
              </w:rPr>
              <w:t>Nombre de tarea</w:t>
            </w:r>
          </w:p>
        </w:tc>
        <w:tc>
          <w:tcPr>
            <w:tcW w:w="990" w:type="dxa"/>
            <w:shd w:val="clear" w:color="auto" w:fill="305496"/>
            <w:noWrap/>
            <w:vAlign w:val="center"/>
            <w:hideMark/>
          </w:tcPr>
          <w:p w14:paraId="710AA9A1" w14:textId="77777777" w:rsidR="00585F8B" w:rsidRPr="00C2120C" w:rsidRDefault="00585F8B" w:rsidP="00B262F4">
            <w:pPr>
              <w:spacing w:after="0" w:line="240" w:lineRule="auto"/>
              <w:jc w:val="center"/>
              <w:rPr>
                <w:rFonts w:ascii="Arial" w:eastAsia="Times New Roman" w:hAnsi="Arial" w:cs="Arial"/>
                <w:color w:val="FFFFFF"/>
                <w:sz w:val="18"/>
                <w:szCs w:val="18"/>
                <w:lang w:val="es-EC" w:eastAsia="es-EC"/>
              </w:rPr>
            </w:pPr>
            <w:r w:rsidRPr="00C2120C">
              <w:rPr>
                <w:rFonts w:ascii="Arial" w:eastAsia="Times New Roman" w:hAnsi="Arial" w:cs="Arial"/>
                <w:color w:val="FFFFFF"/>
                <w:sz w:val="18"/>
                <w:szCs w:val="18"/>
                <w:lang w:val="es-EC" w:eastAsia="es-EC"/>
              </w:rPr>
              <w:t>Meta</w:t>
            </w:r>
          </w:p>
        </w:tc>
        <w:tc>
          <w:tcPr>
            <w:tcW w:w="1260" w:type="dxa"/>
            <w:shd w:val="clear" w:color="auto" w:fill="305496"/>
            <w:noWrap/>
            <w:vAlign w:val="center"/>
            <w:hideMark/>
          </w:tcPr>
          <w:p w14:paraId="411A8B76" w14:textId="77777777" w:rsidR="00585F8B" w:rsidRPr="00C2120C" w:rsidRDefault="00585F8B" w:rsidP="00B262F4">
            <w:pPr>
              <w:spacing w:after="0" w:line="240" w:lineRule="auto"/>
              <w:jc w:val="center"/>
              <w:rPr>
                <w:rFonts w:ascii="Arial" w:eastAsia="Times New Roman" w:hAnsi="Arial" w:cs="Arial"/>
                <w:color w:val="FFFFFF"/>
                <w:sz w:val="18"/>
                <w:szCs w:val="18"/>
                <w:lang w:val="es-EC" w:eastAsia="es-EC"/>
              </w:rPr>
            </w:pPr>
            <w:r w:rsidRPr="00C2120C">
              <w:rPr>
                <w:rFonts w:ascii="Arial" w:eastAsia="Times New Roman" w:hAnsi="Arial" w:cs="Arial"/>
                <w:color w:val="FFFFFF"/>
                <w:sz w:val="18"/>
                <w:szCs w:val="18"/>
                <w:lang w:val="es-EC" w:eastAsia="es-EC"/>
              </w:rPr>
              <w:t>Unidad de Medida</w:t>
            </w:r>
          </w:p>
        </w:tc>
        <w:tc>
          <w:tcPr>
            <w:tcW w:w="1080" w:type="dxa"/>
            <w:shd w:val="clear" w:color="auto" w:fill="305496"/>
            <w:noWrap/>
            <w:vAlign w:val="center"/>
            <w:hideMark/>
          </w:tcPr>
          <w:p w14:paraId="3264FF04" w14:textId="77777777" w:rsidR="00585F8B" w:rsidRPr="00C2120C" w:rsidRDefault="00585F8B" w:rsidP="00B262F4">
            <w:pPr>
              <w:spacing w:after="0" w:line="240" w:lineRule="auto"/>
              <w:jc w:val="center"/>
              <w:rPr>
                <w:rFonts w:ascii="Arial" w:eastAsia="Times New Roman" w:hAnsi="Arial" w:cs="Arial"/>
                <w:b/>
                <w:bCs/>
                <w:color w:val="FFFFFF"/>
                <w:sz w:val="18"/>
                <w:szCs w:val="18"/>
                <w:lang w:val="es-EC" w:eastAsia="es-EC"/>
              </w:rPr>
            </w:pPr>
            <w:r w:rsidRPr="00C2120C">
              <w:rPr>
                <w:rFonts w:ascii="Arial" w:eastAsia="Times New Roman" w:hAnsi="Arial" w:cs="Arial"/>
                <w:b/>
                <w:bCs/>
                <w:color w:val="FFFFFF"/>
                <w:sz w:val="18"/>
                <w:szCs w:val="18"/>
                <w:lang w:val="es-EC" w:eastAsia="es-EC"/>
              </w:rPr>
              <w:t>Año 1</w:t>
            </w:r>
          </w:p>
        </w:tc>
        <w:tc>
          <w:tcPr>
            <w:tcW w:w="990" w:type="dxa"/>
            <w:shd w:val="clear" w:color="auto" w:fill="305496"/>
            <w:noWrap/>
            <w:vAlign w:val="center"/>
            <w:hideMark/>
          </w:tcPr>
          <w:p w14:paraId="67980B6D" w14:textId="77777777" w:rsidR="00585F8B" w:rsidRPr="00C2120C" w:rsidRDefault="00585F8B" w:rsidP="00B262F4">
            <w:pPr>
              <w:spacing w:after="0" w:line="240" w:lineRule="auto"/>
              <w:jc w:val="center"/>
              <w:rPr>
                <w:rFonts w:ascii="Arial" w:eastAsia="Times New Roman" w:hAnsi="Arial" w:cs="Arial"/>
                <w:b/>
                <w:bCs/>
                <w:color w:val="FFFFFF"/>
                <w:sz w:val="18"/>
                <w:szCs w:val="18"/>
                <w:lang w:val="es-EC" w:eastAsia="es-EC"/>
              </w:rPr>
            </w:pPr>
            <w:r w:rsidRPr="00C2120C">
              <w:rPr>
                <w:rFonts w:ascii="Arial" w:eastAsia="Times New Roman" w:hAnsi="Arial" w:cs="Arial"/>
                <w:b/>
                <w:bCs/>
                <w:color w:val="FFFFFF"/>
                <w:sz w:val="18"/>
                <w:szCs w:val="18"/>
                <w:lang w:val="es-EC" w:eastAsia="es-EC"/>
              </w:rPr>
              <w:t>Año 2</w:t>
            </w:r>
          </w:p>
        </w:tc>
        <w:tc>
          <w:tcPr>
            <w:tcW w:w="1080" w:type="dxa"/>
            <w:shd w:val="clear" w:color="auto" w:fill="305496"/>
            <w:noWrap/>
            <w:vAlign w:val="center"/>
            <w:hideMark/>
          </w:tcPr>
          <w:p w14:paraId="4EFB3FAB" w14:textId="77777777" w:rsidR="00585F8B" w:rsidRPr="00C2120C" w:rsidRDefault="00585F8B" w:rsidP="00B262F4">
            <w:pPr>
              <w:spacing w:after="0" w:line="240" w:lineRule="auto"/>
              <w:jc w:val="center"/>
              <w:rPr>
                <w:rFonts w:ascii="Arial" w:eastAsia="Times New Roman" w:hAnsi="Arial" w:cs="Arial"/>
                <w:b/>
                <w:bCs/>
                <w:color w:val="FFFFFF"/>
                <w:sz w:val="18"/>
                <w:szCs w:val="18"/>
                <w:lang w:val="es-EC" w:eastAsia="es-EC"/>
              </w:rPr>
            </w:pPr>
            <w:r w:rsidRPr="00C2120C">
              <w:rPr>
                <w:rFonts w:ascii="Arial" w:eastAsia="Times New Roman" w:hAnsi="Arial" w:cs="Arial"/>
                <w:b/>
                <w:bCs/>
                <w:color w:val="FFFFFF"/>
                <w:sz w:val="18"/>
                <w:szCs w:val="18"/>
                <w:lang w:val="es-EC" w:eastAsia="es-EC"/>
              </w:rPr>
              <w:t>Año 3</w:t>
            </w:r>
          </w:p>
        </w:tc>
        <w:tc>
          <w:tcPr>
            <w:tcW w:w="1080" w:type="dxa"/>
            <w:shd w:val="clear" w:color="auto" w:fill="305496"/>
            <w:noWrap/>
            <w:vAlign w:val="center"/>
            <w:hideMark/>
          </w:tcPr>
          <w:p w14:paraId="17C6729E" w14:textId="77777777" w:rsidR="00585F8B" w:rsidRPr="00C2120C" w:rsidRDefault="00585F8B" w:rsidP="00B262F4">
            <w:pPr>
              <w:spacing w:after="0" w:line="240" w:lineRule="auto"/>
              <w:jc w:val="center"/>
              <w:rPr>
                <w:rFonts w:ascii="Arial" w:eastAsia="Times New Roman" w:hAnsi="Arial" w:cs="Arial"/>
                <w:b/>
                <w:bCs/>
                <w:color w:val="FFFFFF"/>
                <w:sz w:val="18"/>
                <w:szCs w:val="18"/>
                <w:lang w:val="es-EC" w:eastAsia="es-EC"/>
              </w:rPr>
            </w:pPr>
            <w:r w:rsidRPr="00C2120C">
              <w:rPr>
                <w:rFonts w:ascii="Arial" w:eastAsia="Times New Roman" w:hAnsi="Arial" w:cs="Arial"/>
                <w:b/>
                <w:bCs/>
                <w:color w:val="FFFFFF"/>
                <w:sz w:val="18"/>
                <w:szCs w:val="18"/>
                <w:lang w:val="es-EC" w:eastAsia="es-EC"/>
              </w:rPr>
              <w:t>Año 4</w:t>
            </w:r>
          </w:p>
        </w:tc>
        <w:tc>
          <w:tcPr>
            <w:tcW w:w="1080" w:type="dxa"/>
            <w:shd w:val="clear" w:color="auto" w:fill="305496"/>
            <w:noWrap/>
            <w:vAlign w:val="center"/>
            <w:hideMark/>
          </w:tcPr>
          <w:p w14:paraId="3327D5AA" w14:textId="77777777" w:rsidR="00585F8B" w:rsidRPr="00C2120C" w:rsidRDefault="00585F8B" w:rsidP="007D095E">
            <w:pPr>
              <w:spacing w:after="0" w:line="240" w:lineRule="auto"/>
              <w:jc w:val="right"/>
              <w:rPr>
                <w:rFonts w:ascii="Arial" w:eastAsia="Times New Roman" w:hAnsi="Arial" w:cs="Arial"/>
                <w:b/>
                <w:bCs/>
                <w:color w:val="FFFFFF"/>
                <w:sz w:val="18"/>
                <w:szCs w:val="18"/>
                <w:lang w:val="es-EC" w:eastAsia="es-EC"/>
              </w:rPr>
            </w:pPr>
            <w:r w:rsidRPr="00C2120C">
              <w:rPr>
                <w:rFonts w:ascii="Arial" w:eastAsia="Times New Roman" w:hAnsi="Arial" w:cs="Arial"/>
                <w:b/>
                <w:bCs/>
                <w:color w:val="FFFFFF"/>
                <w:sz w:val="18"/>
                <w:szCs w:val="18"/>
                <w:lang w:val="es-EC" w:eastAsia="es-EC"/>
              </w:rPr>
              <w:t>Año 5</w:t>
            </w:r>
          </w:p>
        </w:tc>
        <w:tc>
          <w:tcPr>
            <w:tcW w:w="1080" w:type="dxa"/>
            <w:shd w:val="clear" w:color="auto" w:fill="305496"/>
            <w:noWrap/>
            <w:vAlign w:val="center"/>
            <w:hideMark/>
          </w:tcPr>
          <w:p w14:paraId="1A3CB26D" w14:textId="77777777" w:rsidR="00585F8B" w:rsidRPr="00C2120C" w:rsidRDefault="00585F8B" w:rsidP="00B262F4">
            <w:pPr>
              <w:spacing w:after="0" w:line="240" w:lineRule="auto"/>
              <w:jc w:val="center"/>
              <w:rPr>
                <w:rFonts w:ascii="Arial" w:eastAsia="Times New Roman" w:hAnsi="Arial" w:cs="Arial"/>
                <w:b/>
                <w:bCs/>
                <w:color w:val="FFFFFF"/>
                <w:sz w:val="18"/>
                <w:szCs w:val="18"/>
                <w:lang w:val="es-EC" w:eastAsia="es-EC"/>
              </w:rPr>
            </w:pPr>
            <w:r w:rsidRPr="00C2120C">
              <w:rPr>
                <w:rFonts w:ascii="Arial" w:eastAsia="Times New Roman" w:hAnsi="Arial" w:cs="Arial"/>
                <w:b/>
                <w:bCs/>
                <w:color w:val="FFFFFF"/>
                <w:sz w:val="18"/>
                <w:szCs w:val="18"/>
                <w:lang w:val="es-EC" w:eastAsia="es-EC"/>
              </w:rPr>
              <w:t>TOTAL</w:t>
            </w:r>
          </w:p>
        </w:tc>
        <w:tc>
          <w:tcPr>
            <w:tcW w:w="4050" w:type="dxa"/>
            <w:gridSpan w:val="2"/>
            <w:shd w:val="clear" w:color="auto" w:fill="305496"/>
          </w:tcPr>
          <w:p w14:paraId="6EE8DE20" w14:textId="0B9C8177" w:rsidR="00585F8B" w:rsidRPr="00C2120C" w:rsidRDefault="00585F8B" w:rsidP="00B262F4">
            <w:pPr>
              <w:spacing w:after="0" w:line="240" w:lineRule="auto"/>
              <w:jc w:val="center"/>
              <w:rPr>
                <w:rFonts w:ascii="Arial" w:eastAsia="Times New Roman" w:hAnsi="Arial" w:cs="Arial"/>
                <w:b/>
                <w:bCs/>
                <w:color w:val="FFFFFF"/>
                <w:sz w:val="18"/>
                <w:szCs w:val="18"/>
                <w:lang w:val="es-EC" w:eastAsia="es-EC"/>
              </w:rPr>
            </w:pPr>
            <w:r w:rsidRPr="00C2120C">
              <w:rPr>
                <w:rFonts w:ascii="Arial" w:eastAsia="Times New Roman" w:hAnsi="Arial" w:cs="Arial"/>
                <w:b/>
                <w:bCs/>
                <w:color w:val="FFFFFF"/>
                <w:sz w:val="18"/>
                <w:szCs w:val="18"/>
                <w:lang w:val="es-EC" w:eastAsia="es-EC"/>
              </w:rPr>
              <w:t>Comentarios</w:t>
            </w:r>
          </w:p>
        </w:tc>
      </w:tr>
      <w:tr w:rsidR="008C3AFC" w:rsidRPr="00A01772" w14:paraId="24738F92" w14:textId="769E5175" w:rsidTr="000D5546">
        <w:trPr>
          <w:gridAfter w:val="1"/>
          <w:wAfter w:w="8" w:type="dxa"/>
          <w:trHeight w:val="304"/>
        </w:trPr>
        <w:tc>
          <w:tcPr>
            <w:tcW w:w="501" w:type="dxa"/>
            <w:shd w:val="clear" w:color="auto" w:fill="FFFFFF" w:themeFill="background1"/>
            <w:noWrap/>
            <w:hideMark/>
          </w:tcPr>
          <w:p w14:paraId="7E004F2C" w14:textId="77777777" w:rsidR="008C3AFC" w:rsidRPr="00C2120C" w:rsidRDefault="008C3AFC" w:rsidP="008C3AFC">
            <w:pPr>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w:t>
            </w:r>
          </w:p>
        </w:tc>
        <w:tc>
          <w:tcPr>
            <w:tcW w:w="1749" w:type="dxa"/>
            <w:shd w:val="clear" w:color="auto" w:fill="FFFFFF" w:themeFill="background1"/>
            <w:noWrap/>
            <w:vAlign w:val="center"/>
            <w:hideMark/>
          </w:tcPr>
          <w:p w14:paraId="6CEA34B5" w14:textId="3310675C" w:rsidR="008C3AFC" w:rsidRPr="00C2120C" w:rsidRDefault="008C3AFC" w:rsidP="008C3AFC">
            <w:pPr>
              <w:spacing w:after="0" w:line="240" w:lineRule="auto"/>
              <w:rPr>
                <w:rFonts w:ascii="Arial" w:eastAsia="Times New Roman" w:hAnsi="Arial" w:cs="Arial"/>
                <w:b/>
                <w:bCs/>
                <w:color w:val="000000"/>
                <w:sz w:val="18"/>
                <w:szCs w:val="18"/>
                <w:lang w:val="es-EC" w:eastAsia="es-EC"/>
              </w:rPr>
            </w:pPr>
            <w:r w:rsidRPr="00C2120C">
              <w:rPr>
                <w:rFonts w:ascii="Arial" w:eastAsia="Times New Roman" w:hAnsi="Arial" w:cs="Arial"/>
                <w:b/>
                <w:bCs/>
                <w:color w:val="000000"/>
                <w:sz w:val="18"/>
                <w:szCs w:val="18"/>
                <w:lang w:val="es-EC" w:eastAsia="es-EC"/>
              </w:rPr>
              <w:t>EC-L1250 PEP-POA 2019</w:t>
            </w:r>
          </w:p>
        </w:tc>
        <w:tc>
          <w:tcPr>
            <w:tcW w:w="990" w:type="dxa"/>
            <w:shd w:val="clear" w:color="auto" w:fill="FFFFFF" w:themeFill="background1"/>
            <w:noWrap/>
            <w:vAlign w:val="center"/>
            <w:hideMark/>
          </w:tcPr>
          <w:p w14:paraId="6FF4E8FB" w14:textId="77777777" w:rsidR="008C3AFC" w:rsidRPr="00C2120C" w:rsidRDefault="008C3AFC" w:rsidP="008C3AFC">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w:t>
            </w:r>
          </w:p>
        </w:tc>
        <w:tc>
          <w:tcPr>
            <w:tcW w:w="1260" w:type="dxa"/>
            <w:shd w:val="clear" w:color="auto" w:fill="FFFFFF" w:themeFill="background1"/>
            <w:noWrap/>
            <w:vAlign w:val="center"/>
            <w:hideMark/>
          </w:tcPr>
          <w:p w14:paraId="219ACE4F" w14:textId="44927E34" w:rsidR="008C3AFC" w:rsidRPr="000D5546" w:rsidRDefault="008C3AFC" w:rsidP="000D5546">
            <w:pPr>
              <w:spacing w:after="0" w:line="240" w:lineRule="auto"/>
              <w:rPr>
                <w:rFonts w:ascii="Arial" w:eastAsia="Times New Roman" w:hAnsi="Arial" w:cs="Arial"/>
                <w:b/>
                <w:bCs/>
                <w:color w:val="000000"/>
                <w:sz w:val="18"/>
                <w:szCs w:val="18"/>
                <w:lang w:val="es-EC" w:eastAsia="es-EC"/>
              </w:rPr>
            </w:pPr>
          </w:p>
        </w:tc>
        <w:tc>
          <w:tcPr>
            <w:tcW w:w="1080" w:type="dxa"/>
            <w:shd w:val="clear" w:color="auto" w:fill="FFFFFF" w:themeFill="background1"/>
            <w:noWrap/>
            <w:hideMark/>
          </w:tcPr>
          <w:p w14:paraId="4AE9808B" w14:textId="413C5F58" w:rsidR="008C3AFC" w:rsidRPr="00C2120C" w:rsidRDefault="008C3AFC" w:rsidP="000D5546">
            <w:pPr>
              <w:spacing w:after="0" w:line="240" w:lineRule="auto"/>
              <w:rPr>
                <w:rFonts w:ascii="Arial" w:eastAsia="Times New Roman" w:hAnsi="Arial" w:cs="Arial"/>
                <w:b/>
                <w:bCs/>
                <w:color w:val="000000"/>
                <w:sz w:val="18"/>
                <w:szCs w:val="18"/>
                <w:lang w:val="es-EC" w:eastAsia="es-EC"/>
              </w:rPr>
            </w:pPr>
            <w:r w:rsidRPr="000D5546">
              <w:rPr>
                <w:rFonts w:ascii="Arial" w:eastAsia="Times New Roman" w:hAnsi="Arial" w:cs="Arial"/>
                <w:b/>
                <w:bCs/>
                <w:color w:val="000000"/>
                <w:sz w:val="18"/>
                <w:szCs w:val="18"/>
                <w:lang w:val="es-EC" w:eastAsia="es-EC"/>
              </w:rPr>
              <w:t xml:space="preserve">2.698.080 </w:t>
            </w:r>
          </w:p>
        </w:tc>
        <w:tc>
          <w:tcPr>
            <w:tcW w:w="990" w:type="dxa"/>
            <w:shd w:val="clear" w:color="auto" w:fill="FFFFFF" w:themeFill="background1"/>
            <w:noWrap/>
            <w:hideMark/>
          </w:tcPr>
          <w:p w14:paraId="7AF53826" w14:textId="1B4A8DC5" w:rsidR="008C3AFC" w:rsidRPr="00C2120C" w:rsidRDefault="00821FA3" w:rsidP="000D5546">
            <w:pPr>
              <w:spacing w:after="0" w:line="240" w:lineRule="auto"/>
              <w:rPr>
                <w:rFonts w:ascii="Arial" w:eastAsia="Times New Roman" w:hAnsi="Arial" w:cs="Arial"/>
                <w:b/>
                <w:bCs/>
                <w:color w:val="000000"/>
                <w:sz w:val="18"/>
                <w:szCs w:val="18"/>
                <w:lang w:val="es-EC" w:eastAsia="es-EC"/>
              </w:rPr>
            </w:pPr>
            <w:r>
              <w:rPr>
                <w:rFonts w:ascii="Arial" w:eastAsia="Times New Roman" w:hAnsi="Arial" w:cs="Arial"/>
                <w:b/>
                <w:bCs/>
                <w:color w:val="000000"/>
                <w:sz w:val="18"/>
                <w:szCs w:val="18"/>
                <w:lang w:val="es-EC" w:eastAsia="es-EC"/>
              </w:rPr>
              <w:t>4</w:t>
            </w:r>
            <w:r w:rsidR="008C3AFC" w:rsidRPr="000D5546">
              <w:rPr>
                <w:rFonts w:ascii="Arial" w:eastAsia="Times New Roman" w:hAnsi="Arial" w:cs="Arial"/>
                <w:b/>
                <w:bCs/>
                <w:color w:val="000000"/>
                <w:sz w:val="18"/>
                <w:szCs w:val="18"/>
                <w:lang w:val="es-EC" w:eastAsia="es-EC"/>
              </w:rPr>
              <w:t>.</w:t>
            </w:r>
            <w:r>
              <w:rPr>
                <w:rFonts w:ascii="Arial" w:eastAsia="Times New Roman" w:hAnsi="Arial" w:cs="Arial"/>
                <w:b/>
                <w:bCs/>
                <w:color w:val="000000"/>
                <w:sz w:val="18"/>
                <w:szCs w:val="18"/>
                <w:lang w:val="es-EC" w:eastAsia="es-EC"/>
              </w:rPr>
              <w:t>904.</w:t>
            </w:r>
            <w:r w:rsidR="00F15DC3">
              <w:rPr>
                <w:rFonts w:ascii="Arial" w:eastAsia="Times New Roman" w:hAnsi="Arial" w:cs="Arial"/>
                <w:b/>
                <w:bCs/>
                <w:color w:val="000000"/>
                <w:sz w:val="18"/>
                <w:szCs w:val="18"/>
                <w:lang w:val="es-EC" w:eastAsia="es-EC"/>
              </w:rPr>
              <w:t>928</w:t>
            </w:r>
          </w:p>
        </w:tc>
        <w:tc>
          <w:tcPr>
            <w:tcW w:w="1080" w:type="dxa"/>
            <w:shd w:val="clear" w:color="auto" w:fill="FFFFFF" w:themeFill="background1"/>
            <w:noWrap/>
            <w:hideMark/>
          </w:tcPr>
          <w:p w14:paraId="2C77F9F9" w14:textId="162D8D9E" w:rsidR="008C3AFC" w:rsidRPr="00C2120C" w:rsidRDefault="008C3AFC" w:rsidP="000D5546">
            <w:pPr>
              <w:spacing w:after="0" w:line="240" w:lineRule="auto"/>
              <w:rPr>
                <w:rFonts w:ascii="Arial" w:eastAsia="Times New Roman" w:hAnsi="Arial" w:cs="Arial"/>
                <w:b/>
                <w:bCs/>
                <w:color w:val="000000"/>
                <w:sz w:val="18"/>
                <w:szCs w:val="18"/>
                <w:lang w:val="es-EC" w:eastAsia="es-EC"/>
              </w:rPr>
            </w:pPr>
            <w:r w:rsidRPr="000D5546">
              <w:rPr>
                <w:rFonts w:ascii="Arial" w:eastAsia="Times New Roman" w:hAnsi="Arial" w:cs="Arial"/>
                <w:b/>
                <w:bCs/>
                <w:color w:val="000000"/>
                <w:sz w:val="18"/>
                <w:szCs w:val="18"/>
                <w:lang w:val="es-EC" w:eastAsia="es-EC"/>
              </w:rPr>
              <w:t xml:space="preserve">15.557.248 </w:t>
            </w:r>
          </w:p>
        </w:tc>
        <w:tc>
          <w:tcPr>
            <w:tcW w:w="1080" w:type="dxa"/>
            <w:shd w:val="clear" w:color="auto" w:fill="FFFFFF" w:themeFill="background1"/>
            <w:noWrap/>
            <w:hideMark/>
          </w:tcPr>
          <w:p w14:paraId="11BD9C27" w14:textId="6C9EB213" w:rsidR="008C3AFC" w:rsidRPr="00C2120C" w:rsidRDefault="008C3AFC" w:rsidP="000D5546">
            <w:pPr>
              <w:spacing w:after="0" w:line="240" w:lineRule="auto"/>
              <w:rPr>
                <w:rFonts w:ascii="Arial" w:eastAsia="Times New Roman" w:hAnsi="Arial" w:cs="Arial"/>
                <w:b/>
                <w:bCs/>
                <w:color w:val="000000"/>
                <w:sz w:val="18"/>
                <w:szCs w:val="18"/>
                <w:lang w:val="es-EC" w:eastAsia="es-EC"/>
              </w:rPr>
            </w:pPr>
            <w:r w:rsidRPr="000D5546">
              <w:rPr>
                <w:rFonts w:ascii="Arial" w:eastAsia="Times New Roman" w:hAnsi="Arial" w:cs="Arial"/>
                <w:b/>
                <w:bCs/>
                <w:color w:val="000000"/>
                <w:sz w:val="18"/>
                <w:szCs w:val="18"/>
                <w:lang w:val="es-EC" w:eastAsia="es-EC"/>
              </w:rPr>
              <w:t xml:space="preserve">13.546.064 </w:t>
            </w:r>
          </w:p>
        </w:tc>
        <w:tc>
          <w:tcPr>
            <w:tcW w:w="1080" w:type="dxa"/>
            <w:shd w:val="clear" w:color="auto" w:fill="FFFFFF" w:themeFill="background1"/>
            <w:noWrap/>
            <w:hideMark/>
          </w:tcPr>
          <w:p w14:paraId="321C3DB7" w14:textId="1F226E47" w:rsidR="008C3AFC" w:rsidRPr="00C2120C" w:rsidRDefault="008C3AFC" w:rsidP="000D5546">
            <w:pPr>
              <w:spacing w:after="0" w:line="240" w:lineRule="auto"/>
              <w:rPr>
                <w:rFonts w:ascii="Arial" w:eastAsia="Times New Roman" w:hAnsi="Arial" w:cs="Arial"/>
                <w:b/>
                <w:bCs/>
                <w:color w:val="000000"/>
                <w:sz w:val="18"/>
                <w:szCs w:val="18"/>
                <w:lang w:val="es-EC" w:eastAsia="es-EC"/>
              </w:rPr>
            </w:pPr>
            <w:r w:rsidRPr="000D5546">
              <w:rPr>
                <w:rFonts w:ascii="Arial" w:eastAsia="Times New Roman" w:hAnsi="Arial" w:cs="Arial"/>
                <w:b/>
                <w:bCs/>
                <w:color w:val="000000"/>
                <w:sz w:val="18"/>
                <w:szCs w:val="18"/>
                <w:lang w:val="es-EC" w:eastAsia="es-EC"/>
              </w:rPr>
              <w:t xml:space="preserve">10.333.680 </w:t>
            </w:r>
          </w:p>
        </w:tc>
        <w:tc>
          <w:tcPr>
            <w:tcW w:w="1080" w:type="dxa"/>
            <w:shd w:val="clear" w:color="auto" w:fill="FFFFFF" w:themeFill="background1"/>
            <w:noWrap/>
            <w:hideMark/>
          </w:tcPr>
          <w:p w14:paraId="00785C24" w14:textId="37C3A45D" w:rsidR="008C3AFC" w:rsidRPr="00C2120C" w:rsidRDefault="00A12617" w:rsidP="000D5546">
            <w:pPr>
              <w:spacing w:after="0" w:line="240" w:lineRule="auto"/>
              <w:rPr>
                <w:rFonts w:ascii="Arial" w:eastAsia="Times New Roman" w:hAnsi="Arial" w:cs="Arial"/>
                <w:b/>
                <w:bCs/>
                <w:color w:val="000000"/>
                <w:sz w:val="18"/>
                <w:szCs w:val="18"/>
                <w:lang w:val="es-EC" w:eastAsia="es-EC"/>
              </w:rPr>
            </w:pPr>
            <w:r>
              <w:rPr>
                <w:rFonts w:ascii="Arial" w:eastAsia="Times New Roman" w:hAnsi="Arial" w:cs="Arial"/>
                <w:b/>
                <w:bCs/>
                <w:color w:val="000000"/>
                <w:sz w:val="18"/>
                <w:szCs w:val="18"/>
                <w:lang w:val="es-EC" w:eastAsia="es-EC"/>
              </w:rPr>
              <w:t>47</w:t>
            </w:r>
            <w:r w:rsidR="008C3AFC" w:rsidRPr="000D5546">
              <w:rPr>
                <w:rFonts w:ascii="Arial" w:eastAsia="Times New Roman" w:hAnsi="Arial" w:cs="Arial"/>
                <w:b/>
                <w:bCs/>
                <w:color w:val="000000"/>
                <w:sz w:val="18"/>
                <w:szCs w:val="18"/>
                <w:lang w:val="es-EC" w:eastAsia="es-EC"/>
              </w:rPr>
              <w:t>.</w:t>
            </w:r>
            <w:r>
              <w:rPr>
                <w:rFonts w:ascii="Arial" w:eastAsia="Times New Roman" w:hAnsi="Arial" w:cs="Arial"/>
                <w:b/>
                <w:bCs/>
                <w:color w:val="000000"/>
                <w:sz w:val="18"/>
                <w:szCs w:val="18"/>
                <w:lang w:val="es-EC" w:eastAsia="es-EC"/>
              </w:rPr>
              <w:t>040.000</w:t>
            </w:r>
            <w:r w:rsidR="008C3AFC" w:rsidRPr="000D5546">
              <w:rPr>
                <w:rFonts w:ascii="Arial" w:eastAsia="Times New Roman" w:hAnsi="Arial" w:cs="Arial"/>
                <w:b/>
                <w:bCs/>
                <w:color w:val="000000"/>
                <w:sz w:val="18"/>
                <w:szCs w:val="18"/>
                <w:lang w:val="es-EC" w:eastAsia="es-EC"/>
              </w:rPr>
              <w:t xml:space="preserve"> </w:t>
            </w:r>
          </w:p>
        </w:tc>
        <w:tc>
          <w:tcPr>
            <w:tcW w:w="4050" w:type="dxa"/>
            <w:gridSpan w:val="2"/>
            <w:shd w:val="clear" w:color="auto" w:fill="FFFFFF" w:themeFill="background1"/>
          </w:tcPr>
          <w:p w14:paraId="32A7DBA2" w14:textId="77777777" w:rsidR="008C3AFC" w:rsidRPr="00C2120C" w:rsidRDefault="008C3AFC" w:rsidP="008C3AFC">
            <w:pPr>
              <w:spacing w:after="0" w:line="240" w:lineRule="auto"/>
              <w:jc w:val="right"/>
              <w:rPr>
                <w:rFonts w:ascii="Arial" w:eastAsia="Times New Roman" w:hAnsi="Arial" w:cs="Arial"/>
                <w:b/>
                <w:bCs/>
                <w:color w:val="000000"/>
                <w:sz w:val="18"/>
                <w:szCs w:val="18"/>
                <w:lang w:val="es-EC" w:eastAsia="es-EC"/>
              </w:rPr>
            </w:pPr>
          </w:p>
        </w:tc>
      </w:tr>
      <w:tr w:rsidR="00E61805" w:rsidRPr="00A01772" w14:paraId="68029313" w14:textId="6CA19F81" w:rsidTr="000D5546">
        <w:trPr>
          <w:gridAfter w:val="1"/>
          <w:wAfter w:w="8" w:type="dxa"/>
          <w:trHeight w:val="931"/>
        </w:trPr>
        <w:tc>
          <w:tcPr>
            <w:tcW w:w="501" w:type="dxa"/>
            <w:shd w:val="clear" w:color="auto" w:fill="B4C6E7" w:themeFill="accent1" w:themeFillTint="66"/>
            <w:noWrap/>
            <w:hideMark/>
          </w:tcPr>
          <w:p w14:paraId="00579A41" w14:textId="77777777" w:rsidR="00585F8B" w:rsidRPr="00C2120C" w:rsidRDefault="00585F8B" w:rsidP="00585F8B">
            <w:pPr>
              <w:spacing w:before="20" w:after="20" w:line="240" w:lineRule="auto"/>
              <w:rPr>
                <w:rFonts w:ascii="Arial" w:eastAsia="Times New Roman" w:hAnsi="Arial" w:cs="Arial"/>
                <w:b/>
                <w:bCs/>
                <w:color w:val="000000"/>
                <w:sz w:val="18"/>
                <w:szCs w:val="18"/>
                <w:lang w:val="es-EC" w:eastAsia="es-EC"/>
              </w:rPr>
            </w:pPr>
            <w:r w:rsidRPr="00C2120C">
              <w:rPr>
                <w:rFonts w:ascii="Arial" w:eastAsia="Times New Roman" w:hAnsi="Arial" w:cs="Arial"/>
                <w:b/>
                <w:bCs/>
                <w:color w:val="000000"/>
                <w:sz w:val="18"/>
                <w:szCs w:val="18"/>
                <w:lang w:val="es-EC" w:eastAsia="es-EC"/>
              </w:rPr>
              <w:t>1</w:t>
            </w:r>
          </w:p>
        </w:tc>
        <w:tc>
          <w:tcPr>
            <w:tcW w:w="1749" w:type="dxa"/>
            <w:shd w:val="clear" w:color="auto" w:fill="B4C6E7" w:themeFill="accent1" w:themeFillTint="66"/>
            <w:noWrap/>
            <w:hideMark/>
          </w:tcPr>
          <w:p w14:paraId="3BC54FCC" w14:textId="77777777" w:rsidR="00585F8B" w:rsidRPr="00C2120C" w:rsidRDefault="00585F8B" w:rsidP="00585F8B">
            <w:pPr>
              <w:spacing w:before="20" w:after="20" w:line="240" w:lineRule="auto"/>
              <w:rPr>
                <w:rFonts w:ascii="Arial" w:eastAsia="Times New Roman" w:hAnsi="Arial" w:cs="Arial"/>
                <w:b/>
                <w:bCs/>
                <w:color w:val="000000"/>
                <w:sz w:val="18"/>
                <w:szCs w:val="18"/>
                <w:lang w:val="es-EC" w:eastAsia="es-EC"/>
              </w:rPr>
            </w:pPr>
            <w:r w:rsidRPr="00C2120C">
              <w:rPr>
                <w:rFonts w:ascii="Arial" w:eastAsia="Times New Roman" w:hAnsi="Arial" w:cs="Arial"/>
                <w:b/>
                <w:bCs/>
                <w:color w:val="000000"/>
                <w:sz w:val="18"/>
                <w:szCs w:val="18"/>
                <w:lang w:val="es-EC" w:eastAsia="es-EC"/>
              </w:rPr>
              <w:t>Fortalecimiento de la gobernanza para la competitividad e innovación</w:t>
            </w:r>
          </w:p>
        </w:tc>
        <w:tc>
          <w:tcPr>
            <w:tcW w:w="990" w:type="dxa"/>
            <w:shd w:val="clear" w:color="auto" w:fill="B4C6E7" w:themeFill="accent1" w:themeFillTint="66"/>
            <w:noWrap/>
            <w:vAlign w:val="center"/>
            <w:hideMark/>
          </w:tcPr>
          <w:p w14:paraId="1B930C55" w14:textId="77777777" w:rsidR="00585F8B" w:rsidRPr="00C2120C" w:rsidRDefault="00585F8B" w:rsidP="00E03B38">
            <w:pPr>
              <w:spacing w:before="20" w:after="2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w:t>
            </w:r>
          </w:p>
        </w:tc>
        <w:tc>
          <w:tcPr>
            <w:tcW w:w="1260" w:type="dxa"/>
            <w:shd w:val="clear" w:color="auto" w:fill="B4C6E7" w:themeFill="accent1" w:themeFillTint="66"/>
            <w:noWrap/>
            <w:vAlign w:val="center"/>
            <w:hideMark/>
          </w:tcPr>
          <w:p w14:paraId="734CE06F" w14:textId="6F306A26" w:rsidR="00585F8B" w:rsidRPr="00C2120C" w:rsidRDefault="00585F8B" w:rsidP="00E03B38">
            <w:pPr>
              <w:spacing w:before="20" w:after="20" w:line="240" w:lineRule="auto"/>
              <w:jc w:val="right"/>
              <w:rPr>
                <w:rFonts w:ascii="Arial" w:eastAsia="Times New Roman" w:hAnsi="Arial" w:cs="Arial"/>
                <w:color w:val="000000"/>
                <w:sz w:val="18"/>
                <w:szCs w:val="18"/>
                <w:lang w:val="es-EC" w:eastAsia="es-EC"/>
              </w:rPr>
            </w:pPr>
          </w:p>
        </w:tc>
        <w:tc>
          <w:tcPr>
            <w:tcW w:w="1080" w:type="dxa"/>
            <w:shd w:val="clear" w:color="auto" w:fill="B4C6E7" w:themeFill="accent1" w:themeFillTint="66"/>
            <w:noWrap/>
            <w:hideMark/>
          </w:tcPr>
          <w:p w14:paraId="674AEE12" w14:textId="53E5D7F5" w:rsidR="00585F8B" w:rsidRPr="00C2120C" w:rsidRDefault="00585F8B" w:rsidP="00E03B38">
            <w:pPr>
              <w:spacing w:before="20" w:after="20" w:line="240" w:lineRule="auto"/>
              <w:jc w:val="right"/>
              <w:rPr>
                <w:rFonts w:ascii="Arial" w:eastAsia="Times New Roman" w:hAnsi="Arial" w:cs="Arial"/>
                <w:b/>
                <w:bCs/>
                <w:color w:val="000000"/>
                <w:sz w:val="18"/>
                <w:szCs w:val="18"/>
                <w:lang w:val="es-EC" w:eastAsia="es-EC"/>
              </w:rPr>
            </w:pPr>
            <w:r w:rsidRPr="00C2120C">
              <w:rPr>
                <w:rFonts w:ascii="Arial" w:eastAsia="Times New Roman" w:hAnsi="Arial" w:cs="Arial"/>
                <w:b/>
                <w:bCs/>
                <w:color w:val="000000"/>
                <w:sz w:val="18"/>
                <w:szCs w:val="18"/>
                <w:lang w:val="es-EC" w:eastAsia="es-EC"/>
              </w:rPr>
              <w:t>416.192</w:t>
            </w:r>
          </w:p>
        </w:tc>
        <w:tc>
          <w:tcPr>
            <w:tcW w:w="990" w:type="dxa"/>
            <w:shd w:val="clear" w:color="auto" w:fill="B4C6E7" w:themeFill="accent1" w:themeFillTint="66"/>
            <w:noWrap/>
            <w:hideMark/>
          </w:tcPr>
          <w:p w14:paraId="409C0A2C" w14:textId="53DE3FAD" w:rsidR="00585F8B" w:rsidRPr="00C2120C" w:rsidRDefault="004511B7" w:rsidP="00E03B38">
            <w:pPr>
              <w:spacing w:after="0" w:line="240" w:lineRule="auto"/>
              <w:jc w:val="right"/>
              <w:rPr>
                <w:rFonts w:ascii="Arial" w:eastAsia="Times New Roman" w:hAnsi="Arial" w:cs="Arial"/>
                <w:b/>
                <w:bCs/>
                <w:color w:val="000000"/>
                <w:sz w:val="18"/>
                <w:szCs w:val="18"/>
                <w:lang w:val="es-EC" w:eastAsia="es-EC"/>
              </w:rPr>
            </w:pPr>
            <w:r>
              <w:rPr>
                <w:rFonts w:ascii="Arial" w:eastAsia="Times New Roman" w:hAnsi="Arial" w:cs="Arial"/>
                <w:b/>
                <w:bCs/>
                <w:color w:val="000000"/>
                <w:sz w:val="18"/>
                <w:szCs w:val="18"/>
                <w:lang w:val="es-EC" w:eastAsia="es-EC"/>
              </w:rPr>
              <w:t>1.041.600</w:t>
            </w:r>
          </w:p>
        </w:tc>
        <w:tc>
          <w:tcPr>
            <w:tcW w:w="1080" w:type="dxa"/>
            <w:shd w:val="clear" w:color="auto" w:fill="B4C6E7" w:themeFill="accent1" w:themeFillTint="66"/>
            <w:noWrap/>
            <w:hideMark/>
          </w:tcPr>
          <w:p w14:paraId="3D3F0776" w14:textId="103DBF58" w:rsidR="00585F8B" w:rsidRPr="00C2120C" w:rsidRDefault="004511B7" w:rsidP="00E03B38">
            <w:pPr>
              <w:spacing w:after="0" w:line="240" w:lineRule="auto"/>
              <w:jc w:val="right"/>
              <w:rPr>
                <w:rFonts w:ascii="Arial" w:eastAsia="Times New Roman" w:hAnsi="Arial" w:cs="Arial"/>
                <w:b/>
                <w:bCs/>
                <w:color w:val="000000"/>
                <w:sz w:val="18"/>
                <w:szCs w:val="18"/>
                <w:lang w:val="es-EC" w:eastAsia="es-EC"/>
              </w:rPr>
            </w:pPr>
            <w:r>
              <w:rPr>
                <w:rFonts w:ascii="Arial" w:eastAsia="Times New Roman" w:hAnsi="Arial" w:cs="Arial"/>
                <w:b/>
                <w:bCs/>
                <w:color w:val="000000"/>
                <w:sz w:val="18"/>
                <w:szCs w:val="18"/>
                <w:lang w:val="es-EC" w:eastAsia="es-EC"/>
              </w:rPr>
              <w:t>2.996.000</w:t>
            </w:r>
          </w:p>
        </w:tc>
        <w:tc>
          <w:tcPr>
            <w:tcW w:w="1080" w:type="dxa"/>
            <w:shd w:val="clear" w:color="auto" w:fill="B4C6E7" w:themeFill="accent1" w:themeFillTint="66"/>
            <w:noWrap/>
            <w:hideMark/>
          </w:tcPr>
          <w:p w14:paraId="360E0CAA" w14:textId="2BE2513C" w:rsidR="00585F8B" w:rsidRPr="00C2120C" w:rsidRDefault="00446199" w:rsidP="00E03B38">
            <w:pPr>
              <w:spacing w:after="0" w:line="240" w:lineRule="auto"/>
              <w:jc w:val="right"/>
              <w:rPr>
                <w:rFonts w:ascii="Arial" w:eastAsia="Times New Roman" w:hAnsi="Arial" w:cs="Arial"/>
                <w:b/>
                <w:bCs/>
                <w:color w:val="000000"/>
                <w:sz w:val="18"/>
                <w:szCs w:val="18"/>
                <w:lang w:val="es-EC" w:eastAsia="es-EC"/>
              </w:rPr>
            </w:pPr>
            <w:r>
              <w:rPr>
                <w:rFonts w:ascii="Arial" w:eastAsia="Times New Roman" w:hAnsi="Arial" w:cs="Arial"/>
                <w:b/>
                <w:bCs/>
                <w:color w:val="000000"/>
                <w:sz w:val="18"/>
                <w:szCs w:val="18"/>
                <w:lang w:val="es-EC" w:eastAsia="es-EC"/>
              </w:rPr>
              <w:t>3.656.576</w:t>
            </w:r>
          </w:p>
        </w:tc>
        <w:tc>
          <w:tcPr>
            <w:tcW w:w="1080" w:type="dxa"/>
            <w:shd w:val="clear" w:color="auto" w:fill="B4C6E7" w:themeFill="accent1" w:themeFillTint="66"/>
            <w:noWrap/>
            <w:hideMark/>
          </w:tcPr>
          <w:p w14:paraId="5408A495" w14:textId="292996A4" w:rsidR="00585F8B" w:rsidRPr="00C2120C" w:rsidRDefault="00585F8B" w:rsidP="00E03B38">
            <w:pPr>
              <w:spacing w:after="0" w:line="240" w:lineRule="auto"/>
              <w:jc w:val="right"/>
              <w:rPr>
                <w:rFonts w:ascii="Arial" w:eastAsia="Times New Roman" w:hAnsi="Arial" w:cs="Arial"/>
                <w:b/>
                <w:bCs/>
                <w:color w:val="000000"/>
                <w:sz w:val="18"/>
                <w:szCs w:val="18"/>
                <w:lang w:val="es-EC" w:eastAsia="es-EC"/>
              </w:rPr>
            </w:pPr>
            <w:r w:rsidRPr="00C2120C">
              <w:rPr>
                <w:rFonts w:ascii="Arial" w:eastAsia="Times New Roman" w:hAnsi="Arial" w:cs="Arial"/>
                <w:b/>
                <w:bCs/>
                <w:color w:val="000000"/>
                <w:sz w:val="18"/>
                <w:szCs w:val="18"/>
                <w:lang w:val="es-EC" w:eastAsia="es-EC"/>
              </w:rPr>
              <w:t>1.838.592</w:t>
            </w:r>
          </w:p>
        </w:tc>
        <w:tc>
          <w:tcPr>
            <w:tcW w:w="1080" w:type="dxa"/>
            <w:shd w:val="clear" w:color="auto" w:fill="B4C6E7" w:themeFill="accent1" w:themeFillTint="66"/>
            <w:noWrap/>
            <w:hideMark/>
          </w:tcPr>
          <w:p w14:paraId="6A9EC543" w14:textId="36948712" w:rsidR="00585F8B" w:rsidRPr="00C2120C" w:rsidRDefault="00585F8B" w:rsidP="00E03B38">
            <w:pPr>
              <w:spacing w:after="0" w:line="240" w:lineRule="auto"/>
              <w:jc w:val="right"/>
              <w:rPr>
                <w:rFonts w:ascii="Arial" w:eastAsia="Times New Roman" w:hAnsi="Arial" w:cs="Arial"/>
                <w:b/>
                <w:bCs/>
                <w:color w:val="000000"/>
                <w:sz w:val="18"/>
                <w:szCs w:val="18"/>
                <w:lang w:val="es-EC" w:eastAsia="es-EC"/>
              </w:rPr>
            </w:pPr>
            <w:r w:rsidRPr="00C2120C">
              <w:rPr>
                <w:rFonts w:ascii="Arial" w:eastAsia="Times New Roman" w:hAnsi="Arial" w:cs="Arial"/>
                <w:b/>
                <w:bCs/>
                <w:color w:val="000000"/>
                <w:sz w:val="18"/>
                <w:szCs w:val="18"/>
                <w:lang w:val="es-EC" w:eastAsia="es-EC"/>
              </w:rPr>
              <w:t>9.948.960</w:t>
            </w:r>
          </w:p>
        </w:tc>
        <w:tc>
          <w:tcPr>
            <w:tcW w:w="4050" w:type="dxa"/>
            <w:gridSpan w:val="2"/>
            <w:shd w:val="clear" w:color="auto" w:fill="B4C6E7" w:themeFill="accent1" w:themeFillTint="66"/>
          </w:tcPr>
          <w:p w14:paraId="0F7106E9" w14:textId="77777777" w:rsidR="00585F8B" w:rsidRPr="00C2120C" w:rsidRDefault="00585F8B" w:rsidP="00B26973">
            <w:pPr>
              <w:spacing w:after="0" w:line="240" w:lineRule="auto"/>
              <w:jc w:val="right"/>
              <w:rPr>
                <w:rFonts w:ascii="Arial" w:eastAsia="Times New Roman" w:hAnsi="Arial" w:cs="Arial"/>
                <w:b/>
                <w:bCs/>
                <w:color w:val="000000"/>
                <w:sz w:val="18"/>
                <w:szCs w:val="18"/>
                <w:lang w:val="es-EC" w:eastAsia="es-EC"/>
              </w:rPr>
            </w:pPr>
          </w:p>
        </w:tc>
      </w:tr>
      <w:tr w:rsidR="00E61805" w:rsidRPr="00387315" w14:paraId="1A86CA98" w14:textId="7E22D39C" w:rsidTr="000D5546">
        <w:trPr>
          <w:gridAfter w:val="1"/>
          <w:wAfter w:w="8" w:type="dxa"/>
          <w:trHeight w:val="1817"/>
        </w:trPr>
        <w:tc>
          <w:tcPr>
            <w:tcW w:w="501" w:type="dxa"/>
            <w:vMerge w:val="restart"/>
            <w:shd w:val="clear" w:color="auto" w:fill="E2EFD9" w:themeFill="accent6" w:themeFillTint="33"/>
            <w:noWrap/>
            <w:hideMark/>
          </w:tcPr>
          <w:p w14:paraId="45D123C8" w14:textId="77777777" w:rsidR="00585F8B" w:rsidRPr="00C2120C" w:rsidRDefault="00585F8B" w:rsidP="00585F8B">
            <w:pPr>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1.1</w:t>
            </w:r>
          </w:p>
        </w:tc>
        <w:tc>
          <w:tcPr>
            <w:tcW w:w="1749" w:type="dxa"/>
            <w:vMerge w:val="restart"/>
            <w:shd w:val="clear" w:color="auto" w:fill="E2EFD9" w:themeFill="accent6" w:themeFillTint="33"/>
            <w:noWrap/>
            <w:hideMark/>
          </w:tcPr>
          <w:p w14:paraId="03568E5F" w14:textId="67855861" w:rsidR="00585F8B" w:rsidRPr="00C2120C" w:rsidRDefault="00ED04D7" w:rsidP="000D5546">
            <w:pPr>
              <w:keepNext/>
              <w:keepLines/>
              <w:spacing w:after="0" w:line="240" w:lineRule="auto"/>
              <w:rPr>
                <w:rFonts w:ascii="Arial" w:eastAsia="Times New Roman" w:hAnsi="Arial" w:cs="Arial"/>
                <w:color w:val="000000"/>
                <w:sz w:val="18"/>
                <w:szCs w:val="18"/>
                <w:lang w:val="es-EC" w:eastAsia="es-EC"/>
              </w:rPr>
            </w:pPr>
            <w:r w:rsidRPr="00ED04D7">
              <w:rPr>
                <w:rFonts w:ascii="Arial" w:eastAsia="Times New Roman" w:hAnsi="Arial" w:cs="Arial"/>
                <w:color w:val="000000"/>
                <w:sz w:val="18"/>
                <w:szCs w:val="18"/>
                <w:lang w:val="es-EC" w:eastAsia="es-EC"/>
              </w:rPr>
              <w:t>Actividades de apoyo Técnico para implementar el Comité de Competitividad y Emprendimiento (CCE), realizadas</w:t>
            </w:r>
          </w:p>
        </w:tc>
        <w:tc>
          <w:tcPr>
            <w:tcW w:w="990" w:type="dxa"/>
            <w:shd w:val="clear" w:color="auto" w:fill="auto"/>
            <w:noWrap/>
            <w:hideMark/>
          </w:tcPr>
          <w:p w14:paraId="2AA07667" w14:textId="77777777" w:rsidR="00585F8B" w:rsidRPr="00C2120C" w:rsidRDefault="00585F8B" w:rsidP="00585F8B">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Física</w:t>
            </w:r>
          </w:p>
        </w:tc>
        <w:tc>
          <w:tcPr>
            <w:tcW w:w="1260" w:type="dxa"/>
            <w:shd w:val="clear" w:color="auto" w:fill="auto"/>
            <w:noWrap/>
            <w:hideMark/>
          </w:tcPr>
          <w:p w14:paraId="68EB277B" w14:textId="77777777" w:rsidR="00585F8B" w:rsidRPr="00C2120C" w:rsidRDefault="00585F8B" w:rsidP="00585F8B">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Actividades</w:t>
            </w:r>
          </w:p>
        </w:tc>
        <w:tc>
          <w:tcPr>
            <w:tcW w:w="1080" w:type="dxa"/>
            <w:shd w:val="clear" w:color="auto" w:fill="auto"/>
            <w:noWrap/>
            <w:hideMark/>
          </w:tcPr>
          <w:p w14:paraId="20568043" w14:textId="7B0E9FC4" w:rsidR="00585F8B" w:rsidRPr="00C2120C" w:rsidRDefault="00585F8B" w:rsidP="00585F8B">
            <w:pPr>
              <w:tabs>
                <w:tab w:val="left" w:pos="597"/>
              </w:tabs>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1 </w:t>
            </w:r>
          </w:p>
        </w:tc>
        <w:tc>
          <w:tcPr>
            <w:tcW w:w="990" w:type="dxa"/>
            <w:shd w:val="clear" w:color="auto" w:fill="auto"/>
            <w:noWrap/>
            <w:hideMark/>
          </w:tcPr>
          <w:p w14:paraId="3183575E" w14:textId="7B14276C" w:rsidR="00585F8B" w:rsidRPr="00C2120C" w:rsidRDefault="00C57C2B" w:rsidP="00585F8B">
            <w:pPr>
              <w:spacing w:after="0" w:line="240" w:lineRule="auto"/>
              <w:jc w:val="right"/>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r w:rsidR="00585F8B" w:rsidRPr="00C2120C">
              <w:rPr>
                <w:rFonts w:ascii="Arial" w:eastAsia="Times New Roman" w:hAnsi="Arial" w:cs="Arial"/>
                <w:color w:val="000000"/>
                <w:sz w:val="18"/>
                <w:szCs w:val="18"/>
                <w:lang w:val="es-EC" w:eastAsia="es-EC"/>
              </w:rPr>
              <w:t xml:space="preserve">   </w:t>
            </w:r>
          </w:p>
        </w:tc>
        <w:tc>
          <w:tcPr>
            <w:tcW w:w="1080" w:type="dxa"/>
            <w:shd w:val="clear" w:color="auto" w:fill="auto"/>
            <w:noWrap/>
            <w:hideMark/>
          </w:tcPr>
          <w:p w14:paraId="16BB8080" w14:textId="4F3958F0" w:rsidR="00585F8B" w:rsidRPr="00C2120C" w:rsidRDefault="00C57C2B" w:rsidP="00585F8B">
            <w:pPr>
              <w:spacing w:after="0" w:line="240" w:lineRule="auto"/>
              <w:jc w:val="right"/>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r w:rsidR="00585F8B" w:rsidRPr="00C2120C">
              <w:rPr>
                <w:rFonts w:ascii="Arial" w:eastAsia="Times New Roman" w:hAnsi="Arial" w:cs="Arial"/>
                <w:color w:val="000000"/>
                <w:sz w:val="18"/>
                <w:szCs w:val="18"/>
                <w:lang w:val="es-EC" w:eastAsia="es-EC"/>
              </w:rPr>
              <w:t xml:space="preserve">   </w:t>
            </w:r>
          </w:p>
        </w:tc>
        <w:tc>
          <w:tcPr>
            <w:tcW w:w="1080" w:type="dxa"/>
            <w:shd w:val="clear" w:color="auto" w:fill="auto"/>
            <w:noWrap/>
            <w:hideMark/>
          </w:tcPr>
          <w:p w14:paraId="323D6FB0" w14:textId="6615CF05" w:rsidR="00585F8B" w:rsidRPr="00C2120C" w:rsidRDefault="00585F8B" w:rsidP="00585F8B">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2 </w:t>
            </w:r>
          </w:p>
        </w:tc>
        <w:tc>
          <w:tcPr>
            <w:tcW w:w="1080" w:type="dxa"/>
            <w:shd w:val="clear" w:color="auto" w:fill="auto"/>
            <w:noWrap/>
            <w:hideMark/>
          </w:tcPr>
          <w:p w14:paraId="79F28DD3" w14:textId="6DB3D8DE" w:rsidR="00585F8B" w:rsidRPr="00C2120C" w:rsidRDefault="00585F8B" w:rsidP="007D095E">
            <w:pPr>
              <w:spacing w:after="0" w:line="240" w:lineRule="auto"/>
              <w:ind w:hanging="180"/>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1 </w:t>
            </w:r>
          </w:p>
        </w:tc>
        <w:tc>
          <w:tcPr>
            <w:tcW w:w="1080" w:type="dxa"/>
            <w:shd w:val="clear" w:color="auto" w:fill="auto"/>
            <w:noWrap/>
            <w:hideMark/>
          </w:tcPr>
          <w:p w14:paraId="6937BE27" w14:textId="2793A5A0" w:rsidR="00585F8B" w:rsidRPr="00C2120C" w:rsidRDefault="00585F8B" w:rsidP="00B26973">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4 </w:t>
            </w:r>
          </w:p>
        </w:tc>
        <w:tc>
          <w:tcPr>
            <w:tcW w:w="4050" w:type="dxa"/>
            <w:gridSpan w:val="2"/>
          </w:tcPr>
          <w:p w14:paraId="191D0601" w14:textId="019C5DDB" w:rsidR="00585F8B" w:rsidRPr="00C2120C" w:rsidRDefault="009E0034" w:rsidP="00B26973">
            <w:pPr>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Comprende actividades</w:t>
            </w:r>
            <w:r w:rsidRPr="00C2120C">
              <w:rPr>
                <w:rFonts w:ascii="Arial" w:eastAsia="Times New Roman" w:hAnsi="Arial" w:cs="Arial"/>
                <w:color w:val="000000"/>
                <w:sz w:val="18"/>
                <w:szCs w:val="18"/>
                <w:vertAlign w:val="superscript"/>
                <w:lang w:val="es-EC" w:eastAsia="es-EC"/>
              </w:rPr>
              <w:footnoteReference w:id="3"/>
            </w:r>
            <w:r w:rsidRPr="00C2120C">
              <w:rPr>
                <w:rFonts w:ascii="Arial" w:eastAsia="Times New Roman" w:hAnsi="Arial" w:cs="Arial"/>
                <w:color w:val="000000"/>
                <w:sz w:val="18"/>
                <w:szCs w:val="18"/>
                <w:lang w:val="es-EC" w:eastAsia="es-EC"/>
              </w:rPr>
              <w:t xml:space="preserve"> de apoyo como el equipo de apoyo a la ST</w:t>
            </w:r>
            <w:r w:rsidR="00887CE9">
              <w:rPr>
                <w:rFonts w:ascii="Arial" w:eastAsia="Times New Roman" w:hAnsi="Arial" w:cs="Arial"/>
                <w:color w:val="000000"/>
                <w:sz w:val="18"/>
                <w:szCs w:val="18"/>
                <w:lang w:val="es-EC" w:eastAsia="es-EC"/>
              </w:rPr>
              <w:t>CCE</w:t>
            </w:r>
            <w:r w:rsidRPr="00C2120C">
              <w:rPr>
                <w:rFonts w:ascii="Arial" w:eastAsia="Times New Roman" w:hAnsi="Arial" w:cs="Arial"/>
                <w:color w:val="000000"/>
                <w:sz w:val="18"/>
                <w:szCs w:val="18"/>
                <w:lang w:val="es-EC" w:eastAsia="es-EC"/>
              </w:rPr>
              <w:t>; un estudio de apoyo para la elaboración y actualización de la Agenda Nacional de Competitividad (ANC); actividades de formación y asistencia técnica para apoyar la implementación de reformas incluidas en la ANC; consultorías especializadas y asistencia técnica para apoyar la implementación de reformas incluidas en la ANC</w:t>
            </w:r>
          </w:p>
        </w:tc>
      </w:tr>
      <w:tr w:rsidR="00530678" w:rsidRPr="00F05ABC" w14:paraId="1D243853" w14:textId="097C116F" w:rsidTr="000D5546">
        <w:trPr>
          <w:gridAfter w:val="1"/>
          <w:wAfter w:w="8" w:type="dxa"/>
          <w:trHeight w:val="1653"/>
        </w:trPr>
        <w:tc>
          <w:tcPr>
            <w:tcW w:w="501" w:type="dxa"/>
            <w:vMerge/>
            <w:hideMark/>
          </w:tcPr>
          <w:p w14:paraId="4016D653" w14:textId="77777777" w:rsidR="00585F8B" w:rsidRPr="00C2120C" w:rsidRDefault="00585F8B" w:rsidP="00585F8B">
            <w:pPr>
              <w:spacing w:after="0" w:line="240" w:lineRule="auto"/>
              <w:rPr>
                <w:rFonts w:ascii="Arial" w:eastAsia="Times New Roman" w:hAnsi="Arial" w:cs="Arial"/>
                <w:color w:val="000000"/>
                <w:sz w:val="18"/>
                <w:szCs w:val="18"/>
                <w:lang w:val="es-EC" w:eastAsia="es-EC"/>
              </w:rPr>
            </w:pPr>
          </w:p>
        </w:tc>
        <w:tc>
          <w:tcPr>
            <w:tcW w:w="1749" w:type="dxa"/>
            <w:vMerge/>
            <w:hideMark/>
          </w:tcPr>
          <w:p w14:paraId="47291554" w14:textId="77777777" w:rsidR="00585F8B" w:rsidRPr="00C2120C" w:rsidRDefault="00585F8B" w:rsidP="00585F8B">
            <w:pPr>
              <w:spacing w:after="0" w:line="240" w:lineRule="auto"/>
              <w:rPr>
                <w:rFonts w:ascii="Arial" w:eastAsia="Times New Roman" w:hAnsi="Arial" w:cs="Arial"/>
                <w:color w:val="000000"/>
                <w:sz w:val="18"/>
                <w:szCs w:val="18"/>
                <w:lang w:val="es-EC" w:eastAsia="es-EC"/>
              </w:rPr>
            </w:pPr>
          </w:p>
        </w:tc>
        <w:tc>
          <w:tcPr>
            <w:tcW w:w="990" w:type="dxa"/>
            <w:shd w:val="clear" w:color="auto" w:fill="E2EFD9" w:themeFill="accent6" w:themeFillTint="33"/>
            <w:noWrap/>
            <w:hideMark/>
          </w:tcPr>
          <w:p w14:paraId="0E2415EE" w14:textId="4AECF57E" w:rsidR="00585F8B" w:rsidRPr="00C2120C" w:rsidRDefault="00585F8B" w:rsidP="00E61805">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Financiera</w:t>
            </w:r>
          </w:p>
        </w:tc>
        <w:tc>
          <w:tcPr>
            <w:tcW w:w="1260" w:type="dxa"/>
            <w:shd w:val="clear" w:color="auto" w:fill="E2EFD9" w:themeFill="accent6" w:themeFillTint="33"/>
            <w:noWrap/>
            <w:hideMark/>
          </w:tcPr>
          <w:p w14:paraId="1969F9D8" w14:textId="5FA451ED" w:rsidR="00585F8B" w:rsidRPr="00C2120C" w:rsidRDefault="00585F8B" w:rsidP="00E61805">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US</w:t>
            </w:r>
            <w:r w:rsidR="009C76B0">
              <w:rPr>
                <w:rFonts w:ascii="Arial" w:eastAsia="Times New Roman" w:hAnsi="Arial" w:cs="Arial"/>
                <w:color w:val="000000"/>
                <w:sz w:val="18"/>
                <w:szCs w:val="18"/>
                <w:lang w:val="es-EC" w:eastAsia="es-EC"/>
              </w:rPr>
              <w:t>$</w:t>
            </w:r>
          </w:p>
        </w:tc>
        <w:tc>
          <w:tcPr>
            <w:tcW w:w="1080" w:type="dxa"/>
            <w:shd w:val="clear" w:color="auto" w:fill="E2EFD9" w:themeFill="accent6" w:themeFillTint="33"/>
            <w:noWrap/>
            <w:hideMark/>
          </w:tcPr>
          <w:p w14:paraId="11A297A8" w14:textId="3DBC094A" w:rsidR="00585F8B" w:rsidRPr="00C2120C" w:rsidRDefault="00585F8B" w:rsidP="00E61805">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416.192</w:t>
            </w:r>
          </w:p>
        </w:tc>
        <w:tc>
          <w:tcPr>
            <w:tcW w:w="990" w:type="dxa"/>
            <w:shd w:val="clear" w:color="auto" w:fill="E2EFD9" w:themeFill="accent6" w:themeFillTint="33"/>
            <w:noWrap/>
            <w:hideMark/>
          </w:tcPr>
          <w:p w14:paraId="25A0C6C0" w14:textId="6645B108" w:rsidR="00585F8B" w:rsidRPr="00C2120C" w:rsidRDefault="00C57C2B" w:rsidP="00E61805">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E2EFD9" w:themeFill="accent6" w:themeFillTint="33"/>
            <w:noWrap/>
            <w:hideMark/>
          </w:tcPr>
          <w:p w14:paraId="23F56880" w14:textId="1AA56BCE" w:rsidR="00585F8B" w:rsidRPr="00C2120C" w:rsidRDefault="00C57C2B" w:rsidP="00E61805">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E2EFD9" w:themeFill="accent6" w:themeFillTint="33"/>
            <w:noWrap/>
            <w:hideMark/>
          </w:tcPr>
          <w:p w14:paraId="18B6CB8C" w14:textId="572586E4" w:rsidR="00585F8B" w:rsidRPr="00C2120C" w:rsidRDefault="00D033A7" w:rsidP="00E61805">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1.338.176</w:t>
            </w:r>
          </w:p>
        </w:tc>
        <w:tc>
          <w:tcPr>
            <w:tcW w:w="1080" w:type="dxa"/>
            <w:shd w:val="clear" w:color="auto" w:fill="E2EFD9" w:themeFill="accent6" w:themeFillTint="33"/>
            <w:noWrap/>
            <w:hideMark/>
          </w:tcPr>
          <w:p w14:paraId="37AB738E" w14:textId="7731D9C7" w:rsidR="00585F8B" w:rsidRPr="00C2120C" w:rsidRDefault="00585F8B" w:rsidP="00E61805">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326.592</w:t>
            </w:r>
          </w:p>
        </w:tc>
        <w:tc>
          <w:tcPr>
            <w:tcW w:w="1080" w:type="dxa"/>
            <w:shd w:val="clear" w:color="auto" w:fill="E2EFD9" w:themeFill="accent6" w:themeFillTint="33"/>
            <w:noWrap/>
            <w:hideMark/>
          </w:tcPr>
          <w:p w14:paraId="477CE32E" w14:textId="2063372D" w:rsidR="00585F8B" w:rsidRPr="00C2120C" w:rsidRDefault="00585F8B" w:rsidP="00E61805">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2.080.960</w:t>
            </w:r>
          </w:p>
        </w:tc>
        <w:tc>
          <w:tcPr>
            <w:tcW w:w="4050" w:type="dxa"/>
            <w:gridSpan w:val="2"/>
            <w:shd w:val="clear" w:color="auto" w:fill="E2EFD9" w:themeFill="accent6" w:themeFillTint="33"/>
          </w:tcPr>
          <w:p w14:paraId="77B58438" w14:textId="55B4B67D" w:rsidR="00585F8B" w:rsidRPr="00C2120C" w:rsidRDefault="00585F8B" w:rsidP="00851785">
            <w:pPr>
              <w:spacing w:after="0" w:line="240" w:lineRule="auto"/>
              <w:rPr>
                <w:rFonts w:ascii="Arial" w:eastAsia="Times New Roman" w:hAnsi="Arial" w:cs="Arial"/>
                <w:color w:val="000000"/>
                <w:sz w:val="18"/>
                <w:szCs w:val="18"/>
                <w:lang w:val="es-EC" w:eastAsia="es-EC"/>
              </w:rPr>
            </w:pPr>
          </w:p>
        </w:tc>
      </w:tr>
      <w:tr w:rsidR="00EF5694" w:rsidRPr="00387315" w14:paraId="7867389E" w14:textId="099E61B1" w:rsidTr="000D5546">
        <w:trPr>
          <w:gridAfter w:val="1"/>
          <w:wAfter w:w="8" w:type="dxa"/>
          <w:trHeight w:val="1358"/>
        </w:trPr>
        <w:tc>
          <w:tcPr>
            <w:tcW w:w="501" w:type="dxa"/>
            <w:vMerge w:val="restart"/>
            <w:shd w:val="clear" w:color="auto" w:fill="E2EFD9" w:themeFill="accent6" w:themeFillTint="33"/>
            <w:noWrap/>
            <w:hideMark/>
          </w:tcPr>
          <w:p w14:paraId="11918F1D" w14:textId="705AB2D6" w:rsidR="00585F8B" w:rsidRPr="00C2120C" w:rsidRDefault="00585F8B" w:rsidP="00585F8B">
            <w:pPr>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lastRenderedPageBreak/>
              <w:t>1.2</w:t>
            </w:r>
          </w:p>
        </w:tc>
        <w:tc>
          <w:tcPr>
            <w:tcW w:w="1749" w:type="dxa"/>
            <w:vMerge w:val="restart"/>
            <w:shd w:val="clear" w:color="auto" w:fill="E2EFD9" w:themeFill="accent6" w:themeFillTint="33"/>
            <w:noWrap/>
            <w:hideMark/>
          </w:tcPr>
          <w:p w14:paraId="182BFF8A" w14:textId="4A14FE81" w:rsidR="00585F8B" w:rsidRPr="00C2120C" w:rsidRDefault="00F41781" w:rsidP="007D095E">
            <w:pPr>
              <w:keepNext/>
              <w:keepLines/>
              <w:spacing w:after="0" w:line="240" w:lineRule="auto"/>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MERO</w:t>
            </w:r>
            <w:r w:rsidR="00585F8B" w:rsidRPr="00C2120C">
              <w:rPr>
                <w:rFonts w:ascii="Arial" w:eastAsia="Times New Roman" w:hAnsi="Arial" w:cs="Arial"/>
                <w:color w:val="000000"/>
                <w:sz w:val="18"/>
                <w:szCs w:val="18"/>
                <w:lang w:val="es-EC" w:eastAsia="es-EC"/>
              </w:rPr>
              <w:t>, implementadas</w:t>
            </w:r>
          </w:p>
        </w:tc>
        <w:tc>
          <w:tcPr>
            <w:tcW w:w="990" w:type="dxa"/>
            <w:shd w:val="clear" w:color="auto" w:fill="auto"/>
            <w:noWrap/>
            <w:hideMark/>
          </w:tcPr>
          <w:p w14:paraId="6AF706DB" w14:textId="77777777" w:rsidR="00585F8B" w:rsidRPr="00C2120C" w:rsidRDefault="00585F8B" w:rsidP="00E61805">
            <w:pPr>
              <w:keepNext/>
              <w:keepLines/>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Física</w:t>
            </w:r>
          </w:p>
        </w:tc>
        <w:tc>
          <w:tcPr>
            <w:tcW w:w="1260" w:type="dxa"/>
            <w:shd w:val="clear" w:color="auto" w:fill="auto"/>
            <w:noWrap/>
            <w:hideMark/>
          </w:tcPr>
          <w:p w14:paraId="21CEE277" w14:textId="77777777" w:rsidR="00585F8B" w:rsidRPr="00C2120C" w:rsidRDefault="00585F8B" w:rsidP="00E61805">
            <w:pPr>
              <w:keepNext/>
              <w:keepLines/>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Mesas</w:t>
            </w:r>
          </w:p>
        </w:tc>
        <w:tc>
          <w:tcPr>
            <w:tcW w:w="1080" w:type="dxa"/>
            <w:shd w:val="clear" w:color="auto" w:fill="auto"/>
            <w:noWrap/>
            <w:hideMark/>
          </w:tcPr>
          <w:p w14:paraId="18D2C015" w14:textId="10C9B533" w:rsidR="00585F8B" w:rsidRPr="00C2120C" w:rsidRDefault="00C57C2B" w:rsidP="00E61805">
            <w:pPr>
              <w:keepNext/>
              <w:keepLines/>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990" w:type="dxa"/>
            <w:shd w:val="clear" w:color="auto" w:fill="auto"/>
            <w:noWrap/>
            <w:hideMark/>
          </w:tcPr>
          <w:p w14:paraId="681F98BA" w14:textId="681E085E" w:rsidR="00585F8B" w:rsidRPr="00C2120C" w:rsidRDefault="00585F8B" w:rsidP="00E61805">
            <w:pPr>
              <w:keepNext/>
              <w:keepLines/>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1</w:t>
            </w:r>
          </w:p>
        </w:tc>
        <w:tc>
          <w:tcPr>
            <w:tcW w:w="1080" w:type="dxa"/>
            <w:shd w:val="clear" w:color="auto" w:fill="auto"/>
            <w:noWrap/>
            <w:hideMark/>
          </w:tcPr>
          <w:p w14:paraId="1F331321" w14:textId="58C9415F" w:rsidR="00585F8B" w:rsidRPr="00C2120C" w:rsidRDefault="00585F8B" w:rsidP="00E61805">
            <w:pPr>
              <w:keepNext/>
              <w:keepLines/>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2</w:t>
            </w:r>
          </w:p>
        </w:tc>
        <w:tc>
          <w:tcPr>
            <w:tcW w:w="1080" w:type="dxa"/>
            <w:shd w:val="clear" w:color="auto" w:fill="auto"/>
            <w:noWrap/>
            <w:hideMark/>
          </w:tcPr>
          <w:p w14:paraId="0571A0A0" w14:textId="45587CCC" w:rsidR="00585F8B" w:rsidRPr="00C2120C" w:rsidRDefault="00585F8B" w:rsidP="00E61805">
            <w:pPr>
              <w:keepNext/>
              <w:keepLines/>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1</w:t>
            </w:r>
          </w:p>
        </w:tc>
        <w:tc>
          <w:tcPr>
            <w:tcW w:w="1080" w:type="dxa"/>
            <w:shd w:val="clear" w:color="auto" w:fill="auto"/>
            <w:noWrap/>
            <w:hideMark/>
          </w:tcPr>
          <w:p w14:paraId="732BC01C" w14:textId="337192E2" w:rsidR="00585F8B" w:rsidRPr="00C2120C" w:rsidRDefault="00585F8B" w:rsidP="00E61805">
            <w:pPr>
              <w:keepNext/>
              <w:keepLines/>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1</w:t>
            </w:r>
          </w:p>
        </w:tc>
        <w:tc>
          <w:tcPr>
            <w:tcW w:w="1080" w:type="dxa"/>
            <w:shd w:val="clear" w:color="auto" w:fill="auto"/>
            <w:noWrap/>
            <w:hideMark/>
          </w:tcPr>
          <w:p w14:paraId="7075F5E5" w14:textId="16687F4B" w:rsidR="00585F8B" w:rsidRPr="00C2120C" w:rsidRDefault="00585F8B" w:rsidP="00E61805">
            <w:pPr>
              <w:keepNext/>
              <w:keepLines/>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5</w:t>
            </w:r>
          </w:p>
        </w:tc>
        <w:tc>
          <w:tcPr>
            <w:tcW w:w="4050" w:type="dxa"/>
            <w:gridSpan w:val="2"/>
          </w:tcPr>
          <w:p w14:paraId="1C1674D5" w14:textId="1734034A" w:rsidR="00585F8B" w:rsidRPr="00C2120C" w:rsidRDefault="00C57C2B" w:rsidP="007D095E">
            <w:pPr>
              <w:keepNext/>
              <w:keepLines/>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La ejecución de las MERO comprende la contratación de actividades como el equipo técnico para las </w:t>
            </w:r>
            <w:r w:rsidR="00702EF1">
              <w:rPr>
                <w:rFonts w:ascii="Arial" w:eastAsia="Times New Roman" w:hAnsi="Arial" w:cs="Arial"/>
                <w:color w:val="000000"/>
                <w:sz w:val="18"/>
                <w:szCs w:val="18"/>
                <w:lang w:val="es-EC" w:eastAsia="es-EC"/>
              </w:rPr>
              <w:t>MERO</w:t>
            </w:r>
            <w:r w:rsidRPr="00C2120C">
              <w:rPr>
                <w:rFonts w:ascii="Arial" w:eastAsia="Times New Roman" w:hAnsi="Arial" w:cs="Arial"/>
                <w:color w:val="000000"/>
                <w:sz w:val="18"/>
                <w:szCs w:val="18"/>
                <w:lang w:val="es-EC" w:eastAsia="es-EC"/>
              </w:rPr>
              <w:t xml:space="preserve">; desarrollo de planes estratégicos (1 plan estratégico para c/u de las 5 </w:t>
            </w:r>
            <w:r w:rsidR="00702EF1">
              <w:rPr>
                <w:rFonts w:ascii="Arial" w:eastAsia="Times New Roman" w:hAnsi="Arial" w:cs="Arial"/>
                <w:color w:val="000000"/>
                <w:sz w:val="18"/>
                <w:szCs w:val="18"/>
                <w:lang w:val="es-EC" w:eastAsia="es-EC"/>
              </w:rPr>
              <w:t>MERO</w:t>
            </w:r>
            <w:r w:rsidRPr="00C2120C">
              <w:rPr>
                <w:rFonts w:ascii="Arial" w:eastAsia="Times New Roman" w:hAnsi="Arial" w:cs="Arial"/>
                <w:color w:val="000000"/>
                <w:sz w:val="18"/>
                <w:szCs w:val="18"/>
                <w:lang w:val="es-EC" w:eastAsia="es-EC"/>
              </w:rPr>
              <w:t xml:space="preserve">); apoyo para la implementación de reformas incluidas en las </w:t>
            </w:r>
            <w:r w:rsidR="00702EF1">
              <w:rPr>
                <w:rFonts w:ascii="Arial" w:eastAsia="Times New Roman" w:hAnsi="Arial" w:cs="Arial"/>
                <w:color w:val="000000"/>
                <w:sz w:val="18"/>
                <w:szCs w:val="18"/>
                <w:lang w:val="es-EC" w:eastAsia="es-EC"/>
              </w:rPr>
              <w:t>MERO</w:t>
            </w:r>
            <w:r w:rsidRPr="00C2120C">
              <w:rPr>
                <w:rFonts w:ascii="Arial" w:eastAsia="Times New Roman" w:hAnsi="Arial" w:cs="Arial"/>
                <w:color w:val="000000"/>
                <w:sz w:val="18"/>
                <w:szCs w:val="18"/>
                <w:lang w:val="es-EC" w:eastAsia="es-EC"/>
              </w:rPr>
              <w:t>; actividades de sensibilización, difusión, formación e intercambio de conocimiento; pilotos para instrumentos e intervenciones de política priorizados, consultorías especializadas para gestión y resolución de problemas regulatorios; instrumentos de innovación</w:t>
            </w:r>
          </w:p>
        </w:tc>
      </w:tr>
      <w:tr w:rsidR="00E61805" w:rsidRPr="00A01772" w14:paraId="25EECB4B" w14:textId="248CC554" w:rsidTr="000D5546">
        <w:trPr>
          <w:gridAfter w:val="1"/>
          <w:wAfter w:w="8" w:type="dxa"/>
          <w:trHeight w:val="255"/>
        </w:trPr>
        <w:tc>
          <w:tcPr>
            <w:tcW w:w="501" w:type="dxa"/>
            <w:vMerge/>
            <w:hideMark/>
          </w:tcPr>
          <w:p w14:paraId="2AF3EAEE" w14:textId="77777777" w:rsidR="00585F8B" w:rsidRPr="00C2120C" w:rsidRDefault="00585F8B" w:rsidP="00585F8B">
            <w:pPr>
              <w:spacing w:after="0" w:line="240" w:lineRule="auto"/>
              <w:rPr>
                <w:rFonts w:ascii="Arial" w:eastAsia="Times New Roman" w:hAnsi="Arial" w:cs="Arial"/>
                <w:color w:val="000000"/>
                <w:sz w:val="18"/>
                <w:szCs w:val="18"/>
                <w:lang w:val="es-EC" w:eastAsia="es-EC"/>
              </w:rPr>
            </w:pPr>
          </w:p>
        </w:tc>
        <w:tc>
          <w:tcPr>
            <w:tcW w:w="1749" w:type="dxa"/>
            <w:vMerge/>
            <w:hideMark/>
          </w:tcPr>
          <w:p w14:paraId="6A8864BB" w14:textId="77777777" w:rsidR="00585F8B" w:rsidRPr="00C2120C" w:rsidRDefault="00585F8B" w:rsidP="00585F8B">
            <w:pPr>
              <w:spacing w:after="0" w:line="240" w:lineRule="auto"/>
              <w:rPr>
                <w:rFonts w:ascii="Arial" w:eastAsia="Times New Roman" w:hAnsi="Arial" w:cs="Arial"/>
                <w:color w:val="000000"/>
                <w:sz w:val="18"/>
                <w:szCs w:val="18"/>
                <w:lang w:val="es-EC" w:eastAsia="es-EC"/>
              </w:rPr>
            </w:pPr>
          </w:p>
        </w:tc>
        <w:tc>
          <w:tcPr>
            <w:tcW w:w="990" w:type="dxa"/>
            <w:shd w:val="clear" w:color="auto" w:fill="E2EFD9" w:themeFill="accent6" w:themeFillTint="33"/>
            <w:noWrap/>
            <w:vAlign w:val="center"/>
            <w:hideMark/>
          </w:tcPr>
          <w:p w14:paraId="0D8D4396" w14:textId="77777777" w:rsidR="00585F8B" w:rsidRPr="00C2120C" w:rsidRDefault="00585F8B" w:rsidP="00585F8B">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Financiera </w:t>
            </w:r>
          </w:p>
        </w:tc>
        <w:tc>
          <w:tcPr>
            <w:tcW w:w="1260" w:type="dxa"/>
            <w:shd w:val="clear" w:color="auto" w:fill="E2EFD9" w:themeFill="accent6" w:themeFillTint="33"/>
            <w:noWrap/>
            <w:vAlign w:val="center"/>
            <w:hideMark/>
          </w:tcPr>
          <w:p w14:paraId="7F66894F" w14:textId="18C7433D" w:rsidR="00585F8B" w:rsidRPr="00C2120C" w:rsidRDefault="00585F8B" w:rsidP="00585F8B">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US</w:t>
            </w:r>
            <w:r w:rsidR="009C76B0">
              <w:rPr>
                <w:rFonts w:ascii="Arial" w:eastAsia="Times New Roman" w:hAnsi="Arial" w:cs="Arial"/>
                <w:color w:val="000000"/>
                <w:sz w:val="18"/>
                <w:szCs w:val="18"/>
                <w:lang w:val="es-EC" w:eastAsia="es-EC"/>
              </w:rPr>
              <w:t>$</w:t>
            </w:r>
          </w:p>
        </w:tc>
        <w:tc>
          <w:tcPr>
            <w:tcW w:w="1080" w:type="dxa"/>
            <w:shd w:val="clear" w:color="auto" w:fill="E2EFD9" w:themeFill="accent6" w:themeFillTint="33"/>
            <w:noWrap/>
            <w:hideMark/>
          </w:tcPr>
          <w:p w14:paraId="1BAEA844" w14:textId="25392C90" w:rsidR="00585F8B" w:rsidRPr="00C2120C" w:rsidRDefault="00C57C2B" w:rsidP="00585F8B">
            <w:pPr>
              <w:spacing w:after="0" w:line="240" w:lineRule="auto"/>
              <w:jc w:val="right"/>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r w:rsidR="00585F8B" w:rsidRPr="00C2120C">
              <w:rPr>
                <w:rFonts w:ascii="Arial" w:eastAsia="Times New Roman" w:hAnsi="Arial" w:cs="Arial"/>
                <w:color w:val="000000"/>
                <w:sz w:val="18"/>
                <w:szCs w:val="18"/>
                <w:lang w:val="es-EC" w:eastAsia="es-EC"/>
              </w:rPr>
              <w:t xml:space="preserve">   </w:t>
            </w:r>
          </w:p>
        </w:tc>
        <w:tc>
          <w:tcPr>
            <w:tcW w:w="990" w:type="dxa"/>
            <w:shd w:val="clear" w:color="auto" w:fill="E2EFD9" w:themeFill="accent6" w:themeFillTint="33"/>
            <w:noWrap/>
            <w:hideMark/>
          </w:tcPr>
          <w:p w14:paraId="167A0941" w14:textId="632D4523" w:rsidR="00585F8B" w:rsidRPr="00C2120C" w:rsidRDefault="00585F8B" w:rsidP="00585F8B">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308.000 </w:t>
            </w:r>
          </w:p>
        </w:tc>
        <w:tc>
          <w:tcPr>
            <w:tcW w:w="1080" w:type="dxa"/>
            <w:shd w:val="clear" w:color="auto" w:fill="E2EFD9" w:themeFill="accent6" w:themeFillTint="33"/>
            <w:noWrap/>
            <w:hideMark/>
          </w:tcPr>
          <w:p w14:paraId="62C1C034" w14:textId="06FE5A5B" w:rsidR="00585F8B" w:rsidRPr="00C2120C" w:rsidRDefault="00585F8B" w:rsidP="00585F8B">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1.876.000 </w:t>
            </w:r>
          </w:p>
        </w:tc>
        <w:tc>
          <w:tcPr>
            <w:tcW w:w="1080" w:type="dxa"/>
            <w:shd w:val="clear" w:color="auto" w:fill="E2EFD9" w:themeFill="accent6" w:themeFillTint="33"/>
            <w:noWrap/>
            <w:hideMark/>
          </w:tcPr>
          <w:p w14:paraId="3DF77092" w14:textId="1D6F4B49" w:rsidR="00585F8B" w:rsidRPr="00C2120C" w:rsidRDefault="00585F8B" w:rsidP="00585F8B">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1.372.000 </w:t>
            </w:r>
          </w:p>
        </w:tc>
        <w:tc>
          <w:tcPr>
            <w:tcW w:w="1080" w:type="dxa"/>
            <w:shd w:val="clear" w:color="auto" w:fill="E2EFD9" w:themeFill="accent6" w:themeFillTint="33"/>
            <w:noWrap/>
            <w:hideMark/>
          </w:tcPr>
          <w:p w14:paraId="58A6572C" w14:textId="3A33C274" w:rsidR="00585F8B" w:rsidRPr="00C2120C" w:rsidRDefault="00585F8B" w:rsidP="00585F8B">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924.000 </w:t>
            </w:r>
          </w:p>
        </w:tc>
        <w:tc>
          <w:tcPr>
            <w:tcW w:w="1080" w:type="dxa"/>
            <w:shd w:val="clear" w:color="auto" w:fill="E2EFD9" w:themeFill="accent6" w:themeFillTint="33"/>
            <w:noWrap/>
            <w:hideMark/>
          </w:tcPr>
          <w:p w14:paraId="006B0D6D" w14:textId="0F4C0FE9" w:rsidR="00585F8B" w:rsidRPr="00C2120C" w:rsidRDefault="00585F8B" w:rsidP="00585F8B">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4.480.000 </w:t>
            </w:r>
          </w:p>
        </w:tc>
        <w:tc>
          <w:tcPr>
            <w:tcW w:w="4050" w:type="dxa"/>
            <w:gridSpan w:val="2"/>
            <w:shd w:val="clear" w:color="auto" w:fill="E2EFD9" w:themeFill="accent6" w:themeFillTint="33"/>
          </w:tcPr>
          <w:p w14:paraId="477AF8F6" w14:textId="77777777" w:rsidR="00585F8B" w:rsidRPr="00C2120C" w:rsidRDefault="00585F8B" w:rsidP="00A048ED">
            <w:pPr>
              <w:spacing w:after="0" w:line="240" w:lineRule="auto"/>
              <w:ind w:left="-419" w:firstLine="180"/>
              <w:jc w:val="right"/>
              <w:rPr>
                <w:rFonts w:ascii="Arial" w:eastAsia="Times New Roman" w:hAnsi="Arial" w:cs="Arial"/>
                <w:color w:val="000000"/>
                <w:sz w:val="18"/>
                <w:szCs w:val="18"/>
                <w:lang w:val="es-EC" w:eastAsia="es-EC"/>
              </w:rPr>
            </w:pPr>
          </w:p>
        </w:tc>
      </w:tr>
      <w:tr w:rsidR="00EF5694" w:rsidRPr="00387315" w14:paraId="1D0A9333" w14:textId="53ADE037" w:rsidTr="000D5546">
        <w:trPr>
          <w:gridAfter w:val="1"/>
          <w:wAfter w:w="8" w:type="dxa"/>
          <w:trHeight w:val="1682"/>
        </w:trPr>
        <w:tc>
          <w:tcPr>
            <w:tcW w:w="501" w:type="dxa"/>
            <w:vMerge w:val="restart"/>
            <w:shd w:val="clear" w:color="auto" w:fill="E2EFD9" w:themeFill="accent6" w:themeFillTint="33"/>
            <w:noWrap/>
            <w:hideMark/>
          </w:tcPr>
          <w:p w14:paraId="54F9B4AB" w14:textId="77777777" w:rsidR="00585F8B" w:rsidRPr="00C2120C" w:rsidRDefault="00585F8B" w:rsidP="00585F8B">
            <w:pPr>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1.3</w:t>
            </w:r>
          </w:p>
        </w:tc>
        <w:tc>
          <w:tcPr>
            <w:tcW w:w="1749" w:type="dxa"/>
            <w:vMerge w:val="restart"/>
            <w:shd w:val="clear" w:color="auto" w:fill="E2EFD9" w:themeFill="accent6" w:themeFillTint="33"/>
            <w:noWrap/>
            <w:hideMark/>
          </w:tcPr>
          <w:p w14:paraId="0A94E0D9" w14:textId="77777777" w:rsidR="00585F8B" w:rsidRPr="00C2120C" w:rsidRDefault="00585F8B" w:rsidP="00585F8B">
            <w:pPr>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Instrumentos de Innovación, implementados</w:t>
            </w:r>
          </w:p>
        </w:tc>
        <w:tc>
          <w:tcPr>
            <w:tcW w:w="990" w:type="dxa"/>
            <w:shd w:val="clear" w:color="auto" w:fill="auto"/>
            <w:noWrap/>
            <w:hideMark/>
          </w:tcPr>
          <w:p w14:paraId="0C82A307" w14:textId="77777777" w:rsidR="00585F8B" w:rsidRPr="00C2120C" w:rsidRDefault="00585F8B" w:rsidP="00E61805">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Física</w:t>
            </w:r>
          </w:p>
        </w:tc>
        <w:tc>
          <w:tcPr>
            <w:tcW w:w="1260" w:type="dxa"/>
            <w:shd w:val="clear" w:color="auto" w:fill="auto"/>
            <w:noWrap/>
            <w:hideMark/>
          </w:tcPr>
          <w:p w14:paraId="0AB4EDE2" w14:textId="77777777" w:rsidR="00585F8B" w:rsidRPr="00C2120C" w:rsidRDefault="00585F8B" w:rsidP="00E61805">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Instrumentos</w:t>
            </w:r>
          </w:p>
        </w:tc>
        <w:tc>
          <w:tcPr>
            <w:tcW w:w="1080" w:type="dxa"/>
            <w:shd w:val="clear" w:color="auto" w:fill="auto"/>
            <w:noWrap/>
            <w:hideMark/>
          </w:tcPr>
          <w:p w14:paraId="5A169C44" w14:textId="51A7E11F" w:rsidR="00585F8B" w:rsidRPr="00C2120C" w:rsidRDefault="00C57C2B" w:rsidP="00E61805">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990" w:type="dxa"/>
            <w:shd w:val="clear" w:color="auto" w:fill="auto"/>
            <w:noWrap/>
            <w:hideMark/>
          </w:tcPr>
          <w:p w14:paraId="3075BA24" w14:textId="7C289FC3" w:rsidR="00585F8B" w:rsidRPr="00C2120C" w:rsidRDefault="00585F8B" w:rsidP="00E61805">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1</w:t>
            </w:r>
          </w:p>
        </w:tc>
        <w:tc>
          <w:tcPr>
            <w:tcW w:w="1080" w:type="dxa"/>
            <w:shd w:val="clear" w:color="auto" w:fill="auto"/>
            <w:noWrap/>
            <w:hideMark/>
          </w:tcPr>
          <w:p w14:paraId="2F72BDF6" w14:textId="547E0FBD" w:rsidR="00585F8B" w:rsidRPr="00C2120C" w:rsidRDefault="00585F8B" w:rsidP="00E61805">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2</w:t>
            </w:r>
          </w:p>
        </w:tc>
        <w:tc>
          <w:tcPr>
            <w:tcW w:w="1080" w:type="dxa"/>
            <w:shd w:val="clear" w:color="auto" w:fill="auto"/>
            <w:noWrap/>
            <w:hideMark/>
          </w:tcPr>
          <w:p w14:paraId="5FEE59C3" w14:textId="3210BBFD" w:rsidR="00585F8B" w:rsidRPr="00C2120C" w:rsidRDefault="00585F8B" w:rsidP="00E61805">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1</w:t>
            </w:r>
          </w:p>
        </w:tc>
        <w:tc>
          <w:tcPr>
            <w:tcW w:w="1080" w:type="dxa"/>
            <w:shd w:val="clear" w:color="auto" w:fill="auto"/>
            <w:noWrap/>
            <w:hideMark/>
          </w:tcPr>
          <w:p w14:paraId="55F66E0C" w14:textId="30855D8B" w:rsidR="00585F8B" w:rsidRPr="00C2120C" w:rsidRDefault="00585F8B" w:rsidP="00E61805">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1</w:t>
            </w:r>
          </w:p>
        </w:tc>
        <w:tc>
          <w:tcPr>
            <w:tcW w:w="1080" w:type="dxa"/>
            <w:shd w:val="clear" w:color="auto" w:fill="auto"/>
            <w:noWrap/>
            <w:hideMark/>
          </w:tcPr>
          <w:p w14:paraId="69E8A4E3" w14:textId="6521CB96" w:rsidR="00585F8B" w:rsidRPr="00C2120C" w:rsidRDefault="00585F8B" w:rsidP="00E61805">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5</w:t>
            </w:r>
          </w:p>
        </w:tc>
        <w:tc>
          <w:tcPr>
            <w:tcW w:w="4050" w:type="dxa"/>
            <w:gridSpan w:val="2"/>
          </w:tcPr>
          <w:p w14:paraId="507F7891" w14:textId="3A4C3882" w:rsidR="00585F8B" w:rsidRPr="00C2120C" w:rsidRDefault="009E0034" w:rsidP="00B26973">
            <w:pPr>
              <w:spacing w:after="0" w:line="240" w:lineRule="auto"/>
              <w:jc w:val="both"/>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Comprende instrumentos como: aportes no reembolsables de apoyo a la innovación empresarial; aportes no reembolsables de apoyo al emprendimiento; misiones tecnológicas para la innovación; aportes no reembolsables de apoyo a agentes intermediarios del ecosistema; financiamiento de programas de formación; y equipo técnico de apoyo a la ejecución</w:t>
            </w:r>
          </w:p>
        </w:tc>
      </w:tr>
      <w:tr w:rsidR="00EF5694" w:rsidRPr="00A01772" w14:paraId="1F8754C7" w14:textId="454143AB" w:rsidTr="000D5546">
        <w:trPr>
          <w:gridAfter w:val="1"/>
          <w:wAfter w:w="8" w:type="dxa"/>
          <w:trHeight w:val="255"/>
        </w:trPr>
        <w:tc>
          <w:tcPr>
            <w:tcW w:w="501" w:type="dxa"/>
            <w:vMerge/>
            <w:hideMark/>
          </w:tcPr>
          <w:p w14:paraId="39BDD33C" w14:textId="77777777" w:rsidR="00585F8B" w:rsidRPr="00C2120C" w:rsidRDefault="00585F8B" w:rsidP="00585F8B">
            <w:pPr>
              <w:spacing w:after="0" w:line="240" w:lineRule="auto"/>
              <w:rPr>
                <w:rFonts w:ascii="Arial" w:eastAsia="Times New Roman" w:hAnsi="Arial" w:cs="Arial"/>
                <w:color w:val="000000"/>
                <w:sz w:val="18"/>
                <w:szCs w:val="18"/>
                <w:lang w:val="es-EC" w:eastAsia="es-EC"/>
              </w:rPr>
            </w:pPr>
          </w:p>
        </w:tc>
        <w:tc>
          <w:tcPr>
            <w:tcW w:w="1749" w:type="dxa"/>
            <w:vMerge/>
            <w:hideMark/>
          </w:tcPr>
          <w:p w14:paraId="425D781E" w14:textId="77777777" w:rsidR="00585F8B" w:rsidRPr="00C2120C" w:rsidRDefault="00585F8B" w:rsidP="00585F8B">
            <w:pPr>
              <w:spacing w:after="0" w:line="240" w:lineRule="auto"/>
              <w:rPr>
                <w:rFonts w:ascii="Arial" w:eastAsia="Times New Roman" w:hAnsi="Arial" w:cs="Arial"/>
                <w:color w:val="000000"/>
                <w:sz w:val="18"/>
                <w:szCs w:val="18"/>
                <w:lang w:val="es-EC" w:eastAsia="es-EC"/>
              </w:rPr>
            </w:pPr>
          </w:p>
        </w:tc>
        <w:tc>
          <w:tcPr>
            <w:tcW w:w="990" w:type="dxa"/>
            <w:shd w:val="clear" w:color="auto" w:fill="E2EFD9" w:themeFill="accent6" w:themeFillTint="33"/>
            <w:noWrap/>
            <w:vAlign w:val="center"/>
            <w:hideMark/>
          </w:tcPr>
          <w:p w14:paraId="16D5F024" w14:textId="5C8C38CB" w:rsidR="00585F8B" w:rsidRPr="00C2120C" w:rsidRDefault="00585F8B" w:rsidP="00E61805">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Financiera</w:t>
            </w:r>
          </w:p>
        </w:tc>
        <w:tc>
          <w:tcPr>
            <w:tcW w:w="1260" w:type="dxa"/>
            <w:shd w:val="clear" w:color="auto" w:fill="E2EFD9" w:themeFill="accent6" w:themeFillTint="33"/>
            <w:noWrap/>
            <w:vAlign w:val="center"/>
            <w:hideMark/>
          </w:tcPr>
          <w:p w14:paraId="286A555E" w14:textId="77777777" w:rsidR="00585F8B" w:rsidRPr="00C2120C" w:rsidRDefault="00585F8B" w:rsidP="00E61805">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USD</w:t>
            </w:r>
          </w:p>
        </w:tc>
        <w:tc>
          <w:tcPr>
            <w:tcW w:w="1080" w:type="dxa"/>
            <w:shd w:val="clear" w:color="auto" w:fill="E2EFD9" w:themeFill="accent6" w:themeFillTint="33"/>
            <w:noWrap/>
            <w:vAlign w:val="center"/>
            <w:hideMark/>
          </w:tcPr>
          <w:p w14:paraId="1259CB25" w14:textId="3074458B" w:rsidR="00585F8B" w:rsidRPr="00C2120C" w:rsidRDefault="00C57C2B" w:rsidP="00E61805">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990" w:type="dxa"/>
            <w:shd w:val="clear" w:color="auto" w:fill="E2EFD9" w:themeFill="accent6" w:themeFillTint="33"/>
            <w:noWrap/>
            <w:vAlign w:val="center"/>
            <w:hideMark/>
          </w:tcPr>
          <w:p w14:paraId="19D315AC" w14:textId="09BBEE98" w:rsidR="00585F8B" w:rsidRPr="00C2120C" w:rsidRDefault="00585F8B" w:rsidP="00E61805">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733.600</w:t>
            </w:r>
          </w:p>
        </w:tc>
        <w:tc>
          <w:tcPr>
            <w:tcW w:w="1080" w:type="dxa"/>
            <w:shd w:val="clear" w:color="auto" w:fill="E2EFD9" w:themeFill="accent6" w:themeFillTint="33"/>
            <w:noWrap/>
            <w:vAlign w:val="center"/>
            <w:hideMark/>
          </w:tcPr>
          <w:p w14:paraId="51F3290C" w14:textId="30E928A6" w:rsidR="00585F8B" w:rsidRPr="00C2120C" w:rsidRDefault="00585F8B" w:rsidP="00E61805">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1.120.000</w:t>
            </w:r>
          </w:p>
        </w:tc>
        <w:tc>
          <w:tcPr>
            <w:tcW w:w="1080" w:type="dxa"/>
            <w:shd w:val="clear" w:color="auto" w:fill="E2EFD9" w:themeFill="accent6" w:themeFillTint="33"/>
            <w:noWrap/>
            <w:vAlign w:val="center"/>
            <w:hideMark/>
          </w:tcPr>
          <w:p w14:paraId="787A88B9" w14:textId="6EBCC7FF" w:rsidR="00585F8B" w:rsidRPr="00C2120C" w:rsidRDefault="00585F8B" w:rsidP="00E61805">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946.400</w:t>
            </w:r>
          </w:p>
        </w:tc>
        <w:tc>
          <w:tcPr>
            <w:tcW w:w="1080" w:type="dxa"/>
            <w:shd w:val="clear" w:color="auto" w:fill="E2EFD9" w:themeFill="accent6" w:themeFillTint="33"/>
            <w:noWrap/>
            <w:vAlign w:val="center"/>
            <w:hideMark/>
          </w:tcPr>
          <w:p w14:paraId="0FDC1978" w14:textId="5E9901C0" w:rsidR="00585F8B" w:rsidRPr="00C2120C" w:rsidRDefault="00585F8B" w:rsidP="00E61805">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588.000</w:t>
            </w:r>
          </w:p>
        </w:tc>
        <w:tc>
          <w:tcPr>
            <w:tcW w:w="1080" w:type="dxa"/>
            <w:shd w:val="clear" w:color="auto" w:fill="E2EFD9" w:themeFill="accent6" w:themeFillTint="33"/>
            <w:noWrap/>
            <w:vAlign w:val="center"/>
            <w:hideMark/>
          </w:tcPr>
          <w:p w14:paraId="09C9D89A" w14:textId="24AEFC84" w:rsidR="00585F8B" w:rsidRPr="00C2120C" w:rsidRDefault="00585F8B" w:rsidP="00E61805">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3.388.000</w:t>
            </w:r>
          </w:p>
        </w:tc>
        <w:tc>
          <w:tcPr>
            <w:tcW w:w="4050" w:type="dxa"/>
            <w:gridSpan w:val="2"/>
            <w:shd w:val="clear" w:color="auto" w:fill="E2EFD9" w:themeFill="accent6" w:themeFillTint="33"/>
          </w:tcPr>
          <w:p w14:paraId="73CDCDA9" w14:textId="77777777" w:rsidR="00585F8B" w:rsidRPr="00C2120C" w:rsidRDefault="00585F8B" w:rsidP="00851785">
            <w:pPr>
              <w:spacing w:after="0" w:line="240" w:lineRule="auto"/>
              <w:rPr>
                <w:rFonts w:ascii="Arial" w:eastAsia="Times New Roman" w:hAnsi="Arial" w:cs="Arial"/>
                <w:color w:val="000000"/>
                <w:sz w:val="18"/>
                <w:szCs w:val="18"/>
                <w:lang w:val="es-EC" w:eastAsia="es-EC"/>
              </w:rPr>
            </w:pPr>
          </w:p>
        </w:tc>
      </w:tr>
      <w:tr w:rsidR="004C29AF" w:rsidRPr="00A01772" w14:paraId="6153985B" w14:textId="3957C4BB" w:rsidTr="000D5546">
        <w:trPr>
          <w:gridAfter w:val="1"/>
          <w:wAfter w:w="8" w:type="dxa"/>
          <w:trHeight w:val="300"/>
        </w:trPr>
        <w:tc>
          <w:tcPr>
            <w:tcW w:w="501" w:type="dxa"/>
            <w:shd w:val="clear" w:color="auto" w:fill="B4C6E7" w:themeFill="accent1" w:themeFillTint="66"/>
            <w:noWrap/>
            <w:hideMark/>
          </w:tcPr>
          <w:p w14:paraId="25CC1F0D" w14:textId="77777777" w:rsidR="004C29AF" w:rsidRPr="00C2120C" w:rsidRDefault="004C29AF" w:rsidP="004C29AF">
            <w:pPr>
              <w:spacing w:before="20" w:after="20" w:line="240" w:lineRule="auto"/>
              <w:rPr>
                <w:rFonts w:ascii="Arial" w:eastAsia="Times New Roman" w:hAnsi="Arial" w:cs="Arial"/>
                <w:b/>
                <w:bCs/>
                <w:color w:val="000000"/>
                <w:sz w:val="18"/>
                <w:szCs w:val="18"/>
                <w:lang w:val="es-EC" w:eastAsia="es-EC"/>
              </w:rPr>
            </w:pPr>
            <w:r w:rsidRPr="00C2120C">
              <w:rPr>
                <w:rFonts w:ascii="Arial" w:eastAsia="Times New Roman" w:hAnsi="Arial" w:cs="Arial"/>
                <w:b/>
                <w:bCs/>
                <w:color w:val="000000"/>
                <w:sz w:val="18"/>
                <w:szCs w:val="18"/>
                <w:lang w:val="es-EC" w:eastAsia="es-EC"/>
              </w:rPr>
              <w:t>2</w:t>
            </w:r>
          </w:p>
        </w:tc>
        <w:tc>
          <w:tcPr>
            <w:tcW w:w="1749" w:type="dxa"/>
            <w:shd w:val="clear" w:color="auto" w:fill="B4C6E7" w:themeFill="accent1" w:themeFillTint="66"/>
            <w:noWrap/>
            <w:hideMark/>
          </w:tcPr>
          <w:p w14:paraId="22CFF783" w14:textId="77777777" w:rsidR="004C29AF" w:rsidRPr="00C2120C" w:rsidRDefault="004C29AF" w:rsidP="004C29AF">
            <w:pPr>
              <w:spacing w:before="20" w:after="20" w:line="240" w:lineRule="auto"/>
              <w:rPr>
                <w:rFonts w:ascii="Arial" w:eastAsia="Times New Roman" w:hAnsi="Arial" w:cs="Arial"/>
                <w:b/>
                <w:bCs/>
                <w:color w:val="000000"/>
                <w:sz w:val="18"/>
                <w:szCs w:val="18"/>
                <w:lang w:val="es-EC" w:eastAsia="es-EC"/>
              </w:rPr>
            </w:pPr>
            <w:r w:rsidRPr="00C2120C">
              <w:rPr>
                <w:rFonts w:ascii="Arial" w:eastAsia="Times New Roman" w:hAnsi="Arial" w:cs="Arial"/>
                <w:b/>
                <w:bCs/>
                <w:color w:val="000000"/>
                <w:sz w:val="18"/>
                <w:szCs w:val="18"/>
                <w:lang w:val="es-EC" w:eastAsia="es-EC"/>
              </w:rPr>
              <w:t>Mejora de la calidad regulatoria y transparencia del ambiente de negocios</w:t>
            </w:r>
          </w:p>
        </w:tc>
        <w:tc>
          <w:tcPr>
            <w:tcW w:w="990" w:type="dxa"/>
            <w:shd w:val="clear" w:color="auto" w:fill="B4C6E7" w:themeFill="accent1" w:themeFillTint="66"/>
            <w:noWrap/>
            <w:hideMark/>
          </w:tcPr>
          <w:p w14:paraId="1F572280" w14:textId="77777777" w:rsidR="004C29AF" w:rsidRPr="00C2120C" w:rsidRDefault="004C29AF" w:rsidP="004C29AF">
            <w:pPr>
              <w:spacing w:before="20" w:after="2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w:t>
            </w:r>
          </w:p>
        </w:tc>
        <w:tc>
          <w:tcPr>
            <w:tcW w:w="1260" w:type="dxa"/>
            <w:shd w:val="clear" w:color="auto" w:fill="B4C6E7" w:themeFill="accent1" w:themeFillTint="66"/>
            <w:noWrap/>
            <w:hideMark/>
          </w:tcPr>
          <w:p w14:paraId="6CD34E08" w14:textId="286BCEE5" w:rsidR="004C29AF" w:rsidRPr="00C2120C" w:rsidRDefault="004C29AF" w:rsidP="004C29AF">
            <w:pPr>
              <w:spacing w:before="20" w:after="20" w:line="240" w:lineRule="auto"/>
              <w:jc w:val="center"/>
              <w:rPr>
                <w:rFonts w:ascii="Arial" w:eastAsia="Times New Roman" w:hAnsi="Arial" w:cs="Arial"/>
                <w:color w:val="000000"/>
                <w:sz w:val="18"/>
                <w:szCs w:val="18"/>
                <w:lang w:val="es-EC" w:eastAsia="es-EC"/>
              </w:rPr>
            </w:pPr>
          </w:p>
        </w:tc>
        <w:tc>
          <w:tcPr>
            <w:tcW w:w="1080" w:type="dxa"/>
            <w:shd w:val="clear" w:color="auto" w:fill="B4C6E7" w:themeFill="accent1" w:themeFillTint="66"/>
            <w:noWrap/>
            <w:hideMark/>
          </w:tcPr>
          <w:p w14:paraId="01657854" w14:textId="66C93B26" w:rsidR="004C29AF" w:rsidRPr="00C2120C" w:rsidRDefault="004C29AF" w:rsidP="004C29AF">
            <w:pPr>
              <w:spacing w:before="20" w:after="20" w:line="240" w:lineRule="auto"/>
              <w:jc w:val="center"/>
              <w:rPr>
                <w:rFonts w:ascii="Arial" w:eastAsia="Times New Roman" w:hAnsi="Arial" w:cs="Arial"/>
                <w:b/>
                <w:bCs/>
                <w:color w:val="000000"/>
                <w:sz w:val="18"/>
                <w:szCs w:val="18"/>
                <w:lang w:val="es-EC" w:eastAsia="es-EC"/>
              </w:rPr>
            </w:pPr>
            <w:r w:rsidRPr="000D5546">
              <w:rPr>
                <w:rFonts w:ascii="Arial" w:eastAsia="Times New Roman" w:hAnsi="Arial" w:cs="Arial"/>
                <w:b/>
                <w:bCs/>
                <w:color w:val="000000"/>
                <w:sz w:val="18"/>
                <w:szCs w:val="18"/>
                <w:lang w:val="es-EC" w:eastAsia="es-EC"/>
              </w:rPr>
              <w:t xml:space="preserve">   548</w:t>
            </w:r>
            <w:r>
              <w:rPr>
                <w:rFonts w:ascii="Arial" w:eastAsia="Times New Roman" w:hAnsi="Arial" w:cs="Arial"/>
                <w:b/>
                <w:bCs/>
                <w:color w:val="000000"/>
                <w:sz w:val="18"/>
                <w:szCs w:val="18"/>
                <w:lang w:val="es-EC" w:eastAsia="es-EC"/>
              </w:rPr>
              <w:t>.</w:t>
            </w:r>
            <w:r w:rsidRPr="000D5546">
              <w:rPr>
                <w:rFonts w:ascii="Arial" w:eastAsia="Times New Roman" w:hAnsi="Arial" w:cs="Arial"/>
                <w:b/>
                <w:bCs/>
                <w:color w:val="000000"/>
                <w:sz w:val="18"/>
                <w:szCs w:val="18"/>
                <w:lang w:val="es-EC" w:eastAsia="es-EC"/>
              </w:rPr>
              <w:t xml:space="preserve">800 </w:t>
            </w:r>
          </w:p>
        </w:tc>
        <w:tc>
          <w:tcPr>
            <w:tcW w:w="990" w:type="dxa"/>
            <w:shd w:val="clear" w:color="auto" w:fill="B4C6E7" w:themeFill="accent1" w:themeFillTint="66"/>
            <w:noWrap/>
            <w:hideMark/>
          </w:tcPr>
          <w:p w14:paraId="2CC5E5E4" w14:textId="1D16A2E5" w:rsidR="004C29AF" w:rsidRPr="00C2120C" w:rsidRDefault="004C29AF" w:rsidP="004C29AF">
            <w:pPr>
              <w:spacing w:before="20" w:after="20" w:line="240" w:lineRule="auto"/>
              <w:jc w:val="center"/>
              <w:rPr>
                <w:rFonts w:ascii="Arial" w:eastAsia="Times New Roman" w:hAnsi="Arial" w:cs="Arial"/>
                <w:b/>
                <w:bCs/>
                <w:color w:val="000000"/>
                <w:sz w:val="18"/>
                <w:szCs w:val="18"/>
                <w:lang w:val="es-EC" w:eastAsia="es-EC"/>
              </w:rPr>
            </w:pPr>
            <w:r w:rsidRPr="000D5546">
              <w:rPr>
                <w:rFonts w:ascii="Arial" w:eastAsia="Times New Roman" w:hAnsi="Arial" w:cs="Arial"/>
                <w:b/>
                <w:bCs/>
                <w:color w:val="000000"/>
                <w:sz w:val="18"/>
                <w:szCs w:val="18"/>
                <w:lang w:val="es-EC" w:eastAsia="es-EC"/>
              </w:rPr>
              <w:t>1</w:t>
            </w:r>
            <w:r>
              <w:rPr>
                <w:rFonts w:ascii="Arial" w:eastAsia="Times New Roman" w:hAnsi="Arial" w:cs="Arial"/>
                <w:b/>
                <w:bCs/>
                <w:color w:val="000000"/>
                <w:sz w:val="18"/>
                <w:szCs w:val="18"/>
                <w:lang w:val="es-EC" w:eastAsia="es-EC"/>
              </w:rPr>
              <w:t>.</w:t>
            </w:r>
            <w:r w:rsidR="001A6341">
              <w:rPr>
                <w:rFonts w:ascii="Arial" w:eastAsia="Times New Roman" w:hAnsi="Arial" w:cs="Arial"/>
                <w:b/>
                <w:bCs/>
                <w:color w:val="000000"/>
                <w:sz w:val="18"/>
                <w:szCs w:val="18"/>
                <w:lang w:val="es-EC" w:eastAsia="es-EC"/>
              </w:rPr>
              <w:t>687</w:t>
            </w:r>
            <w:r>
              <w:rPr>
                <w:rFonts w:ascii="Arial" w:eastAsia="Times New Roman" w:hAnsi="Arial" w:cs="Arial"/>
                <w:b/>
                <w:bCs/>
                <w:color w:val="000000"/>
                <w:sz w:val="18"/>
                <w:szCs w:val="18"/>
                <w:lang w:val="es-EC" w:eastAsia="es-EC"/>
              </w:rPr>
              <w:t>.</w:t>
            </w:r>
            <w:r w:rsidR="00D62E7B">
              <w:rPr>
                <w:rFonts w:ascii="Arial" w:eastAsia="Times New Roman" w:hAnsi="Arial" w:cs="Arial"/>
                <w:b/>
                <w:bCs/>
                <w:color w:val="000000"/>
                <w:sz w:val="18"/>
                <w:szCs w:val="18"/>
                <w:lang w:val="es-EC" w:eastAsia="es-EC"/>
              </w:rPr>
              <w:t>840</w:t>
            </w:r>
            <w:r w:rsidRPr="000D5546">
              <w:rPr>
                <w:rFonts w:ascii="Arial" w:eastAsia="Times New Roman" w:hAnsi="Arial" w:cs="Arial"/>
                <w:b/>
                <w:bCs/>
                <w:color w:val="000000"/>
                <w:sz w:val="18"/>
                <w:szCs w:val="18"/>
                <w:lang w:val="es-EC" w:eastAsia="es-EC"/>
              </w:rPr>
              <w:t xml:space="preserve"> </w:t>
            </w:r>
          </w:p>
        </w:tc>
        <w:tc>
          <w:tcPr>
            <w:tcW w:w="1080" w:type="dxa"/>
            <w:shd w:val="clear" w:color="auto" w:fill="B4C6E7" w:themeFill="accent1" w:themeFillTint="66"/>
            <w:noWrap/>
            <w:hideMark/>
          </w:tcPr>
          <w:p w14:paraId="3F111839" w14:textId="0873EB56" w:rsidR="004C29AF" w:rsidRPr="00C2120C" w:rsidRDefault="004C29AF" w:rsidP="004C29AF">
            <w:pPr>
              <w:spacing w:before="20" w:after="20" w:line="240" w:lineRule="auto"/>
              <w:jc w:val="center"/>
              <w:rPr>
                <w:rFonts w:ascii="Arial" w:eastAsia="Times New Roman" w:hAnsi="Arial" w:cs="Arial"/>
                <w:b/>
                <w:bCs/>
                <w:color w:val="000000"/>
                <w:sz w:val="18"/>
                <w:szCs w:val="18"/>
                <w:lang w:val="es-EC" w:eastAsia="es-EC"/>
              </w:rPr>
            </w:pPr>
            <w:r w:rsidRPr="000D5546">
              <w:rPr>
                <w:rFonts w:ascii="Arial" w:eastAsia="Times New Roman" w:hAnsi="Arial" w:cs="Arial"/>
                <w:b/>
                <w:bCs/>
                <w:color w:val="000000"/>
                <w:sz w:val="18"/>
                <w:szCs w:val="18"/>
                <w:lang w:val="es-EC" w:eastAsia="es-EC"/>
              </w:rPr>
              <w:t>1</w:t>
            </w:r>
            <w:r>
              <w:rPr>
                <w:rFonts w:ascii="Arial" w:eastAsia="Times New Roman" w:hAnsi="Arial" w:cs="Arial"/>
                <w:b/>
                <w:bCs/>
                <w:color w:val="000000"/>
                <w:sz w:val="18"/>
                <w:szCs w:val="18"/>
                <w:lang w:val="es-EC" w:eastAsia="es-EC"/>
              </w:rPr>
              <w:t>.</w:t>
            </w:r>
            <w:r w:rsidRPr="000D5546">
              <w:rPr>
                <w:rFonts w:ascii="Arial" w:eastAsia="Times New Roman" w:hAnsi="Arial" w:cs="Arial"/>
                <w:b/>
                <w:bCs/>
                <w:color w:val="000000"/>
                <w:sz w:val="18"/>
                <w:szCs w:val="18"/>
                <w:lang w:val="es-EC" w:eastAsia="es-EC"/>
              </w:rPr>
              <w:t>089</w:t>
            </w:r>
            <w:r>
              <w:rPr>
                <w:rFonts w:ascii="Arial" w:eastAsia="Times New Roman" w:hAnsi="Arial" w:cs="Arial"/>
                <w:b/>
                <w:bCs/>
                <w:color w:val="000000"/>
                <w:sz w:val="18"/>
                <w:szCs w:val="18"/>
                <w:lang w:val="es-EC" w:eastAsia="es-EC"/>
              </w:rPr>
              <w:t>.</w:t>
            </w:r>
            <w:r w:rsidRPr="000D5546">
              <w:rPr>
                <w:rFonts w:ascii="Arial" w:eastAsia="Times New Roman" w:hAnsi="Arial" w:cs="Arial"/>
                <w:b/>
                <w:bCs/>
                <w:color w:val="000000"/>
                <w:sz w:val="18"/>
                <w:szCs w:val="18"/>
                <w:lang w:val="es-EC" w:eastAsia="es-EC"/>
              </w:rPr>
              <w:t xml:space="preserve">760 </w:t>
            </w:r>
          </w:p>
        </w:tc>
        <w:tc>
          <w:tcPr>
            <w:tcW w:w="1080" w:type="dxa"/>
            <w:shd w:val="clear" w:color="auto" w:fill="B4C6E7" w:themeFill="accent1" w:themeFillTint="66"/>
            <w:noWrap/>
            <w:hideMark/>
          </w:tcPr>
          <w:p w14:paraId="0DDB111F" w14:textId="6217ED70" w:rsidR="004C29AF" w:rsidRPr="00C2120C" w:rsidRDefault="004C29AF" w:rsidP="004C29AF">
            <w:pPr>
              <w:spacing w:before="20" w:after="20" w:line="240" w:lineRule="auto"/>
              <w:jc w:val="center"/>
              <w:rPr>
                <w:rFonts w:ascii="Arial" w:eastAsia="Times New Roman" w:hAnsi="Arial" w:cs="Arial"/>
                <w:b/>
                <w:bCs/>
                <w:color w:val="000000"/>
                <w:sz w:val="18"/>
                <w:szCs w:val="18"/>
                <w:lang w:val="es-EC" w:eastAsia="es-EC"/>
              </w:rPr>
            </w:pPr>
            <w:r w:rsidRPr="000D5546">
              <w:rPr>
                <w:rFonts w:ascii="Arial" w:eastAsia="Times New Roman" w:hAnsi="Arial" w:cs="Arial"/>
                <w:b/>
                <w:bCs/>
                <w:color w:val="000000"/>
                <w:sz w:val="18"/>
                <w:szCs w:val="18"/>
                <w:lang w:val="es-EC" w:eastAsia="es-EC"/>
              </w:rPr>
              <w:t>1</w:t>
            </w:r>
            <w:r>
              <w:rPr>
                <w:rFonts w:ascii="Arial" w:eastAsia="Times New Roman" w:hAnsi="Arial" w:cs="Arial"/>
                <w:b/>
                <w:bCs/>
                <w:color w:val="000000"/>
                <w:sz w:val="18"/>
                <w:szCs w:val="18"/>
                <w:lang w:val="es-EC" w:eastAsia="es-EC"/>
              </w:rPr>
              <w:t>.</w:t>
            </w:r>
            <w:r w:rsidRPr="000D5546">
              <w:rPr>
                <w:rFonts w:ascii="Arial" w:eastAsia="Times New Roman" w:hAnsi="Arial" w:cs="Arial"/>
                <w:b/>
                <w:bCs/>
                <w:color w:val="000000"/>
                <w:sz w:val="18"/>
                <w:szCs w:val="18"/>
                <w:lang w:val="es-EC" w:eastAsia="es-EC"/>
              </w:rPr>
              <w:t>153</w:t>
            </w:r>
            <w:r>
              <w:rPr>
                <w:rFonts w:ascii="Arial" w:eastAsia="Times New Roman" w:hAnsi="Arial" w:cs="Arial"/>
                <w:b/>
                <w:bCs/>
                <w:color w:val="000000"/>
                <w:sz w:val="18"/>
                <w:szCs w:val="18"/>
                <w:lang w:val="es-EC" w:eastAsia="es-EC"/>
              </w:rPr>
              <w:t>.</w:t>
            </w:r>
            <w:r w:rsidRPr="000D5546">
              <w:rPr>
                <w:rFonts w:ascii="Arial" w:eastAsia="Times New Roman" w:hAnsi="Arial" w:cs="Arial"/>
                <w:b/>
                <w:bCs/>
                <w:color w:val="000000"/>
                <w:sz w:val="18"/>
                <w:szCs w:val="18"/>
                <w:lang w:val="es-EC" w:eastAsia="es-EC"/>
              </w:rPr>
              <w:t xml:space="preserve">600 </w:t>
            </w:r>
          </w:p>
        </w:tc>
        <w:tc>
          <w:tcPr>
            <w:tcW w:w="1080" w:type="dxa"/>
            <w:shd w:val="clear" w:color="auto" w:fill="B4C6E7" w:themeFill="accent1" w:themeFillTint="66"/>
            <w:noWrap/>
            <w:hideMark/>
          </w:tcPr>
          <w:p w14:paraId="282C9C4B" w14:textId="4AFCC3CE" w:rsidR="004C29AF" w:rsidRPr="00C2120C" w:rsidRDefault="004C29AF" w:rsidP="004C29AF">
            <w:pPr>
              <w:spacing w:before="20" w:after="20" w:line="240" w:lineRule="auto"/>
              <w:jc w:val="center"/>
              <w:rPr>
                <w:rFonts w:ascii="Arial" w:eastAsia="Times New Roman" w:hAnsi="Arial" w:cs="Arial"/>
                <w:b/>
                <w:bCs/>
                <w:color w:val="000000"/>
                <w:sz w:val="18"/>
                <w:szCs w:val="18"/>
                <w:lang w:val="es-EC" w:eastAsia="es-EC"/>
              </w:rPr>
            </w:pPr>
            <w:r>
              <w:rPr>
                <w:rFonts w:ascii="Arial" w:eastAsia="Times New Roman" w:hAnsi="Arial" w:cs="Arial"/>
                <w:b/>
                <w:bCs/>
                <w:color w:val="000000"/>
                <w:sz w:val="18"/>
                <w:szCs w:val="18"/>
                <w:lang w:val="es-EC" w:eastAsia="es-EC"/>
              </w:rPr>
              <w:t>0</w:t>
            </w:r>
          </w:p>
        </w:tc>
        <w:tc>
          <w:tcPr>
            <w:tcW w:w="1080" w:type="dxa"/>
            <w:shd w:val="clear" w:color="auto" w:fill="B4C6E7" w:themeFill="accent1" w:themeFillTint="66"/>
            <w:noWrap/>
            <w:hideMark/>
          </w:tcPr>
          <w:p w14:paraId="5274AE67" w14:textId="04B43867" w:rsidR="004C29AF" w:rsidRPr="00C2120C" w:rsidRDefault="004C29AF" w:rsidP="004C29AF">
            <w:pPr>
              <w:spacing w:before="20" w:after="20" w:line="240" w:lineRule="auto"/>
              <w:jc w:val="center"/>
              <w:rPr>
                <w:rFonts w:ascii="Arial" w:eastAsia="Times New Roman" w:hAnsi="Arial" w:cs="Arial"/>
                <w:b/>
                <w:bCs/>
                <w:color w:val="000000"/>
                <w:sz w:val="18"/>
                <w:szCs w:val="18"/>
                <w:lang w:val="es-EC" w:eastAsia="es-EC"/>
              </w:rPr>
            </w:pPr>
            <w:r w:rsidRPr="00C2120C">
              <w:rPr>
                <w:rFonts w:ascii="Arial" w:eastAsia="Times New Roman" w:hAnsi="Arial" w:cs="Arial"/>
                <w:b/>
                <w:bCs/>
                <w:color w:val="000000"/>
                <w:sz w:val="18"/>
                <w:szCs w:val="18"/>
                <w:lang w:val="es-EC" w:eastAsia="es-EC"/>
              </w:rPr>
              <w:t>4.480.000</w:t>
            </w:r>
          </w:p>
        </w:tc>
        <w:tc>
          <w:tcPr>
            <w:tcW w:w="4050" w:type="dxa"/>
            <w:gridSpan w:val="2"/>
            <w:shd w:val="clear" w:color="auto" w:fill="B4C6E7" w:themeFill="accent1" w:themeFillTint="66"/>
          </w:tcPr>
          <w:p w14:paraId="772308FB" w14:textId="77777777" w:rsidR="004C29AF" w:rsidRPr="00C2120C" w:rsidRDefault="004C29AF" w:rsidP="004C29AF">
            <w:pPr>
              <w:spacing w:before="20" w:after="20" w:line="240" w:lineRule="auto"/>
              <w:jc w:val="right"/>
              <w:rPr>
                <w:rFonts w:ascii="Arial" w:eastAsia="Times New Roman" w:hAnsi="Arial" w:cs="Arial"/>
                <w:b/>
                <w:bCs/>
                <w:color w:val="000000"/>
                <w:sz w:val="18"/>
                <w:szCs w:val="18"/>
                <w:lang w:val="es-EC" w:eastAsia="es-EC"/>
              </w:rPr>
            </w:pPr>
          </w:p>
        </w:tc>
      </w:tr>
      <w:tr w:rsidR="00EF5694" w:rsidRPr="00387315" w14:paraId="23EED41A" w14:textId="161C773A" w:rsidTr="000D5546">
        <w:trPr>
          <w:gridAfter w:val="1"/>
          <w:wAfter w:w="8" w:type="dxa"/>
          <w:trHeight w:val="255"/>
        </w:trPr>
        <w:tc>
          <w:tcPr>
            <w:tcW w:w="501" w:type="dxa"/>
            <w:vMerge w:val="restart"/>
            <w:shd w:val="clear" w:color="auto" w:fill="E2EFD9" w:themeFill="accent6" w:themeFillTint="33"/>
            <w:noWrap/>
            <w:hideMark/>
          </w:tcPr>
          <w:p w14:paraId="5F08CD53" w14:textId="77777777" w:rsidR="00585F8B" w:rsidRPr="00C2120C" w:rsidRDefault="00585F8B" w:rsidP="00585F8B">
            <w:pPr>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2.1</w:t>
            </w:r>
          </w:p>
        </w:tc>
        <w:tc>
          <w:tcPr>
            <w:tcW w:w="1749" w:type="dxa"/>
            <w:vMerge w:val="restart"/>
            <w:shd w:val="clear" w:color="auto" w:fill="E2EFD9" w:themeFill="accent6" w:themeFillTint="33"/>
            <w:noWrap/>
            <w:hideMark/>
          </w:tcPr>
          <w:p w14:paraId="6FB9C310" w14:textId="77777777" w:rsidR="00585F8B" w:rsidRPr="00C2120C" w:rsidRDefault="00585F8B" w:rsidP="00585F8B">
            <w:pPr>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Modelo de gobernanza de la política regulatoria, implementada</w:t>
            </w:r>
          </w:p>
        </w:tc>
        <w:tc>
          <w:tcPr>
            <w:tcW w:w="990" w:type="dxa"/>
            <w:shd w:val="clear" w:color="auto" w:fill="auto"/>
            <w:noWrap/>
            <w:hideMark/>
          </w:tcPr>
          <w:p w14:paraId="447D3BD1" w14:textId="77777777" w:rsidR="00585F8B" w:rsidRPr="00C2120C" w:rsidRDefault="00585F8B" w:rsidP="00E61805">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Física</w:t>
            </w:r>
          </w:p>
        </w:tc>
        <w:tc>
          <w:tcPr>
            <w:tcW w:w="1260" w:type="dxa"/>
            <w:shd w:val="clear" w:color="auto" w:fill="auto"/>
            <w:noWrap/>
            <w:hideMark/>
          </w:tcPr>
          <w:p w14:paraId="136C9646" w14:textId="77777777" w:rsidR="00585F8B" w:rsidRPr="00C2120C" w:rsidRDefault="00585F8B" w:rsidP="00E61805">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Modelo</w:t>
            </w:r>
          </w:p>
        </w:tc>
        <w:tc>
          <w:tcPr>
            <w:tcW w:w="1080" w:type="dxa"/>
            <w:shd w:val="clear" w:color="auto" w:fill="auto"/>
            <w:noWrap/>
            <w:hideMark/>
          </w:tcPr>
          <w:p w14:paraId="47CDAAA2" w14:textId="610CAA30" w:rsidR="00585F8B" w:rsidRPr="00C2120C" w:rsidRDefault="00C57C2B" w:rsidP="00E61805">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990" w:type="dxa"/>
            <w:shd w:val="clear" w:color="auto" w:fill="auto"/>
            <w:noWrap/>
            <w:hideMark/>
          </w:tcPr>
          <w:p w14:paraId="3817F353" w14:textId="3DE9E900" w:rsidR="00585F8B" w:rsidRPr="00C2120C" w:rsidRDefault="00C57C2B" w:rsidP="00E61805">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auto"/>
            <w:noWrap/>
            <w:hideMark/>
          </w:tcPr>
          <w:p w14:paraId="09DE9544" w14:textId="519C7E9D" w:rsidR="00585F8B" w:rsidRPr="00C2120C" w:rsidRDefault="00C57C2B" w:rsidP="00E61805">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auto"/>
            <w:noWrap/>
            <w:hideMark/>
          </w:tcPr>
          <w:p w14:paraId="3B110A93" w14:textId="0808BC86" w:rsidR="00585F8B" w:rsidRPr="00C2120C" w:rsidRDefault="00C57C2B" w:rsidP="00E61805">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1</w:t>
            </w:r>
          </w:p>
        </w:tc>
        <w:tc>
          <w:tcPr>
            <w:tcW w:w="1080" w:type="dxa"/>
            <w:shd w:val="clear" w:color="auto" w:fill="auto"/>
            <w:noWrap/>
            <w:hideMark/>
          </w:tcPr>
          <w:p w14:paraId="17CF7E13" w14:textId="7BB23029" w:rsidR="00585F8B" w:rsidRPr="00C2120C" w:rsidRDefault="00C57C2B" w:rsidP="00E61805">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auto"/>
            <w:noWrap/>
            <w:hideMark/>
          </w:tcPr>
          <w:p w14:paraId="0E245C1F" w14:textId="025C4265" w:rsidR="00585F8B" w:rsidRPr="00C2120C" w:rsidRDefault="00585F8B" w:rsidP="00E61805">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1</w:t>
            </w:r>
          </w:p>
        </w:tc>
        <w:tc>
          <w:tcPr>
            <w:tcW w:w="4050" w:type="dxa"/>
            <w:gridSpan w:val="2"/>
          </w:tcPr>
          <w:p w14:paraId="5D16B13A" w14:textId="603D9422" w:rsidR="00585F8B" w:rsidRPr="00C2120C" w:rsidRDefault="009E0034" w:rsidP="00851785">
            <w:pPr>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Comprende actividades como: equipo técnico para el diseño e implementación del ciclo de gobernanza; asistencias técnicas de apoyo al diseño e implementación del ciclo de Gobernanza en institucionalidad, revisión y diseño de regulaciones, mecanismos de seguimiento y monitoreo, desarrollo de estrategia de política regulatoria; consultoría de acompañamiento para la implementación del ciclo de gobernanza; revisión de la  metodología para el Índice de Capacidad para la Gestión </w:t>
            </w:r>
            <w:r w:rsidRPr="00C2120C">
              <w:rPr>
                <w:rFonts w:ascii="Arial" w:eastAsia="Times New Roman" w:hAnsi="Arial" w:cs="Arial"/>
                <w:color w:val="000000"/>
                <w:sz w:val="18"/>
                <w:szCs w:val="18"/>
                <w:lang w:val="es-EC" w:eastAsia="es-EC"/>
              </w:rPr>
              <w:lastRenderedPageBreak/>
              <w:t>Regulatoria (ICR); asistencia técnica especializada en temas de mejora regulatoria</w:t>
            </w:r>
          </w:p>
        </w:tc>
      </w:tr>
      <w:tr w:rsidR="00E61805" w:rsidRPr="00A01772" w14:paraId="7422D7B4" w14:textId="4A99F103" w:rsidTr="000D5546">
        <w:trPr>
          <w:gridAfter w:val="1"/>
          <w:wAfter w:w="8" w:type="dxa"/>
          <w:trHeight w:val="255"/>
        </w:trPr>
        <w:tc>
          <w:tcPr>
            <w:tcW w:w="501" w:type="dxa"/>
            <w:vMerge/>
            <w:hideMark/>
          </w:tcPr>
          <w:p w14:paraId="1C4B9DD3" w14:textId="77777777" w:rsidR="00585F8B" w:rsidRPr="00C2120C" w:rsidRDefault="00585F8B" w:rsidP="00585F8B">
            <w:pPr>
              <w:spacing w:after="0" w:line="240" w:lineRule="auto"/>
              <w:rPr>
                <w:rFonts w:ascii="Arial" w:eastAsia="Times New Roman" w:hAnsi="Arial" w:cs="Arial"/>
                <w:color w:val="000000"/>
                <w:sz w:val="18"/>
                <w:szCs w:val="18"/>
                <w:lang w:val="es-EC" w:eastAsia="es-EC"/>
              </w:rPr>
            </w:pPr>
          </w:p>
        </w:tc>
        <w:tc>
          <w:tcPr>
            <w:tcW w:w="1749" w:type="dxa"/>
            <w:vMerge/>
            <w:hideMark/>
          </w:tcPr>
          <w:p w14:paraId="1BF259DB" w14:textId="77777777" w:rsidR="00585F8B" w:rsidRPr="00C2120C" w:rsidRDefault="00585F8B" w:rsidP="00585F8B">
            <w:pPr>
              <w:spacing w:after="0" w:line="240" w:lineRule="auto"/>
              <w:rPr>
                <w:rFonts w:ascii="Arial" w:eastAsia="Times New Roman" w:hAnsi="Arial" w:cs="Arial"/>
                <w:color w:val="000000"/>
                <w:sz w:val="18"/>
                <w:szCs w:val="18"/>
                <w:lang w:val="es-EC" w:eastAsia="es-EC"/>
              </w:rPr>
            </w:pPr>
          </w:p>
        </w:tc>
        <w:tc>
          <w:tcPr>
            <w:tcW w:w="990" w:type="dxa"/>
            <w:shd w:val="clear" w:color="auto" w:fill="E2EFD9" w:themeFill="accent6" w:themeFillTint="33"/>
            <w:noWrap/>
            <w:hideMark/>
          </w:tcPr>
          <w:p w14:paraId="3B6DF4DC" w14:textId="77777777" w:rsidR="00585F8B" w:rsidRPr="00C2120C" w:rsidRDefault="00585F8B" w:rsidP="00585F8B">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Financiera </w:t>
            </w:r>
          </w:p>
        </w:tc>
        <w:tc>
          <w:tcPr>
            <w:tcW w:w="1260" w:type="dxa"/>
            <w:shd w:val="clear" w:color="auto" w:fill="E2EFD9" w:themeFill="accent6" w:themeFillTint="33"/>
            <w:noWrap/>
            <w:hideMark/>
          </w:tcPr>
          <w:p w14:paraId="04576EA6" w14:textId="173F4DB6" w:rsidR="00585F8B" w:rsidRPr="00C2120C" w:rsidRDefault="00585F8B" w:rsidP="00585F8B">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US</w:t>
            </w:r>
            <w:r w:rsidR="009C76B0">
              <w:rPr>
                <w:rFonts w:ascii="Arial" w:eastAsia="Times New Roman" w:hAnsi="Arial" w:cs="Arial"/>
                <w:color w:val="000000"/>
                <w:sz w:val="18"/>
                <w:szCs w:val="18"/>
                <w:lang w:val="es-EC" w:eastAsia="es-EC"/>
              </w:rPr>
              <w:t>$</w:t>
            </w:r>
          </w:p>
        </w:tc>
        <w:tc>
          <w:tcPr>
            <w:tcW w:w="1080" w:type="dxa"/>
            <w:shd w:val="clear" w:color="auto" w:fill="E2EFD9" w:themeFill="accent6" w:themeFillTint="33"/>
            <w:noWrap/>
            <w:hideMark/>
          </w:tcPr>
          <w:p w14:paraId="293C77CD" w14:textId="7DEEA102" w:rsidR="00585F8B" w:rsidRPr="00C2120C" w:rsidRDefault="0052340A" w:rsidP="00585F8B">
            <w:pPr>
              <w:spacing w:after="0" w:line="240" w:lineRule="auto"/>
              <w:jc w:val="right"/>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r w:rsidR="00585F8B" w:rsidRPr="00C2120C">
              <w:rPr>
                <w:rFonts w:ascii="Arial" w:eastAsia="Times New Roman" w:hAnsi="Arial" w:cs="Arial"/>
                <w:color w:val="000000"/>
                <w:sz w:val="18"/>
                <w:szCs w:val="18"/>
                <w:lang w:val="es-EC" w:eastAsia="es-EC"/>
              </w:rPr>
              <w:t xml:space="preserve">    </w:t>
            </w:r>
          </w:p>
        </w:tc>
        <w:tc>
          <w:tcPr>
            <w:tcW w:w="990" w:type="dxa"/>
            <w:shd w:val="clear" w:color="auto" w:fill="E2EFD9" w:themeFill="accent6" w:themeFillTint="33"/>
            <w:noWrap/>
            <w:hideMark/>
          </w:tcPr>
          <w:p w14:paraId="0FCCAE5F" w14:textId="46A3BD57" w:rsidR="00585F8B" w:rsidRPr="00C2120C" w:rsidRDefault="0052340A" w:rsidP="00585F8B">
            <w:pPr>
              <w:spacing w:after="0" w:line="240" w:lineRule="auto"/>
              <w:jc w:val="right"/>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r w:rsidR="00585F8B" w:rsidRPr="00C2120C">
              <w:rPr>
                <w:rFonts w:ascii="Arial" w:eastAsia="Times New Roman" w:hAnsi="Arial" w:cs="Arial"/>
                <w:color w:val="000000"/>
                <w:sz w:val="18"/>
                <w:szCs w:val="18"/>
                <w:lang w:val="es-EC" w:eastAsia="es-EC"/>
              </w:rPr>
              <w:t xml:space="preserve">    </w:t>
            </w:r>
          </w:p>
        </w:tc>
        <w:tc>
          <w:tcPr>
            <w:tcW w:w="1080" w:type="dxa"/>
            <w:shd w:val="clear" w:color="auto" w:fill="E2EFD9" w:themeFill="accent6" w:themeFillTint="33"/>
            <w:noWrap/>
            <w:hideMark/>
          </w:tcPr>
          <w:p w14:paraId="3A4A1D26" w14:textId="12A396F0" w:rsidR="00585F8B" w:rsidRPr="00C2120C" w:rsidRDefault="0052340A" w:rsidP="00585F8B">
            <w:pPr>
              <w:spacing w:after="0" w:line="240" w:lineRule="auto"/>
              <w:jc w:val="right"/>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r w:rsidR="00585F8B" w:rsidRPr="00C2120C">
              <w:rPr>
                <w:rFonts w:ascii="Arial" w:eastAsia="Times New Roman" w:hAnsi="Arial" w:cs="Arial"/>
                <w:color w:val="000000"/>
                <w:sz w:val="18"/>
                <w:szCs w:val="18"/>
                <w:lang w:val="es-EC" w:eastAsia="es-EC"/>
              </w:rPr>
              <w:t xml:space="preserve">     </w:t>
            </w:r>
          </w:p>
        </w:tc>
        <w:tc>
          <w:tcPr>
            <w:tcW w:w="1080" w:type="dxa"/>
            <w:shd w:val="clear" w:color="auto" w:fill="E2EFD9" w:themeFill="accent6" w:themeFillTint="33"/>
            <w:noWrap/>
            <w:hideMark/>
          </w:tcPr>
          <w:p w14:paraId="484CFBD8" w14:textId="28E230FB" w:rsidR="00585F8B" w:rsidRPr="00C2120C" w:rsidRDefault="00D033A7" w:rsidP="00585F8B">
            <w:pPr>
              <w:spacing w:after="0" w:line="240" w:lineRule="auto"/>
              <w:jc w:val="right"/>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1.153.600</w:t>
            </w:r>
            <w:r w:rsidR="00585F8B" w:rsidRPr="00C2120C">
              <w:rPr>
                <w:rFonts w:ascii="Arial" w:eastAsia="Times New Roman" w:hAnsi="Arial" w:cs="Arial"/>
                <w:color w:val="000000"/>
                <w:sz w:val="18"/>
                <w:szCs w:val="18"/>
                <w:lang w:val="es-EC" w:eastAsia="es-EC"/>
              </w:rPr>
              <w:t xml:space="preserve"> </w:t>
            </w:r>
          </w:p>
        </w:tc>
        <w:tc>
          <w:tcPr>
            <w:tcW w:w="1080" w:type="dxa"/>
            <w:shd w:val="clear" w:color="auto" w:fill="E2EFD9" w:themeFill="accent6" w:themeFillTint="33"/>
            <w:noWrap/>
            <w:hideMark/>
          </w:tcPr>
          <w:p w14:paraId="4C665A6B" w14:textId="087DE514" w:rsidR="00585F8B" w:rsidRPr="00C2120C" w:rsidRDefault="00585F8B" w:rsidP="00585F8B">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w:t>
            </w:r>
            <w:r w:rsidR="0052340A">
              <w:rPr>
                <w:rFonts w:ascii="Arial" w:eastAsia="Times New Roman" w:hAnsi="Arial" w:cs="Arial"/>
                <w:color w:val="000000"/>
                <w:sz w:val="18"/>
                <w:szCs w:val="18"/>
                <w:lang w:val="es-EC" w:eastAsia="es-EC"/>
              </w:rPr>
              <w:t>0</w:t>
            </w:r>
            <w:r w:rsidR="0052340A" w:rsidRPr="00C2120C">
              <w:rPr>
                <w:rFonts w:ascii="Arial" w:eastAsia="Times New Roman" w:hAnsi="Arial" w:cs="Arial"/>
                <w:color w:val="000000"/>
                <w:sz w:val="18"/>
                <w:szCs w:val="18"/>
                <w:lang w:val="es-EC" w:eastAsia="es-EC"/>
              </w:rPr>
              <w:t xml:space="preserve">  </w:t>
            </w:r>
          </w:p>
        </w:tc>
        <w:tc>
          <w:tcPr>
            <w:tcW w:w="1080" w:type="dxa"/>
            <w:shd w:val="clear" w:color="auto" w:fill="E2EFD9" w:themeFill="accent6" w:themeFillTint="33"/>
            <w:noWrap/>
            <w:hideMark/>
          </w:tcPr>
          <w:p w14:paraId="0DA7A99E" w14:textId="567B2E39" w:rsidR="00585F8B" w:rsidRPr="00C2120C" w:rsidRDefault="00585F8B" w:rsidP="00585F8B">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1.153.600 </w:t>
            </w:r>
          </w:p>
        </w:tc>
        <w:tc>
          <w:tcPr>
            <w:tcW w:w="4050" w:type="dxa"/>
            <w:gridSpan w:val="2"/>
            <w:shd w:val="clear" w:color="auto" w:fill="E2EFD9" w:themeFill="accent6" w:themeFillTint="33"/>
          </w:tcPr>
          <w:p w14:paraId="0EBFCBFF" w14:textId="07A7379B" w:rsidR="00585F8B" w:rsidRPr="00C2120C" w:rsidRDefault="00585F8B" w:rsidP="00585F8B">
            <w:pPr>
              <w:spacing w:after="0" w:line="240" w:lineRule="auto"/>
              <w:jc w:val="right"/>
              <w:rPr>
                <w:rFonts w:ascii="Arial" w:eastAsia="Times New Roman" w:hAnsi="Arial" w:cs="Arial"/>
                <w:color w:val="000000"/>
                <w:sz w:val="18"/>
                <w:szCs w:val="18"/>
                <w:lang w:val="es-EC" w:eastAsia="es-EC"/>
              </w:rPr>
            </w:pPr>
          </w:p>
        </w:tc>
      </w:tr>
      <w:tr w:rsidR="00E61805" w:rsidRPr="00387315" w14:paraId="298788C7" w14:textId="6F01A92F" w:rsidTr="000D5546">
        <w:trPr>
          <w:gridAfter w:val="1"/>
          <w:wAfter w:w="8" w:type="dxa"/>
          <w:trHeight w:val="255"/>
        </w:trPr>
        <w:tc>
          <w:tcPr>
            <w:tcW w:w="501" w:type="dxa"/>
            <w:vMerge w:val="restart"/>
            <w:shd w:val="clear" w:color="auto" w:fill="E2EFD9" w:themeFill="accent6" w:themeFillTint="33"/>
            <w:noWrap/>
            <w:hideMark/>
          </w:tcPr>
          <w:p w14:paraId="77BA1544" w14:textId="77777777" w:rsidR="009E0034" w:rsidRPr="00C2120C" w:rsidRDefault="009E0034" w:rsidP="009E0034">
            <w:pPr>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2.2</w:t>
            </w:r>
          </w:p>
        </w:tc>
        <w:tc>
          <w:tcPr>
            <w:tcW w:w="1749" w:type="dxa"/>
            <w:vMerge w:val="restart"/>
            <w:shd w:val="clear" w:color="auto" w:fill="E2EFD9" w:themeFill="accent6" w:themeFillTint="33"/>
            <w:noWrap/>
            <w:hideMark/>
          </w:tcPr>
          <w:p w14:paraId="38CEBBBA" w14:textId="77777777" w:rsidR="009E0034" w:rsidRPr="00C2120C" w:rsidRDefault="009E0034" w:rsidP="009E0034">
            <w:pPr>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Modelo de gestión del flujo de regulaciones, implementado</w:t>
            </w:r>
          </w:p>
        </w:tc>
        <w:tc>
          <w:tcPr>
            <w:tcW w:w="990" w:type="dxa"/>
            <w:shd w:val="clear" w:color="auto" w:fill="auto"/>
            <w:noWrap/>
            <w:hideMark/>
          </w:tcPr>
          <w:p w14:paraId="6E04A94E" w14:textId="77777777" w:rsidR="009E0034" w:rsidRPr="00C2120C" w:rsidRDefault="009E0034" w:rsidP="009E0034">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Física</w:t>
            </w:r>
          </w:p>
        </w:tc>
        <w:tc>
          <w:tcPr>
            <w:tcW w:w="1260" w:type="dxa"/>
            <w:shd w:val="clear" w:color="auto" w:fill="auto"/>
            <w:noWrap/>
            <w:hideMark/>
          </w:tcPr>
          <w:p w14:paraId="43E01444" w14:textId="77777777" w:rsidR="009E0034" w:rsidRPr="00C2120C" w:rsidRDefault="009E0034" w:rsidP="009E0034">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Modelo</w:t>
            </w:r>
          </w:p>
        </w:tc>
        <w:tc>
          <w:tcPr>
            <w:tcW w:w="1080" w:type="dxa"/>
            <w:shd w:val="clear" w:color="auto" w:fill="auto"/>
            <w:noWrap/>
            <w:hideMark/>
          </w:tcPr>
          <w:p w14:paraId="06764328" w14:textId="60C9E636" w:rsidR="009E0034" w:rsidRPr="00C2120C" w:rsidRDefault="009E0034" w:rsidP="009E0034">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w:t>
            </w:r>
            <w:r w:rsidR="0052340A">
              <w:rPr>
                <w:rFonts w:ascii="Arial" w:eastAsia="Times New Roman" w:hAnsi="Arial" w:cs="Arial"/>
                <w:color w:val="000000"/>
                <w:sz w:val="18"/>
                <w:szCs w:val="18"/>
                <w:lang w:val="es-EC" w:eastAsia="es-EC"/>
              </w:rPr>
              <w:t>0</w:t>
            </w:r>
            <w:r w:rsidR="0052340A" w:rsidRPr="00C2120C">
              <w:rPr>
                <w:rFonts w:ascii="Arial" w:eastAsia="Times New Roman" w:hAnsi="Arial" w:cs="Arial"/>
                <w:color w:val="000000"/>
                <w:sz w:val="18"/>
                <w:szCs w:val="18"/>
                <w:lang w:val="es-EC" w:eastAsia="es-EC"/>
              </w:rPr>
              <w:t xml:space="preserve">  </w:t>
            </w:r>
          </w:p>
        </w:tc>
        <w:tc>
          <w:tcPr>
            <w:tcW w:w="990" w:type="dxa"/>
            <w:shd w:val="clear" w:color="auto" w:fill="auto"/>
            <w:noWrap/>
            <w:hideMark/>
          </w:tcPr>
          <w:p w14:paraId="01FB0FD4" w14:textId="099091B0" w:rsidR="009E0034" w:rsidRPr="00C2120C" w:rsidRDefault="009E0034" w:rsidP="009E0034">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1 </w:t>
            </w:r>
          </w:p>
        </w:tc>
        <w:tc>
          <w:tcPr>
            <w:tcW w:w="1080" w:type="dxa"/>
            <w:shd w:val="clear" w:color="auto" w:fill="auto"/>
            <w:noWrap/>
            <w:hideMark/>
          </w:tcPr>
          <w:p w14:paraId="179AF7A2" w14:textId="3C919D6E" w:rsidR="009E0034" w:rsidRPr="00C2120C" w:rsidRDefault="0052340A" w:rsidP="009E0034">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r w:rsidR="009E0034" w:rsidRPr="00C2120C">
              <w:rPr>
                <w:rFonts w:ascii="Arial" w:eastAsia="Times New Roman" w:hAnsi="Arial" w:cs="Arial"/>
                <w:color w:val="000000"/>
                <w:sz w:val="18"/>
                <w:szCs w:val="18"/>
                <w:lang w:val="es-EC" w:eastAsia="es-EC"/>
              </w:rPr>
              <w:t xml:space="preserve">   </w:t>
            </w:r>
          </w:p>
        </w:tc>
        <w:tc>
          <w:tcPr>
            <w:tcW w:w="1080" w:type="dxa"/>
            <w:shd w:val="clear" w:color="auto" w:fill="auto"/>
            <w:noWrap/>
            <w:hideMark/>
          </w:tcPr>
          <w:p w14:paraId="2F1ABD80" w14:textId="39514972" w:rsidR="009E0034" w:rsidRPr="00C2120C" w:rsidRDefault="0052340A" w:rsidP="009E0034">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r w:rsidR="009E0034" w:rsidRPr="00C2120C">
              <w:rPr>
                <w:rFonts w:ascii="Arial" w:eastAsia="Times New Roman" w:hAnsi="Arial" w:cs="Arial"/>
                <w:color w:val="000000"/>
                <w:sz w:val="18"/>
                <w:szCs w:val="18"/>
                <w:lang w:val="es-EC" w:eastAsia="es-EC"/>
              </w:rPr>
              <w:t xml:space="preserve">   </w:t>
            </w:r>
          </w:p>
        </w:tc>
        <w:tc>
          <w:tcPr>
            <w:tcW w:w="1080" w:type="dxa"/>
            <w:shd w:val="clear" w:color="auto" w:fill="auto"/>
            <w:noWrap/>
            <w:hideMark/>
          </w:tcPr>
          <w:p w14:paraId="2FE49218" w14:textId="7E7B7500" w:rsidR="009E0034" w:rsidRPr="00C2120C" w:rsidRDefault="009E0034" w:rsidP="009E0034">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w:t>
            </w:r>
            <w:r w:rsidR="0052340A">
              <w:rPr>
                <w:rFonts w:ascii="Arial" w:eastAsia="Times New Roman" w:hAnsi="Arial" w:cs="Arial"/>
                <w:color w:val="000000"/>
                <w:sz w:val="18"/>
                <w:szCs w:val="18"/>
                <w:lang w:val="es-EC" w:eastAsia="es-EC"/>
              </w:rPr>
              <w:t>0</w:t>
            </w:r>
            <w:r w:rsidR="0052340A" w:rsidRPr="00C2120C">
              <w:rPr>
                <w:rFonts w:ascii="Arial" w:eastAsia="Times New Roman" w:hAnsi="Arial" w:cs="Arial"/>
                <w:color w:val="000000"/>
                <w:sz w:val="18"/>
                <w:szCs w:val="18"/>
                <w:lang w:val="es-EC" w:eastAsia="es-EC"/>
              </w:rPr>
              <w:t xml:space="preserve"> </w:t>
            </w:r>
          </w:p>
        </w:tc>
        <w:tc>
          <w:tcPr>
            <w:tcW w:w="1080" w:type="dxa"/>
            <w:shd w:val="clear" w:color="auto" w:fill="auto"/>
            <w:noWrap/>
            <w:hideMark/>
          </w:tcPr>
          <w:p w14:paraId="6EC57E34" w14:textId="46A5BEF1" w:rsidR="009E0034" w:rsidRPr="00C2120C" w:rsidRDefault="009E0034" w:rsidP="009E0034">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1 </w:t>
            </w:r>
          </w:p>
        </w:tc>
        <w:tc>
          <w:tcPr>
            <w:tcW w:w="4050" w:type="dxa"/>
            <w:gridSpan w:val="2"/>
          </w:tcPr>
          <w:p w14:paraId="2DC46F14" w14:textId="67623869" w:rsidR="009E0034" w:rsidRPr="00C2120C" w:rsidRDefault="009E0034" w:rsidP="00851785">
            <w:pPr>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Comprende actividades como: desarrollo de una metodología de análisis de impacto regulatorio para el Ecuador, aplicada en casos seleccionados; diseño del proceso y marco normativo para la consulta pública y capacitación; portal interactivo de consulta pública para regulaciones; agendas regulatorias (metodología para la elaboración de las agendas regulatorias, implementación de pilotos (generación de  </w:t>
            </w:r>
            <w:r w:rsidR="00702EF1">
              <w:rPr>
                <w:rFonts w:ascii="Arial" w:eastAsia="Times New Roman" w:hAnsi="Arial" w:cs="Arial"/>
                <w:color w:val="000000"/>
                <w:sz w:val="18"/>
                <w:szCs w:val="18"/>
                <w:lang w:val="es-EC" w:eastAsia="es-EC"/>
              </w:rPr>
              <w:t>MERO</w:t>
            </w:r>
            <w:r w:rsidRPr="00C2120C">
              <w:rPr>
                <w:rFonts w:ascii="Arial" w:eastAsia="Times New Roman" w:hAnsi="Arial" w:cs="Arial"/>
                <w:color w:val="000000"/>
                <w:sz w:val="18"/>
                <w:szCs w:val="18"/>
                <w:lang w:val="es-EC" w:eastAsia="es-EC"/>
              </w:rPr>
              <w:t>, socialización de metodología y  procesamiento de información); agendas regulatorias resultado de  pilotos aplicados</w:t>
            </w:r>
          </w:p>
        </w:tc>
      </w:tr>
      <w:tr w:rsidR="00E61805" w:rsidRPr="00A01772" w14:paraId="0552C8D3" w14:textId="63E6279B" w:rsidTr="000D5546">
        <w:trPr>
          <w:gridAfter w:val="1"/>
          <w:wAfter w:w="8" w:type="dxa"/>
          <w:trHeight w:val="255"/>
        </w:trPr>
        <w:tc>
          <w:tcPr>
            <w:tcW w:w="501" w:type="dxa"/>
            <w:vMerge/>
            <w:hideMark/>
          </w:tcPr>
          <w:p w14:paraId="4F9705BF" w14:textId="77777777" w:rsidR="009E0034" w:rsidRPr="00C2120C" w:rsidRDefault="009E0034" w:rsidP="009E0034">
            <w:pPr>
              <w:spacing w:after="0" w:line="240" w:lineRule="auto"/>
              <w:rPr>
                <w:rFonts w:ascii="Arial" w:eastAsia="Times New Roman" w:hAnsi="Arial" w:cs="Arial"/>
                <w:color w:val="000000"/>
                <w:sz w:val="18"/>
                <w:szCs w:val="18"/>
                <w:lang w:val="es-EC" w:eastAsia="es-EC"/>
              </w:rPr>
            </w:pPr>
          </w:p>
        </w:tc>
        <w:tc>
          <w:tcPr>
            <w:tcW w:w="1749" w:type="dxa"/>
            <w:vMerge/>
            <w:hideMark/>
          </w:tcPr>
          <w:p w14:paraId="6FC446DA" w14:textId="77777777" w:rsidR="009E0034" w:rsidRPr="00C2120C" w:rsidRDefault="009E0034" w:rsidP="009E0034">
            <w:pPr>
              <w:spacing w:after="0" w:line="240" w:lineRule="auto"/>
              <w:rPr>
                <w:rFonts w:ascii="Arial" w:eastAsia="Times New Roman" w:hAnsi="Arial" w:cs="Arial"/>
                <w:color w:val="000000"/>
                <w:sz w:val="18"/>
                <w:szCs w:val="18"/>
                <w:lang w:val="es-EC" w:eastAsia="es-EC"/>
              </w:rPr>
            </w:pPr>
          </w:p>
        </w:tc>
        <w:tc>
          <w:tcPr>
            <w:tcW w:w="990" w:type="dxa"/>
            <w:shd w:val="clear" w:color="auto" w:fill="E2EFD9" w:themeFill="accent6" w:themeFillTint="33"/>
            <w:noWrap/>
            <w:vAlign w:val="center"/>
            <w:hideMark/>
          </w:tcPr>
          <w:p w14:paraId="57DF0A90" w14:textId="77777777" w:rsidR="009E0034" w:rsidRPr="00C2120C" w:rsidRDefault="009E0034" w:rsidP="009E0034">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Financiera </w:t>
            </w:r>
          </w:p>
        </w:tc>
        <w:tc>
          <w:tcPr>
            <w:tcW w:w="1260" w:type="dxa"/>
            <w:shd w:val="clear" w:color="auto" w:fill="E2EFD9" w:themeFill="accent6" w:themeFillTint="33"/>
            <w:noWrap/>
            <w:vAlign w:val="center"/>
            <w:hideMark/>
          </w:tcPr>
          <w:p w14:paraId="22A50969" w14:textId="79C5A96C" w:rsidR="009E0034" w:rsidRPr="00C2120C" w:rsidRDefault="009E0034" w:rsidP="009E0034">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US</w:t>
            </w:r>
            <w:r w:rsidR="009C76B0">
              <w:rPr>
                <w:rFonts w:ascii="Arial" w:eastAsia="Times New Roman" w:hAnsi="Arial" w:cs="Arial"/>
                <w:color w:val="000000"/>
                <w:sz w:val="18"/>
                <w:szCs w:val="18"/>
                <w:lang w:val="es-EC" w:eastAsia="es-EC"/>
              </w:rPr>
              <w:t>$</w:t>
            </w:r>
          </w:p>
        </w:tc>
        <w:tc>
          <w:tcPr>
            <w:tcW w:w="1080" w:type="dxa"/>
            <w:shd w:val="clear" w:color="auto" w:fill="E2EFD9" w:themeFill="accent6" w:themeFillTint="33"/>
            <w:noWrap/>
            <w:vAlign w:val="center"/>
            <w:hideMark/>
          </w:tcPr>
          <w:p w14:paraId="3066C57B" w14:textId="614471FD" w:rsidR="009E0034" w:rsidRPr="00C2120C" w:rsidRDefault="0052340A" w:rsidP="009E0034">
            <w:pPr>
              <w:spacing w:after="0" w:line="240" w:lineRule="auto"/>
              <w:jc w:val="right"/>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r w:rsidR="009E0034" w:rsidRPr="00C2120C">
              <w:rPr>
                <w:rFonts w:ascii="Arial" w:eastAsia="Times New Roman" w:hAnsi="Arial" w:cs="Arial"/>
                <w:color w:val="000000"/>
                <w:sz w:val="18"/>
                <w:szCs w:val="18"/>
                <w:lang w:val="es-EC" w:eastAsia="es-EC"/>
              </w:rPr>
              <w:t xml:space="preserve">    </w:t>
            </w:r>
          </w:p>
        </w:tc>
        <w:tc>
          <w:tcPr>
            <w:tcW w:w="990" w:type="dxa"/>
            <w:shd w:val="clear" w:color="auto" w:fill="E2EFD9" w:themeFill="accent6" w:themeFillTint="33"/>
            <w:noWrap/>
            <w:vAlign w:val="center"/>
            <w:hideMark/>
          </w:tcPr>
          <w:p w14:paraId="71B2CC55" w14:textId="33DB1D17" w:rsidR="009E0034" w:rsidRPr="00C2120C" w:rsidRDefault="00BF13BB" w:rsidP="009E0034">
            <w:pPr>
              <w:spacing w:after="0" w:line="240" w:lineRule="auto"/>
              <w:jc w:val="right"/>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1</w:t>
            </w:r>
            <w:r w:rsidR="00035143">
              <w:rPr>
                <w:rFonts w:ascii="Arial" w:eastAsia="Times New Roman" w:hAnsi="Arial" w:cs="Arial"/>
                <w:color w:val="000000"/>
                <w:sz w:val="18"/>
                <w:szCs w:val="18"/>
                <w:lang w:val="es-EC" w:eastAsia="es-EC"/>
              </w:rPr>
              <w:t>.086.400</w:t>
            </w:r>
            <w:r w:rsidR="009E0034" w:rsidRPr="00C2120C">
              <w:rPr>
                <w:rFonts w:ascii="Arial" w:eastAsia="Times New Roman" w:hAnsi="Arial" w:cs="Arial"/>
                <w:color w:val="000000"/>
                <w:sz w:val="18"/>
                <w:szCs w:val="18"/>
                <w:lang w:val="es-EC" w:eastAsia="es-EC"/>
              </w:rPr>
              <w:t xml:space="preserve"> </w:t>
            </w:r>
          </w:p>
        </w:tc>
        <w:tc>
          <w:tcPr>
            <w:tcW w:w="1080" w:type="dxa"/>
            <w:shd w:val="clear" w:color="auto" w:fill="E2EFD9" w:themeFill="accent6" w:themeFillTint="33"/>
            <w:noWrap/>
            <w:vAlign w:val="center"/>
            <w:hideMark/>
          </w:tcPr>
          <w:p w14:paraId="7355D21C" w14:textId="3FF76AE6" w:rsidR="009E0034" w:rsidRPr="00C2120C" w:rsidRDefault="009E0034" w:rsidP="009E0034">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w:t>
            </w:r>
            <w:r w:rsidR="0052340A">
              <w:rPr>
                <w:rFonts w:ascii="Arial" w:eastAsia="Times New Roman" w:hAnsi="Arial" w:cs="Arial"/>
                <w:color w:val="000000"/>
                <w:sz w:val="18"/>
                <w:szCs w:val="18"/>
                <w:lang w:val="es-EC" w:eastAsia="es-EC"/>
              </w:rPr>
              <w:t>0</w:t>
            </w:r>
            <w:r w:rsidR="0052340A" w:rsidRPr="00C2120C">
              <w:rPr>
                <w:rFonts w:ascii="Arial" w:eastAsia="Times New Roman" w:hAnsi="Arial" w:cs="Arial"/>
                <w:color w:val="000000"/>
                <w:sz w:val="18"/>
                <w:szCs w:val="18"/>
                <w:lang w:val="es-EC" w:eastAsia="es-EC"/>
              </w:rPr>
              <w:t xml:space="preserve">   </w:t>
            </w:r>
          </w:p>
        </w:tc>
        <w:tc>
          <w:tcPr>
            <w:tcW w:w="1080" w:type="dxa"/>
            <w:shd w:val="clear" w:color="auto" w:fill="E2EFD9" w:themeFill="accent6" w:themeFillTint="33"/>
            <w:noWrap/>
            <w:vAlign w:val="center"/>
            <w:hideMark/>
          </w:tcPr>
          <w:p w14:paraId="3E6A787A" w14:textId="11CCC875" w:rsidR="009E0034" w:rsidRPr="00C2120C" w:rsidRDefault="009E0034" w:rsidP="009E0034">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w:t>
            </w:r>
            <w:r w:rsidR="0052340A">
              <w:rPr>
                <w:rFonts w:ascii="Arial" w:eastAsia="Times New Roman" w:hAnsi="Arial" w:cs="Arial"/>
                <w:color w:val="000000"/>
                <w:sz w:val="18"/>
                <w:szCs w:val="18"/>
                <w:lang w:val="es-EC" w:eastAsia="es-EC"/>
              </w:rPr>
              <w:t>0</w:t>
            </w:r>
            <w:r w:rsidR="0052340A" w:rsidRPr="00C2120C">
              <w:rPr>
                <w:rFonts w:ascii="Arial" w:eastAsia="Times New Roman" w:hAnsi="Arial" w:cs="Arial"/>
                <w:color w:val="000000"/>
                <w:sz w:val="18"/>
                <w:szCs w:val="18"/>
                <w:lang w:val="es-EC" w:eastAsia="es-EC"/>
              </w:rPr>
              <w:t xml:space="preserve">  </w:t>
            </w:r>
          </w:p>
        </w:tc>
        <w:tc>
          <w:tcPr>
            <w:tcW w:w="1080" w:type="dxa"/>
            <w:shd w:val="clear" w:color="auto" w:fill="E2EFD9" w:themeFill="accent6" w:themeFillTint="33"/>
            <w:noWrap/>
            <w:vAlign w:val="center"/>
            <w:hideMark/>
          </w:tcPr>
          <w:p w14:paraId="159CC75A" w14:textId="7832EE3E" w:rsidR="009E0034" w:rsidRPr="00C2120C" w:rsidRDefault="009E0034" w:rsidP="009E0034">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w:t>
            </w:r>
            <w:r w:rsidR="0052340A">
              <w:rPr>
                <w:rFonts w:ascii="Arial" w:eastAsia="Times New Roman" w:hAnsi="Arial" w:cs="Arial"/>
                <w:color w:val="000000"/>
                <w:sz w:val="18"/>
                <w:szCs w:val="18"/>
                <w:lang w:val="es-EC" w:eastAsia="es-EC"/>
              </w:rPr>
              <w:t>0</w:t>
            </w:r>
            <w:r w:rsidRPr="00C2120C">
              <w:rPr>
                <w:rFonts w:ascii="Arial" w:eastAsia="Times New Roman" w:hAnsi="Arial" w:cs="Arial"/>
                <w:color w:val="000000"/>
                <w:sz w:val="18"/>
                <w:szCs w:val="18"/>
                <w:lang w:val="es-EC" w:eastAsia="es-EC"/>
              </w:rPr>
              <w:t xml:space="preserve">   </w:t>
            </w:r>
          </w:p>
        </w:tc>
        <w:tc>
          <w:tcPr>
            <w:tcW w:w="1080" w:type="dxa"/>
            <w:shd w:val="clear" w:color="auto" w:fill="E2EFD9" w:themeFill="accent6" w:themeFillTint="33"/>
            <w:noWrap/>
            <w:vAlign w:val="center"/>
            <w:hideMark/>
          </w:tcPr>
          <w:p w14:paraId="3A9871CE" w14:textId="02FDDE11" w:rsidR="009E0034" w:rsidRPr="00C2120C" w:rsidRDefault="009E0034" w:rsidP="009E0034">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1.086.400 </w:t>
            </w:r>
          </w:p>
        </w:tc>
        <w:tc>
          <w:tcPr>
            <w:tcW w:w="4050" w:type="dxa"/>
            <w:gridSpan w:val="2"/>
            <w:shd w:val="clear" w:color="auto" w:fill="E2EFD9" w:themeFill="accent6" w:themeFillTint="33"/>
          </w:tcPr>
          <w:p w14:paraId="0F8A613E" w14:textId="77777777" w:rsidR="009E0034" w:rsidRPr="00C2120C" w:rsidRDefault="009E0034" w:rsidP="00851785">
            <w:pPr>
              <w:spacing w:after="0" w:line="240" w:lineRule="auto"/>
              <w:rPr>
                <w:rFonts w:ascii="Arial" w:eastAsia="Times New Roman" w:hAnsi="Arial" w:cs="Arial"/>
                <w:color w:val="000000"/>
                <w:sz w:val="18"/>
                <w:szCs w:val="18"/>
                <w:lang w:val="es-EC" w:eastAsia="es-EC"/>
              </w:rPr>
            </w:pPr>
          </w:p>
        </w:tc>
      </w:tr>
      <w:tr w:rsidR="0043620F" w:rsidRPr="00A01772" w14:paraId="596643AE" w14:textId="4AC14BA2" w:rsidTr="000D5546">
        <w:trPr>
          <w:gridAfter w:val="1"/>
          <w:wAfter w:w="8" w:type="dxa"/>
          <w:trHeight w:val="255"/>
        </w:trPr>
        <w:tc>
          <w:tcPr>
            <w:tcW w:w="501" w:type="dxa"/>
            <w:vMerge w:val="restart"/>
            <w:shd w:val="clear" w:color="auto" w:fill="E2EFD9" w:themeFill="accent6" w:themeFillTint="33"/>
            <w:noWrap/>
            <w:hideMark/>
          </w:tcPr>
          <w:p w14:paraId="53EF0A16"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2.3</w:t>
            </w:r>
          </w:p>
        </w:tc>
        <w:tc>
          <w:tcPr>
            <w:tcW w:w="1749" w:type="dxa"/>
            <w:vMerge w:val="restart"/>
            <w:shd w:val="clear" w:color="auto" w:fill="E2EFD9" w:themeFill="accent6" w:themeFillTint="33"/>
            <w:noWrap/>
            <w:hideMark/>
          </w:tcPr>
          <w:p w14:paraId="1462DA1E"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Evaluación ex post del stock regulatorio en 4 sectores priorizados, realizada </w:t>
            </w:r>
          </w:p>
        </w:tc>
        <w:tc>
          <w:tcPr>
            <w:tcW w:w="990" w:type="dxa"/>
            <w:shd w:val="clear" w:color="auto" w:fill="auto"/>
            <w:noWrap/>
            <w:vAlign w:val="center"/>
            <w:hideMark/>
          </w:tcPr>
          <w:p w14:paraId="2F56687F" w14:textId="77777777"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Física</w:t>
            </w:r>
          </w:p>
        </w:tc>
        <w:tc>
          <w:tcPr>
            <w:tcW w:w="1260" w:type="dxa"/>
            <w:shd w:val="clear" w:color="auto" w:fill="auto"/>
            <w:noWrap/>
            <w:vAlign w:val="center"/>
            <w:hideMark/>
          </w:tcPr>
          <w:p w14:paraId="20F3A170" w14:textId="77777777"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Evaluaciones</w:t>
            </w:r>
          </w:p>
        </w:tc>
        <w:tc>
          <w:tcPr>
            <w:tcW w:w="1080" w:type="dxa"/>
            <w:shd w:val="clear" w:color="auto" w:fill="auto"/>
            <w:noWrap/>
            <w:hideMark/>
          </w:tcPr>
          <w:p w14:paraId="3D84FC3C" w14:textId="72D2B9DA"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1 </w:t>
            </w:r>
          </w:p>
        </w:tc>
        <w:tc>
          <w:tcPr>
            <w:tcW w:w="990" w:type="dxa"/>
            <w:shd w:val="clear" w:color="auto" w:fill="auto"/>
            <w:noWrap/>
          </w:tcPr>
          <w:p w14:paraId="31CD6CA1" w14:textId="1930C6B3"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auto"/>
            <w:noWrap/>
            <w:hideMark/>
          </w:tcPr>
          <w:p w14:paraId="30CD265E" w14:textId="4B0D870B"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w:t>
            </w:r>
            <w:r>
              <w:rPr>
                <w:rFonts w:ascii="Arial" w:eastAsia="Times New Roman" w:hAnsi="Arial" w:cs="Arial"/>
                <w:color w:val="000000"/>
                <w:sz w:val="18"/>
                <w:szCs w:val="18"/>
                <w:lang w:val="es-EC" w:eastAsia="es-EC"/>
              </w:rPr>
              <w:t>0</w:t>
            </w:r>
            <w:r w:rsidRPr="00C2120C">
              <w:rPr>
                <w:rFonts w:ascii="Arial" w:eastAsia="Times New Roman" w:hAnsi="Arial" w:cs="Arial"/>
                <w:color w:val="000000"/>
                <w:sz w:val="18"/>
                <w:szCs w:val="18"/>
                <w:lang w:val="es-EC" w:eastAsia="es-EC"/>
              </w:rPr>
              <w:t xml:space="preserve">   </w:t>
            </w:r>
          </w:p>
        </w:tc>
        <w:tc>
          <w:tcPr>
            <w:tcW w:w="1080" w:type="dxa"/>
            <w:shd w:val="clear" w:color="auto" w:fill="auto"/>
            <w:noWrap/>
            <w:hideMark/>
          </w:tcPr>
          <w:p w14:paraId="4945C1BC" w14:textId="61029327"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w:t>
            </w:r>
            <w:r>
              <w:rPr>
                <w:rFonts w:ascii="Arial" w:eastAsia="Times New Roman" w:hAnsi="Arial" w:cs="Arial"/>
                <w:color w:val="000000"/>
                <w:sz w:val="18"/>
                <w:szCs w:val="18"/>
                <w:lang w:val="es-EC" w:eastAsia="es-EC"/>
              </w:rPr>
              <w:t>0</w:t>
            </w:r>
            <w:r w:rsidRPr="00C2120C">
              <w:rPr>
                <w:rFonts w:ascii="Arial" w:eastAsia="Times New Roman" w:hAnsi="Arial" w:cs="Arial"/>
                <w:color w:val="000000"/>
                <w:sz w:val="18"/>
                <w:szCs w:val="18"/>
                <w:lang w:val="es-EC" w:eastAsia="es-EC"/>
              </w:rPr>
              <w:t xml:space="preserve">   </w:t>
            </w:r>
          </w:p>
        </w:tc>
        <w:tc>
          <w:tcPr>
            <w:tcW w:w="1080" w:type="dxa"/>
            <w:shd w:val="clear" w:color="auto" w:fill="auto"/>
            <w:noWrap/>
            <w:hideMark/>
          </w:tcPr>
          <w:p w14:paraId="14261E1E" w14:textId="3AD4170F"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w:t>
            </w:r>
            <w:r>
              <w:rPr>
                <w:rFonts w:ascii="Arial" w:eastAsia="Times New Roman" w:hAnsi="Arial" w:cs="Arial"/>
                <w:color w:val="000000"/>
                <w:sz w:val="18"/>
                <w:szCs w:val="18"/>
                <w:lang w:val="es-EC" w:eastAsia="es-EC"/>
              </w:rPr>
              <w:t>0</w:t>
            </w:r>
            <w:r w:rsidRPr="00C2120C">
              <w:rPr>
                <w:rFonts w:ascii="Arial" w:eastAsia="Times New Roman" w:hAnsi="Arial" w:cs="Arial"/>
                <w:color w:val="000000"/>
                <w:sz w:val="18"/>
                <w:szCs w:val="18"/>
                <w:lang w:val="es-EC" w:eastAsia="es-EC"/>
              </w:rPr>
              <w:t xml:space="preserve">   </w:t>
            </w:r>
          </w:p>
        </w:tc>
        <w:tc>
          <w:tcPr>
            <w:tcW w:w="1080" w:type="dxa"/>
            <w:shd w:val="clear" w:color="auto" w:fill="auto"/>
            <w:noWrap/>
            <w:hideMark/>
          </w:tcPr>
          <w:p w14:paraId="155E300E" w14:textId="0F662D62"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1 </w:t>
            </w:r>
          </w:p>
        </w:tc>
        <w:tc>
          <w:tcPr>
            <w:tcW w:w="4050" w:type="dxa"/>
            <w:gridSpan w:val="2"/>
          </w:tcPr>
          <w:p w14:paraId="747F63F5" w14:textId="77777777"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p>
        </w:tc>
      </w:tr>
      <w:tr w:rsidR="0043620F" w:rsidRPr="00A01772" w14:paraId="49A927FD" w14:textId="562AB39A" w:rsidTr="000D5546">
        <w:trPr>
          <w:gridAfter w:val="1"/>
          <w:wAfter w:w="8" w:type="dxa"/>
          <w:trHeight w:val="255"/>
        </w:trPr>
        <w:tc>
          <w:tcPr>
            <w:tcW w:w="501" w:type="dxa"/>
            <w:vMerge/>
            <w:hideMark/>
          </w:tcPr>
          <w:p w14:paraId="433F45B3"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p>
        </w:tc>
        <w:tc>
          <w:tcPr>
            <w:tcW w:w="1749" w:type="dxa"/>
            <w:vMerge/>
            <w:hideMark/>
          </w:tcPr>
          <w:p w14:paraId="6D61B58C"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p>
        </w:tc>
        <w:tc>
          <w:tcPr>
            <w:tcW w:w="990" w:type="dxa"/>
            <w:shd w:val="clear" w:color="auto" w:fill="E2EFD9" w:themeFill="accent6" w:themeFillTint="33"/>
            <w:noWrap/>
            <w:hideMark/>
          </w:tcPr>
          <w:p w14:paraId="587EADAD" w14:textId="77777777"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Financiera </w:t>
            </w:r>
          </w:p>
        </w:tc>
        <w:tc>
          <w:tcPr>
            <w:tcW w:w="1260" w:type="dxa"/>
            <w:shd w:val="clear" w:color="auto" w:fill="E2EFD9" w:themeFill="accent6" w:themeFillTint="33"/>
            <w:noWrap/>
            <w:hideMark/>
          </w:tcPr>
          <w:p w14:paraId="0ED99C65" w14:textId="698BCB29"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US</w:t>
            </w:r>
            <w:r>
              <w:rPr>
                <w:rFonts w:ascii="Arial" w:eastAsia="Times New Roman" w:hAnsi="Arial" w:cs="Arial"/>
                <w:color w:val="000000"/>
                <w:sz w:val="18"/>
                <w:szCs w:val="18"/>
                <w:lang w:val="es-EC" w:eastAsia="es-EC"/>
              </w:rPr>
              <w:t>$</w:t>
            </w:r>
          </w:p>
        </w:tc>
        <w:tc>
          <w:tcPr>
            <w:tcW w:w="1080" w:type="dxa"/>
            <w:shd w:val="clear" w:color="auto" w:fill="E2EFD9" w:themeFill="accent6" w:themeFillTint="33"/>
            <w:noWrap/>
            <w:hideMark/>
          </w:tcPr>
          <w:p w14:paraId="63835F7E" w14:textId="77777777" w:rsidR="0043620F"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w:t>
            </w:r>
          </w:p>
          <w:p w14:paraId="4D517A4D" w14:textId="7F438715"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268.800</w:t>
            </w:r>
            <w:r w:rsidRPr="00C2120C">
              <w:rPr>
                <w:rFonts w:ascii="Arial" w:eastAsia="Times New Roman" w:hAnsi="Arial" w:cs="Arial"/>
                <w:color w:val="000000"/>
                <w:sz w:val="18"/>
                <w:szCs w:val="18"/>
                <w:lang w:val="es-EC" w:eastAsia="es-EC"/>
              </w:rPr>
              <w:t xml:space="preserve"> </w:t>
            </w:r>
          </w:p>
        </w:tc>
        <w:tc>
          <w:tcPr>
            <w:tcW w:w="990" w:type="dxa"/>
            <w:shd w:val="clear" w:color="auto" w:fill="E2EFD9" w:themeFill="accent6" w:themeFillTint="33"/>
            <w:noWrap/>
          </w:tcPr>
          <w:p w14:paraId="49CDAADF" w14:textId="64161761"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E2EFD9" w:themeFill="accent6" w:themeFillTint="33"/>
            <w:noWrap/>
            <w:hideMark/>
          </w:tcPr>
          <w:p w14:paraId="7221111D" w14:textId="3E8BDBC0"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w:t>
            </w:r>
            <w:r>
              <w:rPr>
                <w:rFonts w:ascii="Arial" w:eastAsia="Times New Roman" w:hAnsi="Arial" w:cs="Arial"/>
                <w:color w:val="000000"/>
                <w:sz w:val="18"/>
                <w:szCs w:val="18"/>
                <w:lang w:val="es-EC" w:eastAsia="es-EC"/>
              </w:rPr>
              <w:t>0</w:t>
            </w:r>
            <w:r w:rsidRPr="00C2120C">
              <w:rPr>
                <w:rFonts w:ascii="Arial" w:eastAsia="Times New Roman" w:hAnsi="Arial" w:cs="Arial"/>
                <w:color w:val="000000"/>
                <w:sz w:val="18"/>
                <w:szCs w:val="18"/>
                <w:lang w:val="es-EC" w:eastAsia="es-EC"/>
              </w:rPr>
              <w:t xml:space="preserve">   </w:t>
            </w:r>
          </w:p>
        </w:tc>
        <w:tc>
          <w:tcPr>
            <w:tcW w:w="1080" w:type="dxa"/>
            <w:shd w:val="clear" w:color="auto" w:fill="E2EFD9" w:themeFill="accent6" w:themeFillTint="33"/>
            <w:noWrap/>
            <w:hideMark/>
          </w:tcPr>
          <w:p w14:paraId="799A7925" w14:textId="167A23BA"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r w:rsidRPr="00C2120C">
              <w:rPr>
                <w:rFonts w:ascii="Arial" w:eastAsia="Times New Roman" w:hAnsi="Arial" w:cs="Arial"/>
                <w:color w:val="000000"/>
                <w:sz w:val="18"/>
                <w:szCs w:val="18"/>
                <w:lang w:val="es-EC" w:eastAsia="es-EC"/>
              </w:rPr>
              <w:t xml:space="preserve">   </w:t>
            </w:r>
          </w:p>
        </w:tc>
        <w:tc>
          <w:tcPr>
            <w:tcW w:w="1080" w:type="dxa"/>
            <w:shd w:val="clear" w:color="auto" w:fill="E2EFD9" w:themeFill="accent6" w:themeFillTint="33"/>
            <w:noWrap/>
            <w:hideMark/>
          </w:tcPr>
          <w:p w14:paraId="36268B22" w14:textId="66B95B47"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r w:rsidRPr="00C2120C">
              <w:rPr>
                <w:rFonts w:ascii="Arial" w:eastAsia="Times New Roman" w:hAnsi="Arial" w:cs="Arial"/>
                <w:color w:val="000000"/>
                <w:sz w:val="18"/>
                <w:szCs w:val="18"/>
                <w:lang w:val="es-EC" w:eastAsia="es-EC"/>
              </w:rPr>
              <w:t xml:space="preserve">   </w:t>
            </w:r>
          </w:p>
        </w:tc>
        <w:tc>
          <w:tcPr>
            <w:tcW w:w="1080" w:type="dxa"/>
            <w:shd w:val="clear" w:color="auto" w:fill="E2EFD9" w:themeFill="accent6" w:themeFillTint="33"/>
            <w:noWrap/>
            <w:hideMark/>
          </w:tcPr>
          <w:p w14:paraId="7FB47994" w14:textId="5DE7B03D"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268.800 </w:t>
            </w:r>
          </w:p>
        </w:tc>
        <w:tc>
          <w:tcPr>
            <w:tcW w:w="4050" w:type="dxa"/>
            <w:gridSpan w:val="2"/>
            <w:shd w:val="clear" w:color="auto" w:fill="E2EFD9" w:themeFill="accent6" w:themeFillTint="33"/>
          </w:tcPr>
          <w:p w14:paraId="3F38EFB1" w14:textId="104C9092" w:rsidR="0043620F" w:rsidRPr="00C2120C" w:rsidRDefault="0043620F" w:rsidP="0043620F">
            <w:pPr>
              <w:spacing w:after="0" w:line="240" w:lineRule="auto"/>
              <w:rPr>
                <w:rFonts w:ascii="Arial" w:eastAsia="Times New Roman" w:hAnsi="Arial" w:cs="Arial"/>
                <w:color w:val="000000"/>
                <w:sz w:val="18"/>
                <w:szCs w:val="18"/>
                <w:lang w:val="es-EC" w:eastAsia="es-EC"/>
              </w:rPr>
            </w:pPr>
          </w:p>
        </w:tc>
      </w:tr>
      <w:tr w:rsidR="0043620F" w:rsidRPr="00387315" w14:paraId="6A7022D7" w14:textId="06501D7D" w:rsidTr="000D5546">
        <w:trPr>
          <w:gridAfter w:val="1"/>
          <w:wAfter w:w="8" w:type="dxa"/>
          <w:trHeight w:val="255"/>
        </w:trPr>
        <w:tc>
          <w:tcPr>
            <w:tcW w:w="501" w:type="dxa"/>
            <w:vMerge w:val="restart"/>
            <w:shd w:val="clear" w:color="auto" w:fill="E2EFD9" w:themeFill="accent6" w:themeFillTint="33"/>
            <w:noWrap/>
            <w:hideMark/>
          </w:tcPr>
          <w:p w14:paraId="796FED3F"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2.4</w:t>
            </w:r>
          </w:p>
        </w:tc>
        <w:tc>
          <w:tcPr>
            <w:tcW w:w="1749" w:type="dxa"/>
            <w:vMerge w:val="restart"/>
            <w:shd w:val="clear" w:color="auto" w:fill="E2EFD9" w:themeFill="accent6" w:themeFillTint="33"/>
            <w:noWrap/>
            <w:hideMark/>
          </w:tcPr>
          <w:p w14:paraId="55ED9002" w14:textId="3F6BFE21" w:rsidR="0043620F" w:rsidRPr="00702EF1" w:rsidRDefault="0043620F" w:rsidP="0043620F">
            <w:pPr>
              <w:spacing w:after="0" w:line="240" w:lineRule="auto"/>
              <w:rPr>
                <w:rFonts w:ascii="Arial" w:eastAsia="Times New Roman" w:hAnsi="Arial" w:cs="Arial"/>
                <w:color w:val="000000"/>
                <w:sz w:val="18"/>
                <w:szCs w:val="18"/>
                <w:lang w:val="es-PE" w:eastAsia="es-EC"/>
              </w:rPr>
            </w:pPr>
            <w:r w:rsidRPr="00C2120C">
              <w:rPr>
                <w:rFonts w:ascii="Arial" w:eastAsia="Times New Roman" w:hAnsi="Arial" w:cs="Arial"/>
                <w:color w:val="000000"/>
                <w:sz w:val="18"/>
                <w:szCs w:val="18"/>
                <w:lang w:val="es-EC" w:eastAsia="es-EC"/>
              </w:rPr>
              <w:t>Desarrollo de capacidades (mediante transferencia de conocimientos) para la gestión regulatoria con GAD seleccionados, realizad</w:t>
            </w:r>
            <w:r>
              <w:rPr>
                <w:rFonts w:ascii="Arial" w:eastAsia="Times New Roman" w:hAnsi="Arial" w:cs="Arial"/>
                <w:color w:val="000000"/>
                <w:sz w:val="18"/>
                <w:szCs w:val="18"/>
                <w:lang w:val="es-EC" w:eastAsia="es-EC"/>
              </w:rPr>
              <w:t>o</w:t>
            </w:r>
          </w:p>
        </w:tc>
        <w:tc>
          <w:tcPr>
            <w:tcW w:w="990" w:type="dxa"/>
            <w:shd w:val="clear" w:color="auto" w:fill="auto"/>
            <w:noWrap/>
            <w:hideMark/>
          </w:tcPr>
          <w:p w14:paraId="15BA7BF7" w14:textId="77777777"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Física</w:t>
            </w:r>
          </w:p>
        </w:tc>
        <w:tc>
          <w:tcPr>
            <w:tcW w:w="1260" w:type="dxa"/>
            <w:shd w:val="clear" w:color="auto" w:fill="auto"/>
            <w:noWrap/>
            <w:hideMark/>
          </w:tcPr>
          <w:p w14:paraId="2E32610A" w14:textId="0EC12372"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E51937">
              <w:rPr>
                <w:rFonts w:ascii="Arial" w:hAnsi="Arial" w:cs="Arial"/>
                <w:sz w:val="20"/>
                <w:szCs w:val="20"/>
                <w:lang w:val="es-PE"/>
              </w:rPr>
              <w:t>GADs que reciben asistencia t</w:t>
            </w:r>
            <w:r>
              <w:rPr>
                <w:rFonts w:ascii="Arial" w:hAnsi="Arial" w:cs="Arial"/>
                <w:sz w:val="20"/>
                <w:szCs w:val="20"/>
                <w:lang w:val="es-PE"/>
              </w:rPr>
              <w:t>écnica</w:t>
            </w:r>
          </w:p>
        </w:tc>
        <w:tc>
          <w:tcPr>
            <w:tcW w:w="1080" w:type="dxa"/>
            <w:shd w:val="clear" w:color="auto" w:fill="auto"/>
            <w:noWrap/>
            <w:hideMark/>
          </w:tcPr>
          <w:p w14:paraId="5DC179D9" w14:textId="2279879C"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w:t>
            </w:r>
            <w:r>
              <w:rPr>
                <w:rFonts w:ascii="Arial" w:eastAsia="Times New Roman" w:hAnsi="Arial" w:cs="Arial"/>
                <w:color w:val="000000"/>
                <w:sz w:val="18"/>
                <w:szCs w:val="18"/>
                <w:lang w:val="es-EC" w:eastAsia="es-EC"/>
              </w:rPr>
              <w:t>0</w:t>
            </w:r>
            <w:r w:rsidRPr="00C2120C">
              <w:rPr>
                <w:rFonts w:ascii="Arial" w:eastAsia="Times New Roman" w:hAnsi="Arial" w:cs="Arial"/>
                <w:color w:val="000000"/>
                <w:sz w:val="18"/>
                <w:szCs w:val="18"/>
                <w:lang w:val="es-EC" w:eastAsia="es-EC"/>
              </w:rPr>
              <w:t xml:space="preserve">   </w:t>
            </w:r>
          </w:p>
        </w:tc>
        <w:tc>
          <w:tcPr>
            <w:tcW w:w="990" w:type="dxa"/>
            <w:shd w:val="clear" w:color="auto" w:fill="auto"/>
            <w:noWrap/>
            <w:hideMark/>
          </w:tcPr>
          <w:p w14:paraId="626C6308" w14:textId="2B54322E"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w:t>
            </w:r>
            <w:r>
              <w:rPr>
                <w:rFonts w:ascii="Arial" w:eastAsia="Times New Roman" w:hAnsi="Arial" w:cs="Arial"/>
                <w:color w:val="000000"/>
                <w:sz w:val="18"/>
                <w:szCs w:val="18"/>
                <w:lang w:val="es-EC" w:eastAsia="es-EC"/>
              </w:rPr>
              <w:t>0</w:t>
            </w:r>
            <w:r w:rsidRPr="00C2120C">
              <w:rPr>
                <w:rFonts w:ascii="Arial" w:eastAsia="Times New Roman" w:hAnsi="Arial" w:cs="Arial"/>
                <w:color w:val="000000"/>
                <w:sz w:val="18"/>
                <w:szCs w:val="18"/>
                <w:lang w:val="es-EC" w:eastAsia="es-EC"/>
              </w:rPr>
              <w:t xml:space="preserve">   </w:t>
            </w:r>
          </w:p>
        </w:tc>
        <w:tc>
          <w:tcPr>
            <w:tcW w:w="1080" w:type="dxa"/>
            <w:shd w:val="clear" w:color="auto" w:fill="auto"/>
            <w:noWrap/>
            <w:hideMark/>
          </w:tcPr>
          <w:p w14:paraId="732004A4" w14:textId="5815E5A0"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w:t>
            </w:r>
            <w:r>
              <w:rPr>
                <w:rFonts w:ascii="Arial" w:eastAsia="Times New Roman" w:hAnsi="Arial" w:cs="Arial"/>
                <w:color w:val="000000"/>
                <w:sz w:val="18"/>
                <w:szCs w:val="18"/>
                <w:lang w:val="es-EC" w:eastAsia="es-EC"/>
              </w:rPr>
              <w:t>3</w:t>
            </w:r>
            <w:r w:rsidRPr="00C2120C">
              <w:rPr>
                <w:rFonts w:ascii="Arial" w:eastAsia="Times New Roman" w:hAnsi="Arial" w:cs="Arial"/>
                <w:color w:val="000000"/>
                <w:sz w:val="18"/>
                <w:szCs w:val="18"/>
                <w:lang w:val="es-EC" w:eastAsia="es-EC"/>
              </w:rPr>
              <w:t xml:space="preserve"> </w:t>
            </w:r>
          </w:p>
        </w:tc>
        <w:tc>
          <w:tcPr>
            <w:tcW w:w="1080" w:type="dxa"/>
            <w:shd w:val="clear" w:color="auto" w:fill="auto"/>
            <w:noWrap/>
            <w:hideMark/>
          </w:tcPr>
          <w:p w14:paraId="2E5F0682" w14:textId="5B171FF0"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auto"/>
            <w:noWrap/>
            <w:hideMark/>
          </w:tcPr>
          <w:p w14:paraId="0E8977AE" w14:textId="21311AD9"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w:t>
            </w:r>
            <w:r>
              <w:rPr>
                <w:rFonts w:ascii="Arial" w:eastAsia="Times New Roman" w:hAnsi="Arial" w:cs="Arial"/>
                <w:color w:val="000000"/>
                <w:sz w:val="18"/>
                <w:szCs w:val="18"/>
                <w:lang w:val="es-EC" w:eastAsia="es-EC"/>
              </w:rPr>
              <w:t>0</w:t>
            </w:r>
            <w:r w:rsidRPr="00C2120C">
              <w:rPr>
                <w:rFonts w:ascii="Arial" w:eastAsia="Times New Roman" w:hAnsi="Arial" w:cs="Arial"/>
                <w:color w:val="000000"/>
                <w:sz w:val="18"/>
                <w:szCs w:val="18"/>
                <w:lang w:val="es-EC" w:eastAsia="es-EC"/>
              </w:rPr>
              <w:t xml:space="preserve">   </w:t>
            </w:r>
          </w:p>
        </w:tc>
        <w:tc>
          <w:tcPr>
            <w:tcW w:w="1080" w:type="dxa"/>
            <w:shd w:val="clear" w:color="auto" w:fill="auto"/>
            <w:noWrap/>
            <w:hideMark/>
          </w:tcPr>
          <w:p w14:paraId="4AC10881" w14:textId="73DFB671"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w:t>
            </w:r>
            <w:r>
              <w:rPr>
                <w:rFonts w:ascii="Arial" w:eastAsia="Times New Roman" w:hAnsi="Arial" w:cs="Arial"/>
                <w:color w:val="000000"/>
                <w:sz w:val="18"/>
                <w:szCs w:val="18"/>
                <w:lang w:val="es-EC" w:eastAsia="es-EC"/>
              </w:rPr>
              <w:t>3</w:t>
            </w:r>
            <w:r w:rsidRPr="00C2120C">
              <w:rPr>
                <w:rFonts w:ascii="Arial" w:eastAsia="Times New Roman" w:hAnsi="Arial" w:cs="Arial"/>
                <w:color w:val="000000"/>
                <w:sz w:val="18"/>
                <w:szCs w:val="18"/>
                <w:lang w:val="es-EC" w:eastAsia="es-EC"/>
              </w:rPr>
              <w:t xml:space="preserve"> </w:t>
            </w:r>
          </w:p>
        </w:tc>
        <w:tc>
          <w:tcPr>
            <w:tcW w:w="4050" w:type="dxa"/>
            <w:gridSpan w:val="2"/>
          </w:tcPr>
          <w:p w14:paraId="4A880320" w14:textId="5EFA7442" w:rsidR="0043620F" w:rsidRPr="00C2120C" w:rsidRDefault="0043620F" w:rsidP="0043620F">
            <w:pPr>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Comprende insumos como: elaboración de </w:t>
            </w:r>
            <w:r w:rsidRPr="00C2120C">
              <w:rPr>
                <w:rFonts w:ascii="Arial" w:eastAsia="Times New Roman" w:hAnsi="Arial" w:cs="Arial"/>
                <w:i/>
                <w:iCs/>
                <w:color w:val="000000"/>
                <w:sz w:val="18"/>
                <w:szCs w:val="18"/>
                <w:lang w:val="es-EC" w:eastAsia="es-EC"/>
              </w:rPr>
              <w:t>toolkits</w:t>
            </w:r>
            <w:r w:rsidRPr="00C2120C">
              <w:rPr>
                <w:rFonts w:ascii="Arial" w:eastAsia="Times New Roman" w:hAnsi="Arial" w:cs="Arial"/>
                <w:color w:val="000000"/>
                <w:sz w:val="18"/>
                <w:szCs w:val="18"/>
                <w:lang w:val="es-EC" w:eastAsia="es-EC"/>
              </w:rPr>
              <w:t xml:space="preserve"> para los GAD; desarrollo de una plataforma para capacitación en línea; talleres de desarrollo de capacidades y AT a los GAD seleccionados</w:t>
            </w:r>
          </w:p>
        </w:tc>
      </w:tr>
      <w:tr w:rsidR="0043620F" w:rsidRPr="00A01772" w14:paraId="0FAD1291" w14:textId="5EECBDBC" w:rsidTr="000D5546">
        <w:trPr>
          <w:gridAfter w:val="1"/>
          <w:wAfter w:w="8" w:type="dxa"/>
          <w:trHeight w:val="255"/>
        </w:trPr>
        <w:tc>
          <w:tcPr>
            <w:tcW w:w="501" w:type="dxa"/>
            <w:vMerge/>
            <w:hideMark/>
          </w:tcPr>
          <w:p w14:paraId="6AF5741C"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p>
        </w:tc>
        <w:tc>
          <w:tcPr>
            <w:tcW w:w="1749" w:type="dxa"/>
            <w:vMerge/>
            <w:hideMark/>
          </w:tcPr>
          <w:p w14:paraId="6574467D"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p>
        </w:tc>
        <w:tc>
          <w:tcPr>
            <w:tcW w:w="990" w:type="dxa"/>
            <w:shd w:val="clear" w:color="auto" w:fill="E2EFD9" w:themeFill="accent6" w:themeFillTint="33"/>
            <w:noWrap/>
            <w:hideMark/>
          </w:tcPr>
          <w:p w14:paraId="38C10E0A" w14:textId="77777777"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Financiera </w:t>
            </w:r>
          </w:p>
        </w:tc>
        <w:tc>
          <w:tcPr>
            <w:tcW w:w="1260" w:type="dxa"/>
            <w:shd w:val="clear" w:color="auto" w:fill="E2EFD9" w:themeFill="accent6" w:themeFillTint="33"/>
            <w:noWrap/>
            <w:hideMark/>
          </w:tcPr>
          <w:p w14:paraId="61446D4C" w14:textId="4EF99DB7"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US</w:t>
            </w:r>
            <w:r>
              <w:rPr>
                <w:rFonts w:ascii="Arial" w:eastAsia="Times New Roman" w:hAnsi="Arial" w:cs="Arial"/>
                <w:color w:val="000000"/>
                <w:sz w:val="18"/>
                <w:szCs w:val="18"/>
                <w:lang w:val="es-EC" w:eastAsia="es-EC"/>
              </w:rPr>
              <w:t>$</w:t>
            </w:r>
          </w:p>
        </w:tc>
        <w:tc>
          <w:tcPr>
            <w:tcW w:w="1080" w:type="dxa"/>
            <w:shd w:val="clear" w:color="auto" w:fill="E2EFD9" w:themeFill="accent6" w:themeFillTint="33"/>
            <w:noWrap/>
            <w:hideMark/>
          </w:tcPr>
          <w:p w14:paraId="1921EA62" w14:textId="6867156B"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990" w:type="dxa"/>
            <w:shd w:val="clear" w:color="auto" w:fill="E2EFD9" w:themeFill="accent6" w:themeFillTint="33"/>
            <w:noWrap/>
            <w:hideMark/>
          </w:tcPr>
          <w:p w14:paraId="4529690C" w14:textId="55AD9A30"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E2EFD9" w:themeFill="accent6" w:themeFillTint="33"/>
            <w:noWrap/>
            <w:hideMark/>
          </w:tcPr>
          <w:p w14:paraId="60AFDB15" w14:textId="000107FF"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336</w:t>
            </w:r>
            <w:r w:rsidRPr="00C2120C">
              <w:rPr>
                <w:rFonts w:ascii="Arial" w:eastAsia="Times New Roman" w:hAnsi="Arial" w:cs="Arial"/>
                <w:color w:val="000000"/>
                <w:sz w:val="18"/>
                <w:szCs w:val="18"/>
                <w:lang w:val="es-EC" w:eastAsia="es-EC"/>
              </w:rPr>
              <w:t>.000</w:t>
            </w:r>
          </w:p>
        </w:tc>
        <w:tc>
          <w:tcPr>
            <w:tcW w:w="1080" w:type="dxa"/>
            <w:shd w:val="clear" w:color="auto" w:fill="E2EFD9" w:themeFill="accent6" w:themeFillTint="33"/>
            <w:noWrap/>
            <w:hideMark/>
          </w:tcPr>
          <w:p w14:paraId="557499C8" w14:textId="429C6BF9"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E2EFD9" w:themeFill="accent6" w:themeFillTint="33"/>
            <w:noWrap/>
            <w:hideMark/>
          </w:tcPr>
          <w:p w14:paraId="753C6FBC" w14:textId="05E6FAFD"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E2EFD9" w:themeFill="accent6" w:themeFillTint="33"/>
            <w:noWrap/>
            <w:hideMark/>
          </w:tcPr>
          <w:p w14:paraId="2A977696" w14:textId="37EB0D89"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336.000</w:t>
            </w:r>
          </w:p>
        </w:tc>
        <w:tc>
          <w:tcPr>
            <w:tcW w:w="4050" w:type="dxa"/>
            <w:gridSpan w:val="2"/>
            <w:shd w:val="clear" w:color="auto" w:fill="E2EFD9" w:themeFill="accent6" w:themeFillTint="33"/>
          </w:tcPr>
          <w:p w14:paraId="3B37D0B4" w14:textId="6CAE53E9" w:rsidR="0043620F" w:rsidRPr="00C2120C" w:rsidRDefault="0043620F" w:rsidP="0043620F">
            <w:pPr>
              <w:spacing w:after="0" w:line="240" w:lineRule="auto"/>
              <w:rPr>
                <w:rFonts w:ascii="Arial" w:eastAsia="Times New Roman" w:hAnsi="Arial" w:cs="Arial"/>
                <w:color w:val="000000"/>
                <w:sz w:val="18"/>
                <w:szCs w:val="18"/>
                <w:lang w:val="es-EC" w:eastAsia="es-EC"/>
              </w:rPr>
            </w:pPr>
          </w:p>
        </w:tc>
      </w:tr>
      <w:tr w:rsidR="0043620F" w:rsidRPr="00387315" w14:paraId="74E4A01D" w14:textId="674E6972" w:rsidTr="000D5546">
        <w:trPr>
          <w:gridAfter w:val="1"/>
          <w:wAfter w:w="8" w:type="dxa"/>
          <w:trHeight w:val="255"/>
        </w:trPr>
        <w:tc>
          <w:tcPr>
            <w:tcW w:w="501" w:type="dxa"/>
            <w:vMerge w:val="restart"/>
            <w:shd w:val="clear" w:color="auto" w:fill="E2EFD9" w:themeFill="accent6" w:themeFillTint="33"/>
            <w:noWrap/>
            <w:hideMark/>
          </w:tcPr>
          <w:p w14:paraId="7DADEF62"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2.5</w:t>
            </w:r>
          </w:p>
        </w:tc>
        <w:tc>
          <w:tcPr>
            <w:tcW w:w="1749" w:type="dxa"/>
            <w:vMerge w:val="restart"/>
            <w:shd w:val="clear" w:color="auto" w:fill="E2EFD9" w:themeFill="accent6" w:themeFillTint="33"/>
            <w:noWrap/>
            <w:hideMark/>
          </w:tcPr>
          <w:p w14:paraId="14C570F9"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Medición de costos de 100 trámites administrativos, realizada (incluye metodología y </w:t>
            </w:r>
            <w:r w:rsidRPr="00C2120C">
              <w:rPr>
                <w:rFonts w:ascii="Arial" w:eastAsia="Times New Roman" w:hAnsi="Arial" w:cs="Arial"/>
                <w:color w:val="000000"/>
                <w:sz w:val="18"/>
                <w:szCs w:val="18"/>
                <w:lang w:val="es-EC" w:eastAsia="es-EC"/>
              </w:rPr>
              <w:lastRenderedPageBreak/>
              <w:t>capacitación del equipo)</w:t>
            </w:r>
          </w:p>
        </w:tc>
        <w:tc>
          <w:tcPr>
            <w:tcW w:w="990" w:type="dxa"/>
            <w:shd w:val="clear" w:color="auto" w:fill="auto"/>
            <w:noWrap/>
            <w:hideMark/>
          </w:tcPr>
          <w:p w14:paraId="758BC95C" w14:textId="77777777"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lastRenderedPageBreak/>
              <w:t>Física</w:t>
            </w:r>
          </w:p>
        </w:tc>
        <w:tc>
          <w:tcPr>
            <w:tcW w:w="1260" w:type="dxa"/>
            <w:shd w:val="clear" w:color="auto" w:fill="auto"/>
            <w:noWrap/>
            <w:hideMark/>
          </w:tcPr>
          <w:p w14:paraId="0EB8C483" w14:textId="77777777"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Trámites</w:t>
            </w:r>
          </w:p>
        </w:tc>
        <w:tc>
          <w:tcPr>
            <w:tcW w:w="1080" w:type="dxa"/>
            <w:shd w:val="clear" w:color="auto" w:fill="auto"/>
            <w:noWrap/>
            <w:hideMark/>
          </w:tcPr>
          <w:p w14:paraId="61579341" w14:textId="093780D9"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990" w:type="dxa"/>
            <w:shd w:val="clear" w:color="auto" w:fill="auto"/>
            <w:noWrap/>
            <w:hideMark/>
          </w:tcPr>
          <w:p w14:paraId="77B91142" w14:textId="3156BC81"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auto"/>
            <w:noWrap/>
            <w:hideMark/>
          </w:tcPr>
          <w:p w14:paraId="11D7F95B" w14:textId="3AC77D92"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100</w:t>
            </w:r>
          </w:p>
        </w:tc>
        <w:tc>
          <w:tcPr>
            <w:tcW w:w="1080" w:type="dxa"/>
            <w:shd w:val="clear" w:color="auto" w:fill="auto"/>
            <w:noWrap/>
            <w:hideMark/>
          </w:tcPr>
          <w:p w14:paraId="2585CC96" w14:textId="678A7920"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auto"/>
            <w:noWrap/>
            <w:hideMark/>
          </w:tcPr>
          <w:p w14:paraId="190656A2" w14:textId="4655BFC7"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w:t>
            </w:r>
            <w:r>
              <w:rPr>
                <w:rFonts w:ascii="Arial" w:eastAsia="Times New Roman" w:hAnsi="Arial" w:cs="Arial"/>
                <w:color w:val="000000"/>
                <w:sz w:val="18"/>
                <w:szCs w:val="18"/>
                <w:lang w:val="es-EC" w:eastAsia="es-EC"/>
              </w:rPr>
              <w:t>0</w:t>
            </w:r>
            <w:r w:rsidRPr="00C2120C">
              <w:rPr>
                <w:rFonts w:ascii="Arial" w:eastAsia="Times New Roman" w:hAnsi="Arial" w:cs="Arial"/>
                <w:color w:val="000000"/>
                <w:sz w:val="18"/>
                <w:szCs w:val="18"/>
                <w:lang w:val="es-EC" w:eastAsia="es-EC"/>
              </w:rPr>
              <w:t xml:space="preserve">   </w:t>
            </w:r>
          </w:p>
        </w:tc>
        <w:tc>
          <w:tcPr>
            <w:tcW w:w="1080" w:type="dxa"/>
            <w:shd w:val="clear" w:color="auto" w:fill="auto"/>
            <w:noWrap/>
            <w:hideMark/>
          </w:tcPr>
          <w:p w14:paraId="23364AE9" w14:textId="07767307"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100 </w:t>
            </w:r>
          </w:p>
        </w:tc>
        <w:tc>
          <w:tcPr>
            <w:tcW w:w="4050" w:type="dxa"/>
            <w:gridSpan w:val="2"/>
          </w:tcPr>
          <w:p w14:paraId="4630355F" w14:textId="76D61417" w:rsidR="0043620F" w:rsidRPr="00C2120C" w:rsidRDefault="0043620F" w:rsidP="0043620F">
            <w:pPr>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Comprende insumos como: metodología, capacitación del equipo, informe de medición</w:t>
            </w:r>
          </w:p>
        </w:tc>
      </w:tr>
      <w:tr w:rsidR="0043620F" w:rsidRPr="00A01772" w14:paraId="2F4A72D5" w14:textId="427C5A20" w:rsidTr="000D5546">
        <w:trPr>
          <w:gridAfter w:val="1"/>
          <w:wAfter w:w="8" w:type="dxa"/>
          <w:trHeight w:val="255"/>
        </w:trPr>
        <w:tc>
          <w:tcPr>
            <w:tcW w:w="501" w:type="dxa"/>
            <w:vMerge/>
            <w:hideMark/>
          </w:tcPr>
          <w:p w14:paraId="01DF5FB7"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p>
        </w:tc>
        <w:tc>
          <w:tcPr>
            <w:tcW w:w="1749" w:type="dxa"/>
            <w:vMerge/>
            <w:hideMark/>
          </w:tcPr>
          <w:p w14:paraId="7167A799"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p>
        </w:tc>
        <w:tc>
          <w:tcPr>
            <w:tcW w:w="990" w:type="dxa"/>
            <w:shd w:val="clear" w:color="auto" w:fill="E2EFD9" w:themeFill="accent6" w:themeFillTint="33"/>
            <w:noWrap/>
            <w:hideMark/>
          </w:tcPr>
          <w:p w14:paraId="30959AA9" w14:textId="77777777"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Financiera </w:t>
            </w:r>
          </w:p>
        </w:tc>
        <w:tc>
          <w:tcPr>
            <w:tcW w:w="1260" w:type="dxa"/>
            <w:shd w:val="clear" w:color="auto" w:fill="E2EFD9" w:themeFill="accent6" w:themeFillTint="33"/>
            <w:noWrap/>
            <w:hideMark/>
          </w:tcPr>
          <w:p w14:paraId="765B1C88" w14:textId="5F68C0F4"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US</w:t>
            </w:r>
            <w:r>
              <w:rPr>
                <w:rFonts w:ascii="Arial" w:eastAsia="Times New Roman" w:hAnsi="Arial" w:cs="Arial"/>
                <w:color w:val="000000"/>
                <w:sz w:val="18"/>
                <w:szCs w:val="18"/>
                <w:lang w:val="es-EC" w:eastAsia="es-EC"/>
              </w:rPr>
              <w:t>$</w:t>
            </w:r>
          </w:p>
        </w:tc>
        <w:tc>
          <w:tcPr>
            <w:tcW w:w="1080" w:type="dxa"/>
            <w:shd w:val="clear" w:color="auto" w:fill="E2EFD9" w:themeFill="accent6" w:themeFillTint="33"/>
            <w:noWrap/>
            <w:hideMark/>
          </w:tcPr>
          <w:p w14:paraId="20629720" w14:textId="62AB187F"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990" w:type="dxa"/>
            <w:shd w:val="clear" w:color="auto" w:fill="E2EFD9" w:themeFill="accent6" w:themeFillTint="33"/>
            <w:noWrap/>
            <w:hideMark/>
          </w:tcPr>
          <w:p w14:paraId="014C7B13" w14:textId="58D7ACDB"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E2EFD9" w:themeFill="accent6" w:themeFillTint="33"/>
            <w:noWrap/>
            <w:hideMark/>
          </w:tcPr>
          <w:p w14:paraId="6E1A3036" w14:textId="650F3CE6"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291.200</w:t>
            </w:r>
          </w:p>
        </w:tc>
        <w:tc>
          <w:tcPr>
            <w:tcW w:w="1080" w:type="dxa"/>
            <w:shd w:val="clear" w:color="auto" w:fill="E2EFD9" w:themeFill="accent6" w:themeFillTint="33"/>
            <w:noWrap/>
            <w:hideMark/>
          </w:tcPr>
          <w:p w14:paraId="7DB87D2D" w14:textId="14A0409D"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E2EFD9" w:themeFill="accent6" w:themeFillTint="33"/>
            <w:noWrap/>
            <w:hideMark/>
          </w:tcPr>
          <w:p w14:paraId="29A732F1" w14:textId="62DB8094"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E2EFD9" w:themeFill="accent6" w:themeFillTint="33"/>
            <w:noWrap/>
            <w:hideMark/>
          </w:tcPr>
          <w:p w14:paraId="0E5A0A51" w14:textId="4C0D5EB8"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291.200</w:t>
            </w:r>
          </w:p>
        </w:tc>
        <w:tc>
          <w:tcPr>
            <w:tcW w:w="4050" w:type="dxa"/>
            <w:gridSpan w:val="2"/>
            <w:shd w:val="clear" w:color="auto" w:fill="E2EFD9" w:themeFill="accent6" w:themeFillTint="33"/>
          </w:tcPr>
          <w:p w14:paraId="379A4495" w14:textId="6EBC5793"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p>
        </w:tc>
      </w:tr>
      <w:tr w:rsidR="0043620F" w:rsidRPr="00387315" w14:paraId="6D2C0709" w14:textId="3445E27E" w:rsidTr="000D5546">
        <w:trPr>
          <w:gridAfter w:val="1"/>
          <w:wAfter w:w="8" w:type="dxa"/>
          <w:trHeight w:val="255"/>
        </w:trPr>
        <w:tc>
          <w:tcPr>
            <w:tcW w:w="501" w:type="dxa"/>
            <w:vMerge w:val="restart"/>
            <w:shd w:val="clear" w:color="auto" w:fill="E2EFD9" w:themeFill="accent6" w:themeFillTint="33"/>
            <w:noWrap/>
            <w:hideMark/>
          </w:tcPr>
          <w:p w14:paraId="56243210"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2.6</w:t>
            </w:r>
          </w:p>
        </w:tc>
        <w:tc>
          <w:tcPr>
            <w:tcW w:w="1749" w:type="dxa"/>
            <w:vMerge w:val="restart"/>
            <w:shd w:val="clear" w:color="auto" w:fill="E2EFD9" w:themeFill="accent6" w:themeFillTint="33"/>
            <w:noWrap/>
            <w:hideMark/>
          </w:tcPr>
          <w:p w14:paraId="45A1841A"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Certificación de la norma ISO 37001 Antisoborno, implementada - (5 instituciones)</w:t>
            </w:r>
          </w:p>
        </w:tc>
        <w:tc>
          <w:tcPr>
            <w:tcW w:w="990" w:type="dxa"/>
            <w:shd w:val="clear" w:color="auto" w:fill="auto"/>
            <w:noWrap/>
            <w:hideMark/>
          </w:tcPr>
          <w:p w14:paraId="6055AFB0" w14:textId="77777777"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Física</w:t>
            </w:r>
          </w:p>
        </w:tc>
        <w:tc>
          <w:tcPr>
            <w:tcW w:w="1260" w:type="dxa"/>
            <w:shd w:val="clear" w:color="auto" w:fill="auto"/>
            <w:noWrap/>
            <w:hideMark/>
          </w:tcPr>
          <w:p w14:paraId="5241CF66" w14:textId="77777777"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Instituciones</w:t>
            </w:r>
          </w:p>
        </w:tc>
        <w:tc>
          <w:tcPr>
            <w:tcW w:w="1080" w:type="dxa"/>
            <w:shd w:val="clear" w:color="auto" w:fill="auto"/>
            <w:noWrap/>
            <w:hideMark/>
          </w:tcPr>
          <w:p w14:paraId="41BE5B70" w14:textId="19E09ACA"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990" w:type="dxa"/>
            <w:shd w:val="clear" w:color="auto" w:fill="auto"/>
            <w:noWrap/>
            <w:hideMark/>
          </w:tcPr>
          <w:p w14:paraId="3EC6BA4B" w14:textId="589EF5DF"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3</w:t>
            </w:r>
          </w:p>
        </w:tc>
        <w:tc>
          <w:tcPr>
            <w:tcW w:w="1080" w:type="dxa"/>
            <w:shd w:val="clear" w:color="auto" w:fill="auto"/>
            <w:noWrap/>
            <w:hideMark/>
          </w:tcPr>
          <w:p w14:paraId="68E5AA95" w14:textId="654B5895"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2</w:t>
            </w:r>
          </w:p>
        </w:tc>
        <w:tc>
          <w:tcPr>
            <w:tcW w:w="1080" w:type="dxa"/>
            <w:shd w:val="clear" w:color="auto" w:fill="auto"/>
            <w:noWrap/>
            <w:hideMark/>
          </w:tcPr>
          <w:p w14:paraId="4DCE0014" w14:textId="16922D8A"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auto"/>
            <w:noWrap/>
            <w:hideMark/>
          </w:tcPr>
          <w:p w14:paraId="72E5D2F5" w14:textId="00E9BFB5"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auto"/>
            <w:noWrap/>
            <w:hideMark/>
          </w:tcPr>
          <w:p w14:paraId="75DAFD15" w14:textId="4E499E6E"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5 </w:t>
            </w:r>
          </w:p>
        </w:tc>
        <w:tc>
          <w:tcPr>
            <w:tcW w:w="4050" w:type="dxa"/>
            <w:gridSpan w:val="2"/>
          </w:tcPr>
          <w:p w14:paraId="780ED7DB" w14:textId="4A789844" w:rsidR="0043620F" w:rsidRPr="00C2120C" w:rsidRDefault="0043620F" w:rsidP="0043620F">
            <w:pPr>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Comprende la certificación integral de 5 Instituciones</w:t>
            </w:r>
          </w:p>
        </w:tc>
      </w:tr>
      <w:tr w:rsidR="0043620F" w:rsidRPr="00A01772" w14:paraId="5ABD8FB5" w14:textId="6C7BF5D3" w:rsidTr="000D5546">
        <w:trPr>
          <w:gridAfter w:val="1"/>
          <w:wAfter w:w="8" w:type="dxa"/>
          <w:trHeight w:val="255"/>
        </w:trPr>
        <w:tc>
          <w:tcPr>
            <w:tcW w:w="501" w:type="dxa"/>
            <w:vMerge/>
            <w:hideMark/>
          </w:tcPr>
          <w:p w14:paraId="4D16E093"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p>
        </w:tc>
        <w:tc>
          <w:tcPr>
            <w:tcW w:w="1749" w:type="dxa"/>
            <w:vMerge/>
            <w:hideMark/>
          </w:tcPr>
          <w:p w14:paraId="01B24E6F"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p>
        </w:tc>
        <w:tc>
          <w:tcPr>
            <w:tcW w:w="990" w:type="dxa"/>
            <w:shd w:val="clear" w:color="auto" w:fill="E2EFD9" w:themeFill="accent6" w:themeFillTint="33"/>
            <w:noWrap/>
            <w:hideMark/>
          </w:tcPr>
          <w:p w14:paraId="3077A26F" w14:textId="77777777"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Financiera </w:t>
            </w:r>
          </w:p>
        </w:tc>
        <w:tc>
          <w:tcPr>
            <w:tcW w:w="1260" w:type="dxa"/>
            <w:shd w:val="clear" w:color="auto" w:fill="E2EFD9" w:themeFill="accent6" w:themeFillTint="33"/>
            <w:noWrap/>
            <w:hideMark/>
          </w:tcPr>
          <w:p w14:paraId="789F594F" w14:textId="52D00B35"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US</w:t>
            </w:r>
            <w:r>
              <w:rPr>
                <w:rFonts w:ascii="Arial" w:eastAsia="Times New Roman" w:hAnsi="Arial" w:cs="Arial"/>
                <w:color w:val="000000"/>
                <w:sz w:val="18"/>
                <w:szCs w:val="18"/>
                <w:lang w:val="es-EC" w:eastAsia="es-EC"/>
              </w:rPr>
              <w:t>$</w:t>
            </w:r>
          </w:p>
        </w:tc>
        <w:tc>
          <w:tcPr>
            <w:tcW w:w="1080" w:type="dxa"/>
            <w:shd w:val="clear" w:color="auto" w:fill="E2EFD9" w:themeFill="accent6" w:themeFillTint="33"/>
            <w:noWrap/>
            <w:hideMark/>
          </w:tcPr>
          <w:p w14:paraId="14322C81" w14:textId="226C3B8D"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r w:rsidRPr="00C2120C">
              <w:rPr>
                <w:rFonts w:ascii="Arial" w:eastAsia="Times New Roman" w:hAnsi="Arial" w:cs="Arial"/>
                <w:color w:val="000000"/>
                <w:sz w:val="18"/>
                <w:szCs w:val="18"/>
                <w:lang w:val="es-EC" w:eastAsia="es-EC"/>
              </w:rPr>
              <w:t xml:space="preserve">    </w:t>
            </w:r>
          </w:p>
        </w:tc>
        <w:tc>
          <w:tcPr>
            <w:tcW w:w="990" w:type="dxa"/>
            <w:shd w:val="clear" w:color="auto" w:fill="E2EFD9" w:themeFill="accent6" w:themeFillTint="33"/>
            <w:noWrap/>
            <w:hideMark/>
          </w:tcPr>
          <w:p w14:paraId="63E20DA1" w14:textId="2D355DED"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w:t>
            </w:r>
            <w:r>
              <w:rPr>
                <w:rFonts w:ascii="Arial" w:eastAsia="Times New Roman" w:hAnsi="Arial" w:cs="Arial"/>
                <w:color w:val="000000"/>
                <w:sz w:val="18"/>
                <w:szCs w:val="18"/>
                <w:lang w:val="es-EC" w:eastAsia="es-EC"/>
              </w:rPr>
              <w:t>265.440</w:t>
            </w:r>
            <w:r w:rsidRPr="00C2120C">
              <w:rPr>
                <w:rFonts w:ascii="Arial" w:eastAsia="Times New Roman" w:hAnsi="Arial" w:cs="Arial"/>
                <w:color w:val="000000"/>
                <w:sz w:val="18"/>
                <w:szCs w:val="18"/>
                <w:lang w:val="es-EC" w:eastAsia="es-EC"/>
              </w:rPr>
              <w:t xml:space="preserve"> </w:t>
            </w:r>
          </w:p>
        </w:tc>
        <w:tc>
          <w:tcPr>
            <w:tcW w:w="1080" w:type="dxa"/>
            <w:shd w:val="clear" w:color="auto" w:fill="E2EFD9" w:themeFill="accent6" w:themeFillTint="33"/>
            <w:noWrap/>
            <w:hideMark/>
          </w:tcPr>
          <w:p w14:paraId="7231BF3D" w14:textId="6341A025"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70.560 </w:t>
            </w:r>
          </w:p>
        </w:tc>
        <w:tc>
          <w:tcPr>
            <w:tcW w:w="1080" w:type="dxa"/>
            <w:shd w:val="clear" w:color="auto" w:fill="E2EFD9" w:themeFill="accent6" w:themeFillTint="33"/>
            <w:noWrap/>
            <w:hideMark/>
          </w:tcPr>
          <w:p w14:paraId="79827A9F" w14:textId="736119EF"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r w:rsidRPr="00C2120C">
              <w:rPr>
                <w:rFonts w:ascii="Arial" w:eastAsia="Times New Roman" w:hAnsi="Arial" w:cs="Arial"/>
                <w:color w:val="000000"/>
                <w:sz w:val="18"/>
                <w:szCs w:val="18"/>
                <w:lang w:val="es-EC" w:eastAsia="es-EC"/>
              </w:rPr>
              <w:t xml:space="preserve">   </w:t>
            </w:r>
          </w:p>
        </w:tc>
        <w:tc>
          <w:tcPr>
            <w:tcW w:w="1080" w:type="dxa"/>
            <w:shd w:val="clear" w:color="auto" w:fill="E2EFD9" w:themeFill="accent6" w:themeFillTint="33"/>
            <w:noWrap/>
            <w:hideMark/>
          </w:tcPr>
          <w:p w14:paraId="1DA72285" w14:textId="6F2CDD4B"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w:t>
            </w:r>
            <w:r>
              <w:rPr>
                <w:rFonts w:ascii="Arial" w:eastAsia="Times New Roman" w:hAnsi="Arial" w:cs="Arial"/>
                <w:color w:val="000000"/>
                <w:sz w:val="18"/>
                <w:szCs w:val="18"/>
                <w:lang w:val="es-EC" w:eastAsia="es-EC"/>
              </w:rPr>
              <w:t>0</w:t>
            </w:r>
            <w:r w:rsidRPr="00C2120C">
              <w:rPr>
                <w:rFonts w:ascii="Arial" w:eastAsia="Times New Roman" w:hAnsi="Arial" w:cs="Arial"/>
                <w:color w:val="000000"/>
                <w:sz w:val="18"/>
                <w:szCs w:val="18"/>
                <w:lang w:val="es-EC" w:eastAsia="es-EC"/>
              </w:rPr>
              <w:t xml:space="preserve">  </w:t>
            </w:r>
          </w:p>
        </w:tc>
        <w:tc>
          <w:tcPr>
            <w:tcW w:w="1080" w:type="dxa"/>
            <w:shd w:val="clear" w:color="auto" w:fill="E2EFD9" w:themeFill="accent6" w:themeFillTint="33"/>
            <w:noWrap/>
            <w:hideMark/>
          </w:tcPr>
          <w:p w14:paraId="2FE40C6D" w14:textId="57E8ADA2"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336.000 </w:t>
            </w:r>
          </w:p>
        </w:tc>
        <w:tc>
          <w:tcPr>
            <w:tcW w:w="4050" w:type="dxa"/>
            <w:gridSpan w:val="2"/>
            <w:shd w:val="clear" w:color="auto" w:fill="E2EFD9" w:themeFill="accent6" w:themeFillTint="33"/>
          </w:tcPr>
          <w:p w14:paraId="6A9296DC"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p>
        </w:tc>
      </w:tr>
      <w:tr w:rsidR="0043620F" w:rsidRPr="00387315" w14:paraId="16B7A5A0" w14:textId="14B275D4" w:rsidTr="000D5546">
        <w:trPr>
          <w:gridAfter w:val="1"/>
          <w:wAfter w:w="8" w:type="dxa"/>
          <w:trHeight w:val="989"/>
        </w:trPr>
        <w:tc>
          <w:tcPr>
            <w:tcW w:w="501" w:type="dxa"/>
            <w:vMerge w:val="restart"/>
            <w:shd w:val="clear" w:color="auto" w:fill="E2EFD9" w:themeFill="accent6" w:themeFillTint="33"/>
            <w:noWrap/>
            <w:hideMark/>
          </w:tcPr>
          <w:p w14:paraId="353EF1FD"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2.7</w:t>
            </w:r>
          </w:p>
        </w:tc>
        <w:tc>
          <w:tcPr>
            <w:tcW w:w="1749" w:type="dxa"/>
            <w:vMerge w:val="restart"/>
            <w:shd w:val="clear" w:color="auto" w:fill="E2EFD9" w:themeFill="accent6" w:themeFillTint="33"/>
            <w:noWrap/>
            <w:hideMark/>
          </w:tcPr>
          <w:p w14:paraId="4AD64B94"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Customización de la Plataforma georreferenciada de la Inversión en Obra Pública, implementada (Carta acuerdo para cubrir consultores)</w:t>
            </w:r>
          </w:p>
        </w:tc>
        <w:tc>
          <w:tcPr>
            <w:tcW w:w="990" w:type="dxa"/>
            <w:shd w:val="clear" w:color="auto" w:fill="auto"/>
            <w:noWrap/>
            <w:hideMark/>
          </w:tcPr>
          <w:p w14:paraId="1A1E5059" w14:textId="77777777"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Física</w:t>
            </w:r>
          </w:p>
        </w:tc>
        <w:tc>
          <w:tcPr>
            <w:tcW w:w="1260" w:type="dxa"/>
            <w:shd w:val="clear" w:color="auto" w:fill="auto"/>
            <w:noWrap/>
            <w:hideMark/>
          </w:tcPr>
          <w:p w14:paraId="17FD292C" w14:textId="77777777"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Informe</w:t>
            </w:r>
          </w:p>
        </w:tc>
        <w:tc>
          <w:tcPr>
            <w:tcW w:w="1080" w:type="dxa"/>
            <w:shd w:val="clear" w:color="auto" w:fill="auto"/>
            <w:noWrap/>
            <w:hideMark/>
          </w:tcPr>
          <w:p w14:paraId="6621315B" w14:textId="0C43F632"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1</w:t>
            </w:r>
          </w:p>
        </w:tc>
        <w:tc>
          <w:tcPr>
            <w:tcW w:w="990" w:type="dxa"/>
            <w:shd w:val="clear" w:color="auto" w:fill="auto"/>
            <w:noWrap/>
            <w:hideMark/>
          </w:tcPr>
          <w:p w14:paraId="226F6EFD" w14:textId="27328B65"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auto"/>
            <w:noWrap/>
            <w:hideMark/>
          </w:tcPr>
          <w:p w14:paraId="2801AE36" w14:textId="591A72FD"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auto"/>
            <w:noWrap/>
            <w:hideMark/>
          </w:tcPr>
          <w:p w14:paraId="63852056" w14:textId="66BA30D2"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auto"/>
            <w:noWrap/>
            <w:hideMark/>
          </w:tcPr>
          <w:p w14:paraId="05367177" w14:textId="0FEFCB1F"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auto"/>
            <w:noWrap/>
            <w:hideMark/>
          </w:tcPr>
          <w:p w14:paraId="14AB9D21" w14:textId="640D4DF9"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1</w:t>
            </w:r>
          </w:p>
        </w:tc>
        <w:tc>
          <w:tcPr>
            <w:tcW w:w="4050" w:type="dxa"/>
            <w:gridSpan w:val="2"/>
          </w:tcPr>
          <w:p w14:paraId="1D5EFBD1" w14:textId="7A44C7EF" w:rsidR="0043620F" w:rsidRPr="00C2120C" w:rsidRDefault="0043620F" w:rsidP="0043620F">
            <w:pPr>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Comprende consultorías especializadas para la customización a las necesidades particulares del País de la plataforma de mapa de inversiones estándar.  El traspaso formal de la plataforma se realizará mediante un convenio y no se incluye el código fuente</w:t>
            </w:r>
          </w:p>
        </w:tc>
      </w:tr>
      <w:tr w:rsidR="0043620F" w:rsidRPr="00A01772" w14:paraId="6FCECDF5" w14:textId="5FEF446F" w:rsidTr="000D5546">
        <w:trPr>
          <w:gridAfter w:val="1"/>
          <w:wAfter w:w="8" w:type="dxa"/>
          <w:trHeight w:val="255"/>
        </w:trPr>
        <w:tc>
          <w:tcPr>
            <w:tcW w:w="501" w:type="dxa"/>
            <w:vMerge/>
            <w:hideMark/>
          </w:tcPr>
          <w:p w14:paraId="1E59AC2A"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p>
        </w:tc>
        <w:tc>
          <w:tcPr>
            <w:tcW w:w="1749" w:type="dxa"/>
            <w:vMerge/>
            <w:hideMark/>
          </w:tcPr>
          <w:p w14:paraId="712E9435"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p>
        </w:tc>
        <w:tc>
          <w:tcPr>
            <w:tcW w:w="990" w:type="dxa"/>
            <w:shd w:val="clear" w:color="auto" w:fill="E2EFD9" w:themeFill="accent6" w:themeFillTint="33"/>
            <w:noWrap/>
            <w:hideMark/>
          </w:tcPr>
          <w:p w14:paraId="22F8A400" w14:textId="7D502E23"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Financiera</w:t>
            </w:r>
          </w:p>
        </w:tc>
        <w:tc>
          <w:tcPr>
            <w:tcW w:w="1260" w:type="dxa"/>
            <w:shd w:val="clear" w:color="auto" w:fill="E2EFD9" w:themeFill="accent6" w:themeFillTint="33"/>
            <w:noWrap/>
            <w:hideMark/>
          </w:tcPr>
          <w:p w14:paraId="37B85976" w14:textId="3BA36521"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US</w:t>
            </w:r>
            <w:r>
              <w:rPr>
                <w:rFonts w:ascii="Arial" w:eastAsia="Times New Roman" w:hAnsi="Arial" w:cs="Arial"/>
                <w:color w:val="000000"/>
                <w:sz w:val="18"/>
                <w:szCs w:val="18"/>
                <w:lang w:val="es-EC" w:eastAsia="es-EC"/>
              </w:rPr>
              <w:t>$</w:t>
            </w:r>
          </w:p>
        </w:tc>
        <w:tc>
          <w:tcPr>
            <w:tcW w:w="1080" w:type="dxa"/>
            <w:shd w:val="clear" w:color="auto" w:fill="E2EFD9" w:themeFill="accent6" w:themeFillTint="33"/>
            <w:noWrap/>
            <w:hideMark/>
          </w:tcPr>
          <w:p w14:paraId="364CC5F4" w14:textId="16DE7BD4"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280.000</w:t>
            </w:r>
          </w:p>
        </w:tc>
        <w:tc>
          <w:tcPr>
            <w:tcW w:w="990" w:type="dxa"/>
            <w:shd w:val="clear" w:color="auto" w:fill="E2EFD9" w:themeFill="accent6" w:themeFillTint="33"/>
            <w:noWrap/>
            <w:hideMark/>
          </w:tcPr>
          <w:p w14:paraId="3A53036C" w14:textId="0806F8AB"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E2EFD9" w:themeFill="accent6" w:themeFillTint="33"/>
            <w:noWrap/>
            <w:hideMark/>
          </w:tcPr>
          <w:p w14:paraId="1DB721A6" w14:textId="0E7E66A8"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E2EFD9" w:themeFill="accent6" w:themeFillTint="33"/>
            <w:noWrap/>
            <w:hideMark/>
          </w:tcPr>
          <w:p w14:paraId="1592A7DC" w14:textId="2234E6CB"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E2EFD9" w:themeFill="accent6" w:themeFillTint="33"/>
            <w:noWrap/>
            <w:hideMark/>
          </w:tcPr>
          <w:p w14:paraId="363E727F" w14:textId="6286B038"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E2EFD9" w:themeFill="accent6" w:themeFillTint="33"/>
            <w:noWrap/>
            <w:hideMark/>
          </w:tcPr>
          <w:p w14:paraId="14BB483B" w14:textId="4EEC6AB3"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280.000</w:t>
            </w:r>
          </w:p>
        </w:tc>
        <w:tc>
          <w:tcPr>
            <w:tcW w:w="4050" w:type="dxa"/>
            <w:gridSpan w:val="2"/>
            <w:shd w:val="clear" w:color="auto" w:fill="E2EFD9" w:themeFill="accent6" w:themeFillTint="33"/>
          </w:tcPr>
          <w:p w14:paraId="79214969" w14:textId="77777777"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p>
        </w:tc>
      </w:tr>
      <w:tr w:rsidR="0043620F" w:rsidRPr="00387315" w14:paraId="7AA3257B" w14:textId="0D0A415A" w:rsidTr="000D5546">
        <w:trPr>
          <w:gridAfter w:val="1"/>
          <w:wAfter w:w="8" w:type="dxa"/>
          <w:trHeight w:val="255"/>
        </w:trPr>
        <w:tc>
          <w:tcPr>
            <w:tcW w:w="501" w:type="dxa"/>
            <w:vMerge w:val="restart"/>
            <w:shd w:val="clear" w:color="auto" w:fill="E2EFD9" w:themeFill="accent6" w:themeFillTint="33"/>
            <w:noWrap/>
            <w:hideMark/>
          </w:tcPr>
          <w:p w14:paraId="6BC017A1"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2.8</w:t>
            </w:r>
          </w:p>
        </w:tc>
        <w:tc>
          <w:tcPr>
            <w:tcW w:w="1749" w:type="dxa"/>
            <w:vMerge w:val="restart"/>
            <w:shd w:val="clear" w:color="auto" w:fill="E2EFD9" w:themeFill="accent6" w:themeFillTint="33"/>
            <w:noWrap/>
            <w:hideMark/>
          </w:tcPr>
          <w:p w14:paraId="43575D6B"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Laboratorio de innovación para mejoramiento de servicios públicos, implementado</w:t>
            </w:r>
          </w:p>
        </w:tc>
        <w:tc>
          <w:tcPr>
            <w:tcW w:w="990" w:type="dxa"/>
            <w:shd w:val="clear" w:color="auto" w:fill="auto"/>
            <w:noWrap/>
            <w:hideMark/>
          </w:tcPr>
          <w:p w14:paraId="09A7BB4D" w14:textId="77777777"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Física</w:t>
            </w:r>
          </w:p>
        </w:tc>
        <w:tc>
          <w:tcPr>
            <w:tcW w:w="1260" w:type="dxa"/>
            <w:shd w:val="clear" w:color="auto" w:fill="auto"/>
            <w:noWrap/>
            <w:hideMark/>
          </w:tcPr>
          <w:p w14:paraId="02C91BE5" w14:textId="77777777"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Laboratorio</w:t>
            </w:r>
          </w:p>
        </w:tc>
        <w:tc>
          <w:tcPr>
            <w:tcW w:w="1080" w:type="dxa"/>
            <w:shd w:val="clear" w:color="auto" w:fill="auto"/>
            <w:noWrap/>
            <w:hideMark/>
          </w:tcPr>
          <w:p w14:paraId="783FC607" w14:textId="64233034"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990" w:type="dxa"/>
            <w:shd w:val="clear" w:color="auto" w:fill="auto"/>
            <w:noWrap/>
            <w:hideMark/>
          </w:tcPr>
          <w:p w14:paraId="419CF055" w14:textId="34FD2F41"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1</w:t>
            </w:r>
          </w:p>
        </w:tc>
        <w:tc>
          <w:tcPr>
            <w:tcW w:w="1080" w:type="dxa"/>
            <w:shd w:val="clear" w:color="auto" w:fill="auto"/>
            <w:noWrap/>
            <w:hideMark/>
          </w:tcPr>
          <w:p w14:paraId="3CBCCC1D" w14:textId="64BB4FFE"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auto"/>
            <w:noWrap/>
            <w:hideMark/>
          </w:tcPr>
          <w:p w14:paraId="31EF4935" w14:textId="00F8A31C"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auto"/>
            <w:noWrap/>
            <w:hideMark/>
          </w:tcPr>
          <w:p w14:paraId="43D83378" w14:textId="5D9628DC"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auto"/>
            <w:noWrap/>
            <w:hideMark/>
          </w:tcPr>
          <w:p w14:paraId="583B6BCB" w14:textId="733251E7"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1 </w:t>
            </w:r>
          </w:p>
        </w:tc>
        <w:tc>
          <w:tcPr>
            <w:tcW w:w="4050" w:type="dxa"/>
            <w:gridSpan w:val="2"/>
          </w:tcPr>
          <w:p w14:paraId="5D79C514" w14:textId="6893FFD2" w:rsidR="0043620F" w:rsidRPr="00C2120C" w:rsidRDefault="0043620F" w:rsidP="0043620F">
            <w:pPr>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Comprende actividades como:  línea de base del Plan de Acción de Gobierno Abierto, diagnóstico para el diseño institucional del laboratorio, ecosistema de innovación, mapeo de actores, recursos; modelo de gestión; estrategia y herramientas de comunicación y convenios de compromiso de alianzas estratégicas; informe de eventos y  campañas digitales; certificados de capacitación para el funcionamiento del laboratorio; resultados de la implementación del proyecto piloto; plan operativo anual, plurianual y las estrategias de sostenibilidad del laboratorio; resultados de las herramientas de monitoreo y medición de impacto; análisis de resultados del modelo de gestión y de la implementación de piloto; análisis de escalabilidad y vinculación con otras entidades</w:t>
            </w:r>
          </w:p>
        </w:tc>
      </w:tr>
      <w:tr w:rsidR="0043620F" w:rsidRPr="00A01772" w14:paraId="2667C7DB" w14:textId="238A70A0" w:rsidTr="000D5546">
        <w:trPr>
          <w:gridAfter w:val="1"/>
          <w:wAfter w:w="8" w:type="dxa"/>
          <w:trHeight w:val="255"/>
        </w:trPr>
        <w:tc>
          <w:tcPr>
            <w:tcW w:w="501" w:type="dxa"/>
            <w:vMerge/>
            <w:hideMark/>
          </w:tcPr>
          <w:p w14:paraId="5FE1DE9C"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p>
        </w:tc>
        <w:tc>
          <w:tcPr>
            <w:tcW w:w="1749" w:type="dxa"/>
            <w:vMerge/>
            <w:hideMark/>
          </w:tcPr>
          <w:p w14:paraId="7725FB7B"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p>
        </w:tc>
        <w:tc>
          <w:tcPr>
            <w:tcW w:w="990" w:type="dxa"/>
            <w:shd w:val="clear" w:color="auto" w:fill="E2EFD9" w:themeFill="accent6" w:themeFillTint="33"/>
            <w:noWrap/>
            <w:vAlign w:val="center"/>
            <w:hideMark/>
          </w:tcPr>
          <w:p w14:paraId="072DA4B5" w14:textId="77777777"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Financiera </w:t>
            </w:r>
          </w:p>
        </w:tc>
        <w:tc>
          <w:tcPr>
            <w:tcW w:w="1260" w:type="dxa"/>
            <w:shd w:val="clear" w:color="auto" w:fill="E2EFD9" w:themeFill="accent6" w:themeFillTint="33"/>
            <w:noWrap/>
            <w:hideMark/>
          </w:tcPr>
          <w:p w14:paraId="7D147384" w14:textId="643087BB"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US</w:t>
            </w:r>
            <w:r>
              <w:rPr>
                <w:rFonts w:ascii="Arial" w:eastAsia="Times New Roman" w:hAnsi="Arial" w:cs="Arial"/>
                <w:color w:val="000000"/>
                <w:sz w:val="18"/>
                <w:szCs w:val="18"/>
                <w:lang w:val="es-EC" w:eastAsia="es-EC"/>
              </w:rPr>
              <w:t>$</w:t>
            </w:r>
          </w:p>
        </w:tc>
        <w:tc>
          <w:tcPr>
            <w:tcW w:w="1080" w:type="dxa"/>
            <w:shd w:val="clear" w:color="auto" w:fill="E2EFD9" w:themeFill="accent6" w:themeFillTint="33"/>
            <w:noWrap/>
            <w:hideMark/>
          </w:tcPr>
          <w:p w14:paraId="14A07EE6" w14:textId="64AA68E5"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r w:rsidRPr="00C2120C">
              <w:rPr>
                <w:rFonts w:ascii="Arial" w:eastAsia="Times New Roman" w:hAnsi="Arial" w:cs="Arial"/>
                <w:color w:val="000000"/>
                <w:sz w:val="18"/>
                <w:szCs w:val="18"/>
                <w:lang w:val="es-EC" w:eastAsia="es-EC"/>
              </w:rPr>
              <w:t xml:space="preserve">    </w:t>
            </w:r>
          </w:p>
        </w:tc>
        <w:tc>
          <w:tcPr>
            <w:tcW w:w="990" w:type="dxa"/>
            <w:shd w:val="clear" w:color="auto" w:fill="E2EFD9" w:themeFill="accent6" w:themeFillTint="33"/>
            <w:noWrap/>
            <w:hideMark/>
          </w:tcPr>
          <w:p w14:paraId="6C30FF6A" w14:textId="788710D9"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w:t>
            </w:r>
            <w:r>
              <w:rPr>
                <w:rFonts w:ascii="Arial" w:eastAsia="Times New Roman" w:hAnsi="Arial" w:cs="Arial"/>
                <w:color w:val="000000"/>
                <w:sz w:val="18"/>
                <w:szCs w:val="18"/>
                <w:lang w:val="es-EC" w:eastAsia="es-EC"/>
              </w:rPr>
              <w:t>168.000</w:t>
            </w:r>
            <w:r w:rsidRPr="00C2120C">
              <w:rPr>
                <w:rFonts w:ascii="Arial" w:eastAsia="Times New Roman" w:hAnsi="Arial" w:cs="Arial"/>
                <w:color w:val="000000"/>
                <w:sz w:val="18"/>
                <w:szCs w:val="18"/>
                <w:lang w:val="es-EC" w:eastAsia="es-EC"/>
              </w:rPr>
              <w:t xml:space="preserve"> </w:t>
            </w:r>
          </w:p>
        </w:tc>
        <w:tc>
          <w:tcPr>
            <w:tcW w:w="1080" w:type="dxa"/>
            <w:shd w:val="clear" w:color="auto" w:fill="E2EFD9" w:themeFill="accent6" w:themeFillTint="33"/>
            <w:noWrap/>
            <w:hideMark/>
          </w:tcPr>
          <w:p w14:paraId="2EC378C0" w14:textId="709E581B"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r w:rsidRPr="00C2120C">
              <w:rPr>
                <w:rFonts w:ascii="Arial" w:eastAsia="Times New Roman" w:hAnsi="Arial" w:cs="Arial"/>
                <w:color w:val="000000"/>
                <w:sz w:val="18"/>
                <w:szCs w:val="18"/>
                <w:lang w:val="es-EC" w:eastAsia="es-EC"/>
              </w:rPr>
              <w:t xml:space="preserve">   </w:t>
            </w:r>
          </w:p>
        </w:tc>
        <w:tc>
          <w:tcPr>
            <w:tcW w:w="1080" w:type="dxa"/>
            <w:shd w:val="clear" w:color="auto" w:fill="E2EFD9" w:themeFill="accent6" w:themeFillTint="33"/>
            <w:noWrap/>
            <w:hideMark/>
          </w:tcPr>
          <w:p w14:paraId="1BFC1F51" w14:textId="05A6E6A5"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E2EFD9" w:themeFill="accent6" w:themeFillTint="33"/>
            <w:noWrap/>
            <w:hideMark/>
          </w:tcPr>
          <w:p w14:paraId="324A176E" w14:textId="6EEAEB88"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r w:rsidRPr="00C2120C">
              <w:rPr>
                <w:rFonts w:ascii="Arial" w:eastAsia="Times New Roman" w:hAnsi="Arial" w:cs="Arial"/>
                <w:color w:val="000000"/>
                <w:sz w:val="18"/>
                <w:szCs w:val="18"/>
                <w:lang w:val="es-EC" w:eastAsia="es-EC"/>
              </w:rPr>
              <w:t xml:space="preserve">   </w:t>
            </w:r>
          </w:p>
        </w:tc>
        <w:tc>
          <w:tcPr>
            <w:tcW w:w="1080" w:type="dxa"/>
            <w:shd w:val="clear" w:color="auto" w:fill="E2EFD9" w:themeFill="accent6" w:themeFillTint="33"/>
            <w:noWrap/>
            <w:hideMark/>
          </w:tcPr>
          <w:p w14:paraId="5F71A8DB" w14:textId="53389F98"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168.000 </w:t>
            </w:r>
          </w:p>
        </w:tc>
        <w:tc>
          <w:tcPr>
            <w:tcW w:w="4050" w:type="dxa"/>
            <w:gridSpan w:val="2"/>
            <w:shd w:val="clear" w:color="auto" w:fill="E2EFD9" w:themeFill="accent6" w:themeFillTint="33"/>
          </w:tcPr>
          <w:p w14:paraId="110F743B"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p>
        </w:tc>
      </w:tr>
      <w:tr w:rsidR="0043620F" w:rsidRPr="00A01772" w14:paraId="3FFCC068" w14:textId="18EAC790" w:rsidTr="000D5546">
        <w:trPr>
          <w:gridAfter w:val="1"/>
          <w:wAfter w:w="8" w:type="dxa"/>
          <w:trHeight w:val="255"/>
        </w:trPr>
        <w:tc>
          <w:tcPr>
            <w:tcW w:w="501" w:type="dxa"/>
            <w:vMerge w:val="restart"/>
            <w:shd w:val="clear" w:color="auto" w:fill="E2EFD9" w:themeFill="accent6" w:themeFillTint="33"/>
            <w:noWrap/>
            <w:hideMark/>
          </w:tcPr>
          <w:p w14:paraId="766ADE6B"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2.9</w:t>
            </w:r>
          </w:p>
        </w:tc>
        <w:tc>
          <w:tcPr>
            <w:tcW w:w="1749" w:type="dxa"/>
            <w:vMerge w:val="restart"/>
            <w:shd w:val="clear" w:color="auto" w:fill="E2EFD9" w:themeFill="accent6" w:themeFillTint="33"/>
            <w:noWrap/>
            <w:hideMark/>
          </w:tcPr>
          <w:p w14:paraId="7CE3A21C"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Portal de datos abiertos rediseñado</w:t>
            </w:r>
          </w:p>
        </w:tc>
        <w:tc>
          <w:tcPr>
            <w:tcW w:w="990" w:type="dxa"/>
            <w:shd w:val="clear" w:color="auto" w:fill="auto"/>
            <w:noWrap/>
            <w:hideMark/>
          </w:tcPr>
          <w:p w14:paraId="43CEF419" w14:textId="77777777"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Física</w:t>
            </w:r>
          </w:p>
        </w:tc>
        <w:tc>
          <w:tcPr>
            <w:tcW w:w="1260" w:type="dxa"/>
            <w:shd w:val="clear" w:color="auto" w:fill="auto"/>
            <w:noWrap/>
            <w:hideMark/>
          </w:tcPr>
          <w:p w14:paraId="75773A85" w14:textId="77777777"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Portal</w:t>
            </w:r>
          </w:p>
        </w:tc>
        <w:tc>
          <w:tcPr>
            <w:tcW w:w="1080" w:type="dxa"/>
            <w:shd w:val="clear" w:color="auto" w:fill="auto"/>
            <w:noWrap/>
            <w:hideMark/>
          </w:tcPr>
          <w:p w14:paraId="7A0CFF8B" w14:textId="41774237"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990" w:type="dxa"/>
            <w:shd w:val="clear" w:color="auto" w:fill="auto"/>
            <w:noWrap/>
            <w:hideMark/>
          </w:tcPr>
          <w:p w14:paraId="5FB461D1" w14:textId="17341173"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1</w:t>
            </w:r>
          </w:p>
        </w:tc>
        <w:tc>
          <w:tcPr>
            <w:tcW w:w="1080" w:type="dxa"/>
            <w:shd w:val="clear" w:color="auto" w:fill="auto"/>
            <w:noWrap/>
            <w:hideMark/>
          </w:tcPr>
          <w:p w14:paraId="2619858A" w14:textId="438E179C"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auto"/>
            <w:noWrap/>
            <w:hideMark/>
          </w:tcPr>
          <w:p w14:paraId="3C24C737" w14:textId="3D2C834E"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auto"/>
            <w:noWrap/>
            <w:hideMark/>
          </w:tcPr>
          <w:p w14:paraId="69FB58C7" w14:textId="6FB613AF"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auto"/>
            <w:noWrap/>
            <w:hideMark/>
          </w:tcPr>
          <w:p w14:paraId="6A89B54A" w14:textId="371E244D"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1</w:t>
            </w:r>
          </w:p>
        </w:tc>
        <w:tc>
          <w:tcPr>
            <w:tcW w:w="4050" w:type="dxa"/>
            <w:gridSpan w:val="2"/>
          </w:tcPr>
          <w:p w14:paraId="01F6A7C6" w14:textId="1864856D" w:rsidR="0043620F" w:rsidRPr="00C2120C" w:rsidRDefault="0043620F" w:rsidP="0043620F">
            <w:pPr>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Comprende actividades como:  Incremento de bases de datos abiertos; Incremento de funcionalidades del Portal</w:t>
            </w:r>
          </w:p>
        </w:tc>
      </w:tr>
      <w:tr w:rsidR="0043620F" w:rsidRPr="00A01772" w14:paraId="175AF047" w14:textId="6E8EFCD7" w:rsidTr="000D5546">
        <w:trPr>
          <w:gridAfter w:val="1"/>
          <w:wAfter w:w="8" w:type="dxa"/>
          <w:trHeight w:val="255"/>
        </w:trPr>
        <w:tc>
          <w:tcPr>
            <w:tcW w:w="501" w:type="dxa"/>
            <w:vMerge/>
            <w:hideMark/>
          </w:tcPr>
          <w:p w14:paraId="5E6E3E88"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p>
        </w:tc>
        <w:tc>
          <w:tcPr>
            <w:tcW w:w="1749" w:type="dxa"/>
            <w:vMerge/>
            <w:hideMark/>
          </w:tcPr>
          <w:p w14:paraId="4661BEB3"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p>
        </w:tc>
        <w:tc>
          <w:tcPr>
            <w:tcW w:w="990" w:type="dxa"/>
            <w:shd w:val="clear" w:color="auto" w:fill="E2EFD9" w:themeFill="accent6" w:themeFillTint="33"/>
            <w:noWrap/>
            <w:hideMark/>
          </w:tcPr>
          <w:p w14:paraId="2EDDA3F5" w14:textId="77777777"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Financiera </w:t>
            </w:r>
          </w:p>
        </w:tc>
        <w:tc>
          <w:tcPr>
            <w:tcW w:w="1260" w:type="dxa"/>
            <w:shd w:val="clear" w:color="auto" w:fill="E2EFD9" w:themeFill="accent6" w:themeFillTint="33"/>
            <w:noWrap/>
            <w:hideMark/>
          </w:tcPr>
          <w:p w14:paraId="07E7BA0F" w14:textId="41E813D5"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US</w:t>
            </w:r>
            <w:r>
              <w:rPr>
                <w:rFonts w:ascii="Arial" w:eastAsia="Times New Roman" w:hAnsi="Arial" w:cs="Arial"/>
                <w:color w:val="000000"/>
                <w:sz w:val="18"/>
                <w:szCs w:val="18"/>
                <w:lang w:val="es-EC" w:eastAsia="es-EC"/>
              </w:rPr>
              <w:t>$</w:t>
            </w:r>
          </w:p>
        </w:tc>
        <w:tc>
          <w:tcPr>
            <w:tcW w:w="1080" w:type="dxa"/>
            <w:shd w:val="clear" w:color="auto" w:fill="E2EFD9" w:themeFill="accent6" w:themeFillTint="33"/>
            <w:noWrap/>
            <w:hideMark/>
          </w:tcPr>
          <w:p w14:paraId="5FD992EF" w14:textId="1A635E0A"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990" w:type="dxa"/>
            <w:shd w:val="clear" w:color="auto" w:fill="E2EFD9" w:themeFill="accent6" w:themeFillTint="33"/>
            <w:noWrap/>
            <w:hideMark/>
          </w:tcPr>
          <w:p w14:paraId="38E6D196" w14:textId="711B64B8"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168.0</w:t>
            </w:r>
            <w:r w:rsidRPr="00C2120C">
              <w:rPr>
                <w:rFonts w:ascii="Arial" w:eastAsia="Times New Roman" w:hAnsi="Arial" w:cs="Arial"/>
                <w:color w:val="000000"/>
                <w:sz w:val="18"/>
                <w:szCs w:val="18"/>
                <w:lang w:val="es-EC" w:eastAsia="es-EC"/>
              </w:rPr>
              <w:t>00</w:t>
            </w:r>
          </w:p>
        </w:tc>
        <w:tc>
          <w:tcPr>
            <w:tcW w:w="1080" w:type="dxa"/>
            <w:shd w:val="clear" w:color="auto" w:fill="E2EFD9" w:themeFill="accent6" w:themeFillTint="33"/>
            <w:noWrap/>
            <w:hideMark/>
          </w:tcPr>
          <w:p w14:paraId="0A033D83" w14:textId="42F3E4CC"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E2EFD9" w:themeFill="accent6" w:themeFillTint="33"/>
            <w:noWrap/>
            <w:hideMark/>
          </w:tcPr>
          <w:p w14:paraId="395B9226" w14:textId="219D4CFD"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E2EFD9" w:themeFill="accent6" w:themeFillTint="33"/>
            <w:noWrap/>
            <w:hideMark/>
          </w:tcPr>
          <w:p w14:paraId="09028131" w14:textId="2A9F4873"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E2EFD9" w:themeFill="accent6" w:themeFillTint="33"/>
            <w:noWrap/>
            <w:hideMark/>
          </w:tcPr>
          <w:p w14:paraId="4022EFEB" w14:textId="20C474F8"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168.000</w:t>
            </w:r>
          </w:p>
        </w:tc>
        <w:tc>
          <w:tcPr>
            <w:tcW w:w="4050" w:type="dxa"/>
            <w:gridSpan w:val="2"/>
            <w:shd w:val="clear" w:color="auto" w:fill="E2EFD9" w:themeFill="accent6" w:themeFillTint="33"/>
          </w:tcPr>
          <w:p w14:paraId="7E86C0DC" w14:textId="77777777"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p>
        </w:tc>
      </w:tr>
      <w:tr w:rsidR="0043620F" w:rsidRPr="00A01772" w14:paraId="7BE97831" w14:textId="12A1B953" w:rsidTr="000D5546">
        <w:trPr>
          <w:gridAfter w:val="1"/>
          <w:wAfter w:w="8" w:type="dxa"/>
          <w:trHeight w:val="255"/>
        </w:trPr>
        <w:tc>
          <w:tcPr>
            <w:tcW w:w="501" w:type="dxa"/>
            <w:vMerge w:val="restart"/>
            <w:shd w:val="clear" w:color="auto" w:fill="E2EFD9" w:themeFill="accent6" w:themeFillTint="33"/>
            <w:noWrap/>
            <w:hideMark/>
          </w:tcPr>
          <w:p w14:paraId="16C08878"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lastRenderedPageBreak/>
              <w:t>2.10</w:t>
            </w:r>
          </w:p>
        </w:tc>
        <w:tc>
          <w:tcPr>
            <w:tcW w:w="1749" w:type="dxa"/>
            <w:vMerge w:val="restart"/>
            <w:shd w:val="clear" w:color="auto" w:fill="E2EFD9" w:themeFill="accent6" w:themeFillTint="33"/>
            <w:noWrap/>
            <w:hideMark/>
          </w:tcPr>
          <w:p w14:paraId="734031AB" w14:textId="77777777" w:rsidR="0043620F" w:rsidRPr="00FA3191" w:rsidRDefault="0043620F" w:rsidP="0043620F">
            <w:pPr>
              <w:spacing w:after="0" w:line="240" w:lineRule="auto"/>
              <w:rPr>
                <w:rFonts w:ascii="Arial" w:eastAsia="Times New Roman" w:hAnsi="Arial" w:cs="Arial"/>
                <w:color w:val="000000"/>
                <w:sz w:val="18"/>
                <w:szCs w:val="18"/>
                <w:lang w:val="es-EC" w:eastAsia="es-EC"/>
              </w:rPr>
            </w:pPr>
            <w:r w:rsidRPr="00FA3191">
              <w:rPr>
                <w:rFonts w:ascii="Arial" w:eastAsia="Times New Roman" w:hAnsi="Arial" w:cs="Arial"/>
                <w:color w:val="000000"/>
                <w:sz w:val="18"/>
                <w:szCs w:val="18"/>
                <w:lang w:val="es-EC" w:eastAsia="es-EC"/>
              </w:rPr>
              <w:t>Informes técnicos para promover la transparencia en las industrias extractivas, realizados</w:t>
            </w:r>
          </w:p>
        </w:tc>
        <w:tc>
          <w:tcPr>
            <w:tcW w:w="990" w:type="dxa"/>
            <w:shd w:val="clear" w:color="auto" w:fill="auto"/>
            <w:noWrap/>
            <w:hideMark/>
          </w:tcPr>
          <w:p w14:paraId="00BE514E" w14:textId="77777777" w:rsidR="0043620F" w:rsidRPr="00FA3191" w:rsidRDefault="0043620F" w:rsidP="0043620F">
            <w:pPr>
              <w:spacing w:after="0" w:line="240" w:lineRule="auto"/>
              <w:jc w:val="center"/>
              <w:rPr>
                <w:rFonts w:ascii="Arial" w:eastAsia="Times New Roman" w:hAnsi="Arial" w:cs="Arial"/>
                <w:color w:val="000000"/>
                <w:sz w:val="18"/>
                <w:szCs w:val="18"/>
                <w:lang w:val="es-EC" w:eastAsia="es-EC"/>
              </w:rPr>
            </w:pPr>
            <w:r w:rsidRPr="00FA3191">
              <w:rPr>
                <w:rFonts w:ascii="Arial" w:eastAsia="Times New Roman" w:hAnsi="Arial" w:cs="Arial"/>
                <w:color w:val="000000"/>
                <w:sz w:val="18"/>
                <w:szCs w:val="18"/>
                <w:lang w:val="es-EC" w:eastAsia="es-EC"/>
              </w:rPr>
              <w:t>Física</w:t>
            </w:r>
          </w:p>
        </w:tc>
        <w:tc>
          <w:tcPr>
            <w:tcW w:w="1260" w:type="dxa"/>
            <w:shd w:val="clear" w:color="auto" w:fill="auto"/>
            <w:noWrap/>
            <w:hideMark/>
          </w:tcPr>
          <w:p w14:paraId="2041CB45" w14:textId="77777777" w:rsidR="0043620F" w:rsidRPr="00FA3191" w:rsidRDefault="0043620F" w:rsidP="0043620F">
            <w:pPr>
              <w:spacing w:after="0" w:line="240" w:lineRule="auto"/>
              <w:jc w:val="center"/>
              <w:rPr>
                <w:rFonts w:ascii="Arial" w:eastAsia="Times New Roman" w:hAnsi="Arial" w:cs="Arial"/>
                <w:color w:val="000000"/>
                <w:sz w:val="18"/>
                <w:szCs w:val="18"/>
                <w:lang w:val="es-EC" w:eastAsia="es-EC"/>
              </w:rPr>
            </w:pPr>
            <w:r w:rsidRPr="00FA3191">
              <w:rPr>
                <w:rFonts w:ascii="Arial" w:eastAsia="Times New Roman" w:hAnsi="Arial" w:cs="Arial"/>
                <w:color w:val="000000"/>
                <w:sz w:val="18"/>
                <w:szCs w:val="18"/>
                <w:lang w:val="es-EC" w:eastAsia="es-EC"/>
              </w:rPr>
              <w:t>Informes</w:t>
            </w:r>
          </w:p>
        </w:tc>
        <w:tc>
          <w:tcPr>
            <w:tcW w:w="1080" w:type="dxa"/>
            <w:shd w:val="clear" w:color="auto" w:fill="auto"/>
            <w:noWrap/>
            <w:hideMark/>
          </w:tcPr>
          <w:p w14:paraId="171FD6CF" w14:textId="3BAB22A5" w:rsidR="0043620F" w:rsidRPr="00FA3191" w:rsidRDefault="0043620F" w:rsidP="0043620F">
            <w:pPr>
              <w:spacing w:after="0" w:line="240" w:lineRule="auto"/>
              <w:jc w:val="right"/>
              <w:rPr>
                <w:rFonts w:ascii="Arial" w:eastAsia="Times New Roman" w:hAnsi="Arial" w:cs="Arial"/>
                <w:color w:val="000000"/>
                <w:sz w:val="18"/>
                <w:szCs w:val="18"/>
                <w:lang w:val="es-EC" w:eastAsia="es-EC"/>
              </w:rPr>
            </w:pPr>
            <w:r w:rsidRPr="00FA3191">
              <w:rPr>
                <w:rFonts w:ascii="Arial" w:eastAsia="Times New Roman" w:hAnsi="Arial" w:cs="Arial"/>
                <w:color w:val="000000"/>
                <w:sz w:val="18"/>
                <w:szCs w:val="18"/>
                <w:lang w:val="es-EC" w:eastAsia="es-EC"/>
              </w:rPr>
              <w:t>0</w:t>
            </w:r>
          </w:p>
        </w:tc>
        <w:tc>
          <w:tcPr>
            <w:tcW w:w="990" w:type="dxa"/>
            <w:shd w:val="clear" w:color="auto" w:fill="auto"/>
            <w:noWrap/>
            <w:hideMark/>
          </w:tcPr>
          <w:p w14:paraId="3B807FC8" w14:textId="2F5CD6A1" w:rsidR="0043620F" w:rsidRPr="00FA3191" w:rsidRDefault="0043620F" w:rsidP="0043620F">
            <w:pPr>
              <w:spacing w:after="0" w:line="240" w:lineRule="auto"/>
              <w:jc w:val="right"/>
              <w:rPr>
                <w:rFonts w:ascii="Arial" w:eastAsia="Times New Roman" w:hAnsi="Arial" w:cs="Arial"/>
                <w:color w:val="000000"/>
                <w:sz w:val="18"/>
                <w:szCs w:val="18"/>
                <w:lang w:val="es-EC" w:eastAsia="es-EC"/>
              </w:rPr>
            </w:pPr>
            <w:r w:rsidRPr="00FA3191">
              <w:rPr>
                <w:rFonts w:ascii="Arial" w:eastAsia="Times New Roman" w:hAnsi="Arial" w:cs="Arial"/>
                <w:color w:val="000000"/>
                <w:sz w:val="18"/>
                <w:szCs w:val="18"/>
                <w:lang w:val="es-EC" w:eastAsia="es-EC"/>
              </w:rPr>
              <w:t>0</w:t>
            </w:r>
          </w:p>
        </w:tc>
        <w:tc>
          <w:tcPr>
            <w:tcW w:w="1080" w:type="dxa"/>
            <w:shd w:val="clear" w:color="auto" w:fill="auto"/>
            <w:noWrap/>
            <w:hideMark/>
          </w:tcPr>
          <w:p w14:paraId="4BB2DCCE" w14:textId="17A2AB4B" w:rsidR="0043620F" w:rsidRPr="00FA3191" w:rsidRDefault="0043620F" w:rsidP="0043620F">
            <w:pPr>
              <w:spacing w:after="0" w:line="240" w:lineRule="auto"/>
              <w:jc w:val="right"/>
              <w:rPr>
                <w:rFonts w:ascii="Arial" w:eastAsia="Times New Roman" w:hAnsi="Arial" w:cs="Arial"/>
                <w:color w:val="000000"/>
                <w:sz w:val="18"/>
                <w:szCs w:val="18"/>
                <w:lang w:val="es-EC" w:eastAsia="es-EC"/>
              </w:rPr>
            </w:pPr>
            <w:r w:rsidRPr="00FA3191">
              <w:rPr>
                <w:rFonts w:ascii="Arial" w:eastAsia="Times New Roman" w:hAnsi="Arial" w:cs="Arial"/>
                <w:color w:val="000000"/>
                <w:sz w:val="18"/>
                <w:szCs w:val="18"/>
                <w:lang w:val="es-EC" w:eastAsia="es-EC"/>
              </w:rPr>
              <w:t>1</w:t>
            </w:r>
          </w:p>
        </w:tc>
        <w:tc>
          <w:tcPr>
            <w:tcW w:w="1080" w:type="dxa"/>
            <w:shd w:val="clear" w:color="auto" w:fill="auto"/>
            <w:noWrap/>
            <w:hideMark/>
          </w:tcPr>
          <w:p w14:paraId="27CDB563" w14:textId="569216B0" w:rsidR="0043620F" w:rsidRPr="00FA3191" w:rsidRDefault="0043620F" w:rsidP="0043620F">
            <w:pPr>
              <w:spacing w:after="0" w:line="240" w:lineRule="auto"/>
              <w:jc w:val="right"/>
              <w:rPr>
                <w:rFonts w:ascii="Arial" w:eastAsia="Times New Roman" w:hAnsi="Arial" w:cs="Arial"/>
                <w:color w:val="000000"/>
                <w:sz w:val="18"/>
                <w:szCs w:val="18"/>
                <w:lang w:val="es-EC" w:eastAsia="es-EC"/>
              </w:rPr>
            </w:pPr>
            <w:r w:rsidRPr="00FA3191">
              <w:rPr>
                <w:rFonts w:ascii="Arial" w:eastAsia="Times New Roman" w:hAnsi="Arial" w:cs="Arial"/>
                <w:color w:val="000000"/>
                <w:sz w:val="18"/>
                <w:szCs w:val="18"/>
                <w:lang w:val="es-EC" w:eastAsia="es-EC"/>
              </w:rPr>
              <w:t>0</w:t>
            </w:r>
          </w:p>
        </w:tc>
        <w:tc>
          <w:tcPr>
            <w:tcW w:w="1080" w:type="dxa"/>
            <w:shd w:val="clear" w:color="auto" w:fill="auto"/>
            <w:noWrap/>
            <w:hideMark/>
          </w:tcPr>
          <w:p w14:paraId="19B455AF" w14:textId="3D7D51DA" w:rsidR="0043620F" w:rsidRPr="00FA3191" w:rsidRDefault="0043620F" w:rsidP="0043620F">
            <w:pPr>
              <w:spacing w:after="0" w:line="240" w:lineRule="auto"/>
              <w:jc w:val="right"/>
              <w:rPr>
                <w:rFonts w:ascii="Arial" w:eastAsia="Times New Roman" w:hAnsi="Arial" w:cs="Arial"/>
                <w:color w:val="000000"/>
                <w:sz w:val="18"/>
                <w:szCs w:val="18"/>
                <w:lang w:val="es-EC" w:eastAsia="es-EC"/>
              </w:rPr>
            </w:pPr>
            <w:r w:rsidRPr="00FA3191">
              <w:rPr>
                <w:rFonts w:ascii="Arial" w:eastAsia="Times New Roman" w:hAnsi="Arial" w:cs="Arial"/>
                <w:color w:val="000000"/>
                <w:sz w:val="18"/>
                <w:szCs w:val="18"/>
                <w:lang w:val="es-EC" w:eastAsia="es-EC"/>
              </w:rPr>
              <w:t>0</w:t>
            </w:r>
          </w:p>
        </w:tc>
        <w:tc>
          <w:tcPr>
            <w:tcW w:w="1080" w:type="dxa"/>
            <w:shd w:val="clear" w:color="auto" w:fill="auto"/>
            <w:noWrap/>
            <w:hideMark/>
          </w:tcPr>
          <w:p w14:paraId="3647CF53" w14:textId="6E62D2D6" w:rsidR="0043620F" w:rsidRPr="00FA3191" w:rsidRDefault="0043620F" w:rsidP="0043620F">
            <w:pPr>
              <w:spacing w:after="0" w:line="240" w:lineRule="auto"/>
              <w:jc w:val="right"/>
              <w:rPr>
                <w:rFonts w:ascii="Arial" w:eastAsia="Times New Roman" w:hAnsi="Arial" w:cs="Arial"/>
                <w:color w:val="000000"/>
                <w:sz w:val="18"/>
                <w:szCs w:val="18"/>
                <w:lang w:val="es-EC" w:eastAsia="es-EC"/>
              </w:rPr>
            </w:pPr>
            <w:r w:rsidRPr="00FA3191">
              <w:rPr>
                <w:rFonts w:ascii="Arial" w:eastAsia="Times New Roman" w:hAnsi="Arial" w:cs="Arial"/>
                <w:color w:val="000000"/>
                <w:sz w:val="18"/>
                <w:szCs w:val="18"/>
                <w:lang w:val="es-EC" w:eastAsia="es-EC"/>
              </w:rPr>
              <w:t xml:space="preserve">                1 </w:t>
            </w:r>
          </w:p>
        </w:tc>
        <w:tc>
          <w:tcPr>
            <w:tcW w:w="4050" w:type="dxa"/>
            <w:gridSpan w:val="2"/>
          </w:tcPr>
          <w:p w14:paraId="614F734D" w14:textId="77777777"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p>
        </w:tc>
      </w:tr>
      <w:tr w:rsidR="0043620F" w:rsidRPr="00A01772" w14:paraId="5843D9F2" w14:textId="40073C1F" w:rsidTr="000D5546">
        <w:trPr>
          <w:gridAfter w:val="1"/>
          <w:wAfter w:w="8" w:type="dxa"/>
          <w:trHeight w:val="255"/>
        </w:trPr>
        <w:tc>
          <w:tcPr>
            <w:tcW w:w="501" w:type="dxa"/>
            <w:vMerge/>
            <w:hideMark/>
          </w:tcPr>
          <w:p w14:paraId="46B4F639"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p>
        </w:tc>
        <w:tc>
          <w:tcPr>
            <w:tcW w:w="1749" w:type="dxa"/>
            <w:vMerge/>
            <w:hideMark/>
          </w:tcPr>
          <w:p w14:paraId="2756BD74" w14:textId="77777777" w:rsidR="0043620F" w:rsidRPr="00FA3191" w:rsidRDefault="0043620F" w:rsidP="0043620F">
            <w:pPr>
              <w:spacing w:after="0" w:line="240" w:lineRule="auto"/>
              <w:rPr>
                <w:rFonts w:ascii="Arial" w:eastAsia="Times New Roman" w:hAnsi="Arial" w:cs="Arial"/>
                <w:color w:val="000000"/>
                <w:sz w:val="18"/>
                <w:szCs w:val="18"/>
                <w:lang w:val="es-EC" w:eastAsia="es-EC"/>
              </w:rPr>
            </w:pPr>
          </w:p>
        </w:tc>
        <w:tc>
          <w:tcPr>
            <w:tcW w:w="990" w:type="dxa"/>
            <w:shd w:val="clear" w:color="auto" w:fill="E2EFD9" w:themeFill="accent6" w:themeFillTint="33"/>
            <w:noWrap/>
            <w:hideMark/>
          </w:tcPr>
          <w:p w14:paraId="45AECF53" w14:textId="6FEFA249" w:rsidR="0043620F" w:rsidRPr="00FA3191" w:rsidRDefault="0043620F" w:rsidP="0043620F">
            <w:pPr>
              <w:spacing w:after="0" w:line="240" w:lineRule="auto"/>
              <w:jc w:val="center"/>
              <w:rPr>
                <w:rFonts w:ascii="Arial" w:eastAsia="Times New Roman" w:hAnsi="Arial" w:cs="Arial"/>
                <w:color w:val="000000"/>
                <w:sz w:val="18"/>
                <w:szCs w:val="18"/>
                <w:lang w:val="es-EC" w:eastAsia="es-EC"/>
              </w:rPr>
            </w:pPr>
          </w:p>
        </w:tc>
        <w:tc>
          <w:tcPr>
            <w:tcW w:w="1260" w:type="dxa"/>
            <w:shd w:val="clear" w:color="auto" w:fill="E2EFD9" w:themeFill="accent6" w:themeFillTint="33"/>
            <w:noWrap/>
            <w:hideMark/>
          </w:tcPr>
          <w:p w14:paraId="5E54883B" w14:textId="5731AF26" w:rsidR="0043620F" w:rsidRPr="00FA3191" w:rsidRDefault="0043620F" w:rsidP="0043620F">
            <w:pPr>
              <w:spacing w:after="0" w:line="240" w:lineRule="auto"/>
              <w:jc w:val="center"/>
              <w:rPr>
                <w:rFonts w:ascii="Arial" w:eastAsia="Times New Roman" w:hAnsi="Arial" w:cs="Arial"/>
                <w:color w:val="000000"/>
                <w:sz w:val="18"/>
                <w:szCs w:val="18"/>
                <w:lang w:val="es-EC" w:eastAsia="es-EC"/>
              </w:rPr>
            </w:pPr>
          </w:p>
        </w:tc>
        <w:tc>
          <w:tcPr>
            <w:tcW w:w="1080" w:type="dxa"/>
            <w:shd w:val="clear" w:color="auto" w:fill="E2EFD9" w:themeFill="accent6" w:themeFillTint="33"/>
            <w:noWrap/>
            <w:hideMark/>
          </w:tcPr>
          <w:p w14:paraId="6BFB1A8B" w14:textId="6668F53B" w:rsidR="0043620F" w:rsidRPr="00FA3191" w:rsidRDefault="0043620F" w:rsidP="000D5546">
            <w:pPr>
              <w:spacing w:after="0" w:line="240" w:lineRule="auto"/>
              <w:jc w:val="right"/>
              <w:rPr>
                <w:rFonts w:ascii="Arial" w:eastAsia="Times New Roman" w:hAnsi="Arial" w:cs="Arial"/>
                <w:color w:val="000000"/>
                <w:sz w:val="18"/>
                <w:szCs w:val="18"/>
                <w:lang w:val="es-EC" w:eastAsia="es-EC"/>
              </w:rPr>
            </w:pPr>
            <w:r w:rsidRPr="000D5546">
              <w:rPr>
                <w:rFonts w:ascii="Arial" w:eastAsia="Times New Roman" w:hAnsi="Arial" w:cs="Arial"/>
                <w:color w:val="000000"/>
                <w:sz w:val="18"/>
                <w:szCs w:val="18"/>
                <w:lang w:val="es-EC" w:eastAsia="es-EC"/>
              </w:rPr>
              <w:t xml:space="preserve">0   </w:t>
            </w:r>
          </w:p>
        </w:tc>
        <w:tc>
          <w:tcPr>
            <w:tcW w:w="990" w:type="dxa"/>
            <w:shd w:val="clear" w:color="auto" w:fill="E2EFD9" w:themeFill="accent6" w:themeFillTint="33"/>
            <w:noWrap/>
            <w:hideMark/>
          </w:tcPr>
          <w:p w14:paraId="1B3641E8" w14:textId="6041F725" w:rsidR="0043620F" w:rsidRPr="00FA3191" w:rsidRDefault="0043620F" w:rsidP="000D5546">
            <w:pPr>
              <w:spacing w:after="0" w:line="240" w:lineRule="auto"/>
              <w:jc w:val="right"/>
              <w:rPr>
                <w:rFonts w:ascii="Arial" w:eastAsia="Times New Roman" w:hAnsi="Arial" w:cs="Arial"/>
                <w:color w:val="000000"/>
                <w:sz w:val="18"/>
                <w:szCs w:val="18"/>
                <w:lang w:val="es-EC" w:eastAsia="es-EC"/>
              </w:rPr>
            </w:pPr>
            <w:r w:rsidRPr="000D5546">
              <w:rPr>
                <w:rFonts w:ascii="Arial" w:eastAsia="Times New Roman" w:hAnsi="Arial" w:cs="Arial"/>
                <w:color w:val="000000"/>
                <w:sz w:val="18"/>
                <w:szCs w:val="18"/>
                <w:lang w:val="es-EC" w:eastAsia="es-EC"/>
              </w:rPr>
              <w:t xml:space="preserve"> 0   </w:t>
            </w:r>
          </w:p>
        </w:tc>
        <w:tc>
          <w:tcPr>
            <w:tcW w:w="1080" w:type="dxa"/>
            <w:shd w:val="clear" w:color="auto" w:fill="E2EFD9" w:themeFill="accent6" w:themeFillTint="33"/>
            <w:noWrap/>
          </w:tcPr>
          <w:p w14:paraId="0B8B1B0E" w14:textId="70A11208" w:rsidR="0043620F" w:rsidRPr="00FA3191" w:rsidRDefault="0043620F" w:rsidP="000D5546">
            <w:pPr>
              <w:spacing w:after="0" w:line="240" w:lineRule="auto"/>
              <w:jc w:val="right"/>
              <w:rPr>
                <w:rFonts w:ascii="Arial" w:eastAsia="Times New Roman" w:hAnsi="Arial" w:cs="Arial"/>
                <w:color w:val="000000"/>
                <w:sz w:val="18"/>
                <w:szCs w:val="18"/>
                <w:lang w:val="es-EC" w:eastAsia="es-EC"/>
              </w:rPr>
            </w:pPr>
            <w:r w:rsidRPr="000D5546">
              <w:rPr>
                <w:rFonts w:ascii="Arial" w:eastAsia="Times New Roman" w:hAnsi="Arial" w:cs="Arial"/>
                <w:color w:val="000000"/>
                <w:sz w:val="18"/>
                <w:szCs w:val="18"/>
                <w:lang w:val="es-EC" w:eastAsia="es-EC"/>
              </w:rPr>
              <w:t>392.000</w:t>
            </w:r>
          </w:p>
        </w:tc>
        <w:tc>
          <w:tcPr>
            <w:tcW w:w="1080" w:type="dxa"/>
            <w:shd w:val="clear" w:color="auto" w:fill="E2EFD9" w:themeFill="accent6" w:themeFillTint="33"/>
            <w:noWrap/>
          </w:tcPr>
          <w:p w14:paraId="72999D48" w14:textId="4FE61FDB" w:rsidR="0043620F" w:rsidRPr="00FA3191" w:rsidRDefault="0043620F" w:rsidP="000D5546">
            <w:pPr>
              <w:spacing w:after="0" w:line="240" w:lineRule="auto"/>
              <w:jc w:val="right"/>
              <w:rPr>
                <w:rFonts w:ascii="Arial" w:eastAsia="Times New Roman" w:hAnsi="Arial" w:cs="Arial"/>
                <w:color w:val="000000"/>
                <w:sz w:val="18"/>
                <w:szCs w:val="18"/>
                <w:lang w:val="es-EC" w:eastAsia="es-EC"/>
              </w:rPr>
            </w:pPr>
            <w:r w:rsidRPr="000D5546">
              <w:rPr>
                <w:rFonts w:ascii="Arial" w:eastAsia="Times New Roman" w:hAnsi="Arial" w:cs="Arial"/>
                <w:color w:val="000000"/>
                <w:sz w:val="18"/>
                <w:szCs w:val="18"/>
                <w:lang w:val="es-EC" w:eastAsia="es-EC"/>
              </w:rPr>
              <w:t>0</w:t>
            </w:r>
          </w:p>
        </w:tc>
        <w:tc>
          <w:tcPr>
            <w:tcW w:w="1080" w:type="dxa"/>
            <w:shd w:val="clear" w:color="auto" w:fill="E2EFD9" w:themeFill="accent6" w:themeFillTint="33"/>
            <w:noWrap/>
          </w:tcPr>
          <w:p w14:paraId="0A33D203" w14:textId="02649F37" w:rsidR="0043620F" w:rsidRPr="00FA3191" w:rsidRDefault="0043620F" w:rsidP="000D5546">
            <w:pPr>
              <w:spacing w:after="0" w:line="240" w:lineRule="auto"/>
              <w:jc w:val="right"/>
              <w:rPr>
                <w:rFonts w:ascii="Arial" w:eastAsia="Times New Roman" w:hAnsi="Arial" w:cs="Arial"/>
                <w:color w:val="000000"/>
                <w:sz w:val="18"/>
                <w:szCs w:val="18"/>
                <w:lang w:val="es-EC" w:eastAsia="es-EC"/>
              </w:rPr>
            </w:pPr>
            <w:r w:rsidRPr="000D5546">
              <w:rPr>
                <w:rFonts w:ascii="Arial" w:eastAsia="Times New Roman" w:hAnsi="Arial" w:cs="Arial"/>
                <w:color w:val="000000"/>
                <w:sz w:val="18"/>
                <w:szCs w:val="18"/>
                <w:lang w:val="es-EC" w:eastAsia="es-EC"/>
              </w:rPr>
              <w:t>0</w:t>
            </w:r>
          </w:p>
        </w:tc>
        <w:tc>
          <w:tcPr>
            <w:tcW w:w="1080" w:type="dxa"/>
            <w:shd w:val="clear" w:color="auto" w:fill="E2EFD9" w:themeFill="accent6" w:themeFillTint="33"/>
            <w:noWrap/>
          </w:tcPr>
          <w:p w14:paraId="010C8480" w14:textId="59007CE2" w:rsidR="0043620F" w:rsidRPr="00FA3191" w:rsidRDefault="0043620F" w:rsidP="000D5546">
            <w:pPr>
              <w:spacing w:after="0" w:line="240" w:lineRule="auto"/>
              <w:jc w:val="right"/>
              <w:rPr>
                <w:rFonts w:ascii="Arial" w:eastAsia="Times New Roman" w:hAnsi="Arial" w:cs="Arial"/>
                <w:color w:val="000000"/>
                <w:sz w:val="18"/>
                <w:szCs w:val="18"/>
                <w:lang w:val="es-EC" w:eastAsia="es-EC"/>
              </w:rPr>
            </w:pPr>
            <w:r w:rsidRPr="000D5546">
              <w:rPr>
                <w:rFonts w:ascii="Arial" w:eastAsia="Times New Roman" w:hAnsi="Arial" w:cs="Arial"/>
                <w:color w:val="000000"/>
                <w:sz w:val="18"/>
                <w:szCs w:val="18"/>
                <w:lang w:val="es-EC" w:eastAsia="es-EC"/>
              </w:rPr>
              <w:t>392.000</w:t>
            </w:r>
          </w:p>
        </w:tc>
        <w:tc>
          <w:tcPr>
            <w:tcW w:w="4050" w:type="dxa"/>
            <w:gridSpan w:val="2"/>
            <w:shd w:val="clear" w:color="auto" w:fill="E2EFD9" w:themeFill="accent6" w:themeFillTint="33"/>
          </w:tcPr>
          <w:p w14:paraId="709A415C" w14:textId="77777777"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p>
        </w:tc>
      </w:tr>
      <w:tr w:rsidR="0043620F" w:rsidRPr="00A01772" w14:paraId="18DAF90A" w14:textId="68CA46ED" w:rsidTr="000D5546">
        <w:trPr>
          <w:gridAfter w:val="1"/>
          <w:wAfter w:w="8" w:type="dxa"/>
          <w:trHeight w:val="300"/>
        </w:trPr>
        <w:tc>
          <w:tcPr>
            <w:tcW w:w="501" w:type="dxa"/>
            <w:shd w:val="clear" w:color="auto" w:fill="B4C6E7" w:themeFill="accent1" w:themeFillTint="66"/>
            <w:noWrap/>
            <w:hideMark/>
          </w:tcPr>
          <w:p w14:paraId="3E0D02A4" w14:textId="02C3D7A7" w:rsidR="0043620F" w:rsidRPr="00C2120C" w:rsidRDefault="0043620F" w:rsidP="000D5546">
            <w:pPr>
              <w:spacing w:before="20" w:after="20" w:line="240" w:lineRule="auto"/>
              <w:rPr>
                <w:rFonts w:ascii="Arial" w:eastAsia="Times New Roman" w:hAnsi="Arial" w:cs="Arial"/>
                <w:b/>
                <w:bCs/>
                <w:color w:val="000000"/>
                <w:sz w:val="18"/>
                <w:szCs w:val="18"/>
                <w:lang w:val="es-EC" w:eastAsia="es-EC"/>
              </w:rPr>
            </w:pPr>
            <w:r w:rsidRPr="000D5546">
              <w:rPr>
                <w:rFonts w:ascii="Arial" w:eastAsia="Times New Roman" w:hAnsi="Arial" w:cs="Arial"/>
                <w:b/>
                <w:bCs/>
                <w:color w:val="000000"/>
                <w:sz w:val="18"/>
                <w:szCs w:val="18"/>
                <w:lang w:val="es-EC" w:eastAsia="es-EC"/>
              </w:rPr>
              <w:t>3</w:t>
            </w:r>
          </w:p>
        </w:tc>
        <w:tc>
          <w:tcPr>
            <w:tcW w:w="1749" w:type="dxa"/>
            <w:shd w:val="clear" w:color="auto" w:fill="B4C6E7" w:themeFill="accent1" w:themeFillTint="66"/>
            <w:noWrap/>
            <w:hideMark/>
          </w:tcPr>
          <w:p w14:paraId="142B17D6" w14:textId="2E34C436" w:rsidR="0043620F" w:rsidRPr="00C2120C" w:rsidRDefault="0043620F" w:rsidP="000D5546">
            <w:pPr>
              <w:spacing w:before="20" w:after="20" w:line="240" w:lineRule="auto"/>
              <w:rPr>
                <w:rFonts w:ascii="Arial" w:eastAsia="Times New Roman" w:hAnsi="Arial" w:cs="Arial"/>
                <w:b/>
                <w:bCs/>
                <w:color w:val="000000"/>
                <w:sz w:val="18"/>
                <w:szCs w:val="18"/>
                <w:lang w:val="es-EC" w:eastAsia="es-EC"/>
              </w:rPr>
            </w:pPr>
            <w:r w:rsidRPr="000D5546">
              <w:rPr>
                <w:rFonts w:ascii="Arial" w:eastAsia="Times New Roman" w:hAnsi="Arial" w:cs="Arial"/>
                <w:b/>
                <w:bCs/>
                <w:color w:val="000000"/>
                <w:sz w:val="18"/>
                <w:szCs w:val="18"/>
                <w:lang w:val="es-EC" w:eastAsia="es-EC"/>
              </w:rPr>
              <w:t xml:space="preserve">   Fortalecimiento de la gestión de entidades y activos públicos de apoyo a la competitividad</w:t>
            </w:r>
          </w:p>
        </w:tc>
        <w:tc>
          <w:tcPr>
            <w:tcW w:w="990" w:type="dxa"/>
            <w:shd w:val="clear" w:color="auto" w:fill="B4C6E7" w:themeFill="accent1" w:themeFillTint="66"/>
            <w:noWrap/>
            <w:hideMark/>
          </w:tcPr>
          <w:p w14:paraId="543E2071" w14:textId="1703F3FF" w:rsidR="0043620F" w:rsidRPr="000D5546" w:rsidRDefault="0043620F" w:rsidP="000D5546">
            <w:pPr>
              <w:spacing w:before="20" w:after="20" w:line="240" w:lineRule="auto"/>
              <w:jc w:val="right"/>
              <w:rPr>
                <w:rFonts w:ascii="Arial" w:eastAsia="Times New Roman" w:hAnsi="Arial" w:cs="Arial"/>
                <w:b/>
                <w:bCs/>
                <w:color w:val="000000"/>
                <w:sz w:val="18"/>
                <w:szCs w:val="18"/>
                <w:lang w:val="es-EC" w:eastAsia="es-EC"/>
              </w:rPr>
            </w:pPr>
          </w:p>
        </w:tc>
        <w:tc>
          <w:tcPr>
            <w:tcW w:w="1260" w:type="dxa"/>
            <w:shd w:val="clear" w:color="auto" w:fill="B4C6E7" w:themeFill="accent1" w:themeFillTint="66"/>
            <w:noWrap/>
            <w:hideMark/>
          </w:tcPr>
          <w:p w14:paraId="6E6F75A0" w14:textId="39581B58" w:rsidR="0043620F" w:rsidRPr="000D5546" w:rsidRDefault="0043620F" w:rsidP="000D5546">
            <w:pPr>
              <w:spacing w:before="20" w:after="20" w:line="240" w:lineRule="auto"/>
              <w:jc w:val="center"/>
              <w:rPr>
                <w:rFonts w:ascii="Arial" w:eastAsia="Times New Roman" w:hAnsi="Arial" w:cs="Arial"/>
                <w:b/>
                <w:bCs/>
                <w:color w:val="000000"/>
                <w:sz w:val="18"/>
                <w:szCs w:val="18"/>
                <w:lang w:val="es-EC" w:eastAsia="es-EC"/>
              </w:rPr>
            </w:pPr>
          </w:p>
        </w:tc>
        <w:tc>
          <w:tcPr>
            <w:tcW w:w="1080" w:type="dxa"/>
            <w:shd w:val="clear" w:color="auto" w:fill="B4C6E7" w:themeFill="accent1" w:themeFillTint="66"/>
            <w:noWrap/>
            <w:hideMark/>
          </w:tcPr>
          <w:p w14:paraId="45006E84" w14:textId="074CF7CC" w:rsidR="0043620F" w:rsidRPr="00C2120C" w:rsidRDefault="0043620F" w:rsidP="000D5546">
            <w:pPr>
              <w:spacing w:before="20" w:after="20" w:line="240" w:lineRule="auto"/>
              <w:jc w:val="right"/>
              <w:rPr>
                <w:rFonts w:ascii="Arial" w:eastAsia="Times New Roman" w:hAnsi="Arial" w:cs="Arial"/>
                <w:b/>
                <w:bCs/>
                <w:color w:val="000000"/>
                <w:sz w:val="18"/>
                <w:szCs w:val="18"/>
                <w:lang w:val="es-EC" w:eastAsia="es-EC"/>
              </w:rPr>
            </w:pPr>
            <w:r w:rsidRPr="000D5546">
              <w:rPr>
                <w:rFonts w:ascii="Arial" w:eastAsia="Times New Roman" w:hAnsi="Arial" w:cs="Arial"/>
                <w:b/>
                <w:bCs/>
                <w:color w:val="000000"/>
                <w:sz w:val="18"/>
                <w:szCs w:val="18"/>
                <w:lang w:val="es-EC" w:eastAsia="es-EC"/>
              </w:rPr>
              <w:t>0</w:t>
            </w:r>
          </w:p>
        </w:tc>
        <w:tc>
          <w:tcPr>
            <w:tcW w:w="990" w:type="dxa"/>
            <w:shd w:val="clear" w:color="auto" w:fill="B4C6E7" w:themeFill="accent1" w:themeFillTint="66"/>
            <w:noWrap/>
            <w:hideMark/>
          </w:tcPr>
          <w:p w14:paraId="3C9C8D4D" w14:textId="3F2F91A7" w:rsidR="0043620F" w:rsidRPr="00C2120C" w:rsidRDefault="0043620F" w:rsidP="000D5546">
            <w:pPr>
              <w:spacing w:before="20" w:after="20" w:line="240" w:lineRule="auto"/>
              <w:jc w:val="right"/>
              <w:rPr>
                <w:rFonts w:ascii="Arial" w:eastAsia="Times New Roman" w:hAnsi="Arial" w:cs="Arial"/>
                <w:b/>
                <w:bCs/>
                <w:color w:val="000000"/>
                <w:sz w:val="18"/>
                <w:szCs w:val="18"/>
                <w:lang w:val="es-EC" w:eastAsia="es-EC"/>
              </w:rPr>
            </w:pPr>
            <w:r w:rsidRPr="000D5546">
              <w:rPr>
                <w:rFonts w:ascii="Arial" w:eastAsia="Times New Roman" w:hAnsi="Arial" w:cs="Arial"/>
                <w:b/>
                <w:bCs/>
                <w:color w:val="000000"/>
                <w:sz w:val="18"/>
                <w:szCs w:val="18"/>
                <w:lang w:val="es-EC" w:eastAsia="es-EC"/>
              </w:rPr>
              <w:t xml:space="preserve">0   </w:t>
            </w:r>
          </w:p>
        </w:tc>
        <w:tc>
          <w:tcPr>
            <w:tcW w:w="1080" w:type="dxa"/>
            <w:shd w:val="clear" w:color="auto" w:fill="B4C6E7" w:themeFill="accent1" w:themeFillTint="66"/>
            <w:noWrap/>
            <w:hideMark/>
          </w:tcPr>
          <w:p w14:paraId="5CE5AA86" w14:textId="39913BB2" w:rsidR="0043620F" w:rsidRPr="00C2120C" w:rsidRDefault="0043620F" w:rsidP="000D5546">
            <w:pPr>
              <w:spacing w:before="20" w:after="20" w:line="240" w:lineRule="auto"/>
              <w:jc w:val="center"/>
              <w:rPr>
                <w:rFonts w:ascii="Arial" w:eastAsia="Times New Roman" w:hAnsi="Arial" w:cs="Arial"/>
                <w:b/>
                <w:bCs/>
                <w:color w:val="000000"/>
                <w:sz w:val="18"/>
                <w:szCs w:val="18"/>
                <w:lang w:val="es-EC" w:eastAsia="es-EC"/>
              </w:rPr>
            </w:pPr>
            <w:r w:rsidRPr="000D5546">
              <w:rPr>
                <w:rFonts w:ascii="Arial" w:eastAsia="Times New Roman" w:hAnsi="Arial" w:cs="Arial"/>
                <w:b/>
                <w:bCs/>
                <w:color w:val="000000"/>
                <w:sz w:val="18"/>
                <w:szCs w:val="18"/>
                <w:lang w:val="es-EC" w:eastAsia="es-EC"/>
              </w:rPr>
              <w:t>4</w:t>
            </w:r>
            <w:r>
              <w:rPr>
                <w:rFonts w:ascii="Arial" w:eastAsia="Times New Roman" w:hAnsi="Arial" w:cs="Arial"/>
                <w:b/>
                <w:bCs/>
                <w:color w:val="000000"/>
                <w:sz w:val="18"/>
                <w:szCs w:val="18"/>
                <w:lang w:val="es-EC" w:eastAsia="es-EC"/>
              </w:rPr>
              <w:t>.</w:t>
            </w:r>
            <w:r w:rsidRPr="000D5546">
              <w:rPr>
                <w:rFonts w:ascii="Arial" w:eastAsia="Times New Roman" w:hAnsi="Arial" w:cs="Arial"/>
                <w:b/>
                <w:bCs/>
                <w:color w:val="000000"/>
                <w:sz w:val="18"/>
                <w:szCs w:val="18"/>
                <w:lang w:val="es-EC" w:eastAsia="es-EC"/>
              </w:rPr>
              <w:t>228</w:t>
            </w:r>
            <w:r>
              <w:rPr>
                <w:rFonts w:ascii="Arial" w:eastAsia="Times New Roman" w:hAnsi="Arial" w:cs="Arial"/>
                <w:b/>
                <w:bCs/>
                <w:color w:val="000000"/>
                <w:sz w:val="18"/>
                <w:szCs w:val="18"/>
                <w:lang w:val="es-EC" w:eastAsia="es-EC"/>
              </w:rPr>
              <w:t>.</w:t>
            </w:r>
            <w:r w:rsidRPr="000D5546">
              <w:rPr>
                <w:rFonts w:ascii="Arial" w:eastAsia="Times New Roman" w:hAnsi="Arial" w:cs="Arial"/>
                <w:b/>
                <w:bCs/>
                <w:color w:val="000000"/>
                <w:sz w:val="18"/>
                <w:szCs w:val="18"/>
                <w:lang w:val="es-EC" w:eastAsia="es-EC"/>
              </w:rPr>
              <w:t xml:space="preserve">000 </w:t>
            </w:r>
          </w:p>
        </w:tc>
        <w:tc>
          <w:tcPr>
            <w:tcW w:w="1080" w:type="dxa"/>
            <w:shd w:val="clear" w:color="auto" w:fill="B4C6E7" w:themeFill="accent1" w:themeFillTint="66"/>
            <w:noWrap/>
            <w:hideMark/>
          </w:tcPr>
          <w:p w14:paraId="71CBB191" w14:textId="1CC79250" w:rsidR="0043620F" w:rsidRPr="00C2120C" w:rsidRDefault="0043620F" w:rsidP="000D5546">
            <w:pPr>
              <w:spacing w:before="20" w:after="20" w:line="240" w:lineRule="auto"/>
              <w:jc w:val="center"/>
              <w:rPr>
                <w:rFonts w:ascii="Arial" w:eastAsia="Times New Roman" w:hAnsi="Arial" w:cs="Arial"/>
                <w:b/>
                <w:bCs/>
                <w:color w:val="000000"/>
                <w:sz w:val="18"/>
                <w:szCs w:val="18"/>
                <w:lang w:val="es-EC" w:eastAsia="es-EC"/>
              </w:rPr>
            </w:pPr>
            <w:r w:rsidRPr="000D5546">
              <w:rPr>
                <w:rFonts w:ascii="Arial" w:eastAsia="Times New Roman" w:hAnsi="Arial" w:cs="Arial"/>
                <w:b/>
                <w:bCs/>
                <w:color w:val="000000"/>
                <w:sz w:val="18"/>
                <w:szCs w:val="18"/>
                <w:lang w:val="es-EC" w:eastAsia="es-EC"/>
              </w:rPr>
              <w:t>7</w:t>
            </w:r>
            <w:r>
              <w:rPr>
                <w:rFonts w:ascii="Arial" w:eastAsia="Times New Roman" w:hAnsi="Arial" w:cs="Arial"/>
                <w:b/>
                <w:bCs/>
                <w:color w:val="000000"/>
                <w:sz w:val="18"/>
                <w:szCs w:val="18"/>
                <w:lang w:val="es-EC" w:eastAsia="es-EC"/>
              </w:rPr>
              <w:t>.</w:t>
            </w:r>
            <w:r w:rsidRPr="000D5546">
              <w:rPr>
                <w:rFonts w:ascii="Arial" w:eastAsia="Times New Roman" w:hAnsi="Arial" w:cs="Arial"/>
                <w:b/>
                <w:bCs/>
                <w:color w:val="000000"/>
                <w:sz w:val="18"/>
                <w:szCs w:val="18"/>
                <w:lang w:val="es-EC" w:eastAsia="es-EC"/>
              </w:rPr>
              <w:t>798</w:t>
            </w:r>
            <w:r>
              <w:rPr>
                <w:rFonts w:ascii="Arial" w:eastAsia="Times New Roman" w:hAnsi="Arial" w:cs="Arial"/>
                <w:b/>
                <w:bCs/>
                <w:color w:val="000000"/>
                <w:sz w:val="18"/>
                <w:szCs w:val="18"/>
                <w:lang w:val="es-EC" w:eastAsia="es-EC"/>
              </w:rPr>
              <w:t>.</w:t>
            </w:r>
            <w:r w:rsidRPr="000D5546">
              <w:rPr>
                <w:rFonts w:ascii="Arial" w:eastAsia="Times New Roman" w:hAnsi="Arial" w:cs="Arial"/>
                <w:b/>
                <w:bCs/>
                <w:color w:val="000000"/>
                <w:sz w:val="18"/>
                <w:szCs w:val="18"/>
                <w:lang w:val="es-EC" w:eastAsia="es-EC"/>
              </w:rPr>
              <w:t xml:space="preserve">000 </w:t>
            </w:r>
          </w:p>
        </w:tc>
        <w:tc>
          <w:tcPr>
            <w:tcW w:w="1080" w:type="dxa"/>
            <w:shd w:val="clear" w:color="auto" w:fill="B4C6E7" w:themeFill="accent1" w:themeFillTint="66"/>
            <w:noWrap/>
            <w:hideMark/>
          </w:tcPr>
          <w:p w14:paraId="2E67EE2E" w14:textId="6631EFB5" w:rsidR="0043620F" w:rsidRPr="00C2120C" w:rsidRDefault="0043620F" w:rsidP="000D5546">
            <w:pPr>
              <w:spacing w:before="20" w:after="20" w:line="240" w:lineRule="auto"/>
              <w:jc w:val="center"/>
              <w:rPr>
                <w:rFonts w:ascii="Arial" w:eastAsia="Times New Roman" w:hAnsi="Arial" w:cs="Arial"/>
                <w:b/>
                <w:bCs/>
                <w:color w:val="000000"/>
                <w:sz w:val="18"/>
                <w:szCs w:val="18"/>
                <w:lang w:val="es-EC" w:eastAsia="es-EC"/>
              </w:rPr>
            </w:pPr>
            <w:r w:rsidRPr="000D5546">
              <w:rPr>
                <w:rFonts w:ascii="Arial" w:eastAsia="Times New Roman" w:hAnsi="Arial" w:cs="Arial"/>
                <w:b/>
                <w:bCs/>
                <w:color w:val="000000"/>
                <w:sz w:val="18"/>
                <w:szCs w:val="18"/>
                <w:lang w:val="es-EC" w:eastAsia="es-EC"/>
              </w:rPr>
              <w:t>7</w:t>
            </w:r>
            <w:r>
              <w:rPr>
                <w:rFonts w:ascii="Arial" w:eastAsia="Times New Roman" w:hAnsi="Arial" w:cs="Arial"/>
                <w:b/>
                <w:bCs/>
                <w:color w:val="000000"/>
                <w:sz w:val="18"/>
                <w:szCs w:val="18"/>
                <w:lang w:val="es-EC" w:eastAsia="es-EC"/>
              </w:rPr>
              <w:t>.</w:t>
            </w:r>
            <w:r w:rsidRPr="000D5546">
              <w:rPr>
                <w:rFonts w:ascii="Arial" w:eastAsia="Times New Roman" w:hAnsi="Arial" w:cs="Arial"/>
                <w:b/>
                <w:bCs/>
                <w:color w:val="000000"/>
                <w:sz w:val="18"/>
                <w:szCs w:val="18"/>
                <w:lang w:val="es-EC" w:eastAsia="es-EC"/>
              </w:rPr>
              <w:t xml:space="preserve">798,000 </w:t>
            </w:r>
          </w:p>
        </w:tc>
        <w:tc>
          <w:tcPr>
            <w:tcW w:w="1080" w:type="dxa"/>
            <w:shd w:val="clear" w:color="auto" w:fill="B4C6E7" w:themeFill="accent1" w:themeFillTint="66"/>
            <w:noWrap/>
            <w:hideMark/>
          </w:tcPr>
          <w:p w14:paraId="642920C4" w14:textId="4EC1B780" w:rsidR="0043620F" w:rsidRPr="00C2120C" w:rsidRDefault="0043620F" w:rsidP="000D5546">
            <w:pPr>
              <w:spacing w:before="20" w:after="20" w:line="240" w:lineRule="auto"/>
              <w:rPr>
                <w:rFonts w:ascii="Arial" w:eastAsia="Times New Roman" w:hAnsi="Arial" w:cs="Arial"/>
                <w:b/>
                <w:bCs/>
                <w:color w:val="000000"/>
                <w:sz w:val="18"/>
                <w:szCs w:val="18"/>
                <w:lang w:val="es-EC" w:eastAsia="es-EC"/>
              </w:rPr>
            </w:pPr>
            <w:r w:rsidRPr="000D5546">
              <w:rPr>
                <w:rFonts w:ascii="Arial" w:eastAsia="Times New Roman" w:hAnsi="Arial" w:cs="Arial"/>
                <w:b/>
                <w:bCs/>
                <w:color w:val="000000"/>
                <w:sz w:val="18"/>
                <w:szCs w:val="18"/>
                <w:lang w:val="es-EC" w:eastAsia="es-EC"/>
              </w:rPr>
              <w:t>19</w:t>
            </w:r>
            <w:r>
              <w:rPr>
                <w:rFonts w:ascii="Arial" w:eastAsia="Times New Roman" w:hAnsi="Arial" w:cs="Arial"/>
                <w:b/>
                <w:bCs/>
                <w:color w:val="000000"/>
                <w:sz w:val="18"/>
                <w:szCs w:val="18"/>
                <w:lang w:val="es-EC" w:eastAsia="es-EC"/>
              </w:rPr>
              <w:t>.</w:t>
            </w:r>
            <w:r w:rsidRPr="000D5546">
              <w:rPr>
                <w:rFonts w:ascii="Arial" w:eastAsia="Times New Roman" w:hAnsi="Arial" w:cs="Arial"/>
                <w:b/>
                <w:bCs/>
                <w:color w:val="000000"/>
                <w:sz w:val="18"/>
                <w:szCs w:val="18"/>
                <w:lang w:val="es-EC" w:eastAsia="es-EC"/>
              </w:rPr>
              <w:t>824</w:t>
            </w:r>
            <w:r>
              <w:rPr>
                <w:rFonts w:ascii="Arial" w:eastAsia="Times New Roman" w:hAnsi="Arial" w:cs="Arial"/>
                <w:b/>
                <w:bCs/>
                <w:color w:val="000000"/>
                <w:sz w:val="18"/>
                <w:szCs w:val="18"/>
                <w:lang w:val="es-EC" w:eastAsia="es-EC"/>
              </w:rPr>
              <w:t>.</w:t>
            </w:r>
            <w:r w:rsidRPr="000D5546">
              <w:rPr>
                <w:rFonts w:ascii="Arial" w:eastAsia="Times New Roman" w:hAnsi="Arial" w:cs="Arial"/>
                <w:b/>
                <w:bCs/>
                <w:color w:val="000000"/>
                <w:sz w:val="18"/>
                <w:szCs w:val="18"/>
                <w:lang w:val="es-EC" w:eastAsia="es-EC"/>
              </w:rPr>
              <w:t xml:space="preserve">000 </w:t>
            </w:r>
          </w:p>
        </w:tc>
        <w:tc>
          <w:tcPr>
            <w:tcW w:w="4050" w:type="dxa"/>
            <w:gridSpan w:val="2"/>
            <w:shd w:val="clear" w:color="auto" w:fill="B4C6E7" w:themeFill="accent1" w:themeFillTint="66"/>
          </w:tcPr>
          <w:p w14:paraId="330FF081" w14:textId="77777777" w:rsidR="0043620F" w:rsidRPr="00C2120C" w:rsidRDefault="0043620F" w:rsidP="0043620F">
            <w:pPr>
              <w:spacing w:after="0" w:line="240" w:lineRule="auto"/>
              <w:jc w:val="right"/>
              <w:rPr>
                <w:rFonts w:ascii="Arial" w:eastAsia="Times New Roman" w:hAnsi="Arial" w:cs="Arial"/>
                <w:b/>
                <w:bCs/>
                <w:color w:val="000000"/>
                <w:sz w:val="18"/>
                <w:szCs w:val="18"/>
                <w:lang w:val="es-EC" w:eastAsia="es-EC"/>
              </w:rPr>
            </w:pPr>
          </w:p>
        </w:tc>
      </w:tr>
      <w:tr w:rsidR="0043620F" w:rsidRPr="00387315" w14:paraId="4A030E94" w14:textId="058A48C1" w:rsidTr="000D5546">
        <w:trPr>
          <w:gridAfter w:val="1"/>
          <w:wAfter w:w="8" w:type="dxa"/>
          <w:trHeight w:val="989"/>
        </w:trPr>
        <w:tc>
          <w:tcPr>
            <w:tcW w:w="501" w:type="dxa"/>
            <w:vMerge w:val="restart"/>
            <w:shd w:val="clear" w:color="auto" w:fill="E2EFD9" w:themeFill="accent6" w:themeFillTint="33"/>
            <w:noWrap/>
            <w:hideMark/>
          </w:tcPr>
          <w:p w14:paraId="2390B573"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3.1</w:t>
            </w:r>
          </w:p>
        </w:tc>
        <w:tc>
          <w:tcPr>
            <w:tcW w:w="1749" w:type="dxa"/>
            <w:vMerge w:val="restart"/>
            <w:shd w:val="clear" w:color="auto" w:fill="E2EFD9" w:themeFill="accent6" w:themeFillTint="33"/>
            <w:noWrap/>
            <w:hideMark/>
          </w:tcPr>
          <w:p w14:paraId="018DB4D4" w14:textId="26FAEF47" w:rsidR="0043620F" w:rsidRPr="00C2120C" w:rsidRDefault="0043620F" w:rsidP="0043620F">
            <w:pPr>
              <w:spacing w:after="0" w:line="240" w:lineRule="auto"/>
              <w:rPr>
                <w:rFonts w:ascii="Arial" w:eastAsia="Times New Roman" w:hAnsi="Arial" w:cs="Arial"/>
                <w:color w:val="000000"/>
                <w:sz w:val="18"/>
                <w:szCs w:val="18"/>
                <w:lang w:val="es-EC" w:eastAsia="es-EC"/>
              </w:rPr>
            </w:pPr>
            <w:r w:rsidRPr="006F21B0">
              <w:rPr>
                <w:rFonts w:ascii="Arial" w:eastAsia="Times New Roman" w:hAnsi="Arial" w:cs="Arial"/>
                <w:color w:val="000000"/>
                <w:sz w:val="18"/>
                <w:szCs w:val="18"/>
                <w:lang w:val="es-EC" w:eastAsia="es-EC"/>
              </w:rPr>
              <w:t>Estrategia para la mejora del acceso a financiamiento y sostenibilidad de MIPYMEs, desarrollada</w:t>
            </w:r>
          </w:p>
        </w:tc>
        <w:tc>
          <w:tcPr>
            <w:tcW w:w="990" w:type="dxa"/>
            <w:shd w:val="clear" w:color="auto" w:fill="auto"/>
            <w:noWrap/>
            <w:hideMark/>
          </w:tcPr>
          <w:p w14:paraId="345ED766" w14:textId="77777777"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Física</w:t>
            </w:r>
          </w:p>
        </w:tc>
        <w:tc>
          <w:tcPr>
            <w:tcW w:w="1260" w:type="dxa"/>
            <w:shd w:val="clear" w:color="auto" w:fill="auto"/>
            <w:noWrap/>
            <w:hideMark/>
          </w:tcPr>
          <w:p w14:paraId="357A283E" w14:textId="77777777"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Acciones</w:t>
            </w:r>
          </w:p>
        </w:tc>
        <w:tc>
          <w:tcPr>
            <w:tcW w:w="1080" w:type="dxa"/>
            <w:shd w:val="clear" w:color="auto" w:fill="auto"/>
            <w:noWrap/>
            <w:hideMark/>
          </w:tcPr>
          <w:p w14:paraId="2A669CBE" w14:textId="166AA3ED" w:rsidR="0043620F" w:rsidRPr="00C2120C" w:rsidRDefault="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990" w:type="dxa"/>
            <w:shd w:val="clear" w:color="auto" w:fill="auto"/>
            <w:noWrap/>
            <w:hideMark/>
          </w:tcPr>
          <w:p w14:paraId="3D97E876" w14:textId="141F75EB" w:rsidR="0043620F" w:rsidRPr="00C2120C" w:rsidRDefault="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auto"/>
            <w:noWrap/>
            <w:hideMark/>
          </w:tcPr>
          <w:p w14:paraId="07BDBCA1" w14:textId="15FB8267" w:rsidR="0043620F" w:rsidRPr="00C2120C" w:rsidRDefault="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1</w:t>
            </w:r>
          </w:p>
        </w:tc>
        <w:tc>
          <w:tcPr>
            <w:tcW w:w="1080" w:type="dxa"/>
            <w:shd w:val="clear" w:color="auto" w:fill="auto"/>
            <w:noWrap/>
            <w:hideMark/>
          </w:tcPr>
          <w:p w14:paraId="14FA2417" w14:textId="03BA3D01" w:rsidR="0043620F" w:rsidRPr="00C2120C" w:rsidRDefault="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auto"/>
            <w:noWrap/>
            <w:hideMark/>
          </w:tcPr>
          <w:p w14:paraId="5B47314A" w14:textId="1AC30A69" w:rsidR="0043620F" w:rsidRPr="00C2120C" w:rsidRDefault="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auto"/>
            <w:noWrap/>
            <w:hideMark/>
          </w:tcPr>
          <w:p w14:paraId="553AC0CB" w14:textId="253B49A4" w:rsidR="0043620F" w:rsidRPr="00C2120C" w:rsidRDefault="0043620F" w:rsidP="000D5546">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1</w:t>
            </w:r>
          </w:p>
        </w:tc>
        <w:tc>
          <w:tcPr>
            <w:tcW w:w="4050" w:type="dxa"/>
            <w:gridSpan w:val="2"/>
          </w:tcPr>
          <w:p w14:paraId="2515B6F5" w14:textId="7B83197E" w:rsidR="0043620F" w:rsidRPr="00C2120C" w:rsidRDefault="001B2B34" w:rsidP="0043620F">
            <w:pPr>
              <w:spacing w:after="0" w:line="240" w:lineRule="auto"/>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 xml:space="preserve">Se financiará el desarrollo de la estrategia, el proceso de </w:t>
            </w:r>
            <w:r w:rsidR="002A10FE">
              <w:rPr>
                <w:rFonts w:ascii="Arial" w:eastAsia="Times New Roman" w:hAnsi="Arial" w:cs="Arial"/>
                <w:color w:val="000000"/>
                <w:sz w:val="18"/>
                <w:szCs w:val="18"/>
                <w:lang w:val="es-EC" w:eastAsia="es-EC"/>
              </w:rPr>
              <w:t>validación de la misma y la formulación de la normativa necesaria para su</w:t>
            </w:r>
            <w:r w:rsidR="00E94CCB">
              <w:rPr>
                <w:rFonts w:ascii="Arial" w:eastAsia="Times New Roman" w:hAnsi="Arial" w:cs="Arial"/>
                <w:color w:val="000000"/>
                <w:sz w:val="18"/>
                <w:szCs w:val="18"/>
                <w:lang w:val="es-EC" w:eastAsia="es-EC"/>
              </w:rPr>
              <w:t xml:space="preserve"> implementación.</w:t>
            </w:r>
          </w:p>
        </w:tc>
      </w:tr>
      <w:tr w:rsidR="0043620F" w:rsidRPr="00A01772" w14:paraId="5328B53A" w14:textId="4D189A3D" w:rsidTr="000D5546">
        <w:trPr>
          <w:gridAfter w:val="1"/>
          <w:wAfter w:w="8" w:type="dxa"/>
          <w:trHeight w:val="255"/>
        </w:trPr>
        <w:tc>
          <w:tcPr>
            <w:tcW w:w="501" w:type="dxa"/>
            <w:vMerge/>
            <w:hideMark/>
          </w:tcPr>
          <w:p w14:paraId="72530DA4"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p>
        </w:tc>
        <w:tc>
          <w:tcPr>
            <w:tcW w:w="1749" w:type="dxa"/>
            <w:vMerge/>
            <w:hideMark/>
          </w:tcPr>
          <w:p w14:paraId="773F5086"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p>
        </w:tc>
        <w:tc>
          <w:tcPr>
            <w:tcW w:w="990" w:type="dxa"/>
            <w:shd w:val="clear" w:color="auto" w:fill="E2EFD9" w:themeFill="accent6" w:themeFillTint="33"/>
            <w:noWrap/>
            <w:hideMark/>
          </w:tcPr>
          <w:p w14:paraId="53011FF0" w14:textId="77777777"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Financiera </w:t>
            </w:r>
          </w:p>
        </w:tc>
        <w:tc>
          <w:tcPr>
            <w:tcW w:w="1260" w:type="dxa"/>
            <w:shd w:val="clear" w:color="auto" w:fill="E2EFD9" w:themeFill="accent6" w:themeFillTint="33"/>
            <w:noWrap/>
            <w:hideMark/>
          </w:tcPr>
          <w:p w14:paraId="6D330C62" w14:textId="7AE65EAA"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US</w:t>
            </w:r>
            <w:r>
              <w:rPr>
                <w:rFonts w:ascii="Arial" w:eastAsia="Times New Roman" w:hAnsi="Arial" w:cs="Arial"/>
                <w:color w:val="000000"/>
                <w:sz w:val="18"/>
                <w:szCs w:val="18"/>
                <w:lang w:val="es-EC" w:eastAsia="es-EC"/>
              </w:rPr>
              <w:t>$</w:t>
            </w:r>
          </w:p>
        </w:tc>
        <w:tc>
          <w:tcPr>
            <w:tcW w:w="1080" w:type="dxa"/>
            <w:shd w:val="clear" w:color="auto" w:fill="E2EFD9" w:themeFill="accent6" w:themeFillTint="33"/>
            <w:noWrap/>
            <w:hideMark/>
          </w:tcPr>
          <w:p w14:paraId="5A6EEF68" w14:textId="45BEA3AB"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r w:rsidRPr="00C2120C">
              <w:rPr>
                <w:rFonts w:ascii="Arial" w:eastAsia="Times New Roman" w:hAnsi="Arial" w:cs="Arial"/>
                <w:color w:val="000000"/>
                <w:sz w:val="18"/>
                <w:szCs w:val="18"/>
                <w:lang w:val="es-EC" w:eastAsia="es-EC"/>
              </w:rPr>
              <w:t xml:space="preserve">    </w:t>
            </w:r>
          </w:p>
        </w:tc>
        <w:tc>
          <w:tcPr>
            <w:tcW w:w="990" w:type="dxa"/>
            <w:shd w:val="clear" w:color="auto" w:fill="E2EFD9" w:themeFill="accent6" w:themeFillTint="33"/>
            <w:noWrap/>
            <w:hideMark/>
          </w:tcPr>
          <w:p w14:paraId="6CE34085" w14:textId="3D99A785"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r w:rsidRPr="00C2120C">
              <w:rPr>
                <w:rFonts w:ascii="Arial" w:eastAsia="Times New Roman" w:hAnsi="Arial" w:cs="Arial"/>
                <w:color w:val="000000"/>
                <w:sz w:val="18"/>
                <w:szCs w:val="18"/>
                <w:lang w:val="es-EC" w:eastAsia="es-EC"/>
              </w:rPr>
              <w:t xml:space="preserve">    </w:t>
            </w:r>
          </w:p>
        </w:tc>
        <w:tc>
          <w:tcPr>
            <w:tcW w:w="1080" w:type="dxa"/>
            <w:shd w:val="clear" w:color="auto" w:fill="E2EFD9" w:themeFill="accent6" w:themeFillTint="33"/>
            <w:noWrap/>
            <w:hideMark/>
          </w:tcPr>
          <w:p w14:paraId="652F230E" w14:textId="3181DB39"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1.556.800</w:t>
            </w:r>
            <w:r w:rsidRPr="00C2120C">
              <w:rPr>
                <w:rFonts w:ascii="Arial" w:eastAsia="Times New Roman" w:hAnsi="Arial" w:cs="Arial"/>
                <w:color w:val="000000"/>
                <w:sz w:val="18"/>
                <w:szCs w:val="18"/>
                <w:lang w:val="es-EC" w:eastAsia="es-EC"/>
              </w:rPr>
              <w:t xml:space="preserve"> </w:t>
            </w:r>
          </w:p>
        </w:tc>
        <w:tc>
          <w:tcPr>
            <w:tcW w:w="1080" w:type="dxa"/>
            <w:shd w:val="clear" w:color="auto" w:fill="E2EFD9" w:themeFill="accent6" w:themeFillTint="33"/>
            <w:noWrap/>
          </w:tcPr>
          <w:p w14:paraId="5C60A9EC" w14:textId="5DC3E8FB"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E2EFD9" w:themeFill="accent6" w:themeFillTint="33"/>
            <w:noWrap/>
          </w:tcPr>
          <w:p w14:paraId="0363BAC6" w14:textId="3FCDC5C4"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E2EFD9" w:themeFill="accent6" w:themeFillTint="33"/>
            <w:noWrap/>
          </w:tcPr>
          <w:p w14:paraId="2400F0F5" w14:textId="5428CF36"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1.556.800</w:t>
            </w:r>
            <w:r w:rsidRPr="00C2120C">
              <w:rPr>
                <w:rFonts w:ascii="Arial" w:eastAsia="Times New Roman" w:hAnsi="Arial" w:cs="Arial"/>
                <w:color w:val="000000"/>
                <w:sz w:val="18"/>
                <w:szCs w:val="18"/>
                <w:lang w:val="es-EC" w:eastAsia="es-EC"/>
              </w:rPr>
              <w:t xml:space="preserve"> </w:t>
            </w:r>
          </w:p>
        </w:tc>
        <w:tc>
          <w:tcPr>
            <w:tcW w:w="4050" w:type="dxa"/>
            <w:gridSpan w:val="2"/>
            <w:shd w:val="clear" w:color="auto" w:fill="E2EFD9" w:themeFill="accent6" w:themeFillTint="33"/>
          </w:tcPr>
          <w:p w14:paraId="43E1E9B5"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p>
        </w:tc>
      </w:tr>
      <w:tr w:rsidR="0043620F" w:rsidRPr="00387315" w14:paraId="6AAA3E64" w14:textId="4CCF8C89" w:rsidTr="000D5546">
        <w:trPr>
          <w:gridAfter w:val="1"/>
          <w:wAfter w:w="8" w:type="dxa"/>
          <w:trHeight w:val="255"/>
        </w:trPr>
        <w:tc>
          <w:tcPr>
            <w:tcW w:w="501" w:type="dxa"/>
            <w:vMerge w:val="restart"/>
            <w:shd w:val="clear" w:color="auto" w:fill="E2EFD9" w:themeFill="accent6" w:themeFillTint="33"/>
            <w:noWrap/>
            <w:hideMark/>
          </w:tcPr>
          <w:p w14:paraId="5BBD642F"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3.2</w:t>
            </w:r>
          </w:p>
        </w:tc>
        <w:tc>
          <w:tcPr>
            <w:tcW w:w="1749" w:type="dxa"/>
            <w:vMerge w:val="restart"/>
            <w:shd w:val="clear" w:color="auto" w:fill="E2EFD9" w:themeFill="accent6" w:themeFillTint="33"/>
            <w:noWrap/>
            <w:hideMark/>
          </w:tcPr>
          <w:p w14:paraId="0BB9516B" w14:textId="3CA230BF" w:rsidR="0043620F" w:rsidRPr="00C2120C" w:rsidRDefault="0043620F" w:rsidP="0043620F">
            <w:pPr>
              <w:spacing w:after="0" w:line="240" w:lineRule="auto"/>
              <w:rPr>
                <w:rFonts w:ascii="Arial" w:eastAsia="Times New Roman" w:hAnsi="Arial" w:cs="Arial"/>
                <w:color w:val="000000"/>
                <w:sz w:val="18"/>
                <w:szCs w:val="18"/>
                <w:lang w:val="es-EC" w:eastAsia="es-EC"/>
              </w:rPr>
            </w:pPr>
            <w:r w:rsidRPr="004F1F26">
              <w:rPr>
                <w:rFonts w:ascii="Arial" w:eastAsia="Times New Roman" w:hAnsi="Arial" w:cs="Arial"/>
                <w:color w:val="000000"/>
                <w:sz w:val="18"/>
                <w:szCs w:val="18"/>
                <w:lang w:val="es-EC" w:eastAsia="es-EC"/>
              </w:rPr>
              <w:t>Planes de Inversión de Reforma Institucional (PIRIs) para fortalecer la capacidad de gestión de los activos públicos, incluyendo su monitoreo y control, para maximizar su contribución a la PTF, implementados</w:t>
            </w:r>
          </w:p>
        </w:tc>
        <w:tc>
          <w:tcPr>
            <w:tcW w:w="990" w:type="dxa"/>
            <w:shd w:val="clear" w:color="auto" w:fill="auto"/>
            <w:noWrap/>
            <w:hideMark/>
          </w:tcPr>
          <w:p w14:paraId="5F753063" w14:textId="77777777"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Física</w:t>
            </w:r>
          </w:p>
        </w:tc>
        <w:tc>
          <w:tcPr>
            <w:tcW w:w="1260" w:type="dxa"/>
            <w:shd w:val="clear" w:color="auto" w:fill="auto"/>
            <w:noWrap/>
            <w:hideMark/>
          </w:tcPr>
          <w:p w14:paraId="2DCE40D9" w14:textId="3534D8F8"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PIRIs</w:t>
            </w:r>
          </w:p>
        </w:tc>
        <w:tc>
          <w:tcPr>
            <w:tcW w:w="1080" w:type="dxa"/>
            <w:shd w:val="clear" w:color="auto" w:fill="auto"/>
            <w:noWrap/>
            <w:hideMark/>
          </w:tcPr>
          <w:p w14:paraId="5C9A9A79" w14:textId="79164CBE" w:rsidR="0043620F" w:rsidRPr="00C2120C" w:rsidRDefault="0043620F" w:rsidP="000D5546">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990" w:type="dxa"/>
            <w:shd w:val="clear" w:color="auto" w:fill="auto"/>
            <w:noWrap/>
            <w:hideMark/>
          </w:tcPr>
          <w:p w14:paraId="32250566" w14:textId="477463CE" w:rsidR="0043620F" w:rsidRPr="00C2120C" w:rsidRDefault="0043620F" w:rsidP="000D5546">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auto"/>
            <w:noWrap/>
            <w:hideMark/>
          </w:tcPr>
          <w:p w14:paraId="514CF40B" w14:textId="5725BB23" w:rsidR="0043620F" w:rsidRPr="00C2120C" w:rsidRDefault="0043620F" w:rsidP="000D5546">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auto"/>
            <w:noWrap/>
            <w:hideMark/>
          </w:tcPr>
          <w:p w14:paraId="103B299C" w14:textId="5D891DBB" w:rsidR="0043620F" w:rsidRPr="00C2120C" w:rsidRDefault="0043620F" w:rsidP="000D5546">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1</w:t>
            </w:r>
          </w:p>
        </w:tc>
        <w:tc>
          <w:tcPr>
            <w:tcW w:w="1080" w:type="dxa"/>
            <w:shd w:val="clear" w:color="auto" w:fill="auto"/>
            <w:noWrap/>
            <w:hideMark/>
          </w:tcPr>
          <w:p w14:paraId="48B7F075" w14:textId="6C91302A" w:rsidR="0043620F" w:rsidRPr="00C2120C" w:rsidRDefault="0043620F" w:rsidP="000D5546">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1</w:t>
            </w:r>
          </w:p>
        </w:tc>
        <w:tc>
          <w:tcPr>
            <w:tcW w:w="1080" w:type="dxa"/>
            <w:shd w:val="clear" w:color="auto" w:fill="auto"/>
            <w:noWrap/>
            <w:hideMark/>
          </w:tcPr>
          <w:p w14:paraId="5390877A" w14:textId="70467DFA" w:rsidR="0043620F" w:rsidRPr="00C2120C" w:rsidRDefault="0043620F" w:rsidP="000D5546">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2</w:t>
            </w:r>
          </w:p>
        </w:tc>
        <w:tc>
          <w:tcPr>
            <w:tcW w:w="4050" w:type="dxa"/>
            <w:gridSpan w:val="2"/>
          </w:tcPr>
          <w:p w14:paraId="514F3E0F" w14:textId="254366D0" w:rsidR="0043620F" w:rsidRPr="00C2120C" w:rsidRDefault="0043620F" w:rsidP="0043620F">
            <w:pPr>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Comprende actividades como:  desarrollo de herramientas metodológicas para la valoración de activos públicos productivos, estándares de servicio y capacitación para aplicación de la metodología; inventario de activos públicos productivos; asistencia técnica para la definición e identificación de modelos de negocios en función de tipos de activos públicos</w:t>
            </w:r>
          </w:p>
        </w:tc>
      </w:tr>
      <w:tr w:rsidR="0043620F" w:rsidRPr="00530BCB" w14:paraId="0F422468" w14:textId="680C9A91" w:rsidTr="000D5546">
        <w:trPr>
          <w:gridAfter w:val="1"/>
          <w:wAfter w:w="8" w:type="dxa"/>
          <w:trHeight w:val="255"/>
        </w:trPr>
        <w:tc>
          <w:tcPr>
            <w:tcW w:w="501" w:type="dxa"/>
            <w:vMerge/>
            <w:hideMark/>
          </w:tcPr>
          <w:p w14:paraId="202871D3"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p>
        </w:tc>
        <w:tc>
          <w:tcPr>
            <w:tcW w:w="1749" w:type="dxa"/>
            <w:vMerge/>
            <w:hideMark/>
          </w:tcPr>
          <w:p w14:paraId="4AA369EB"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p>
        </w:tc>
        <w:tc>
          <w:tcPr>
            <w:tcW w:w="990" w:type="dxa"/>
            <w:shd w:val="clear" w:color="auto" w:fill="E2EFD9" w:themeFill="accent6" w:themeFillTint="33"/>
            <w:noWrap/>
            <w:hideMark/>
          </w:tcPr>
          <w:p w14:paraId="7A233409" w14:textId="77777777"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Financiera </w:t>
            </w:r>
          </w:p>
        </w:tc>
        <w:tc>
          <w:tcPr>
            <w:tcW w:w="1260" w:type="dxa"/>
            <w:shd w:val="clear" w:color="auto" w:fill="E2EFD9" w:themeFill="accent6" w:themeFillTint="33"/>
            <w:noWrap/>
            <w:hideMark/>
          </w:tcPr>
          <w:p w14:paraId="33902B0A" w14:textId="7BD32BC6"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US</w:t>
            </w:r>
            <w:r>
              <w:rPr>
                <w:rFonts w:ascii="Arial" w:eastAsia="Times New Roman" w:hAnsi="Arial" w:cs="Arial"/>
                <w:color w:val="000000"/>
                <w:sz w:val="18"/>
                <w:szCs w:val="18"/>
                <w:lang w:val="es-EC" w:eastAsia="es-EC"/>
              </w:rPr>
              <w:t>$</w:t>
            </w:r>
          </w:p>
        </w:tc>
        <w:tc>
          <w:tcPr>
            <w:tcW w:w="1080" w:type="dxa"/>
            <w:shd w:val="clear" w:color="auto" w:fill="E2EFD9" w:themeFill="accent6" w:themeFillTint="33"/>
            <w:noWrap/>
            <w:hideMark/>
          </w:tcPr>
          <w:p w14:paraId="3CCFFC85" w14:textId="1FE355AC"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990" w:type="dxa"/>
            <w:shd w:val="clear" w:color="auto" w:fill="E2EFD9" w:themeFill="accent6" w:themeFillTint="33"/>
            <w:noWrap/>
            <w:hideMark/>
          </w:tcPr>
          <w:p w14:paraId="121744A6" w14:textId="79EA2F51"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E2EFD9" w:themeFill="accent6" w:themeFillTint="33"/>
            <w:noWrap/>
            <w:hideMark/>
          </w:tcPr>
          <w:p w14:paraId="21B14EFA" w14:textId="2826411F"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E2EFD9" w:themeFill="accent6" w:themeFillTint="33"/>
            <w:noWrap/>
            <w:hideMark/>
          </w:tcPr>
          <w:p w14:paraId="2A2F88EA" w14:textId="2763C701"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0D5546">
              <w:rPr>
                <w:rFonts w:ascii="Arial" w:eastAsia="Times New Roman" w:hAnsi="Arial" w:cs="Arial"/>
                <w:color w:val="000000"/>
                <w:sz w:val="18"/>
                <w:szCs w:val="18"/>
                <w:lang w:val="es-EC" w:eastAsia="es-EC"/>
              </w:rPr>
              <w:t>1</w:t>
            </w:r>
            <w:r>
              <w:rPr>
                <w:rFonts w:ascii="Arial" w:eastAsia="Times New Roman" w:hAnsi="Arial" w:cs="Arial"/>
                <w:color w:val="000000"/>
                <w:sz w:val="18"/>
                <w:szCs w:val="18"/>
                <w:lang w:val="es-EC" w:eastAsia="es-EC"/>
              </w:rPr>
              <w:t>.</w:t>
            </w:r>
            <w:r w:rsidRPr="000D5546">
              <w:rPr>
                <w:rFonts w:ascii="Arial" w:eastAsia="Times New Roman" w:hAnsi="Arial" w:cs="Arial"/>
                <w:color w:val="000000"/>
                <w:sz w:val="18"/>
                <w:szCs w:val="18"/>
                <w:lang w:val="es-EC" w:eastAsia="es-EC"/>
              </w:rPr>
              <w:t>848</w:t>
            </w:r>
            <w:r>
              <w:rPr>
                <w:rFonts w:ascii="Arial" w:eastAsia="Times New Roman" w:hAnsi="Arial" w:cs="Arial"/>
                <w:color w:val="000000"/>
                <w:sz w:val="18"/>
                <w:szCs w:val="18"/>
                <w:lang w:val="es-EC" w:eastAsia="es-EC"/>
              </w:rPr>
              <w:t>.</w:t>
            </w:r>
            <w:r w:rsidRPr="000D5546">
              <w:rPr>
                <w:rFonts w:ascii="Arial" w:eastAsia="Times New Roman" w:hAnsi="Arial" w:cs="Arial"/>
                <w:color w:val="000000"/>
                <w:sz w:val="18"/>
                <w:szCs w:val="18"/>
                <w:lang w:val="es-EC" w:eastAsia="es-EC"/>
              </w:rPr>
              <w:t xml:space="preserve">000 </w:t>
            </w:r>
          </w:p>
        </w:tc>
        <w:tc>
          <w:tcPr>
            <w:tcW w:w="1080" w:type="dxa"/>
            <w:shd w:val="clear" w:color="auto" w:fill="E2EFD9" w:themeFill="accent6" w:themeFillTint="33"/>
            <w:noWrap/>
            <w:hideMark/>
          </w:tcPr>
          <w:p w14:paraId="7CA44668" w14:textId="0701504D"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0D5546">
              <w:rPr>
                <w:rFonts w:ascii="Arial" w:eastAsia="Times New Roman" w:hAnsi="Arial" w:cs="Arial"/>
                <w:color w:val="000000"/>
                <w:sz w:val="18"/>
                <w:szCs w:val="18"/>
                <w:lang w:val="es-EC" w:eastAsia="es-EC"/>
              </w:rPr>
              <w:t>1</w:t>
            </w:r>
            <w:r>
              <w:rPr>
                <w:rFonts w:ascii="Arial" w:eastAsia="Times New Roman" w:hAnsi="Arial" w:cs="Arial"/>
                <w:color w:val="000000"/>
                <w:sz w:val="18"/>
                <w:szCs w:val="18"/>
                <w:lang w:val="es-EC" w:eastAsia="es-EC"/>
              </w:rPr>
              <w:t>.</w:t>
            </w:r>
            <w:r w:rsidRPr="000D5546">
              <w:rPr>
                <w:rFonts w:ascii="Arial" w:eastAsia="Times New Roman" w:hAnsi="Arial" w:cs="Arial"/>
                <w:color w:val="000000"/>
                <w:sz w:val="18"/>
                <w:szCs w:val="18"/>
                <w:lang w:val="es-EC" w:eastAsia="es-EC"/>
              </w:rPr>
              <w:t>848</w:t>
            </w:r>
            <w:r>
              <w:rPr>
                <w:rFonts w:ascii="Arial" w:eastAsia="Times New Roman" w:hAnsi="Arial" w:cs="Arial"/>
                <w:color w:val="000000"/>
                <w:sz w:val="18"/>
                <w:szCs w:val="18"/>
                <w:lang w:val="es-EC" w:eastAsia="es-EC"/>
              </w:rPr>
              <w:t>.</w:t>
            </w:r>
            <w:r w:rsidRPr="000D5546">
              <w:rPr>
                <w:rFonts w:ascii="Arial" w:eastAsia="Times New Roman" w:hAnsi="Arial" w:cs="Arial"/>
                <w:color w:val="000000"/>
                <w:sz w:val="18"/>
                <w:szCs w:val="18"/>
                <w:lang w:val="es-EC" w:eastAsia="es-EC"/>
              </w:rPr>
              <w:t xml:space="preserve">000 </w:t>
            </w:r>
          </w:p>
        </w:tc>
        <w:tc>
          <w:tcPr>
            <w:tcW w:w="1080" w:type="dxa"/>
            <w:shd w:val="clear" w:color="auto" w:fill="E2EFD9" w:themeFill="accent6" w:themeFillTint="33"/>
            <w:noWrap/>
            <w:hideMark/>
          </w:tcPr>
          <w:p w14:paraId="452DF5F9" w14:textId="4F652233"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0D5546">
              <w:rPr>
                <w:rFonts w:ascii="Arial" w:eastAsia="Times New Roman" w:hAnsi="Arial" w:cs="Arial"/>
                <w:color w:val="000000"/>
                <w:sz w:val="18"/>
                <w:szCs w:val="18"/>
                <w:lang w:val="es-EC" w:eastAsia="es-EC"/>
              </w:rPr>
              <w:t>3</w:t>
            </w:r>
            <w:r>
              <w:rPr>
                <w:rFonts w:ascii="Arial" w:eastAsia="Times New Roman" w:hAnsi="Arial" w:cs="Arial"/>
                <w:color w:val="000000"/>
                <w:sz w:val="18"/>
                <w:szCs w:val="18"/>
                <w:lang w:val="es-EC" w:eastAsia="es-EC"/>
              </w:rPr>
              <w:t>.</w:t>
            </w:r>
            <w:r w:rsidRPr="000D5546">
              <w:rPr>
                <w:rFonts w:ascii="Arial" w:eastAsia="Times New Roman" w:hAnsi="Arial" w:cs="Arial"/>
                <w:color w:val="000000"/>
                <w:sz w:val="18"/>
                <w:szCs w:val="18"/>
                <w:lang w:val="es-EC" w:eastAsia="es-EC"/>
              </w:rPr>
              <w:t>696</w:t>
            </w:r>
            <w:r>
              <w:rPr>
                <w:rFonts w:ascii="Arial" w:eastAsia="Times New Roman" w:hAnsi="Arial" w:cs="Arial"/>
                <w:color w:val="000000"/>
                <w:sz w:val="18"/>
                <w:szCs w:val="18"/>
                <w:lang w:val="es-EC" w:eastAsia="es-EC"/>
              </w:rPr>
              <w:t>.</w:t>
            </w:r>
            <w:r w:rsidRPr="000D5546">
              <w:rPr>
                <w:rFonts w:ascii="Arial" w:eastAsia="Times New Roman" w:hAnsi="Arial" w:cs="Arial"/>
                <w:color w:val="000000"/>
                <w:sz w:val="18"/>
                <w:szCs w:val="18"/>
                <w:lang w:val="es-EC" w:eastAsia="es-EC"/>
              </w:rPr>
              <w:t xml:space="preserve">000 </w:t>
            </w:r>
          </w:p>
        </w:tc>
        <w:tc>
          <w:tcPr>
            <w:tcW w:w="4050" w:type="dxa"/>
            <w:gridSpan w:val="2"/>
            <w:shd w:val="clear" w:color="auto" w:fill="E2EFD9" w:themeFill="accent6" w:themeFillTint="33"/>
          </w:tcPr>
          <w:p w14:paraId="469293B4"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p>
        </w:tc>
      </w:tr>
      <w:tr w:rsidR="0043620F" w:rsidRPr="00387315" w14:paraId="6EB62FD2" w14:textId="77777777" w:rsidTr="000D5546">
        <w:trPr>
          <w:gridAfter w:val="1"/>
          <w:wAfter w:w="8" w:type="dxa"/>
          <w:trHeight w:val="2070"/>
        </w:trPr>
        <w:tc>
          <w:tcPr>
            <w:tcW w:w="501" w:type="dxa"/>
            <w:vMerge w:val="restart"/>
          </w:tcPr>
          <w:p w14:paraId="518C4816" w14:textId="75DDEB3F" w:rsidR="0043620F" w:rsidRPr="00C2120C" w:rsidRDefault="0043620F" w:rsidP="0043620F">
            <w:pPr>
              <w:spacing w:after="0" w:line="240" w:lineRule="auto"/>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lastRenderedPageBreak/>
              <w:t>3.3</w:t>
            </w:r>
          </w:p>
        </w:tc>
        <w:tc>
          <w:tcPr>
            <w:tcW w:w="1749" w:type="dxa"/>
            <w:vMerge w:val="restart"/>
          </w:tcPr>
          <w:p w14:paraId="0DB6619E" w14:textId="2B054EC6" w:rsidR="0043620F" w:rsidRPr="00C2120C" w:rsidRDefault="0043620F" w:rsidP="0043620F">
            <w:pPr>
              <w:spacing w:after="0" w:line="240" w:lineRule="auto"/>
              <w:rPr>
                <w:rFonts w:ascii="Arial" w:eastAsia="Times New Roman" w:hAnsi="Arial" w:cs="Arial"/>
                <w:color w:val="000000"/>
                <w:sz w:val="18"/>
                <w:szCs w:val="18"/>
                <w:lang w:val="es-EC" w:eastAsia="es-EC"/>
              </w:rPr>
            </w:pPr>
            <w:r w:rsidRPr="00B7320C">
              <w:rPr>
                <w:rFonts w:ascii="Arial" w:eastAsia="Times New Roman" w:hAnsi="Arial" w:cs="Arial"/>
                <w:color w:val="000000"/>
                <w:sz w:val="18"/>
                <w:szCs w:val="18"/>
                <w:lang w:val="es-EC" w:eastAsia="es-EC"/>
              </w:rPr>
              <w:t>PIRIS para el reordenamiento, racionalización y fortalecimiento de agencias públicas que prestan servicios al sector productivo, implementados</w:t>
            </w:r>
          </w:p>
        </w:tc>
        <w:tc>
          <w:tcPr>
            <w:tcW w:w="990" w:type="dxa"/>
            <w:shd w:val="clear" w:color="auto" w:fill="auto"/>
            <w:noWrap/>
          </w:tcPr>
          <w:p w14:paraId="28CB93E9" w14:textId="7A046B43" w:rsidR="0043620F" w:rsidRPr="00C2120C" w:rsidRDefault="0043620F">
            <w:pPr>
              <w:spacing w:after="0" w:line="240" w:lineRule="auto"/>
              <w:jc w:val="center"/>
              <w:rPr>
                <w:rFonts w:ascii="Arial" w:eastAsia="Times New Roman" w:hAnsi="Arial" w:cs="Arial"/>
                <w:color w:val="000000"/>
                <w:sz w:val="18"/>
                <w:szCs w:val="18"/>
                <w:lang w:val="es-EC" w:eastAsia="es-EC"/>
              </w:rPr>
            </w:pPr>
            <w:r w:rsidRPr="000D5546">
              <w:rPr>
                <w:rFonts w:ascii="Arial" w:eastAsia="Times New Roman" w:hAnsi="Arial" w:cs="Arial"/>
                <w:color w:val="000000"/>
                <w:sz w:val="18"/>
                <w:szCs w:val="18"/>
                <w:lang w:val="es-EC" w:eastAsia="es-EC"/>
              </w:rPr>
              <w:t>Física</w:t>
            </w:r>
          </w:p>
        </w:tc>
        <w:tc>
          <w:tcPr>
            <w:tcW w:w="1260" w:type="dxa"/>
            <w:shd w:val="clear" w:color="auto" w:fill="auto"/>
            <w:noWrap/>
          </w:tcPr>
          <w:p w14:paraId="24F61D40" w14:textId="132EE1D6" w:rsidR="0043620F" w:rsidRPr="00C2120C" w:rsidRDefault="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PIRIs</w:t>
            </w:r>
          </w:p>
        </w:tc>
        <w:tc>
          <w:tcPr>
            <w:tcW w:w="1080" w:type="dxa"/>
            <w:shd w:val="clear" w:color="auto" w:fill="auto"/>
            <w:noWrap/>
          </w:tcPr>
          <w:p w14:paraId="10CCDE4B" w14:textId="338A07EA" w:rsidR="0043620F" w:rsidRDefault="0043620F" w:rsidP="000D5546">
            <w:pPr>
              <w:spacing w:after="0" w:line="240" w:lineRule="auto"/>
              <w:jc w:val="center"/>
              <w:rPr>
                <w:rFonts w:ascii="Arial" w:eastAsia="Times New Roman" w:hAnsi="Arial" w:cs="Arial"/>
                <w:color w:val="000000"/>
                <w:sz w:val="18"/>
                <w:szCs w:val="18"/>
                <w:lang w:val="es-EC" w:eastAsia="es-EC"/>
              </w:rPr>
            </w:pPr>
            <w:r w:rsidRPr="000D5546">
              <w:rPr>
                <w:rFonts w:ascii="Arial" w:eastAsia="Times New Roman" w:hAnsi="Arial" w:cs="Arial"/>
                <w:color w:val="000000"/>
                <w:sz w:val="18"/>
                <w:szCs w:val="18"/>
                <w:lang w:val="es-EC" w:eastAsia="es-EC"/>
              </w:rPr>
              <w:t>0</w:t>
            </w:r>
          </w:p>
        </w:tc>
        <w:tc>
          <w:tcPr>
            <w:tcW w:w="990" w:type="dxa"/>
            <w:shd w:val="clear" w:color="auto" w:fill="auto"/>
            <w:noWrap/>
          </w:tcPr>
          <w:p w14:paraId="1E78A602" w14:textId="2C60BF99" w:rsidR="0043620F" w:rsidRDefault="0043620F" w:rsidP="000D5546">
            <w:pPr>
              <w:spacing w:after="0" w:line="240" w:lineRule="auto"/>
              <w:jc w:val="center"/>
              <w:rPr>
                <w:rFonts w:ascii="Arial" w:eastAsia="Times New Roman" w:hAnsi="Arial" w:cs="Arial"/>
                <w:color w:val="000000"/>
                <w:sz w:val="18"/>
                <w:szCs w:val="18"/>
                <w:lang w:val="es-EC" w:eastAsia="es-EC"/>
              </w:rPr>
            </w:pPr>
            <w:r w:rsidRPr="000D5546">
              <w:rPr>
                <w:rFonts w:ascii="Arial" w:eastAsia="Times New Roman" w:hAnsi="Arial" w:cs="Arial"/>
                <w:color w:val="000000"/>
                <w:sz w:val="18"/>
                <w:szCs w:val="18"/>
                <w:lang w:val="es-EC" w:eastAsia="es-EC"/>
              </w:rPr>
              <w:t>0</w:t>
            </w:r>
          </w:p>
        </w:tc>
        <w:tc>
          <w:tcPr>
            <w:tcW w:w="1080" w:type="dxa"/>
            <w:shd w:val="clear" w:color="auto" w:fill="auto"/>
            <w:noWrap/>
          </w:tcPr>
          <w:p w14:paraId="15856E80" w14:textId="0888F1FC" w:rsidR="0043620F" w:rsidRPr="00C2120C" w:rsidRDefault="0043620F" w:rsidP="000D5546">
            <w:pPr>
              <w:spacing w:after="0" w:line="240" w:lineRule="auto"/>
              <w:jc w:val="center"/>
              <w:rPr>
                <w:rFonts w:ascii="Arial" w:eastAsia="Times New Roman" w:hAnsi="Arial" w:cs="Arial"/>
                <w:color w:val="000000"/>
                <w:sz w:val="18"/>
                <w:szCs w:val="18"/>
                <w:lang w:val="es-EC" w:eastAsia="es-EC"/>
              </w:rPr>
            </w:pPr>
            <w:r w:rsidRPr="000D5546">
              <w:rPr>
                <w:rFonts w:ascii="Arial" w:eastAsia="Times New Roman" w:hAnsi="Arial" w:cs="Arial"/>
                <w:color w:val="000000"/>
                <w:sz w:val="18"/>
                <w:szCs w:val="18"/>
                <w:lang w:val="es-EC" w:eastAsia="es-EC"/>
              </w:rPr>
              <w:t>1</w:t>
            </w:r>
          </w:p>
        </w:tc>
        <w:tc>
          <w:tcPr>
            <w:tcW w:w="1080" w:type="dxa"/>
            <w:shd w:val="clear" w:color="auto" w:fill="auto"/>
            <w:noWrap/>
          </w:tcPr>
          <w:p w14:paraId="3AECDAD3" w14:textId="170365E8" w:rsidR="0043620F" w:rsidRDefault="0043620F" w:rsidP="000D5546">
            <w:pPr>
              <w:spacing w:after="0" w:line="240" w:lineRule="auto"/>
              <w:jc w:val="center"/>
              <w:rPr>
                <w:rFonts w:ascii="Arial" w:eastAsia="Times New Roman" w:hAnsi="Arial" w:cs="Arial"/>
                <w:color w:val="000000"/>
                <w:sz w:val="18"/>
                <w:szCs w:val="18"/>
                <w:lang w:val="es-EC" w:eastAsia="es-EC"/>
              </w:rPr>
            </w:pPr>
            <w:r w:rsidRPr="000D5546">
              <w:rPr>
                <w:rFonts w:ascii="Arial" w:eastAsia="Times New Roman" w:hAnsi="Arial" w:cs="Arial"/>
                <w:color w:val="000000"/>
                <w:sz w:val="18"/>
                <w:szCs w:val="18"/>
                <w:lang w:val="es-EC" w:eastAsia="es-EC"/>
              </w:rPr>
              <w:t>1</w:t>
            </w:r>
          </w:p>
        </w:tc>
        <w:tc>
          <w:tcPr>
            <w:tcW w:w="1080" w:type="dxa"/>
            <w:shd w:val="clear" w:color="auto" w:fill="auto"/>
            <w:noWrap/>
          </w:tcPr>
          <w:p w14:paraId="2B939E94" w14:textId="7592690B" w:rsidR="0043620F" w:rsidRDefault="0043620F" w:rsidP="000D5546">
            <w:pPr>
              <w:spacing w:after="0" w:line="240" w:lineRule="auto"/>
              <w:jc w:val="center"/>
              <w:rPr>
                <w:rFonts w:ascii="Arial" w:eastAsia="Times New Roman" w:hAnsi="Arial" w:cs="Arial"/>
                <w:color w:val="000000"/>
                <w:sz w:val="18"/>
                <w:szCs w:val="18"/>
                <w:lang w:val="es-EC" w:eastAsia="es-EC"/>
              </w:rPr>
            </w:pPr>
            <w:r w:rsidRPr="000D5546">
              <w:rPr>
                <w:rFonts w:ascii="Arial" w:eastAsia="Times New Roman" w:hAnsi="Arial" w:cs="Arial"/>
                <w:color w:val="000000"/>
                <w:sz w:val="18"/>
                <w:szCs w:val="18"/>
                <w:lang w:val="es-EC" w:eastAsia="es-EC"/>
              </w:rPr>
              <w:t>1</w:t>
            </w:r>
          </w:p>
        </w:tc>
        <w:tc>
          <w:tcPr>
            <w:tcW w:w="1080" w:type="dxa"/>
            <w:shd w:val="clear" w:color="auto" w:fill="auto"/>
            <w:noWrap/>
          </w:tcPr>
          <w:p w14:paraId="59376A02" w14:textId="5725DC12" w:rsidR="0043620F" w:rsidRDefault="0043620F" w:rsidP="000D5546">
            <w:pPr>
              <w:spacing w:after="0" w:line="240" w:lineRule="auto"/>
              <w:jc w:val="center"/>
              <w:rPr>
                <w:rFonts w:ascii="Arial" w:eastAsia="Times New Roman" w:hAnsi="Arial" w:cs="Arial"/>
                <w:color w:val="000000"/>
                <w:sz w:val="18"/>
                <w:szCs w:val="18"/>
                <w:lang w:val="es-EC" w:eastAsia="es-EC"/>
              </w:rPr>
            </w:pPr>
            <w:r w:rsidRPr="000D5546">
              <w:rPr>
                <w:rFonts w:ascii="Arial" w:eastAsia="Times New Roman" w:hAnsi="Arial" w:cs="Arial"/>
                <w:color w:val="000000"/>
                <w:sz w:val="18"/>
                <w:szCs w:val="18"/>
                <w:lang w:val="es-EC" w:eastAsia="es-EC"/>
              </w:rPr>
              <w:t>0</w:t>
            </w:r>
          </w:p>
        </w:tc>
        <w:tc>
          <w:tcPr>
            <w:tcW w:w="4050" w:type="dxa"/>
            <w:gridSpan w:val="2"/>
            <w:shd w:val="clear" w:color="auto" w:fill="auto"/>
          </w:tcPr>
          <w:p w14:paraId="3DEAAB30" w14:textId="71D8B2D9" w:rsidR="0043620F" w:rsidRPr="00C2120C" w:rsidRDefault="0043620F">
            <w:pPr>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Se realizarán actividades en el MPCEIP; SERCOP y Ministerio de Energía. Comprende actividades como</w:t>
            </w:r>
            <w:r>
              <w:rPr>
                <w:rFonts w:ascii="Arial" w:eastAsia="Times New Roman" w:hAnsi="Arial" w:cs="Arial"/>
                <w:color w:val="000000"/>
                <w:sz w:val="18"/>
                <w:szCs w:val="18"/>
                <w:lang w:val="es-EC" w:eastAsia="es-EC"/>
              </w:rPr>
              <w:t xml:space="preserve">: </w:t>
            </w:r>
            <w:r w:rsidRPr="00E7037E">
              <w:rPr>
                <w:rFonts w:ascii="Arial" w:eastAsia="Times New Roman" w:hAnsi="Arial" w:cs="Arial"/>
                <w:color w:val="000000"/>
                <w:sz w:val="18"/>
                <w:szCs w:val="18"/>
                <w:lang w:val="es-EC" w:eastAsia="es-EC"/>
              </w:rPr>
              <w:t>el desarrollo de nuevos modelos de gestión, planes de gestión del cambio, sistemas de información y optimización de su talento humano, considerando el pago de indemnizaciones para la desvinculación de servidores públicos, bajo las modalidades de: (a) jubilación obligatoria; (b) jubilación voluntaria; (c) renuncia voluntaria; y (d) supresión de puestos</w:t>
            </w:r>
            <w:r>
              <w:rPr>
                <w:rFonts w:ascii="Arial" w:eastAsia="Times New Roman" w:hAnsi="Arial" w:cs="Arial"/>
                <w:color w:val="000000"/>
                <w:sz w:val="18"/>
                <w:szCs w:val="18"/>
                <w:lang w:val="es-EC" w:eastAsia="es-EC"/>
              </w:rPr>
              <w:t>.</w:t>
            </w:r>
          </w:p>
        </w:tc>
      </w:tr>
      <w:tr w:rsidR="0043620F" w:rsidRPr="00B7320C" w14:paraId="51040233" w14:textId="77777777" w:rsidTr="000D5546">
        <w:trPr>
          <w:gridAfter w:val="1"/>
          <w:wAfter w:w="8" w:type="dxa"/>
          <w:trHeight w:val="58"/>
        </w:trPr>
        <w:tc>
          <w:tcPr>
            <w:tcW w:w="501" w:type="dxa"/>
            <w:vMerge/>
          </w:tcPr>
          <w:p w14:paraId="7C539E18" w14:textId="5DA529E7" w:rsidR="0043620F" w:rsidRDefault="0043620F" w:rsidP="0043620F">
            <w:pPr>
              <w:spacing w:after="0" w:line="240" w:lineRule="auto"/>
              <w:rPr>
                <w:rFonts w:ascii="Arial" w:eastAsia="Times New Roman" w:hAnsi="Arial" w:cs="Arial"/>
                <w:color w:val="000000"/>
                <w:sz w:val="18"/>
                <w:szCs w:val="18"/>
                <w:lang w:val="es-EC" w:eastAsia="es-EC"/>
              </w:rPr>
            </w:pPr>
          </w:p>
        </w:tc>
        <w:tc>
          <w:tcPr>
            <w:tcW w:w="1749" w:type="dxa"/>
            <w:vMerge/>
          </w:tcPr>
          <w:p w14:paraId="2EE4F8B4" w14:textId="77777777" w:rsidR="0043620F" w:rsidRPr="00B7320C" w:rsidRDefault="0043620F" w:rsidP="0043620F">
            <w:pPr>
              <w:spacing w:after="0" w:line="240" w:lineRule="auto"/>
              <w:rPr>
                <w:rFonts w:ascii="Arial" w:eastAsia="Times New Roman" w:hAnsi="Arial" w:cs="Arial"/>
                <w:color w:val="000000"/>
                <w:sz w:val="18"/>
                <w:szCs w:val="18"/>
                <w:lang w:val="es-EC" w:eastAsia="es-EC"/>
              </w:rPr>
            </w:pPr>
          </w:p>
        </w:tc>
        <w:tc>
          <w:tcPr>
            <w:tcW w:w="990" w:type="dxa"/>
            <w:shd w:val="clear" w:color="auto" w:fill="E2EFD9" w:themeFill="accent6" w:themeFillTint="33"/>
            <w:noWrap/>
          </w:tcPr>
          <w:p w14:paraId="2125E024" w14:textId="2C1DE2EC" w:rsidR="0043620F" w:rsidRPr="00C2120C" w:rsidRDefault="0043620F">
            <w:pPr>
              <w:spacing w:after="0" w:line="240" w:lineRule="auto"/>
              <w:jc w:val="center"/>
              <w:rPr>
                <w:rFonts w:ascii="Arial" w:eastAsia="Times New Roman" w:hAnsi="Arial" w:cs="Arial"/>
                <w:color w:val="000000"/>
                <w:sz w:val="18"/>
                <w:szCs w:val="18"/>
                <w:lang w:val="es-EC" w:eastAsia="es-EC"/>
              </w:rPr>
            </w:pPr>
            <w:r w:rsidRPr="000D5546">
              <w:rPr>
                <w:rFonts w:ascii="Arial" w:eastAsia="Times New Roman" w:hAnsi="Arial" w:cs="Arial"/>
                <w:color w:val="000000"/>
                <w:sz w:val="18"/>
                <w:szCs w:val="18"/>
                <w:lang w:val="es-EC" w:eastAsia="es-EC"/>
              </w:rPr>
              <w:t>Financiera</w:t>
            </w:r>
          </w:p>
        </w:tc>
        <w:tc>
          <w:tcPr>
            <w:tcW w:w="1260" w:type="dxa"/>
            <w:shd w:val="clear" w:color="auto" w:fill="E2EFD9" w:themeFill="accent6" w:themeFillTint="33"/>
            <w:noWrap/>
          </w:tcPr>
          <w:p w14:paraId="45149B3F" w14:textId="0D7E1F3C"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US$</w:t>
            </w:r>
          </w:p>
        </w:tc>
        <w:tc>
          <w:tcPr>
            <w:tcW w:w="1080" w:type="dxa"/>
            <w:shd w:val="clear" w:color="auto" w:fill="E2EFD9" w:themeFill="accent6" w:themeFillTint="33"/>
            <w:noWrap/>
          </w:tcPr>
          <w:p w14:paraId="42949561" w14:textId="1B3EF913" w:rsidR="0043620F" w:rsidRDefault="0043620F" w:rsidP="0043620F">
            <w:pPr>
              <w:spacing w:after="0" w:line="240" w:lineRule="auto"/>
              <w:jc w:val="right"/>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990" w:type="dxa"/>
            <w:shd w:val="clear" w:color="auto" w:fill="E2EFD9" w:themeFill="accent6" w:themeFillTint="33"/>
            <w:noWrap/>
          </w:tcPr>
          <w:p w14:paraId="59338DBE" w14:textId="59E61BC0" w:rsidR="0043620F" w:rsidRDefault="0043620F" w:rsidP="0043620F">
            <w:pPr>
              <w:spacing w:after="0" w:line="240" w:lineRule="auto"/>
              <w:jc w:val="right"/>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E2EFD9" w:themeFill="accent6" w:themeFillTint="33"/>
            <w:noWrap/>
          </w:tcPr>
          <w:p w14:paraId="29D19442" w14:textId="712A9846"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0D5546">
              <w:rPr>
                <w:rFonts w:ascii="Arial" w:eastAsia="Times New Roman" w:hAnsi="Arial" w:cs="Arial"/>
                <w:color w:val="000000"/>
                <w:sz w:val="18"/>
                <w:szCs w:val="18"/>
                <w:lang w:val="es-EC" w:eastAsia="es-EC"/>
              </w:rPr>
              <w:t>2</w:t>
            </w:r>
            <w:r>
              <w:rPr>
                <w:rFonts w:ascii="Arial" w:eastAsia="Times New Roman" w:hAnsi="Arial" w:cs="Arial"/>
                <w:color w:val="000000"/>
                <w:sz w:val="18"/>
                <w:szCs w:val="18"/>
                <w:lang w:val="es-EC" w:eastAsia="es-EC"/>
              </w:rPr>
              <w:t>.</w:t>
            </w:r>
            <w:r w:rsidRPr="000D5546">
              <w:rPr>
                <w:rFonts w:ascii="Arial" w:eastAsia="Times New Roman" w:hAnsi="Arial" w:cs="Arial"/>
                <w:color w:val="000000"/>
                <w:sz w:val="18"/>
                <w:szCs w:val="18"/>
                <w:lang w:val="es-EC" w:eastAsia="es-EC"/>
              </w:rPr>
              <w:t>671</w:t>
            </w:r>
            <w:r>
              <w:rPr>
                <w:rFonts w:ascii="Arial" w:eastAsia="Times New Roman" w:hAnsi="Arial" w:cs="Arial"/>
                <w:color w:val="000000"/>
                <w:sz w:val="18"/>
                <w:szCs w:val="18"/>
                <w:lang w:val="es-EC" w:eastAsia="es-EC"/>
              </w:rPr>
              <w:t>.</w:t>
            </w:r>
            <w:r w:rsidRPr="000D5546">
              <w:rPr>
                <w:rFonts w:ascii="Arial" w:eastAsia="Times New Roman" w:hAnsi="Arial" w:cs="Arial"/>
                <w:color w:val="000000"/>
                <w:sz w:val="18"/>
                <w:szCs w:val="18"/>
                <w:lang w:val="es-EC" w:eastAsia="es-EC"/>
              </w:rPr>
              <w:t xml:space="preserve">200 </w:t>
            </w:r>
          </w:p>
        </w:tc>
        <w:tc>
          <w:tcPr>
            <w:tcW w:w="1080" w:type="dxa"/>
            <w:shd w:val="clear" w:color="auto" w:fill="E2EFD9" w:themeFill="accent6" w:themeFillTint="33"/>
            <w:noWrap/>
          </w:tcPr>
          <w:p w14:paraId="68316078" w14:textId="515E12BD" w:rsidR="0043620F" w:rsidRDefault="0043620F" w:rsidP="0043620F">
            <w:pPr>
              <w:spacing w:after="0" w:line="240" w:lineRule="auto"/>
              <w:jc w:val="right"/>
              <w:rPr>
                <w:rFonts w:ascii="Arial" w:eastAsia="Times New Roman" w:hAnsi="Arial" w:cs="Arial"/>
                <w:color w:val="000000"/>
                <w:sz w:val="18"/>
                <w:szCs w:val="18"/>
                <w:lang w:val="es-EC" w:eastAsia="es-EC"/>
              </w:rPr>
            </w:pPr>
            <w:r w:rsidRPr="000D5546">
              <w:rPr>
                <w:rFonts w:ascii="Arial" w:eastAsia="Times New Roman" w:hAnsi="Arial" w:cs="Arial"/>
                <w:color w:val="000000"/>
                <w:sz w:val="18"/>
                <w:szCs w:val="18"/>
                <w:lang w:val="es-EC" w:eastAsia="es-EC"/>
              </w:rPr>
              <w:t>5</w:t>
            </w:r>
            <w:r>
              <w:rPr>
                <w:rFonts w:ascii="Arial" w:eastAsia="Times New Roman" w:hAnsi="Arial" w:cs="Arial"/>
                <w:color w:val="000000"/>
                <w:sz w:val="18"/>
                <w:szCs w:val="18"/>
                <w:lang w:val="es-EC" w:eastAsia="es-EC"/>
              </w:rPr>
              <w:t>.</w:t>
            </w:r>
            <w:r w:rsidRPr="000D5546">
              <w:rPr>
                <w:rFonts w:ascii="Arial" w:eastAsia="Times New Roman" w:hAnsi="Arial" w:cs="Arial"/>
                <w:color w:val="000000"/>
                <w:sz w:val="18"/>
                <w:szCs w:val="18"/>
                <w:lang w:val="es-EC" w:eastAsia="es-EC"/>
              </w:rPr>
              <w:t>950</w:t>
            </w:r>
            <w:r>
              <w:rPr>
                <w:rFonts w:ascii="Arial" w:eastAsia="Times New Roman" w:hAnsi="Arial" w:cs="Arial"/>
                <w:color w:val="000000"/>
                <w:sz w:val="18"/>
                <w:szCs w:val="18"/>
                <w:lang w:val="es-EC" w:eastAsia="es-EC"/>
              </w:rPr>
              <w:t>.</w:t>
            </w:r>
            <w:r w:rsidRPr="000D5546">
              <w:rPr>
                <w:rFonts w:ascii="Arial" w:eastAsia="Times New Roman" w:hAnsi="Arial" w:cs="Arial"/>
                <w:color w:val="000000"/>
                <w:sz w:val="18"/>
                <w:szCs w:val="18"/>
                <w:lang w:val="es-EC" w:eastAsia="es-EC"/>
              </w:rPr>
              <w:t xml:space="preserve">000 </w:t>
            </w:r>
          </w:p>
        </w:tc>
        <w:tc>
          <w:tcPr>
            <w:tcW w:w="1080" w:type="dxa"/>
            <w:shd w:val="clear" w:color="auto" w:fill="E2EFD9" w:themeFill="accent6" w:themeFillTint="33"/>
            <w:noWrap/>
          </w:tcPr>
          <w:p w14:paraId="494EDA26" w14:textId="6E5CC967" w:rsidR="0043620F" w:rsidRDefault="0043620F" w:rsidP="0043620F">
            <w:pPr>
              <w:spacing w:after="0" w:line="240" w:lineRule="auto"/>
              <w:jc w:val="right"/>
              <w:rPr>
                <w:rFonts w:ascii="Arial" w:eastAsia="Times New Roman" w:hAnsi="Arial" w:cs="Arial"/>
                <w:color w:val="000000"/>
                <w:sz w:val="18"/>
                <w:szCs w:val="18"/>
                <w:lang w:val="es-EC" w:eastAsia="es-EC"/>
              </w:rPr>
            </w:pPr>
            <w:r w:rsidRPr="000D5546">
              <w:rPr>
                <w:rFonts w:ascii="Arial" w:eastAsia="Times New Roman" w:hAnsi="Arial" w:cs="Arial"/>
                <w:color w:val="000000"/>
                <w:sz w:val="18"/>
                <w:szCs w:val="18"/>
                <w:lang w:val="es-EC" w:eastAsia="es-EC"/>
              </w:rPr>
              <w:t>5</w:t>
            </w:r>
            <w:r>
              <w:rPr>
                <w:rFonts w:ascii="Arial" w:eastAsia="Times New Roman" w:hAnsi="Arial" w:cs="Arial"/>
                <w:color w:val="000000"/>
                <w:sz w:val="18"/>
                <w:szCs w:val="18"/>
                <w:lang w:val="es-EC" w:eastAsia="es-EC"/>
              </w:rPr>
              <w:t>.</w:t>
            </w:r>
            <w:r w:rsidRPr="000D5546">
              <w:rPr>
                <w:rFonts w:ascii="Arial" w:eastAsia="Times New Roman" w:hAnsi="Arial" w:cs="Arial"/>
                <w:color w:val="000000"/>
                <w:sz w:val="18"/>
                <w:szCs w:val="18"/>
                <w:lang w:val="es-EC" w:eastAsia="es-EC"/>
              </w:rPr>
              <w:t>950</w:t>
            </w:r>
            <w:r>
              <w:rPr>
                <w:rFonts w:ascii="Arial" w:eastAsia="Times New Roman" w:hAnsi="Arial" w:cs="Arial"/>
                <w:color w:val="000000"/>
                <w:sz w:val="18"/>
                <w:szCs w:val="18"/>
                <w:lang w:val="es-EC" w:eastAsia="es-EC"/>
              </w:rPr>
              <w:t>.</w:t>
            </w:r>
            <w:r w:rsidRPr="000D5546">
              <w:rPr>
                <w:rFonts w:ascii="Arial" w:eastAsia="Times New Roman" w:hAnsi="Arial" w:cs="Arial"/>
                <w:color w:val="000000"/>
                <w:sz w:val="18"/>
                <w:szCs w:val="18"/>
                <w:lang w:val="es-EC" w:eastAsia="es-EC"/>
              </w:rPr>
              <w:t xml:space="preserve">000 </w:t>
            </w:r>
          </w:p>
        </w:tc>
        <w:tc>
          <w:tcPr>
            <w:tcW w:w="1080" w:type="dxa"/>
            <w:shd w:val="clear" w:color="auto" w:fill="E2EFD9" w:themeFill="accent6" w:themeFillTint="33"/>
            <w:noWrap/>
          </w:tcPr>
          <w:p w14:paraId="7113B5A0" w14:textId="502E5DA3" w:rsidR="0043620F" w:rsidRDefault="0043620F" w:rsidP="0043620F">
            <w:pPr>
              <w:spacing w:after="0" w:line="240" w:lineRule="auto"/>
              <w:jc w:val="right"/>
              <w:rPr>
                <w:rFonts w:ascii="Arial" w:eastAsia="Times New Roman" w:hAnsi="Arial" w:cs="Arial"/>
                <w:color w:val="000000"/>
                <w:sz w:val="18"/>
                <w:szCs w:val="18"/>
                <w:lang w:val="es-EC" w:eastAsia="es-EC"/>
              </w:rPr>
            </w:pPr>
            <w:r w:rsidRPr="000D5546">
              <w:rPr>
                <w:rFonts w:ascii="Arial" w:eastAsia="Times New Roman" w:hAnsi="Arial" w:cs="Arial"/>
                <w:color w:val="000000"/>
                <w:sz w:val="18"/>
                <w:szCs w:val="18"/>
                <w:lang w:val="es-EC" w:eastAsia="es-EC"/>
              </w:rPr>
              <w:t>14</w:t>
            </w:r>
            <w:r>
              <w:rPr>
                <w:rFonts w:ascii="Arial" w:eastAsia="Times New Roman" w:hAnsi="Arial" w:cs="Arial"/>
                <w:color w:val="000000"/>
                <w:sz w:val="18"/>
                <w:szCs w:val="18"/>
                <w:lang w:val="es-EC" w:eastAsia="es-EC"/>
              </w:rPr>
              <w:t>.</w:t>
            </w:r>
            <w:r w:rsidRPr="000D5546">
              <w:rPr>
                <w:rFonts w:ascii="Arial" w:eastAsia="Times New Roman" w:hAnsi="Arial" w:cs="Arial"/>
                <w:color w:val="000000"/>
                <w:sz w:val="18"/>
                <w:szCs w:val="18"/>
                <w:lang w:val="es-EC" w:eastAsia="es-EC"/>
              </w:rPr>
              <w:t>571</w:t>
            </w:r>
            <w:r>
              <w:rPr>
                <w:rFonts w:ascii="Arial" w:eastAsia="Times New Roman" w:hAnsi="Arial" w:cs="Arial"/>
                <w:color w:val="000000"/>
                <w:sz w:val="18"/>
                <w:szCs w:val="18"/>
                <w:lang w:val="es-EC" w:eastAsia="es-EC"/>
              </w:rPr>
              <w:t>.</w:t>
            </w:r>
            <w:r w:rsidRPr="000D5546">
              <w:rPr>
                <w:rFonts w:ascii="Arial" w:eastAsia="Times New Roman" w:hAnsi="Arial" w:cs="Arial"/>
                <w:color w:val="000000"/>
                <w:sz w:val="18"/>
                <w:szCs w:val="18"/>
                <w:lang w:val="es-EC" w:eastAsia="es-EC"/>
              </w:rPr>
              <w:t xml:space="preserve">200 </w:t>
            </w:r>
          </w:p>
        </w:tc>
        <w:tc>
          <w:tcPr>
            <w:tcW w:w="4050" w:type="dxa"/>
            <w:gridSpan w:val="2"/>
            <w:shd w:val="clear" w:color="auto" w:fill="E2EFD9" w:themeFill="accent6" w:themeFillTint="33"/>
          </w:tcPr>
          <w:p w14:paraId="1C2BA274"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p>
        </w:tc>
      </w:tr>
      <w:tr w:rsidR="006F34C6" w:rsidRPr="00A01772" w14:paraId="0903EC3B" w14:textId="003930DE" w:rsidTr="000D5546">
        <w:trPr>
          <w:gridAfter w:val="1"/>
          <w:wAfter w:w="8" w:type="dxa"/>
          <w:trHeight w:val="300"/>
        </w:trPr>
        <w:tc>
          <w:tcPr>
            <w:tcW w:w="501" w:type="dxa"/>
            <w:shd w:val="clear" w:color="auto" w:fill="B4C6E7" w:themeFill="accent1" w:themeFillTint="66"/>
            <w:noWrap/>
            <w:hideMark/>
          </w:tcPr>
          <w:p w14:paraId="777B602D" w14:textId="77777777" w:rsidR="006F34C6" w:rsidRPr="00C2120C" w:rsidRDefault="006F34C6" w:rsidP="006F34C6">
            <w:pPr>
              <w:spacing w:after="0" w:line="240" w:lineRule="auto"/>
              <w:rPr>
                <w:rFonts w:ascii="Arial" w:eastAsia="Times New Roman" w:hAnsi="Arial" w:cs="Arial"/>
                <w:b/>
                <w:bCs/>
                <w:color w:val="000000"/>
                <w:sz w:val="18"/>
                <w:szCs w:val="18"/>
                <w:lang w:val="es-EC" w:eastAsia="es-EC"/>
              </w:rPr>
            </w:pPr>
            <w:r w:rsidRPr="00C2120C">
              <w:rPr>
                <w:rFonts w:ascii="Arial" w:eastAsia="Times New Roman" w:hAnsi="Arial" w:cs="Arial"/>
                <w:b/>
                <w:bCs/>
                <w:color w:val="000000"/>
                <w:sz w:val="18"/>
                <w:szCs w:val="18"/>
                <w:lang w:val="es-EC" w:eastAsia="es-EC"/>
              </w:rPr>
              <w:t>4</w:t>
            </w:r>
          </w:p>
        </w:tc>
        <w:tc>
          <w:tcPr>
            <w:tcW w:w="1749" w:type="dxa"/>
            <w:shd w:val="clear" w:color="auto" w:fill="B4C6E7" w:themeFill="accent1" w:themeFillTint="66"/>
            <w:noWrap/>
            <w:hideMark/>
          </w:tcPr>
          <w:p w14:paraId="5325999B" w14:textId="77777777" w:rsidR="006F34C6" w:rsidRPr="00C2120C" w:rsidRDefault="006F34C6" w:rsidP="006F34C6">
            <w:pPr>
              <w:spacing w:after="0" w:line="240" w:lineRule="auto"/>
              <w:rPr>
                <w:rFonts w:ascii="Arial" w:eastAsia="Times New Roman" w:hAnsi="Arial" w:cs="Arial"/>
                <w:b/>
                <w:bCs/>
                <w:color w:val="000000"/>
                <w:sz w:val="18"/>
                <w:szCs w:val="18"/>
                <w:lang w:val="es-EC" w:eastAsia="es-EC"/>
              </w:rPr>
            </w:pPr>
            <w:r w:rsidRPr="00C2120C">
              <w:rPr>
                <w:rFonts w:ascii="Arial" w:eastAsia="Times New Roman" w:hAnsi="Arial" w:cs="Arial"/>
                <w:b/>
                <w:bCs/>
                <w:color w:val="000000"/>
                <w:sz w:val="18"/>
                <w:szCs w:val="18"/>
                <w:lang w:val="es-EC" w:eastAsia="es-EC"/>
              </w:rPr>
              <w:t>Mejora en la entrega de servicios a empresas y ciudadanos</w:t>
            </w:r>
          </w:p>
        </w:tc>
        <w:tc>
          <w:tcPr>
            <w:tcW w:w="990" w:type="dxa"/>
            <w:shd w:val="clear" w:color="auto" w:fill="B4C6E7" w:themeFill="accent1" w:themeFillTint="66"/>
            <w:noWrap/>
            <w:hideMark/>
          </w:tcPr>
          <w:p w14:paraId="6482A181" w14:textId="77777777" w:rsidR="006F34C6" w:rsidRPr="00C2120C" w:rsidRDefault="006F34C6" w:rsidP="006F34C6">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w:t>
            </w:r>
          </w:p>
        </w:tc>
        <w:tc>
          <w:tcPr>
            <w:tcW w:w="1260" w:type="dxa"/>
            <w:shd w:val="clear" w:color="auto" w:fill="B4C6E7" w:themeFill="accent1" w:themeFillTint="66"/>
            <w:noWrap/>
            <w:hideMark/>
          </w:tcPr>
          <w:p w14:paraId="027AB5AC" w14:textId="77777777" w:rsidR="006F34C6" w:rsidRPr="00C2120C" w:rsidRDefault="006F34C6" w:rsidP="006F34C6">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w:t>
            </w:r>
          </w:p>
        </w:tc>
        <w:tc>
          <w:tcPr>
            <w:tcW w:w="1080" w:type="dxa"/>
            <w:shd w:val="clear" w:color="auto" w:fill="B4C6E7" w:themeFill="accent1" w:themeFillTint="66"/>
            <w:noWrap/>
            <w:hideMark/>
          </w:tcPr>
          <w:p w14:paraId="389838DD" w14:textId="125ED8D2" w:rsidR="006F34C6" w:rsidRPr="00C2120C" w:rsidRDefault="006F34C6" w:rsidP="006F34C6">
            <w:pPr>
              <w:spacing w:after="0" w:line="240" w:lineRule="auto"/>
              <w:jc w:val="right"/>
              <w:rPr>
                <w:rFonts w:ascii="Arial" w:eastAsia="Times New Roman" w:hAnsi="Arial" w:cs="Arial"/>
                <w:b/>
                <w:bCs/>
                <w:color w:val="000000"/>
                <w:sz w:val="18"/>
                <w:szCs w:val="18"/>
                <w:lang w:val="es-EC" w:eastAsia="es-EC"/>
              </w:rPr>
            </w:pPr>
            <w:r w:rsidRPr="000D5546">
              <w:rPr>
                <w:rFonts w:ascii="Arial" w:eastAsia="Times New Roman" w:hAnsi="Arial" w:cs="Arial"/>
                <w:b/>
                <w:bCs/>
                <w:color w:val="000000"/>
                <w:sz w:val="18"/>
                <w:szCs w:val="18"/>
                <w:lang w:val="es-EC" w:eastAsia="es-EC"/>
              </w:rPr>
              <w:t xml:space="preserve"> 1</w:t>
            </w:r>
            <w:r>
              <w:rPr>
                <w:rFonts w:ascii="Arial" w:eastAsia="Times New Roman" w:hAnsi="Arial" w:cs="Arial"/>
                <w:b/>
                <w:bCs/>
                <w:color w:val="000000"/>
                <w:sz w:val="18"/>
                <w:szCs w:val="18"/>
                <w:lang w:val="es-EC" w:eastAsia="es-EC"/>
              </w:rPr>
              <w:t>.</w:t>
            </w:r>
            <w:r w:rsidRPr="000D5546">
              <w:rPr>
                <w:rFonts w:ascii="Arial" w:eastAsia="Times New Roman" w:hAnsi="Arial" w:cs="Arial"/>
                <w:b/>
                <w:bCs/>
                <w:color w:val="000000"/>
                <w:sz w:val="18"/>
                <w:szCs w:val="18"/>
                <w:lang w:val="es-EC" w:eastAsia="es-EC"/>
              </w:rPr>
              <w:t>192</w:t>
            </w:r>
            <w:r>
              <w:rPr>
                <w:rFonts w:ascii="Arial" w:eastAsia="Times New Roman" w:hAnsi="Arial" w:cs="Arial"/>
                <w:b/>
                <w:bCs/>
                <w:color w:val="000000"/>
                <w:sz w:val="18"/>
                <w:szCs w:val="18"/>
                <w:lang w:val="es-EC" w:eastAsia="es-EC"/>
              </w:rPr>
              <w:t>.</w:t>
            </w:r>
            <w:r w:rsidRPr="000D5546">
              <w:rPr>
                <w:rFonts w:ascii="Arial" w:eastAsia="Times New Roman" w:hAnsi="Arial" w:cs="Arial"/>
                <w:b/>
                <w:bCs/>
                <w:color w:val="000000"/>
                <w:sz w:val="18"/>
                <w:szCs w:val="18"/>
                <w:lang w:val="es-EC" w:eastAsia="es-EC"/>
              </w:rPr>
              <w:t xml:space="preserve">800 </w:t>
            </w:r>
          </w:p>
        </w:tc>
        <w:tc>
          <w:tcPr>
            <w:tcW w:w="990" w:type="dxa"/>
            <w:shd w:val="clear" w:color="auto" w:fill="B4C6E7" w:themeFill="accent1" w:themeFillTint="66"/>
            <w:noWrap/>
            <w:hideMark/>
          </w:tcPr>
          <w:p w14:paraId="42CA44AA" w14:textId="24B22EEB" w:rsidR="006F34C6" w:rsidRPr="00C2120C" w:rsidRDefault="006F34C6" w:rsidP="006F34C6">
            <w:pPr>
              <w:spacing w:after="0" w:line="240" w:lineRule="auto"/>
              <w:jc w:val="right"/>
              <w:rPr>
                <w:rFonts w:ascii="Arial" w:eastAsia="Times New Roman" w:hAnsi="Arial" w:cs="Arial"/>
                <w:b/>
                <w:bCs/>
                <w:color w:val="000000"/>
                <w:sz w:val="18"/>
                <w:szCs w:val="18"/>
                <w:lang w:val="es-EC" w:eastAsia="es-EC"/>
              </w:rPr>
            </w:pPr>
            <w:r w:rsidRPr="000D5546">
              <w:rPr>
                <w:rFonts w:ascii="Arial" w:eastAsia="Times New Roman" w:hAnsi="Arial" w:cs="Arial"/>
                <w:b/>
                <w:bCs/>
                <w:color w:val="000000"/>
                <w:sz w:val="18"/>
                <w:szCs w:val="18"/>
                <w:lang w:val="es-EC" w:eastAsia="es-EC"/>
              </w:rPr>
              <w:t>1</w:t>
            </w:r>
            <w:r>
              <w:rPr>
                <w:rFonts w:ascii="Arial" w:eastAsia="Times New Roman" w:hAnsi="Arial" w:cs="Arial"/>
                <w:b/>
                <w:bCs/>
                <w:color w:val="000000"/>
                <w:sz w:val="18"/>
                <w:szCs w:val="18"/>
                <w:lang w:val="es-EC" w:eastAsia="es-EC"/>
              </w:rPr>
              <w:t>.</w:t>
            </w:r>
            <w:r w:rsidRPr="000D5546">
              <w:rPr>
                <w:rFonts w:ascii="Arial" w:eastAsia="Times New Roman" w:hAnsi="Arial" w:cs="Arial"/>
                <w:b/>
                <w:bCs/>
                <w:color w:val="000000"/>
                <w:sz w:val="18"/>
                <w:szCs w:val="18"/>
                <w:lang w:val="es-EC" w:eastAsia="es-EC"/>
              </w:rPr>
              <w:t>590</w:t>
            </w:r>
            <w:r>
              <w:rPr>
                <w:rFonts w:ascii="Arial" w:eastAsia="Times New Roman" w:hAnsi="Arial" w:cs="Arial"/>
                <w:b/>
                <w:bCs/>
                <w:color w:val="000000"/>
                <w:sz w:val="18"/>
                <w:szCs w:val="18"/>
                <w:lang w:val="es-EC" w:eastAsia="es-EC"/>
              </w:rPr>
              <w:t>.</w:t>
            </w:r>
            <w:r w:rsidRPr="000D5546">
              <w:rPr>
                <w:rFonts w:ascii="Arial" w:eastAsia="Times New Roman" w:hAnsi="Arial" w:cs="Arial"/>
                <w:b/>
                <w:bCs/>
                <w:color w:val="000000"/>
                <w:sz w:val="18"/>
                <w:szCs w:val="18"/>
                <w:lang w:val="es-EC" w:eastAsia="es-EC"/>
              </w:rPr>
              <w:t xml:space="preserve">400 </w:t>
            </w:r>
          </w:p>
        </w:tc>
        <w:tc>
          <w:tcPr>
            <w:tcW w:w="1080" w:type="dxa"/>
            <w:shd w:val="clear" w:color="auto" w:fill="B4C6E7" w:themeFill="accent1" w:themeFillTint="66"/>
            <w:noWrap/>
            <w:hideMark/>
          </w:tcPr>
          <w:p w14:paraId="64B8F816" w14:textId="47303BEE" w:rsidR="006F34C6" w:rsidRPr="00C2120C" w:rsidRDefault="006F34C6" w:rsidP="006F34C6">
            <w:pPr>
              <w:spacing w:after="0" w:line="240" w:lineRule="auto"/>
              <w:jc w:val="right"/>
              <w:rPr>
                <w:rFonts w:ascii="Arial" w:eastAsia="Times New Roman" w:hAnsi="Arial" w:cs="Arial"/>
                <w:b/>
                <w:bCs/>
                <w:color w:val="000000"/>
                <w:sz w:val="18"/>
                <w:szCs w:val="18"/>
                <w:lang w:val="es-EC" w:eastAsia="es-EC"/>
              </w:rPr>
            </w:pPr>
            <w:r w:rsidRPr="000D5546">
              <w:rPr>
                <w:rFonts w:ascii="Arial" w:eastAsia="Times New Roman" w:hAnsi="Arial" w:cs="Arial"/>
                <w:b/>
                <w:bCs/>
                <w:color w:val="000000"/>
                <w:sz w:val="18"/>
                <w:szCs w:val="18"/>
                <w:lang w:val="es-EC" w:eastAsia="es-EC"/>
              </w:rPr>
              <w:t xml:space="preserve"> 6</w:t>
            </w:r>
            <w:r>
              <w:rPr>
                <w:rFonts w:ascii="Arial" w:eastAsia="Times New Roman" w:hAnsi="Arial" w:cs="Arial"/>
                <w:b/>
                <w:bCs/>
                <w:color w:val="000000"/>
                <w:sz w:val="18"/>
                <w:szCs w:val="18"/>
                <w:lang w:val="es-EC" w:eastAsia="es-EC"/>
              </w:rPr>
              <w:t>.</w:t>
            </w:r>
            <w:r w:rsidRPr="000D5546">
              <w:rPr>
                <w:rFonts w:ascii="Arial" w:eastAsia="Times New Roman" w:hAnsi="Arial" w:cs="Arial"/>
                <w:b/>
                <w:bCs/>
                <w:color w:val="000000"/>
                <w:sz w:val="18"/>
                <w:szCs w:val="18"/>
                <w:lang w:val="es-EC" w:eastAsia="es-EC"/>
              </w:rPr>
              <w:t>703</w:t>
            </w:r>
            <w:r>
              <w:rPr>
                <w:rFonts w:ascii="Arial" w:eastAsia="Times New Roman" w:hAnsi="Arial" w:cs="Arial"/>
                <w:b/>
                <w:bCs/>
                <w:color w:val="000000"/>
                <w:sz w:val="18"/>
                <w:szCs w:val="18"/>
                <w:lang w:val="es-EC" w:eastAsia="es-EC"/>
              </w:rPr>
              <w:t>.</w:t>
            </w:r>
            <w:r w:rsidRPr="000D5546">
              <w:rPr>
                <w:rFonts w:ascii="Arial" w:eastAsia="Times New Roman" w:hAnsi="Arial" w:cs="Arial"/>
                <w:b/>
                <w:bCs/>
                <w:color w:val="000000"/>
                <w:sz w:val="18"/>
                <w:szCs w:val="18"/>
                <w:lang w:val="es-EC" w:eastAsia="es-EC"/>
              </w:rPr>
              <w:t xml:space="preserve">200 </w:t>
            </w:r>
          </w:p>
        </w:tc>
        <w:tc>
          <w:tcPr>
            <w:tcW w:w="1080" w:type="dxa"/>
            <w:shd w:val="clear" w:color="auto" w:fill="B4C6E7" w:themeFill="accent1" w:themeFillTint="66"/>
            <w:noWrap/>
            <w:hideMark/>
          </w:tcPr>
          <w:p w14:paraId="27124507" w14:textId="349B2433" w:rsidR="006F34C6" w:rsidRPr="00C2120C" w:rsidRDefault="006F34C6" w:rsidP="006F34C6">
            <w:pPr>
              <w:spacing w:after="0" w:line="240" w:lineRule="auto"/>
              <w:jc w:val="right"/>
              <w:rPr>
                <w:rFonts w:ascii="Arial" w:eastAsia="Times New Roman" w:hAnsi="Arial" w:cs="Arial"/>
                <w:b/>
                <w:bCs/>
                <w:color w:val="000000"/>
                <w:sz w:val="18"/>
                <w:szCs w:val="18"/>
                <w:lang w:val="es-EC" w:eastAsia="es-EC"/>
              </w:rPr>
            </w:pPr>
            <w:r w:rsidRPr="000D5546">
              <w:rPr>
                <w:rFonts w:ascii="Arial" w:eastAsia="Times New Roman" w:hAnsi="Arial" w:cs="Arial"/>
                <w:b/>
                <w:bCs/>
                <w:color w:val="000000"/>
                <w:sz w:val="18"/>
                <w:szCs w:val="18"/>
                <w:lang w:val="es-EC" w:eastAsia="es-EC"/>
              </w:rPr>
              <w:t xml:space="preserve"> 397</w:t>
            </w:r>
            <w:r>
              <w:rPr>
                <w:rFonts w:ascii="Arial" w:eastAsia="Times New Roman" w:hAnsi="Arial" w:cs="Arial"/>
                <w:b/>
                <w:bCs/>
                <w:color w:val="000000"/>
                <w:sz w:val="18"/>
                <w:szCs w:val="18"/>
                <w:lang w:val="es-EC" w:eastAsia="es-EC"/>
              </w:rPr>
              <w:t>.</w:t>
            </w:r>
            <w:r w:rsidRPr="000D5546">
              <w:rPr>
                <w:rFonts w:ascii="Arial" w:eastAsia="Times New Roman" w:hAnsi="Arial" w:cs="Arial"/>
                <w:b/>
                <w:bCs/>
                <w:color w:val="000000"/>
                <w:sz w:val="18"/>
                <w:szCs w:val="18"/>
                <w:lang w:val="es-EC" w:eastAsia="es-EC"/>
              </w:rPr>
              <w:t xml:space="preserve">600 </w:t>
            </w:r>
          </w:p>
        </w:tc>
        <w:tc>
          <w:tcPr>
            <w:tcW w:w="1080" w:type="dxa"/>
            <w:shd w:val="clear" w:color="auto" w:fill="B4C6E7" w:themeFill="accent1" w:themeFillTint="66"/>
            <w:noWrap/>
            <w:hideMark/>
          </w:tcPr>
          <w:p w14:paraId="02EED9A4" w14:textId="27032400" w:rsidR="006F34C6" w:rsidRPr="00C2120C" w:rsidRDefault="006F34C6" w:rsidP="006F34C6">
            <w:pPr>
              <w:spacing w:after="0" w:line="240" w:lineRule="auto"/>
              <w:jc w:val="right"/>
              <w:rPr>
                <w:rFonts w:ascii="Arial" w:eastAsia="Times New Roman" w:hAnsi="Arial" w:cs="Arial"/>
                <w:b/>
                <w:bCs/>
                <w:color w:val="000000"/>
                <w:sz w:val="18"/>
                <w:szCs w:val="18"/>
                <w:lang w:val="es-EC" w:eastAsia="es-EC"/>
              </w:rPr>
            </w:pPr>
            <w:r w:rsidRPr="00C2120C">
              <w:rPr>
                <w:rFonts w:ascii="Arial" w:eastAsia="Times New Roman" w:hAnsi="Arial" w:cs="Arial"/>
                <w:b/>
                <w:bCs/>
                <w:color w:val="000000"/>
                <w:sz w:val="18"/>
                <w:szCs w:val="18"/>
                <w:lang w:val="es-EC" w:eastAsia="es-EC"/>
              </w:rPr>
              <w:t xml:space="preserve">              </w:t>
            </w:r>
            <w:r>
              <w:rPr>
                <w:rFonts w:ascii="Arial" w:eastAsia="Times New Roman" w:hAnsi="Arial" w:cs="Arial"/>
                <w:b/>
                <w:bCs/>
                <w:color w:val="000000"/>
                <w:sz w:val="18"/>
                <w:szCs w:val="18"/>
                <w:lang w:val="es-EC" w:eastAsia="es-EC"/>
              </w:rPr>
              <w:t>0</w:t>
            </w:r>
            <w:r w:rsidRPr="00C2120C">
              <w:rPr>
                <w:rFonts w:ascii="Arial" w:eastAsia="Times New Roman" w:hAnsi="Arial" w:cs="Arial"/>
                <w:b/>
                <w:bCs/>
                <w:color w:val="000000"/>
                <w:sz w:val="18"/>
                <w:szCs w:val="18"/>
                <w:lang w:val="es-EC" w:eastAsia="es-EC"/>
              </w:rPr>
              <w:t xml:space="preserve">   </w:t>
            </w:r>
          </w:p>
        </w:tc>
        <w:tc>
          <w:tcPr>
            <w:tcW w:w="1080" w:type="dxa"/>
            <w:shd w:val="clear" w:color="auto" w:fill="B4C6E7" w:themeFill="accent1" w:themeFillTint="66"/>
            <w:noWrap/>
            <w:hideMark/>
          </w:tcPr>
          <w:p w14:paraId="20200F9E" w14:textId="1D74A607" w:rsidR="006F34C6" w:rsidRPr="00C2120C" w:rsidRDefault="006F34C6" w:rsidP="006F34C6">
            <w:pPr>
              <w:spacing w:after="0" w:line="240" w:lineRule="auto"/>
              <w:jc w:val="right"/>
              <w:rPr>
                <w:rFonts w:ascii="Arial" w:eastAsia="Times New Roman" w:hAnsi="Arial" w:cs="Arial"/>
                <w:b/>
                <w:bCs/>
                <w:color w:val="000000"/>
                <w:sz w:val="18"/>
                <w:szCs w:val="18"/>
                <w:lang w:val="es-EC" w:eastAsia="es-EC"/>
              </w:rPr>
            </w:pPr>
            <w:r w:rsidRPr="00C2120C">
              <w:rPr>
                <w:rFonts w:ascii="Arial" w:eastAsia="Times New Roman" w:hAnsi="Arial" w:cs="Arial"/>
                <w:b/>
                <w:bCs/>
                <w:color w:val="000000"/>
                <w:sz w:val="18"/>
                <w:szCs w:val="18"/>
                <w:lang w:val="es-EC" w:eastAsia="es-EC"/>
              </w:rPr>
              <w:t xml:space="preserve"> 9.884.000 </w:t>
            </w:r>
          </w:p>
        </w:tc>
        <w:tc>
          <w:tcPr>
            <w:tcW w:w="4050" w:type="dxa"/>
            <w:gridSpan w:val="2"/>
            <w:shd w:val="clear" w:color="auto" w:fill="B4C6E7" w:themeFill="accent1" w:themeFillTint="66"/>
          </w:tcPr>
          <w:p w14:paraId="2D146B46" w14:textId="77777777" w:rsidR="006F34C6" w:rsidRPr="00C2120C" w:rsidRDefault="006F34C6" w:rsidP="006F34C6">
            <w:pPr>
              <w:spacing w:after="0" w:line="240" w:lineRule="auto"/>
              <w:jc w:val="right"/>
              <w:rPr>
                <w:rFonts w:ascii="Arial" w:eastAsia="Times New Roman" w:hAnsi="Arial" w:cs="Arial"/>
                <w:b/>
                <w:bCs/>
                <w:color w:val="000000"/>
                <w:sz w:val="18"/>
                <w:szCs w:val="18"/>
                <w:lang w:val="es-EC" w:eastAsia="es-EC"/>
              </w:rPr>
            </w:pPr>
          </w:p>
        </w:tc>
      </w:tr>
      <w:tr w:rsidR="0043620F" w:rsidRPr="00387315" w14:paraId="4A8C4719" w14:textId="77777777" w:rsidTr="000D5546">
        <w:trPr>
          <w:gridAfter w:val="1"/>
          <w:wAfter w:w="8" w:type="dxa"/>
          <w:trHeight w:val="1187"/>
        </w:trPr>
        <w:tc>
          <w:tcPr>
            <w:tcW w:w="501" w:type="dxa"/>
            <w:vMerge w:val="restart"/>
            <w:shd w:val="clear" w:color="auto" w:fill="E2EFD9" w:themeFill="accent6" w:themeFillTint="33"/>
            <w:noWrap/>
          </w:tcPr>
          <w:p w14:paraId="75945006" w14:textId="33178D41" w:rsidR="0043620F" w:rsidRPr="00C2120C" w:rsidRDefault="0043620F" w:rsidP="0043620F">
            <w:pPr>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4.</w:t>
            </w:r>
            <w:r>
              <w:rPr>
                <w:rFonts w:ascii="Arial" w:eastAsia="Times New Roman" w:hAnsi="Arial" w:cs="Arial"/>
                <w:color w:val="000000"/>
                <w:sz w:val="18"/>
                <w:szCs w:val="18"/>
                <w:lang w:val="es-EC" w:eastAsia="es-EC"/>
              </w:rPr>
              <w:t>1</w:t>
            </w:r>
          </w:p>
        </w:tc>
        <w:tc>
          <w:tcPr>
            <w:tcW w:w="1749" w:type="dxa"/>
            <w:vMerge w:val="restart"/>
            <w:shd w:val="clear" w:color="auto" w:fill="E2EFD9" w:themeFill="accent6" w:themeFillTint="33"/>
            <w:noWrap/>
          </w:tcPr>
          <w:p w14:paraId="55CEFC4D" w14:textId="226D2D12" w:rsidR="0043620F" w:rsidRPr="00C2120C" w:rsidRDefault="0043620F" w:rsidP="0043620F">
            <w:pPr>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Simplificación y digitalización de Trámites relacionados con el ambiente de la operación de negocios, realizada</w:t>
            </w:r>
          </w:p>
        </w:tc>
        <w:tc>
          <w:tcPr>
            <w:tcW w:w="990" w:type="dxa"/>
            <w:shd w:val="clear" w:color="auto" w:fill="auto"/>
            <w:noWrap/>
          </w:tcPr>
          <w:p w14:paraId="00B1F536" w14:textId="3705CC0D"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Física</w:t>
            </w:r>
          </w:p>
        </w:tc>
        <w:tc>
          <w:tcPr>
            <w:tcW w:w="1260" w:type="dxa"/>
            <w:shd w:val="clear" w:color="auto" w:fill="auto"/>
            <w:noWrap/>
          </w:tcPr>
          <w:p w14:paraId="4618C6EC" w14:textId="5166C36F"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Trámites</w:t>
            </w:r>
          </w:p>
        </w:tc>
        <w:tc>
          <w:tcPr>
            <w:tcW w:w="1080" w:type="dxa"/>
            <w:shd w:val="clear" w:color="auto" w:fill="auto"/>
            <w:noWrap/>
          </w:tcPr>
          <w:p w14:paraId="3F942F51" w14:textId="6E64667E"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10</w:t>
            </w:r>
          </w:p>
        </w:tc>
        <w:tc>
          <w:tcPr>
            <w:tcW w:w="990" w:type="dxa"/>
            <w:shd w:val="clear" w:color="auto" w:fill="auto"/>
            <w:noWrap/>
          </w:tcPr>
          <w:p w14:paraId="32E804BA" w14:textId="1CBCE291"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50</w:t>
            </w:r>
          </w:p>
        </w:tc>
        <w:tc>
          <w:tcPr>
            <w:tcW w:w="1080" w:type="dxa"/>
            <w:shd w:val="clear" w:color="auto" w:fill="auto"/>
            <w:noWrap/>
          </w:tcPr>
          <w:p w14:paraId="0A0A264B" w14:textId="154C92A5"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20</w:t>
            </w:r>
          </w:p>
        </w:tc>
        <w:tc>
          <w:tcPr>
            <w:tcW w:w="1080" w:type="dxa"/>
            <w:shd w:val="clear" w:color="auto" w:fill="auto"/>
            <w:noWrap/>
          </w:tcPr>
          <w:p w14:paraId="426BD31A" w14:textId="35A27FBC"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20</w:t>
            </w:r>
          </w:p>
        </w:tc>
        <w:tc>
          <w:tcPr>
            <w:tcW w:w="1080" w:type="dxa"/>
            <w:shd w:val="clear" w:color="auto" w:fill="auto"/>
            <w:noWrap/>
          </w:tcPr>
          <w:p w14:paraId="3D8E6DB4" w14:textId="360B2730"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auto"/>
            <w:noWrap/>
          </w:tcPr>
          <w:p w14:paraId="1C136364" w14:textId="64EB38BF"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100 </w:t>
            </w:r>
          </w:p>
        </w:tc>
        <w:tc>
          <w:tcPr>
            <w:tcW w:w="4050" w:type="dxa"/>
            <w:gridSpan w:val="2"/>
          </w:tcPr>
          <w:p w14:paraId="2ED8B45E" w14:textId="62854DCE" w:rsidR="0043620F" w:rsidRPr="00C2120C" w:rsidRDefault="0043620F" w:rsidP="0043620F">
            <w:pPr>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Comprende la simplificación de 100 trámites seleccionados por la SGP</w:t>
            </w:r>
          </w:p>
        </w:tc>
      </w:tr>
      <w:tr w:rsidR="0043620F" w:rsidRPr="00E7037E" w14:paraId="16DAE1B6" w14:textId="77777777" w:rsidTr="000D5546">
        <w:trPr>
          <w:gridAfter w:val="1"/>
          <w:wAfter w:w="8" w:type="dxa"/>
          <w:trHeight w:val="255"/>
        </w:trPr>
        <w:tc>
          <w:tcPr>
            <w:tcW w:w="501" w:type="dxa"/>
            <w:vMerge/>
            <w:noWrap/>
          </w:tcPr>
          <w:p w14:paraId="029078D5"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p>
        </w:tc>
        <w:tc>
          <w:tcPr>
            <w:tcW w:w="1749" w:type="dxa"/>
            <w:vMerge/>
            <w:noWrap/>
          </w:tcPr>
          <w:p w14:paraId="7B782252"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p>
        </w:tc>
        <w:tc>
          <w:tcPr>
            <w:tcW w:w="990" w:type="dxa"/>
            <w:shd w:val="clear" w:color="auto" w:fill="E2EFD9" w:themeFill="accent6" w:themeFillTint="33"/>
            <w:noWrap/>
          </w:tcPr>
          <w:p w14:paraId="4AC9A4AB" w14:textId="70F16387"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Financiera </w:t>
            </w:r>
          </w:p>
        </w:tc>
        <w:tc>
          <w:tcPr>
            <w:tcW w:w="1260" w:type="dxa"/>
            <w:shd w:val="clear" w:color="auto" w:fill="E2EFD9" w:themeFill="accent6" w:themeFillTint="33"/>
            <w:noWrap/>
          </w:tcPr>
          <w:p w14:paraId="34BF0EDC" w14:textId="7784267A"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US</w:t>
            </w:r>
            <w:r>
              <w:rPr>
                <w:rFonts w:ascii="Arial" w:eastAsia="Times New Roman" w:hAnsi="Arial" w:cs="Arial"/>
                <w:color w:val="000000"/>
                <w:sz w:val="18"/>
                <w:szCs w:val="18"/>
                <w:lang w:val="es-EC" w:eastAsia="es-EC"/>
              </w:rPr>
              <w:t>$</w:t>
            </w:r>
          </w:p>
        </w:tc>
        <w:tc>
          <w:tcPr>
            <w:tcW w:w="1080" w:type="dxa"/>
            <w:shd w:val="clear" w:color="auto" w:fill="E2EFD9" w:themeFill="accent6" w:themeFillTint="33"/>
            <w:noWrap/>
          </w:tcPr>
          <w:p w14:paraId="20A9E67D" w14:textId="2F06B965"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1.192.800 </w:t>
            </w:r>
          </w:p>
        </w:tc>
        <w:tc>
          <w:tcPr>
            <w:tcW w:w="990" w:type="dxa"/>
            <w:shd w:val="clear" w:color="auto" w:fill="E2EFD9" w:themeFill="accent6" w:themeFillTint="33"/>
            <w:noWrap/>
          </w:tcPr>
          <w:p w14:paraId="30FC17B6" w14:textId="30033534"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1.590.400 </w:t>
            </w:r>
          </w:p>
        </w:tc>
        <w:tc>
          <w:tcPr>
            <w:tcW w:w="1080" w:type="dxa"/>
            <w:shd w:val="clear" w:color="auto" w:fill="E2EFD9" w:themeFill="accent6" w:themeFillTint="33"/>
            <w:noWrap/>
          </w:tcPr>
          <w:p w14:paraId="522673D6" w14:textId="27B2F2A6"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795.200 </w:t>
            </w:r>
          </w:p>
        </w:tc>
        <w:tc>
          <w:tcPr>
            <w:tcW w:w="1080" w:type="dxa"/>
            <w:shd w:val="clear" w:color="auto" w:fill="E2EFD9" w:themeFill="accent6" w:themeFillTint="33"/>
            <w:noWrap/>
          </w:tcPr>
          <w:p w14:paraId="2836C6F7" w14:textId="1BDA1D4D"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397.600 </w:t>
            </w:r>
          </w:p>
        </w:tc>
        <w:tc>
          <w:tcPr>
            <w:tcW w:w="1080" w:type="dxa"/>
            <w:shd w:val="clear" w:color="auto" w:fill="E2EFD9" w:themeFill="accent6" w:themeFillTint="33"/>
            <w:noWrap/>
          </w:tcPr>
          <w:p w14:paraId="587BAC9F" w14:textId="19A2CD32"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w:t>
            </w:r>
            <w:r>
              <w:rPr>
                <w:rFonts w:ascii="Arial" w:eastAsia="Times New Roman" w:hAnsi="Arial" w:cs="Arial"/>
                <w:color w:val="000000"/>
                <w:sz w:val="18"/>
                <w:szCs w:val="18"/>
                <w:lang w:val="es-EC" w:eastAsia="es-EC"/>
              </w:rPr>
              <w:t>0</w:t>
            </w:r>
            <w:r w:rsidRPr="00C2120C">
              <w:rPr>
                <w:rFonts w:ascii="Arial" w:eastAsia="Times New Roman" w:hAnsi="Arial" w:cs="Arial"/>
                <w:color w:val="000000"/>
                <w:sz w:val="18"/>
                <w:szCs w:val="18"/>
                <w:lang w:val="es-EC" w:eastAsia="es-EC"/>
              </w:rPr>
              <w:t xml:space="preserve">   </w:t>
            </w:r>
          </w:p>
        </w:tc>
        <w:tc>
          <w:tcPr>
            <w:tcW w:w="1080" w:type="dxa"/>
            <w:shd w:val="clear" w:color="auto" w:fill="E2EFD9" w:themeFill="accent6" w:themeFillTint="33"/>
            <w:noWrap/>
          </w:tcPr>
          <w:p w14:paraId="1B9A4720" w14:textId="15A6AFD0"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3.976.000 </w:t>
            </w:r>
          </w:p>
        </w:tc>
        <w:tc>
          <w:tcPr>
            <w:tcW w:w="4050" w:type="dxa"/>
            <w:gridSpan w:val="2"/>
            <w:shd w:val="clear" w:color="auto" w:fill="E2EFD9" w:themeFill="accent6" w:themeFillTint="33"/>
          </w:tcPr>
          <w:p w14:paraId="08A757AB"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p>
        </w:tc>
      </w:tr>
      <w:tr w:rsidR="0043620F" w:rsidRPr="00387315" w14:paraId="6C35FDCF" w14:textId="03641FDF" w:rsidTr="000D5546">
        <w:trPr>
          <w:gridAfter w:val="1"/>
          <w:wAfter w:w="8" w:type="dxa"/>
          <w:trHeight w:val="255"/>
        </w:trPr>
        <w:tc>
          <w:tcPr>
            <w:tcW w:w="501" w:type="dxa"/>
            <w:vMerge w:val="restart"/>
            <w:shd w:val="clear" w:color="auto" w:fill="E2EFD9" w:themeFill="accent6" w:themeFillTint="33"/>
            <w:noWrap/>
            <w:hideMark/>
          </w:tcPr>
          <w:p w14:paraId="768A5704" w14:textId="0B21019A" w:rsidR="0043620F" w:rsidRPr="00C2120C" w:rsidRDefault="0043620F" w:rsidP="0043620F">
            <w:pPr>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4.</w:t>
            </w:r>
            <w:r>
              <w:rPr>
                <w:rFonts w:ascii="Arial" w:eastAsia="Times New Roman" w:hAnsi="Arial" w:cs="Arial"/>
                <w:color w:val="000000"/>
                <w:sz w:val="18"/>
                <w:szCs w:val="18"/>
                <w:lang w:val="es-EC" w:eastAsia="es-EC"/>
              </w:rPr>
              <w:t>2</w:t>
            </w:r>
          </w:p>
        </w:tc>
        <w:tc>
          <w:tcPr>
            <w:tcW w:w="1749" w:type="dxa"/>
            <w:vMerge w:val="restart"/>
            <w:shd w:val="clear" w:color="auto" w:fill="E2EFD9" w:themeFill="accent6" w:themeFillTint="33"/>
            <w:noWrap/>
            <w:hideMark/>
          </w:tcPr>
          <w:p w14:paraId="34392E83" w14:textId="1F022619" w:rsidR="0043620F" w:rsidRPr="00C2120C" w:rsidRDefault="0043620F" w:rsidP="0043620F">
            <w:pPr>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Fortalecimiento de la Plataforma Rúter (Portal de Servicios del Estado), realizad</w:t>
            </w:r>
            <w:r>
              <w:rPr>
                <w:rFonts w:ascii="Arial" w:eastAsia="Times New Roman" w:hAnsi="Arial" w:cs="Arial"/>
                <w:color w:val="000000"/>
                <w:sz w:val="18"/>
                <w:szCs w:val="18"/>
                <w:lang w:val="es-EC" w:eastAsia="es-EC"/>
              </w:rPr>
              <w:t>o</w:t>
            </w:r>
          </w:p>
        </w:tc>
        <w:tc>
          <w:tcPr>
            <w:tcW w:w="990" w:type="dxa"/>
            <w:shd w:val="clear" w:color="auto" w:fill="auto"/>
            <w:noWrap/>
            <w:hideMark/>
          </w:tcPr>
          <w:p w14:paraId="10BA2D63" w14:textId="77777777"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Física</w:t>
            </w:r>
          </w:p>
        </w:tc>
        <w:tc>
          <w:tcPr>
            <w:tcW w:w="1260" w:type="dxa"/>
            <w:shd w:val="clear" w:color="auto" w:fill="auto"/>
            <w:noWrap/>
            <w:hideMark/>
          </w:tcPr>
          <w:p w14:paraId="516BE19E" w14:textId="307C4ECC"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Portal de Servicios</w:t>
            </w:r>
          </w:p>
        </w:tc>
        <w:tc>
          <w:tcPr>
            <w:tcW w:w="1080" w:type="dxa"/>
            <w:shd w:val="clear" w:color="auto" w:fill="auto"/>
            <w:noWrap/>
            <w:hideMark/>
          </w:tcPr>
          <w:p w14:paraId="32BB3C25" w14:textId="2BE7A70D"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990" w:type="dxa"/>
            <w:shd w:val="clear" w:color="auto" w:fill="auto"/>
            <w:noWrap/>
            <w:hideMark/>
          </w:tcPr>
          <w:p w14:paraId="53FF37CC" w14:textId="71006760"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auto"/>
            <w:noWrap/>
            <w:hideMark/>
          </w:tcPr>
          <w:p w14:paraId="010C7D95" w14:textId="378ABCEB"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1</w:t>
            </w:r>
          </w:p>
        </w:tc>
        <w:tc>
          <w:tcPr>
            <w:tcW w:w="1080" w:type="dxa"/>
            <w:shd w:val="clear" w:color="auto" w:fill="auto"/>
            <w:noWrap/>
            <w:hideMark/>
          </w:tcPr>
          <w:p w14:paraId="573A62E4" w14:textId="607E64B4"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auto"/>
            <w:noWrap/>
            <w:hideMark/>
          </w:tcPr>
          <w:p w14:paraId="75F0B3A5" w14:textId="6BEA255B"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auto"/>
            <w:noWrap/>
            <w:hideMark/>
          </w:tcPr>
          <w:p w14:paraId="2E28BF0C" w14:textId="10A7F758"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1 </w:t>
            </w:r>
          </w:p>
        </w:tc>
        <w:tc>
          <w:tcPr>
            <w:tcW w:w="4050" w:type="dxa"/>
            <w:gridSpan w:val="2"/>
          </w:tcPr>
          <w:p w14:paraId="1493B989" w14:textId="7EB94849" w:rsidR="0043620F" w:rsidRPr="00C2120C" w:rsidRDefault="0043620F" w:rsidP="0043620F">
            <w:pPr>
              <w:spacing w:after="0" w:line="240" w:lineRule="auto"/>
              <w:jc w:val="both"/>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Comprende actividades como: (i) servicio de soporte de operación del Ruter (asistencia técnica a instituciones priorizadas, capacitación, cursos virtuales, </w:t>
            </w:r>
            <w:r>
              <w:rPr>
                <w:rFonts w:ascii="Arial" w:eastAsia="Times New Roman" w:hAnsi="Arial" w:cs="Arial"/>
                <w:color w:val="000000"/>
                <w:sz w:val="18"/>
                <w:szCs w:val="18"/>
                <w:lang w:val="es-EC" w:eastAsia="es-EC"/>
              </w:rPr>
              <w:t>MERO</w:t>
            </w:r>
            <w:r w:rsidRPr="00C2120C">
              <w:rPr>
                <w:rFonts w:ascii="Arial" w:eastAsia="Times New Roman" w:hAnsi="Arial" w:cs="Arial"/>
                <w:color w:val="000000"/>
                <w:sz w:val="18"/>
                <w:szCs w:val="18"/>
                <w:lang w:val="es-EC" w:eastAsia="es-EC"/>
              </w:rPr>
              <w:t xml:space="preserve"> de ayuda); (ii) desarrollo de componentes transversales para la simplificación de trámites (análisis y recomendaciones de arquitectura, levantamiento y automatización del proceso de la Ley; (iii) APP móvil; (iv) mejoras a RUTER (servicios web, mejoras al registro, accesibilidad, portal único); (v) adaptación</w:t>
            </w:r>
          </w:p>
          <w:p w14:paraId="33275BCB" w14:textId="251726CF" w:rsidR="0043620F" w:rsidRPr="00C2120C" w:rsidRDefault="0043620F" w:rsidP="0043620F">
            <w:pPr>
              <w:spacing w:after="0" w:line="240" w:lineRule="auto"/>
              <w:jc w:val="both"/>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Turnero; (vi) adaptación- Flujos (simple); (vii) adaptación- Trazabilidad</w:t>
            </w:r>
            <w:r>
              <w:rPr>
                <w:rFonts w:ascii="Arial" w:eastAsia="Times New Roman" w:hAnsi="Arial" w:cs="Arial"/>
                <w:color w:val="000000"/>
                <w:sz w:val="18"/>
                <w:szCs w:val="18"/>
                <w:lang w:val="es-EC" w:eastAsia="es-EC"/>
              </w:rPr>
              <w:t>:</w:t>
            </w:r>
            <w:r w:rsidRPr="00C2120C">
              <w:rPr>
                <w:rFonts w:ascii="Arial" w:eastAsia="Times New Roman" w:hAnsi="Arial" w:cs="Arial"/>
                <w:color w:val="000000"/>
                <w:sz w:val="18"/>
                <w:szCs w:val="18"/>
                <w:lang w:val="es-EC" w:eastAsia="es-EC"/>
              </w:rPr>
              <w:t xml:space="preserve"> (viii) Informes de fiscalización técnica de los componentes tecnológicos de la Plaforma RUTER; </w:t>
            </w:r>
            <w:r>
              <w:rPr>
                <w:rFonts w:ascii="Arial" w:eastAsia="Times New Roman" w:hAnsi="Arial" w:cs="Arial"/>
                <w:color w:val="000000"/>
                <w:sz w:val="18"/>
                <w:szCs w:val="18"/>
                <w:lang w:val="es-EC" w:eastAsia="es-EC"/>
              </w:rPr>
              <w:t xml:space="preserve">y </w:t>
            </w:r>
            <w:r w:rsidRPr="00C2120C">
              <w:rPr>
                <w:rFonts w:ascii="Arial" w:eastAsia="Times New Roman" w:hAnsi="Arial" w:cs="Arial"/>
                <w:color w:val="000000"/>
                <w:sz w:val="18"/>
                <w:szCs w:val="18"/>
                <w:lang w:val="es-EC" w:eastAsia="es-EC"/>
              </w:rPr>
              <w:t xml:space="preserve">(ix) apoyo </w:t>
            </w:r>
            <w:r w:rsidRPr="00C2120C">
              <w:rPr>
                <w:rFonts w:ascii="Arial" w:eastAsia="Times New Roman" w:hAnsi="Arial" w:cs="Arial"/>
                <w:color w:val="000000"/>
                <w:sz w:val="18"/>
                <w:szCs w:val="18"/>
                <w:lang w:val="es-EC" w:eastAsia="es-EC"/>
              </w:rPr>
              <w:lastRenderedPageBreak/>
              <w:t>técnico para la implementación del Fortalecimiento de la Plataforma Ruter</w:t>
            </w:r>
          </w:p>
        </w:tc>
      </w:tr>
      <w:tr w:rsidR="0043620F" w:rsidRPr="00A01772" w14:paraId="3961F73F" w14:textId="07F953EA" w:rsidTr="000D5546">
        <w:trPr>
          <w:gridAfter w:val="1"/>
          <w:wAfter w:w="8" w:type="dxa"/>
          <w:trHeight w:val="255"/>
        </w:trPr>
        <w:tc>
          <w:tcPr>
            <w:tcW w:w="501" w:type="dxa"/>
            <w:vMerge/>
            <w:hideMark/>
          </w:tcPr>
          <w:p w14:paraId="6E56CEDB"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p>
        </w:tc>
        <w:tc>
          <w:tcPr>
            <w:tcW w:w="1749" w:type="dxa"/>
            <w:vMerge/>
            <w:hideMark/>
          </w:tcPr>
          <w:p w14:paraId="134A8DB0"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p>
        </w:tc>
        <w:tc>
          <w:tcPr>
            <w:tcW w:w="990" w:type="dxa"/>
            <w:shd w:val="clear" w:color="auto" w:fill="E2EFD9" w:themeFill="accent6" w:themeFillTint="33"/>
            <w:noWrap/>
            <w:hideMark/>
          </w:tcPr>
          <w:p w14:paraId="2E2A6298" w14:textId="77777777"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Financiera </w:t>
            </w:r>
          </w:p>
        </w:tc>
        <w:tc>
          <w:tcPr>
            <w:tcW w:w="1260" w:type="dxa"/>
            <w:shd w:val="clear" w:color="auto" w:fill="E2EFD9" w:themeFill="accent6" w:themeFillTint="33"/>
            <w:noWrap/>
            <w:hideMark/>
          </w:tcPr>
          <w:p w14:paraId="2B1529E7" w14:textId="5097FE65"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US</w:t>
            </w:r>
            <w:r>
              <w:rPr>
                <w:rFonts w:ascii="Arial" w:eastAsia="Times New Roman" w:hAnsi="Arial" w:cs="Arial"/>
                <w:color w:val="000000"/>
                <w:sz w:val="18"/>
                <w:szCs w:val="18"/>
                <w:lang w:val="es-EC" w:eastAsia="es-EC"/>
              </w:rPr>
              <w:t>$</w:t>
            </w:r>
          </w:p>
        </w:tc>
        <w:tc>
          <w:tcPr>
            <w:tcW w:w="1080" w:type="dxa"/>
            <w:shd w:val="clear" w:color="auto" w:fill="E2EFD9" w:themeFill="accent6" w:themeFillTint="33"/>
            <w:noWrap/>
            <w:hideMark/>
          </w:tcPr>
          <w:p w14:paraId="65F53DBC" w14:textId="0438AAA5"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990" w:type="dxa"/>
            <w:shd w:val="clear" w:color="auto" w:fill="E2EFD9" w:themeFill="accent6" w:themeFillTint="33"/>
            <w:noWrap/>
            <w:hideMark/>
          </w:tcPr>
          <w:p w14:paraId="0C4E45B1" w14:textId="0CF72E72"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E2EFD9" w:themeFill="accent6" w:themeFillTint="33"/>
            <w:noWrap/>
            <w:hideMark/>
          </w:tcPr>
          <w:p w14:paraId="31D45C76" w14:textId="01BD8F3A"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2.172.8</w:t>
            </w:r>
            <w:r w:rsidRPr="00C2120C">
              <w:rPr>
                <w:rFonts w:ascii="Arial" w:eastAsia="Times New Roman" w:hAnsi="Arial" w:cs="Arial"/>
                <w:color w:val="000000"/>
                <w:sz w:val="18"/>
                <w:szCs w:val="18"/>
                <w:lang w:val="es-EC" w:eastAsia="es-EC"/>
              </w:rPr>
              <w:t>00</w:t>
            </w:r>
          </w:p>
        </w:tc>
        <w:tc>
          <w:tcPr>
            <w:tcW w:w="1080" w:type="dxa"/>
            <w:shd w:val="clear" w:color="auto" w:fill="E2EFD9" w:themeFill="accent6" w:themeFillTint="33"/>
            <w:noWrap/>
            <w:hideMark/>
          </w:tcPr>
          <w:p w14:paraId="3AEBE772" w14:textId="602C664E"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E2EFD9" w:themeFill="accent6" w:themeFillTint="33"/>
            <w:noWrap/>
            <w:hideMark/>
          </w:tcPr>
          <w:p w14:paraId="071ACC52" w14:textId="225DAE0F"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E2EFD9" w:themeFill="accent6" w:themeFillTint="33"/>
            <w:noWrap/>
            <w:hideMark/>
          </w:tcPr>
          <w:p w14:paraId="2A1D1957" w14:textId="7EEB3941"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2.172.800</w:t>
            </w:r>
          </w:p>
        </w:tc>
        <w:tc>
          <w:tcPr>
            <w:tcW w:w="4050" w:type="dxa"/>
            <w:gridSpan w:val="2"/>
            <w:shd w:val="clear" w:color="auto" w:fill="E2EFD9" w:themeFill="accent6" w:themeFillTint="33"/>
          </w:tcPr>
          <w:p w14:paraId="0314F155"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p>
        </w:tc>
      </w:tr>
      <w:tr w:rsidR="0043620F" w:rsidRPr="00387315" w14:paraId="31648F79" w14:textId="557AFBA1" w:rsidTr="000D5546">
        <w:trPr>
          <w:gridAfter w:val="1"/>
          <w:wAfter w:w="8" w:type="dxa"/>
          <w:trHeight w:val="255"/>
        </w:trPr>
        <w:tc>
          <w:tcPr>
            <w:tcW w:w="501" w:type="dxa"/>
            <w:vMerge w:val="restart"/>
            <w:shd w:val="clear" w:color="auto" w:fill="E2EFD9" w:themeFill="accent6" w:themeFillTint="33"/>
            <w:noWrap/>
            <w:hideMark/>
          </w:tcPr>
          <w:p w14:paraId="7E570127" w14:textId="628548A4" w:rsidR="0043620F" w:rsidRPr="00C2120C" w:rsidRDefault="0043620F" w:rsidP="0043620F">
            <w:pPr>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4.</w:t>
            </w:r>
            <w:r>
              <w:rPr>
                <w:rFonts w:ascii="Arial" w:eastAsia="Times New Roman" w:hAnsi="Arial" w:cs="Arial"/>
                <w:color w:val="000000"/>
                <w:sz w:val="18"/>
                <w:szCs w:val="18"/>
                <w:lang w:val="es-EC" w:eastAsia="es-EC"/>
              </w:rPr>
              <w:t>3</w:t>
            </w:r>
          </w:p>
        </w:tc>
        <w:tc>
          <w:tcPr>
            <w:tcW w:w="1749" w:type="dxa"/>
            <w:vMerge w:val="restart"/>
            <w:shd w:val="clear" w:color="auto" w:fill="E2EFD9" w:themeFill="accent6" w:themeFillTint="33"/>
            <w:noWrap/>
            <w:hideMark/>
          </w:tcPr>
          <w:p w14:paraId="6AD42A21" w14:textId="4CDF79A0" w:rsidR="0043620F" w:rsidRPr="00C2120C" w:rsidRDefault="0043620F" w:rsidP="0043620F">
            <w:pPr>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Fortalecimiento de la Plataforma de Interoperabilidad, realizad</w:t>
            </w:r>
            <w:r>
              <w:rPr>
                <w:rFonts w:ascii="Arial" w:eastAsia="Times New Roman" w:hAnsi="Arial" w:cs="Arial"/>
                <w:color w:val="000000"/>
                <w:sz w:val="18"/>
                <w:szCs w:val="18"/>
                <w:lang w:val="es-EC" w:eastAsia="es-EC"/>
              </w:rPr>
              <w:t>o</w:t>
            </w:r>
            <w:r w:rsidRPr="00C2120C">
              <w:rPr>
                <w:rFonts w:ascii="Arial" w:eastAsia="Times New Roman" w:hAnsi="Arial" w:cs="Arial"/>
                <w:color w:val="000000"/>
                <w:sz w:val="18"/>
                <w:szCs w:val="18"/>
                <w:lang w:val="es-EC" w:eastAsia="es-EC"/>
              </w:rPr>
              <w:t xml:space="preserve"> </w:t>
            </w:r>
          </w:p>
        </w:tc>
        <w:tc>
          <w:tcPr>
            <w:tcW w:w="990" w:type="dxa"/>
            <w:shd w:val="clear" w:color="auto" w:fill="auto"/>
            <w:noWrap/>
            <w:hideMark/>
          </w:tcPr>
          <w:p w14:paraId="686122A8" w14:textId="77777777"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Física</w:t>
            </w:r>
          </w:p>
        </w:tc>
        <w:tc>
          <w:tcPr>
            <w:tcW w:w="1260" w:type="dxa"/>
            <w:shd w:val="clear" w:color="auto" w:fill="auto"/>
            <w:noWrap/>
            <w:hideMark/>
          </w:tcPr>
          <w:p w14:paraId="717B6BCF" w14:textId="3449DE05"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Plataforma</w:t>
            </w:r>
          </w:p>
        </w:tc>
        <w:tc>
          <w:tcPr>
            <w:tcW w:w="1080" w:type="dxa"/>
            <w:shd w:val="clear" w:color="auto" w:fill="auto"/>
            <w:noWrap/>
            <w:hideMark/>
          </w:tcPr>
          <w:p w14:paraId="26E3C9CE" w14:textId="10D73911"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990" w:type="dxa"/>
            <w:shd w:val="clear" w:color="auto" w:fill="auto"/>
            <w:noWrap/>
            <w:hideMark/>
          </w:tcPr>
          <w:p w14:paraId="0BC1A301" w14:textId="2BB4ED16"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auto"/>
            <w:noWrap/>
            <w:hideMark/>
          </w:tcPr>
          <w:p w14:paraId="1E971590" w14:textId="56F82967"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1</w:t>
            </w:r>
          </w:p>
        </w:tc>
        <w:tc>
          <w:tcPr>
            <w:tcW w:w="1080" w:type="dxa"/>
            <w:shd w:val="clear" w:color="auto" w:fill="auto"/>
            <w:noWrap/>
            <w:hideMark/>
          </w:tcPr>
          <w:p w14:paraId="2522F1A2" w14:textId="0959280B"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auto"/>
            <w:noWrap/>
            <w:hideMark/>
          </w:tcPr>
          <w:p w14:paraId="489C8FCB" w14:textId="3E88CB81"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auto"/>
            <w:noWrap/>
            <w:hideMark/>
          </w:tcPr>
          <w:p w14:paraId="39454493" w14:textId="3C61D662"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1</w:t>
            </w:r>
          </w:p>
        </w:tc>
        <w:tc>
          <w:tcPr>
            <w:tcW w:w="4050" w:type="dxa"/>
            <w:gridSpan w:val="2"/>
          </w:tcPr>
          <w:p w14:paraId="6A1440B4" w14:textId="3EC876A5" w:rsidR="0043620F" w:rsidRPr="00C2120C" w:rsidRDefault="0043620F" w:rsidP="0043620F">
            <w:pPr>
              <w:spacing w:after="0" w:line="240" w:lineRule="auto"/>
              <w:jc w:val="both"/>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Comprende actividades como: arquitectura del modelo de gestión de interoperabilidad; equipos tecnológicos para optimizar el procesamiento transaccional; desarrollo especializado del componente de distribución de servicios - pasarela de servicios y monetización (lago y virtualización de datos; articulación de buses; volcados de información; convergencia a block chain; integración </w:t>
            </w:r>
            <w:r>
              <w:rPr>
                <w:rFonts w:ascii="Arial" w:eastAsia="Times New Roman" w:hAnsi="Arial" w:cs="Arial"/>
                <w:color w:val="000000"/>
                <w:sz w:val="18"/>
                <w:szCs w:val="18"/>
                <w:lang w:val="es-EC" w:eastAsia="es-EC"/>
              </w:rPr>
              <w:t>SAU</w:t>
            </w:r>
            <w:r w:rsidRPr="00C2120C">
              <w:rPr>
                <w:rFonts w:ascii="Arial" w:eastAsia="Times New Roman" w:hAnsi="Arial" w:cs="Arial"/>
                <w:color w:val="000000"/>
                <w:sz w:val="18"/>
                <w:szCs w:val="18"/>
                <w:lang w:val="es-EC" w:eastAsia="es-EC"/>
              </w:rPr>
              <w:t xml:space="preserve"> (sistema de autenticación única); desarrollo de un modelo de negocio de monetización de la transaccionalidad y selfservice y su aplicativo; informes de fiscalización técnica de los desarrollos tecnológicos</w:t>
            </w:r>
          </w:p>
        </w:tc>
      </w:tr>
      <w:tr w:rsidR="0043620F" w:rsidRPr="00A01772" w14:paraId="5B3E49C0" w14:textId="26033BD8" w:rsidTr="000D5546">
        <w:trPr>
          <w:gridAfter w:val="1"/>
          <w:wAfter w:w="8" w:type="dxa"/>
          <w:trHeight w:val="255"/>
        </w:trPr>
        <w:tc>
          <w:tcPr>
            <w:tcW w:w="501" w:type="dxa"/>
            <w:vMerge/>
            <w:hideMark/>
          </w:tcPr>
          <w:p w14:paraId="79E0E726"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p>
        </w:tc>
        <w:tc>
          <w:tcPr>
            <w:tcW w:w="1749" w:type="dxa"/>
            <w:vMerge/>
            <w:hideMark/>
          </w:tcPr>
          <w:p w14:paraId="4410A6F9"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p>
        </w:tc>
        <w:tc>
          <w:tcPr>
            <w:tcW w:w="990" w:type="dxa"/>
            <w:shd w:val="clear" w:color="auto" w:fill="E2EFD9" w:themeFill="accent6" w:themeFillTint="33"/>
            <w:noWrap/>
            <w:hideMark/>
          </w:tcPr>
          <w:p w14:paraId="4DE27633" w14:textId="77777777"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Financiera </w:t>
            </w:r>
          </w:p>
        </w:tc>
        <w:tc>
          <w:tcPr>
            <w:tcW w:w="1260" w:type="dxa"/>
            <w:shd w:val="clear" w:color="auto" w:fill="E2EFD9" w:themeFill="accent6" w:themeFillTint="33"/>
            <w:noWrap/>
            <w:hideMark/>
          </w:tcPr>
          <w:p w14:paraId="03DD50E8" w14:textId="009CA86E"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US</w:t>
            </w:r>
            <w:r>
              <w:rPr>
                <w:rFonts w:ascii="Arial" w:eastAsia="Times New Roman" w:hAnsi="Arial" w:cs="Arial"/>
                <w:color w:val="000000"/>
                <w:sz w:val="18"/>
                <w:szCs w:val="18"/>
                <w:lang w:val="es-EC" w:eastAsia="es-EC"/>
              </w:rPr>
              <w:t>$</w:t>
            </w:r>
          </w:p>
        </w:tc>
        <w:tc>
          <w:tcPr>
            <w:tcW w:w="1080" w:type="dxa"/>
            <w:shd w:val="clear" w:color="auto" w:fill="E2EFD9" w:themeFill="accent6" w:themeFillTint="33"/>
            <w:noWrap/>
            <w:hideMark/>
          </w:tcPr>
          <w:p w14:paraId="5C75879B" w14:textId="106A43C6"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990" w:type="dxa"/>
            <w:shd w:val="clear" w:color="auto" w:fill="E2EFD9" w:themeFill="accent6" w:themeFillTint="33"/>
            <w:noWrap/>
            <w:hideMark/>
          </w:tcPr>
          <w:p w14:paraId="23E02F69" w14:textId="57B6B20F"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E2EFD9" w:themeFill="accent6" w:themeFillTint="33"/>
            <w:noWrap/>
            <w:hideMark/>
          </w:tcPr>
          <w:p w14:paraId="6A878A69" w14:textId="3C988EDF"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963.200</w:t>
            </w:r>
          </w:p>
        </w:tc>
        <w:tc>
          <w:tcPr>
            <w:tcW w:w="1080" w:type="dxa"/>
            <w:shd w:val="clear" w:color="auto" w:fill="E2EFD9" w:themeFill="accent6" w:themeFillTint="33"/>
            <w:noWrap/>
            <w:hideMark/>
          </w:tcPr>
          <w:p w14:paraId="6CD5D1FB" w14:textId="00724635"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E2EFD9" w:themeFill="accent6" w:themeFillTint="33"/>
            <w:noWrap/>
            <w:hideMark/>
          </w:tcPr>
          <w:p w14:paraId="61E58357" w14:textId="3AFC0AB7"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E2EFD9" w:themeFill="accent6" w:themeFillTint="33"/>
            <w:noWrap/>
            <w:hideMark/>
          </w:tcPr>
          <w:p w14:paraId="3CEC95DE" w14:textId="7233CF71"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963.200</w:t>
            </w:r>
          </w:p>
        </w:tc>
        <w:tc>
          <w:tcPr>
            <w:tcW w:w="4050" w:type="dxa"/>
            <w:gridSpan w:val="2"/>
            <w:shd w:val="clear" w:color="auto" w:fill="E2EFD9" w:themeFill="accent6" w:themeFillTint="33"/>
          </w:tcPr>
          <w:p w14:paraId="651B8A02" w14:textId="77777777" w:rsidR="0043620F" w:rsidRPr="00C2120C" w:rsidRDefault="0043620F" w:rsidP="0043620F">
            <w:pPr>
              <w:spacing w:after="0" w:line="240" w:lineRule="auto"/>
              <w:ind w:left="-1124"/>
              <w:jc w:val="right"/>
              <w:rPr>
                <w:rFonts w:ascii="Arial" w:eastAsia="Times New Roman" w:hAnsi="Arial" w:cs="Arial"/>
                <w:color w:val="000000"/>
                <w:sz w:val="18"/>
                <w:szCs w:val="18"/>
                <w:lang w:val="es-EC" w:eastAsia="es-EC"/>
              </w:rPr>
            </w:pPr>
          </w:p>
        </w:tc>
      </w:tr>
      <w:tr w:rsidR="0043620F" w:rsidRPr="00387315" w14:paraId="04A42708" w14:textId="55E280A7" w:rsidTr="000D5546">
        <w:trPr>
          <w:gridAfter w:val="1"/>
          <w:wAfter w:w="8" w:type="dxa"/>
          <w:trHeight w:val="255"/>
        </w:trPr>
        <w:tc>
          <w:tcPr>
            <w:tcW w:w="501" w:type="dxa"/>
            <w:vMerge w:val="restart"/>
            <w:shd w:val="clear" w:color="auto" w:fill="E2EFD9" w:themeFill="accent6" w:themeFillTint="33"/>
            <w:noWrap/>
            <w:hideMark/>
          </w:tcPr>
          <w:p w14:paraId="4C881F1B"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4.4</w:t>
            </w:r>
          </w:p>
        </w:tc>
        <w:tc>
          <w:tcPr>
            <w:tcW w:w="1749" w:type="dxa"/>
            <w:vMerge w:val="restart"/>
            <w:shd w:val="clear" w:color="auto" w:fill="E2EFD9" w:themeFill="accent6" w:themeFillTint="33"/>
            <w:noWrap/>
            <w:hideMark/>
          </w:tcPr>
          <w:p w14:paraId="1D1E3863" w14:textId="6E726E89" w:rsidR="0043620F" w:rsidRPr="00702EF1" w:rsidRDefault="0043620F" w:rsidP="0043620F">
            <w:pPr>
              <w:spacing w:after="0" w:line="240" w:lineRule="auto"/>
              <w:rPr>
                <w:rFonts w:ascii="Arial" w:eastAsia="Times New Roman" w:hAnsi="Arial" w:cs="Arial"/>
                <w:color w:val="000000"/>
                <w:sz w:val="18"/>
                <w:szCs w:val="18"/>
                <w:lang w:val="es-PE" w:eastAsia="es-EC"/>
              </w:rPr>
            </w:pPr>
            <w:r w:rsidRPr="00C2120C">
              <w:rPr>
                <w:rFonts w:ascii="Arial" w:eastAsia="Times New Roman" w:hAnsi="Arial" w:cs="Arial"/>
                <w:color w:val="000000"/>
                <w:sz w:val="18"/>
                <w:szCs w:val="18"/>
                <w:lang w:val="es-EC" w:eastAsia="es-EC"/>
              </w:rPr>
              <w:t>Modelo de prestación de servicios integrados, implementad</w:t>
            </w:r>
            <w:r w:rsidRPr="00702EF1">
              <w:rPr>
                <w:rFonts w:ascii="Arial" w:eastAsia="Times New Roman" w:hAnsi="Arial" w:cs="Arial"/>
                <w:color w:val="000000"/>
                <w:sz w:val="18"/>
                <w:szCs w:val="18"/>
                <w:lang w:val="es-PE" w:eastAsia="es-EC"/>
              </w:rPr>
              <w:t>o</w:t>
            </w:r>
          </w:p>
        </w:tc>
        <w:tc>
          <w:tcPr>
            <w:tcW w:w="990" w:type="dxa"/>
            <w:shd w:val="clear" w:color="auto" w:fill="auto"/>
            <w:noWrap/>
            <w:hideMark/>
          </w:tcPr>
          <w:p w14:paraId="2B65DED2" w14:textId="77777777"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Física</w:t>
            </w:r>
          </w:p>
        </w:tc>
        <w:tc>
          <w:tcPr>
            <w:tcW w:w="1260" w:type="dxa"/>
            <w:shd w:val="clear" w:color="auto" w:fill="auto"/>
            <w:noWrap/>
            <w:hideMark/>
          </w:tcPr>
          <w:p w14:paraId="7E21E23F" w14:textId="77777777"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Modelo</w:t>
            </w:r>
          </w:p>
        </w:tc>
        <w:tc>
          <w:tcPr>
            <w:tcW w:w="1080" w:type="dxa"/>
            <w:shd w:val="clear" w:color="auto" w:fill="auto"/>
            <w:noWrap/>
            <w:hideMark/>
          </w:tcPr>
          <w:p w14:paraId="74F1816C" w14:textId="48AA19DC"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990" w:type="dxa"/>
            <w:shd w:val="clear" w:color="auto" w:fill="auto"/>
            <w:noWrap/>
            <w:hideMark/>
          </w:tcPr>
          <w:p w14:paraId="6FFEF3DC" w14:textId="40AEF7D8"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auto"/>
            <w:noWrap/>
            <w:hideMark/>
          </w:tcPr>
          <w:p w14:paraId="22DE20DB" w14:textId="2B7C61AC" w:rsidR="0043620F" w:rsidRPr="00C2120C" w:rsidRDefault="00593439"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1</w:t>
            </w:r>
          </w:p>
        </w:tc>
        <w:tc>
          <w:tcPr>
            <w:tcW w:w="1080" w:type="dxa"/>
            <w:shd w:val="clear" w:color="auto" w:fill="auto"/>
            <w:noWrap/>
            <w:hideMark/>
          </w:tcPr>
          <w:p w14:paraId="3E9F349F" w14:textId="5DBBD322" w:rsidR="0043620F" w:rsidRPr="00C2120C" w:rsidRDefault="00593439"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auto"/>
            <w:noWrap/>
            <w:hideMark/>
          </w:tcPr>
          <w:p w14:paraId="7CB2810A" w14:textId="049083A5"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auto"/>
            <w:noWrap/>
            <w:hideMark/>
          </w:tcPr>
          <w:p w14:paraId="670D4F32" w14:textId="4CE602AB" w:rsidR="0043620F" w:rsidRPr="00C2120C" w:rsidRDefault="0043620F" w:rsidP="000D5546">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1</w:t>
            </w:r>
          </w:p>
        </w:tc>
        <w:tc>
          <w:tcPr>
            <w:tcW w:w="4050" w:type="dxa"/>
            <w:gridSpan w:val="2"/>
          </w:tcPr>
          <w:p w14:paraId="6D6E72B6" w14:textId="0C768409" w:rsidR="0043620F" w:rsidRPr="00C2120C" w:rsidRDefault="0043620F" w:rsidP="0043620F">
            <w:pPr>
              <w:spacing w:after="0" w:line="240" w:lineRule="auto"/>
              <w:jc w:val="both"/>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Comprende actividades como: diseño del modelo de gestión para la prestación de servicios públicos integrados; diseño e implementación del modelo de prestación de servicios integrados piloto; estrategia de comunicación; implementación del piloto, sistema de gestión de la calidad (readecuaciones, capacitación, herramientas tecnológicas, CRM, tablero de control)</w:t>
            </w:r>
          </w:p>
        </w:tc>
      </w:tr>
      <w:tr w:rsidR="0043620F" w:rsidRPr="00A01772" w14:paraId="65D513FF" w14:textId="4133AD79" w:rsidTr="000D5546">
        <w:trPr>
          <w:gridAfter w:val="1"/>
          <w:wAfter w:w="8" w:type="dxa"/>
          <w:trHeight w:val="255"/>
        </w:trPr>
        <w:tc>
          <w:tcPr>
            <w:tcW w:w="501" w:type="dxa"/>
            <w:vMerge/>
            <w:hideMark/>
          </w:tcPr>
          <w:p w14:paraId="287A06AB"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p>
        </w:tc>
        <w:tc>
          <w:tcPr>
            <w:tcW w:w="1749" w:type="dxa"/>
            <w:vMerge/>
            <w:hideMark/>
          </w:tcPr>
          <w:p w14:paraId="6C5EA0C4"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p>
        </w:tc>
        <w:tc>
          <w:tcPr>
            <w:tcW w:w="990" w:type="dxa"/>
            <w:shd w:val="clear" w:color="auto" w:fill="E2EFD9" w:themeFill="accent6" w:themeFillTint="33"/>
            <w:noWrap/>
            <w:hideMark/>
          </w:tcPr>
          <w:p w14:paraId="054A6675" w14:textId="77777777"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Financiera </w:t>
            </w:r>
          </w:p>
        </w:tc>
        <w:tc>
          <w:tcPr>
            <w:tcW w:w="1260" w:type="dxa"/>
            <w:shd w:val="clear" w:color="auto" w:fill="E2EFD9" w:themeFill="accent6" w:themeFillTint="33"/>
            <w:noWrap/>
            <w:hideMark/>
          </w:tcPr>
          <w:p w14:paraId="124955AC" w14:textId="3A5351CB"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US</w:t>
            </w:r>
            <w:r>
              <w:rPr>
                <w:rFonts w:ascii="Arial" w:eastAsia="Times New Roman" w:hAnsi="Arial" w:cs="Arial"/>
                <w:color w:val="000000"/>
                <w:sz w:val="18"/>
                <w:szCs w:val="18"/>
                <w:lang w:val="es-EC" w:eastAsia="es-EC"/>
              </w:rPr>
              <w:t>$</w:t>
            </w:r>
          </w:p>
        </w:tc>
        <w:tc>
          <w:tcPr>
            <w:tcW w:w="1080" w:type="dxa"/>
            <w:shd w:val="clear" w:color="auto" w:fill="E2EFD9" w:themeFill="accent6" w:themeFillTint="33"/>
            <w:noWrap/>
            <w:hideMark/>
          </w:tcPr>
          <w:p w14:paraId="22685FAF" w14:textId="3716F907"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r w:rsidRPr="00C2120C">
              <w:rPr>
                <w:rFonts w:ascii="Arial" w:eastAsia="Times New Roman" w:hAnsi="Arial" w:cs="Arial"/>
                <w:color w:val="000000"/>
                <w:sz w:val="18"/>
                <w:szCs w:val="18"/>
                <w:lang w:val="es-EC" w:eastAsia="es-EC"/>
              </w:rPr>
              <w:t xml:space="preserve">    </w:t>
            </w:r>
          </w:p>
        </w:tc>
        <w:tc>
          <w:tcPr>
            <w:tcW w:w="990" w:type="dxa"/>
            <w:shd w:val="clear" w:color="auto" w:fill="E2EFD9" w:themeFill="accent6" w:themeFillTint="33"/>
            <w:noWrap/>
            <w:hideMark/>
          </w:tcPr>
          <w:p w14:paraId="192B78E5" w14:textId="075C6234"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r w:rsidRPr="00C2120C">
              <w:rPr>
                <w:rFonts w:ascii="Arial" w:eastAsia="Times New Roman" w:hAnsi="Arial" w:cs="Arial"/>
                <w:color w:val="000000"/>
                <w:sz w:val="18"/>
                <w:szCs w:val="18"/>
                <w:lang w:val="es-EC" w:eastAsia="es-EC"/>
              </w:rPr>
              <w:t xml:space="preserve">    </w:t>
            </w:r>
          </w:p>
        </w:tc>
        <w:tc>
          <w:tcPr>
            <w:tcW w:w="1080" w:type="dxa"/>
            <w:shd w:val="clear" w:color="auto" w:fill="E2EFD9" w:themeFill="accent6" w:themeFillTint="33"/>
            <w:noWrap/>
            <w:hideMark/>
          </w:tcPr>
          <w:p w14:paraId="33C9A523" w14:textId="099F9C6B" w:rsidR="0043620F" w:rsidRPr="00C2120C" w:rsidRDefault="00593439" w:rsidP="0043620F">
            <w:pPr>
              <w:spacing w:after="0" w:line="240" w:lineRule="auto"/>
              <w:jc w:val="right"/>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2.772.</w:t>
            </w:r>
            <w:r w:rsidRPr="00C2120C">
              <w:rPr>
                <w:rFonts w:ascii="Arial" w:eastAsia="Times New Roman" w:hAnsi="Arial" w:cs="Arial"/>
                <w:color w:val="000000"/>
                <w:sz w:val="18"/>
                <w:szCs w:val="18"/>
                <w:lang w:val="es-EC" w:eastAsia="es-EC"/>
              </w:rPr>
              <w:t>000</w:t>
            </w:r>
            <w:r w:rsidR="0043620F" w:rsidRPr="00C2120C">
              <w:rPr>
                <w:rFonts w:ascii="Arial" w:eastAsia="Times New Roman" w:hAnsi="Arial" w:cs="Arial"/>
                <w:color w:val="000000"/>
                <w:sz w:val="18"/>
                <w:szCs w:val="18"/>
                <w:lang w:val="es-EC" w:eastAsia="es-EC"/>
              </w:rPr>
              <w:t xml:space="preserve">  </w:t>
            </w:r>
          </w:p>
        </w:tc>
        <w:tc>
          <w:tcPr>
            <w:tcW w:w="1080" w:type="dxa"/>
            <w:shd w:val="clear" w:color="auto" w:fill="E2EFD9" w:themeFill="accent6" w:themeFillTint="33"/>
            <w:noWrap/>
            <w:hideMark/>
          </w:tcPr>
          <w:p w14:paraId="59D0EF2E" w14:textId="7E9FCAA4" w:rsidR="0043620F" w:rsidRPr="00C2120C" w:rsidRDefault="00593439" w:rsidP="000D5546">
            <w:pPr>
              <w:spacing w:after="0" w:line="240" w:lineRule="auto"/>
              <w:jc w:val="right"/>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E2EFD9" w:themeFill="accent6" w:themeFillTint="33"/>
            <w:noWrap/>
            <w:hideMark/>
          </w:tcPr>
          <w:p w14:paraId="3F748BC8" w14:textId="73EBE648"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w:t>
            </w:r>
            <w:r>
              <w:rPr>
                <w:rFonts w:ascii="Arial" w:eastAsia="Times New Roman" w:hAnsi="Arial" w:cs="Arial"/>
                <w:color w:val="000000"/>
                <w:sz w:val="18"/>
                <w:szCs w:val="18"/>
                <w:lang w:val="es-EC" w:eastAsia="es-EC"/>
              </w:rPr>
              <w:t>0</w:t>
            </w:r>
            <w:r w:rsidRPr="00C2120C">
              <w:rPr>
                <w:rFonts w:ascii="Arial" w:eastAsia="Times New Roman" w:hAnsi="Arial" w:cs="Arial"/>
                <w:color w:val="000000"/>
                <w:sz w:val="18"/>
                <w:szCs w:val="18"/>
                <w:lang w:val="es-EC" w:eastAsia="es-EC"/>
              </w:rPr>
              <w:t xml:space="preserve">   </w:t>
            </w:r>
          </w:p>
        </w:tc>
        <w:tc>
          <w:tcPr>
            <w:tcW w:w="1080" w:type="dxa"/>
            <w:shd w:val="clear" w:color="auto" w:fill="E2EFD9" w:themeFill="accent6" w:themeFillTint="33"/>
            <w:noWrap/>
            <w:hideMark/>
          </w:tcPr>
          <w:p w14:paraId="752349DA" w14:textId="70C1E362"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2.772.000 </w:t>
            </w:r>
          </w:p>
        </w:tc>
        <w:tc>
          <w:tcPr>
            <w:tcW w:w="4050" w:type="dxa"/>
            <w:gridSpan w:val="2"/>
            <w:shd w:val="clear" w:color="auto" w:fill="E2EFD9" w:themeFill="accent6" w:themeFillTint="33"/>
          </w:tcPr>
          <w:p w14:paraId="7692D072"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p>
        </w:tc>
      </w:tr>
      <w:tr w:rsidR="005C0936" w:rsidRPr="00A01772" w14:paraId="05C4C0CC" w14:textId="7953AF47" w:rsidTr="000D5546">
        <w:trPr>
          <w:gridAfter w:val="1"/>
          <w:wAfter w:w="8" w:type="dxa"/>
          <w:trHeight w:val="300"/>
        </w:trPr>
        <w:tc>
          <w:tcPr>
            <w:tcW w:w="501" w:type="dxa"/>
            <w:shd w:val="clear" w:color="auto" w:fill="B4C6E7" w:themeFill="accent1" w:themeFillTint="66"/>
            <w:noWrap/>
            <w:hideMark/>
          </w:tcPr>
          <w:p w14:paraId="3A6D1BBE" w14:textId="77777777" w:rsidR="005C0936" w:rsidRPr="00C2120C" w:rsidRDefault="005C0936" w:rsidP="005C0936">
            <w:pPr>
              <w:spacing w:after="0" w:line="240" w:lineRule="auto"/>
              <w:rPr>
                <w:rFonts w:ascii="Arial" w:eastAsia="Times New Roman" w:hAnsi="Arial" w:cs="Arial"/>
                <w:b/>
                <w:bCs/>
                <w:color w:val="000000"/>
                <w:sz w:val="18"/>
                <w:szCs w:val="18"/>
                <w:lang w:val="es-EC" w:eastAsia="es-EC"/>
              </w:rPr>
            </w:pPr>
            <w:r w:rsidRPr="00C2120C">
              <w:rPr>
                <w:rFonts w:ascii="Arial" w:eastAsia="Times New Roman" w:hAnsi="Arial" w:cs="Arial"/>
                <w:b/>
                <w:bCs/>
                <w:color w:val="000000"/>
                <w:sz w:val="18"/>
                <w:szCs w:val="18"/>
                <w:lang w:val="es-EC" w:eastAsia="es-EC"/>
              </w:rPr>
              <w:t>5</w:t>
            </w:r>
          </w:p>
        </w:tc>
        <w:tc>
          <w:tcPr>
            <w:tcW w:w="1749" w:type="dxa"/>
            <w:shd w:val="clear" w:color="auto" w:fill="B4C6E7" w:themeFill="accent1" w:themeFillTint="66"/>
            <w:noWrap/>
            <w:hideMark/>
          </w:tcPr>
          <w:p w14:paraId="06CE1667" w14:textId="77777777" w:rsidR="005C0936" w:rsidRPr="00C2120C" w:rsidRDefault="005C0936" w:rsidP="005C0936">
            <w:pPr>
              <w:spacing w:after="0" w:line="240" w:lineRule="auto"/>
              <w:rPr>
                <w:rFonts w:ascii="Arial" w:eastAsia="Times New Roman" w:hAnsi="Arial" w:cs="Arial"/>
                <w:b/>
                <w:bCs/>
                <w:color w:val="000000"/>
                <w:sz w:val="18"/>
                <w:szCs w:val="18"/>
                <w:lang w:val="es-EC" w:eastAsia="es-EC"/>
              </w:rPr>
            </w:pPr>
            <w:r w:rsidRPr="00C2120C">
              <w:rPr>
                <w:rFonts w:ascii="Arial" w:eastAsia="Times New Roman" w:hAnsi="Arial" w:cs="Arial"/>
                <w:b/>
                <w:bCs/>
                <w:color w:val="000000"/>
                <w:sz w:val="18"/>
                <w:szCs w:val="18"/>
                <w:lang w:val="es-EC" w:eastAsia="es-EC"/>
              </w:rPr>
              <w:t>Administración, evaluación y Auditoría</w:t>
            </w:r>
          </w:p>
        </w:tc>
        <w:tc>
          <w:tcPr>
            <w:tcW w:w="990" w:type="dxa"/>
            <w:shd w:val="clear" w:color="auto" w:fill="B4C6E7" w:themeFill="accent1" w:themeFillTint="66"/>
            <w:noWrap/>
            <w:hideMark/>
          </w:tcPr>
          <w:p w14:paraId="2B3E20BF" w14:textId="77777777" w:rsidR="005C0936" w:rsidRPr="00C2120C" w:rsidRDefault="005C0936" w:rsidP="005C0936">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w:t>
            </w:r>
          </w:p>
        </w:tc>
        <w:tc>
          <w:tcPr>
            <w:tcW w:w="1260" w:type="dxa"/>
            <w:shd w:val="clear" w:color="auto" w:fill="B4C6E7" w:themeFill="accent1" w:themeFillTint="66"/>
            <w:noWrap/>
            <w:hideMark/>
          </w:tcPr>
          <w:p w14:paraId="097B0320" w14:textId="77777777" w:rsidR="005C0936" w:rsidRPr="000D5546" w:rsidRDefault="005C0936" w:rsidP="000D5546">
            <w:pPr>
              <w:spacing w:after="0" w:line="240" w:lineRule="auto"/>
              <w:jc w:val="right"/>
              <w:rPr>
                <w:rFonts w:ascii="Arial" w:eastAsia="Times New Roman" w:hAnsi="Arial" w:cs="Arial"/>
                <w:b/>
                <w:bCs/>
                <w:color w:val="000000"/>
                <w:sz w:val="18"/>
                <w:szCs w:val="18"/>
                <w:lang w:val="es-EC" w:eastAsia="es-EC"/>
              </w:rPr>
            </w:pPr>
            <w:r w:rsidRPr="000D5546">
              <w:rPr>
                <w:rFonts w:ascii="Arial" w:eastAsia="Times New Roman" w:hAnsi="Arial" w:cs="Arial"/>
                <w:b/>
                <w:bCs/>
                <w:color w:val="000000"/>
                <w:sz w:val="18"/>
                <w:szCs w:val="18"/>
                <w:lang w:val="es-EC" w:eastAsia="es-EC"/>
              </w:rPr>
              <w:t> </w:t>
            </w:r>
          </w:p>
        </w:tc>
        <w:tc>
          <w:tcPr>
            <w:tcW w:w="1080" w:type="dxa"/>
            <w:shd w:val="clear" w:color="auto" w:fill="B4C6E7" w:themeFill="accent1" w:themeFillTint="66"/>
            <w:noWrap/>
            <w:hideMark/>
          </w:tcPr>
          <w:p w14:paraId="4F339DE5" w14:textId="532DFA46" w:rsidR="005C0936" w:rsidRPr="00C2120C" w:rsidRDefault="005C0936">
            <w:pPr>
              <w:spacing w:after="0" w:line="240" w:lineRule="auto"/>
              <w:jc w:val="right"/>
              <w:rPr>
                <w:rFonts w:ascii="Arial" w:eastAsia="Times New Roman" w:hAnsi="Arial" w:cs="Arial"/>
                <w:b/>
                <w:bCs/>
                <w:color w:val="000000"/>
                <w:sz w:val="18"/>
                <w:szCs w:val="18"/>
                <w:lang w:val="es-EC" w:eastAsia="es-EC"/>
              </w:rPr>
            </w:pPr>
            <w:r w:rsidRPr="000D5546">
              <w:rPr>
                <w:rFonts w:ascii="Arial" w:eastAsia="Times New Roman" w:hAnsi="Arial" w:cs="Arial"/>
                <w:b/>
                <w:bCs/>
                <w:color w:val="000000"/>
                <w:sz w:val="18"/>
                <w:szCs w:val="18"/>
                <w:lang w:val="es-EC" w:eastAsia="es-EC"/>
              </w:rPr>
              <w:t>540</w:t>
            </w:r>
            <w:r>
              <w:rPr>
                <w:rFonts w:ascii="Arial" w:eastAsia="Times New Roman" w:hAnsi="Arial" w:cs="Arial"/>
                <w:b/>
                <w:bCs/>
                <w:color w:val="000000"/>
                <w:sz w:val="18"/>
                <w:szCs w:val="18"/>
                <w:lang w:val="es-EC" w:eastAsia="es-EC"/>
              </w:rPr>
              <w:t>.</w:t>
            </w:r>
            <w:r w:rsidRPr="000D5546">
              <w:rPr>
                <w:rFonts w:ascii="Arial" w:eastAsia="Times New Roman" w:hAnsi="Arial" w:cs="Arial"/>
                <w:b/>
                <w:bCs/>
                <w:color w:val="000000"/>
                <w:sz w:val="18"/>
                <w:szCs w:val="18"/>
                <w:lang w:val="es-EC" w:eastAsia="es-EC"/>
              </w:rPr>
              <w:t xml:space="preserve">288 </w:t>
            </w:r>
          </w:p>
        </w:tc>
        <w:tc>
          <w:tcPr>
            <w:tcW w:w="990" w:type="dxa"/>
            <w:shd w:val="clear" w:color="auto" w:fill="B4C6E7" w:themeFill="accent1" w:themeFillTint="66"/>
            <w:noWrap/>
            <w:hideMark/>
          </w:tcPr>
          <w:p w14:paraId="0A3D27AC" w14:textId="25E743A5" w:rsidR="005C0936" w:rsidRPr="00C2120C" w:rsidRDefault="005C0936">
            <w:pPr>
              <w:spacing w:after="0" w:line="240" w:lineRule="auto"/>
              <w:jc w:val="right"/>
              <w:rPr>
                <w:rFonts w:ascii="Arial" w:eastAsia="Times New Roman" w:hAnsi="Arial" w:cs="Arial"/>
                <w:b/>
                <w:bCs/>
                <w:color w:val="000000"/>
                <w:sz w:val="18"/>
                <w:szCs w:val="18"/>
                <w:lang w:val="es-EC" w:eastAsia="es-EC"/>
              </w:rPr>
            </w:pPr>
            <w:r w:rsidRPr="000D5546">
              <w:rPr>
                <w:rFonts w:ascii="Arial" w:eastAsia="Times New Roman" w:hAnsi="Arial" w:cs="Arial"/>
                <w:b/>
                <w:bCs/>
                <w:color w:val="000000"/>
                <w:sz w:val="18"/>
                <w:szCs w:val="18"/>
                <w:lang w:val="es-EC" w:eastAsia="es-EC"/>
              </w:rPr>
              <w:t>585</w:t>
            </w:r>
            <w:r>
              <w:rPr>
                <w:rFonts w:ascii="Arial" w:eastAsia="Times New Roman" w:hAnsi="Arial" w:cs="Arial"/>
                <w:b/>
                <w:bCs/>
                <w:color w:val="000000"/>
                <w:sz w:val="18"/>
                <w:szCs w:val="18"/>
                <w:lang w:val="es-EC" w:eastAsia="es-EC"/>
              </w:rPr>
              <w:t>.</w:t>
            </w:r>
            <w:r w:rsidRPr="000D5546">
              <w:rPr>
                <w:rFonts w:ascii="Arial" w:eastAsia="Times New Roman" w:hAnsi="Arial" w:cs="Arial"/>
                <w:b/>
                <w:bCs/>
                <w:color w:val="000000"/>
                <w:sz w:val="18"/>
                <w:szCs w:val="18"/>
                <w:lang w:val="es-EC" w:eastAsia="es-EC"/>
              </w:rPr>
              <w:t xml:space="preserve">088 </w:t>
            </w:r>
          </w:p>
        </w:tc>
        <w:tc>
          <w:tcPr>
            <w:tcW w:w="1080" w:type="dxa"/>
            <w:shd w:val="clear" w:color="auto" w:fill="B4C6E7" w:themeFill="accent1" w:themeFillTint="66"/>
            <w:noWrap/>
            <w:hideMark/>
          </w:tcPr>
          <w:p w14:paraId="67279DEA" w14:textId="74BC3952" w:rsidR="005C0936" w:rsidRPr="00C2120C" w:rsidRDefault="005C0936">
            <w:pPr>
              <w:spacing w:after="0" w:line="240" w:lineRule="auto"/>
              <w:jc w:val="right"/>
              <w:rPr>
                <w:rFonts w:ascii="Arial" w:eastAsia="Times New Roman" w:hAnsi="Arial" w:cs="Arial"/>
                <w:b/>
                <w:bCs/>
                <w:color w:val="000000"/>
                <w:sz w:val="18"/>
                <w:szCs w:val="18"/>
                <w:lang w:val="es-EC" w:eastAsia="es-EC"/>
              </w:rPr>
            </w:pPr>
            <w:r w:rsidRPr="000D5546">
              <w:rPr>
                <w:rFonts w:ascii="Arial" w:eastAsia="Times New Roman" w:hAnsi="Arial" w:cs="Arial"/>
                <w:b/>
                <w:bCs/>
                <w:color w:val="000000"/>
                <w:sz w:val="18"/>
                <w:szCs w:val="18"/>
                <w:lang w:val="es-EC" w:eastAsia="es-EC"/>
              </w:rPr>
              <w:t>540</w:t>
            </w:r>
            <w:r>
              <w:rPr>
                <w:rFonts w:ascii="Arial" w:eastAsia="Times New Roman" w:hAnsi="Arial" w:cs="Arial"/>
                <w:b/>
                <w:bCs/>
                <w:color w:val="000000"/>
                <w:sz w:val="18"/>
                <w:szCs w:val="18"/>
                <w:lang w:val="es-EC" w:eastAsia="es-EC"/>
              </w:rPr>
              <w:t>.</w:t>
            </w:r>
            <w:r w:rsidRPr="000D5546">
              <w:rPr>
                <w:rFonts w:ascii="Arial" w:eastAsia="Times New Roman" w:hAnsi="Arial" w:cs="Arial"/>
                <w:b/>
                <w:bCs/>
                <w:color w:val="000000"/>
                <w:sz w:val="18"/>
                <w:szCs w:val="18"/>
                <w:lang w:val="es-EC" w:eastAsia="es-EC"/>
              </w:rPr>
              <w:t xml:space="preserve">288 </w:t>
            </w:r>
          </w:p>
        </w:tc>
        <w:tc>
          <w:tcPr>
            <w:tcW w:w="1080" w:type="dxa"/>
            <w:shd w:val="clear" w:color="auto" w:fill="B4C6E7" w:themeFill="accent1" w:themeFillTint="66"/>
            <w:noWrap/>
            <w:hideMark/>
          </w:tcPr>
          <w:p w14:paraId="75E20F31" w14:textId="5A52364C" w:rsidR="005C0936" w:rsidRPr="00C2120C" w:rsidRDefault="005C0936">
            <w:pPr>
              <w:spacing w:after="0" w:line="240" w:lineRule="auto"/>
              <w:jc w:val="right"/>
              <w:rPr>
                <w:rFonts w:ascii="Arial" w:eastAsia="Times New Roman" w:hAnsi="Arial" w:cs="Arial"/>
                <w:b/>
                <w:bCs/>
                <w:color w:val="000000"/>
                <w:sz w:val="18"/>
                <w:szCs w:val="18"/>
                <w:lang w:val="es-EC" w:eastAsia="es-EC"/>
              </w:rPr>
            </w:pPr>
            <w:r w:rsidRPr="000D5546">
              <w:rPr>
                <w:rFonts w:ascii="Arial" w:eastAsia="Times New Roman" w:hAnsi="Arial" w:cs="Arial"/>
                <w:b/>
                <w:bCs/>
                <w:color w:val="000000"/>
                <w:sz w:val="18"/>
                <w:szCs w:val="18"/>
                <w:lang w:val="es-EC" w:eastAsia="es-EC"/>
              </w:rPr>
              <w:t>540</w:t>
            </w:r>
            <w:r>
              <w:rPr>
                <w:rFonts w:ascii="Arial" w:eastAsia="Times New Roman" w:hAnsi="Arial" w:cs="Arial"/>
                <w:b/>
                <w:bCs/>
                <w:color w:val="000000"/>
                <w:sz w:val="18"/>
                <w:szCs w:val="18"/>
                <w:lang w:val="es-EC" w:eastAsia="es-EC"/>
              </w:rPr>
              <w:t>.</w:t>
            </w:r>
            <w:r w:rsidRPr="000D5546">
              <w:rPr>
                <w:rFonts w:ascii="Arial" w:eastAsia="Times New Roman" w:hAnsi="Arial" w:cs="Arial"/>
                <w:b/>
                <w:bCs/>
                <w:color w:val="000000"/>
                <w:sz w:val="18"/>
                <w:szCs w:val="18"/>
                <w:lang w:val="es-EC" w:eastAsia="es-EC"/>
              </w:rPr>
              <w:t xml:space="preserve">288 </w:t>
            </w:r>
          </w:p>
        </w:tc>
        <w:tc>
          <w:tcPr>
            <w:tcW w:w="1080" w:type="dxa"/>
            <w:shd w:val="clear" w:color="auto" w:fill="B4C6E7" w:themeFill="accent1" w:themeFillTint="66"/>
            <w:noWrap/>
            <w:hideMark/>
          </w:tcPr>
          <w:p w14:paraId="7C6DCE4C" w14:textId="7489A3BF" w:rsidR="005C0936" w:rsidRPr="00C2120C" w:rsidRDefault="005C0936">
            <w:pPr>
              <w:spacing w:after="0" w:line="240" w:lineRule="auto"/>
              <w:jc w:val="right"/>
              <w:rPr>
                <w:rFonts w:ascii="Arial" w:eastAsia="Times New Roman" w:hAnsi="Arial" w:cs="Arial"/>
                <w:b/>
                <w:bCs/>
                <w:color w:val="000000"/>
                <w:sz w:val="18"/>
                <w:szCs w:val="18"/>
                <w:lang w:val="es-EC" w:eastAsia="es-EC"/>
              </w:rPr>
            </w:pPr>
            <w:r w:rsidRPr="000D5546">
              <w:rPr>
                <w:rFonts w:ascii="Arial" w:eastAsia="Times New Roman" w:hAnsi="Arial" w:cs="Arial"/>
                <w:b/>
                <w:bCs/>
                <w:color w:val="000000"/>
                <w:sz w:val="18"/>
                <w:szCs w:val="18"/>
                <w:lang w:val="es-EC" w:eastAsia="es-EC"/>
              </w:rPr>
              <w:t>697</w:t>
            </w:r>
            <w:r>
              <w:rPr>
                <w:rFonts w:ascii="Arial" w:eastAsia="Times New Roman" w:hAnsi="Arial" w:cs="Arial"/>
                <w:b/>
                <w:bCs/>
                <w:color w:val="000000"/>
                <w:sz w:val="18"/>
                <w:szCs w:val="18"/>
                <w:lang w:val="es-EC" w:eastAsia="es-EC"/>
              </w:rPr>
              <w:t>.</w:t>
            </w:r>
            <w:r w:rsidRPr="000D5546">
              <w:rPr>
                <w:rFonts w:ascii="Arial" w:eastAsia="Times New Roman" w:hAnsi="Arial" w:cs="Arial"/>
                <w:b/>
                <w:bCs/>
                <w:color w:val="000000"/>
                <w:sz w:val="18"/>
                <w:szCs w:val="18"/>
                <w:lang w:val="es-EC" w:eastAsia="es-EC"/>
              </w:rPr>
              <w:t xml:space="preserve">088 </w:t>
            </w:r>
          </w:p>
        </w:tc>
        <w:tc>
          <w:tcPr>
            <w:tcW w:w="1080" w:type="dxa"/>
            <w:shd w:val="clear" w:color="auto" w:fill="B4C6E7" w:themeFill="accent1" w:themeFillTint="66"/>
            <w:noWrap/>
            <w:hideMark/>
          </w:tcPr>
          <w:p w14:paraId="1B90316C" w14:textId="35528156" w:rsidR="005C0936" w:rsidRPr="00C2120C" w:rsidRDefault="005C0936" w:rsidP="005C0936">
            <w:pPr>
              <w:spacing w:after="0" w:line="240" w:lineRule="auto"/>
              <w:jc w:val="right"/>
              <w:rPr>
                <w:rFonts w:ascii="Arial" w:eastAsia="Times New Roman" w:hAnsi="Arial" w:cs="Arial"/>
                <w:b/>
                <w:bCs/>
                <w:color w:val="000000"/>
                <w:sz w:val="18"/>
                <w:szCs w:val="18"/>
                <w:lang w:val="es-EC" w:eastAsia="es-EC"/>
              </w:rPr>
            </w:pPr>
            <w:r w:rsidRPr="00C2120C">
              <w:rPr>
                <w:rFonts w:ascii="Arial" w:eastAsia="Times New Roman" w:hAnsi="Arial" w:cs="Arial"/>
                <w:b/>
                <w:bCs/>
                <w:color w:val="000000"/>
                <w:sz w:val="18"/>
                <w:szCs w:val="18"/>
                <w:lang w:val="es-EC" w:eastAsia="es-EC"/>
              </w:rPr>
              <w:t xml:space="preserve"> 2.903.040 </w:t>
            </w:r>
          </w:p>
        </w:tc>
        <w:tc>
          <w:tcPr>
            <w:tcW w:w="4050" w:type="dxa"/>
            <w:gridSpan w:val="2"/>
            <w:shd w:val="clear" w:color="auto" w:fill="B4C6E7" w:themeFill="accent1" w:themeFillTint="66"/>
          </w:tcPr>
          <w:p w14:paraId="1A783F64" w14:textId="77777777" w:rsidR="005C0936" w:rsidRPr="00C2120C" w:rsidRDefault="005C0936" w:rsidP="005C0936">
            <w:pPr>
              <w:spacing w:after="0" w:line="240" w:lineRule="auto"/>
              <w:jc w:val="right"/>
              <w:rPr>
                <w:rFonts w:ascii="Arial" w:eastAsia="Times New Roman" w:hAnsi="Arial" w:cs="Arial"/>
                <w:b/>
                <w:bCs/>
                <w:color w:val="000000"/>
                <w:sz w:val="18"/>
                <w:szCs w:val="18"/>
                <w:lang w:val="es-EC" w:eastAsia="es-EC"/>
              </w:rPr>
            </w:pPr>
          </w:p>
        </w:tc>
      </w:tr>
      <w:tr w:rsidR="0043620F" w:rsidRPr="00A01772" w14:paraId="08D8C6FF" w14:textId="122497E7" w:rsidTr="000D5546">
        <w:trPr>
          <w:gridAfter w:val="1"/>
          <w:wAfter w:w="8" w:type="dxa"/>
          <w:trHeight w:val="255"/>
        </w:trPr>
        <w:tc>
          <w:tcPr>
            <w:tcW w:w="501" w:type="dxa"/>
            <w:vMerge w:val="restart"/>
            <w:shd w:val="clear" w:color="auto" w:fill="E2EFD9" w:themeFill="accent6" w:themeFillTint="33"/>
            <w:noWrap/>
            <w:hideMark/>
          </w:tcPr>
          <w:p w14:paraId="68250D4D"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5.1</w:t>
            </w:r>
          </w:p>
        </w:tc>
        <w:tc>
          <w:tcPr>
            <w:tcW w:w="1749" w:type="dxa"/>
            <w:vMerge w:val="restart"/>
            <w:shd w:val="clear" w:color="auto" w:fill="E2EFD9" w:themeFill="accent6" w:themeFillTint="33"/>
            <w:noWrap/>
            <w:hideMark/>
          </w:tcPr>
          <w:p w14:paraId="707C2FD7"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Administración </w:t>
            </w:r>
          </w:p>
        </w:tc>
        <w:tc>
          <w:tcPr>
            <w:tcW w:w="990" w:type="dxa"/>
            <w:shd w:val="clear" w:color="auto" w:fill="auto"/>
            <w:noWrap/>
            <w:hideMark/>
          </w:tcPr>
          <w:p w14:paraId="67444862" w14:textId="77777777"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Física</w:t>
            </w:r>
          </w:p>
        </w:tc>
        <w:tc>
          <w:tcPr>
            <w:tcW w:w="1260" w:type="dxa"/>
            <w:shd w:val="clear" w:color="auto" w:fill="auto"/>
            <w:noWrap/>
            <w:hideMark/>
          </w:tcPr>
          <w:p w14:paraId="4199CC6A" w14:textId="77777777"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EDGs</w:t>
            </w:r>
          </w:p>
        </w:tc>
        <w:tc>
          <w:tcPr>
            <w:tcW w:w="1080" w:type="dxa"/>
            <w:shd w:val="clear" w:color="auto" w:fill="auto"/>
            <w:noWrap/>
            <w:hideMark/>
          </w:tcPr>
          <w:p w14:paraId="4443DF2A" w14:textId="3699068D"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1</w:t>
            </w:r>
          </w:p>
        </w:tc>
        <w:tc>
          <w:tcPr>
            <w:tcW w:w="990" w:type="dxa"/>
            <w:shd w:val="clear" w:color="auto" w:fill="auto"/>
            <w:noWrap/>
            <w:hideMark/>
          </w:tcPr>
          <w:p w14:paraId="7AD5343B" w14:textId="279D22FF"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1</w:t>
            </w:r>
          </w:p>
        </w:tc>
        <w:tc>
          <w:tcPr>
            <w:tcW w:w="1080" w:type="dxa"/>
            <w:shd w:val="clear" w:color="auto" w:fill="auto"/>
            <w:noWrap/>
            <w:hideMark/>
          </w:tcPr>
          <w:p w14:paraId="6041C3CD" w14:textId="5F5BC248" w:rsidR="0043620F" w:rsidRPr="00C2120C" w:rsidRDefault="00144ADE"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1</w:t>
            </w:r>
          </w:p>
        </w:tc>
        <w:tc>
          <w:tcPr>
            <w:tcW w:w="1080" w:type="dxa"/>
            <w:shd w:val="clear" w:color="auto" w:fill="auto"/>
            <w:noWrap/>
            <w:hideMark/>
          </w:tcPr>
          <w:p w14:paraId="56017FCA" w14:textId="5E393393" w:rsidR="0043620F" w:rsidRPr="00C2120C" w:rsidRDefault="008922DF" w:rsidP="0043620F">
            <w:pPr>
              <w:spacing w:after="0" w:line="240" w:lineRule="auto"/>
              <w:jc w:val="center"/>
              <w:rPr>
                <w:rFonts w:ascii="Arial" w:eastAsia="Times New Roman" w:hAnsi="Arial" w:cs="Arial"/>
                <w:color w:val="000000" w:themeColor="text1"/>
                <w:sz w:val="18"/>
                <w:szCs w:val="18"/>
                <w:lang w:val="es-EC" w:eastAsia="es-EC"/>
              </w:rPr>
            </w:pPr>
            <w:r>
              <w:rPr>
                <w:rFonts w:ascii="Arial" w:eastAsia="Times New Roman" w:hAnsi="Arial" w:cs="Arial"/>
                <w:color w:val="000000" w:themeColor="text1"/>
                <w:sz w:val="18"/>
                <w:szCs w:val="18"/>
                <w:lang w:val="es-EC" w:eastAsia="es-EC"/>
              </w:rPr>
              <w:t>1</w:t>
            </w:r>
          </w:p>
        </w:tc>
        <w:tc>
          <w:tcPr>
            <w:tcW w:w="1080" w:type="dxa"/>
            <w:shd w:val="clear" w:color="auto" w:fill="auto"/>
            <w:noWrap/>
            <w:hideMark/>
          </w:tcPr>
          <w:p w14:paraId="12904CF1" w14:textId="715E287C"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1</w:t>
            </w:r>
          </w:p>
        </w:tc>
        <w:tc>
          <w:tcPr>
            <w:tcW w:w="1080" w:type="dxa"/>
            <w:shd w:val="clear" w:color="auto" w:fill="auto"/>
            <w:noWrap/>
            <w:hideMark/>
          </w:tcPr>
          <w:p w14:paraId="44E463E3" w14:textId="537C6C10" w:rsidR="0043620F" w:rsidRPr="00C2120C" w:rsidRDefault="008922DF" w:rsidP="000D5546">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5</w:t>
            </w:r>
          </w:p>
        </w:tc>
        <w:tc>
          <w:tcPr>
            <w:tcW w:w="4050" w:type="dxa"/>
            <w:gridSpan w:val="2"/>
          </w:tcPr>
          <w:p w14:paraId="20E431B7" w14:textId="77777777"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p>
        </w:tc>
      </w:tr>
      <w:tr w:rsidR="0043620F" w:rsidRPr="00A01772" w14:paraId="1CFAD192" w14:textId="6D54072E" w:rsidTr="000D5546">
        <w:trPr>
          <w:gridAfter w:val="1"/>
          <w:wAfter w:w="8" w:type="dxa"/>
          <w:trHeight w:val="255"/>
        </w:trPr>
        <w:tc>
          <w:tcPr>
            <w:tcW w:w="501" w:type="dxa"/>
            <w:vMerge/>
            <w:hideMark/>
          </w:tcPr>
          <w:p w14:paraId="7F56DBB5"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p>
        </w:tc>
        <w:tc>
          <w:tcPr>
            <w:tcW w:w="1749" w:type="dxa"/>
            <w:vMerge/>
            <w:hideMark/>
          </w:tcPr>
          <w:p w14:paraId="42379C00"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p>
        </w:tc>
        <w:tc>
          <w:tcPr>
            <w:tcW w:w="990" w:type="dxa"/>
            <w:shd w:val="clear" w:color="auto" w:fill="E2EFD9" w:themeFill="accent6" w:themeFillTint="33"/>
            <w:noWrap/>
            <w:hideMark/>
          </w:tcPr>
          <w:p w14:paraId="6A687F8B" w14:textId="77777777"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Financiera </w:t>
            </w:r>
          </w:p>
        </w:tc>
        <w:tc>
          <w:tcPr>
            <w:tcW w:w="1260" w:type="dxa"/>
            <w:shd w:val="clear" w:color="auto" w:fill="E2EFD9" w:themeFill="accent6" w:themeFillTint="33"/>
            <w:noWrap/>
            <w:hideMark/>
          </w:tcPr>
          <w:p w14:paraId="45F1E5A4" w14:textId="0CD0BB45"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US</w:t>
            </w:r>
            <w:r>
              <w:rPr>
                <w:rFonts w:ascii="Arial" w:eastAsia="Times New Roman" w:hAnsi="Arial" w:cs="Arial"/>
                <w:color w:val="000000"/>
                <w:sz w:val="18"/>
                <w:szCs w:val="18"/>
                <w:lang w:val="es-EC" w:eastAsia="es-EC"/>
              </w:rPr>
              <w:t>$</w:t>
            </w:r>
          </w:p>
        </w:tc>
        <w:tc>
          <w:tcPr>
            <w:tcW w:w="1080" w:type="dxa"/>
            <w:shd w:val="clear" w:color="auto" w:fill="E2EFD9" w:themeFill="accent6" w:themeFillTint="33"/>
            <w:noWrap/>
            <w:hideMark/>
          </w:tcPr>
          <w:p w14:paraId="6C039EDD" w14:textId="2CE668FB"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473.088 </w:t>
            </w:r>
          </w:p>
        </w:tc>
        <w:tc>
          <w:tcPr>
            <w:tcW w:w="990" w:type="dxa"/>
            <w:shd w:val="clear" w:color="auto" w:fill="E2EFD9" w:themeFill="accent6" w:themeFillTint="33"/>
            <w:noWrap/>
            <w:hideMark/>
          </w:tcPr>
          <w:p w14:paraId="61F27FC4" w14:textId="2EA11CFA"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473.088 </w:t>
            </w:r>
          </w:p>
        </w:tc>
        <w:tc>
          <w:tcPr>
            <w:tcW w:w="1080" w:type="dxa"/>
            <w:shd w:val="clear" w:color="auto" w:fill="E2EFD9" w:themeFill="accent6" w:themeFillTint="33"/>
            <w:noWrap/>
            <w:hideMark/>
          </w:tcPr>
          <w:p w14:paraId="2F1C693B" w14:textId="2B88E990" w:rsidR="0043620F" w:rsidRPr="00C2120C" w:rsidRDefault="008922D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473.088 </w:t>
            </w:r>
            <w:r w:rsidR="0043620F" w:rsidRPr="00C2120C">
              <w:rPr>
                <w:rFonts w:ascii="Arial" w:eastAsia="Times New Roman" w:hAnsi="Arial" w:cs="Arial"/>
                <w:color w:val="000000"/>
                <w:sz w:val="18"/>
                <w:szCs w:val="18"/>
                <w:lang w:val="es-EC" w:eastAsia="es-EC"/>
              </w:rPr>
              <w:t xml:space="preserve"> </w:t>
            </w:r>
            <w:r w:rsidRPr="00C2120C">
              <w:rPr>
                <w:rFonts w:ascii="Arial" w:eastAsia="Times New Roman" w:hAnsi="Arial" w:cs="Arial"/>
                <w:color w:val="000000"/>
                <w:sz w:val="18"/>
                <w:szCs w:val="18"/>
                <w:lang w:val="es-EC" w:eastAsia="es-EC"/>
              </w:rPr>
              <w:t xml:space="preserve">  </w:t>
            </w:r>
            <w:r w:rsidR="0043620F" w:rsidRPr="00C2120C">
              <w:rPr>
                <w:rFonts w:ascii="Arial" w:eastAsia="Times New Roman" w:hAnsi="Arial" w:cs="Arial"/>
                <w:color w:val="000000"/>
                <w:sz w:val="18"/>
                <w:szCs w:val="18"/>
                <w:lang w:val="es-EC" w:eastAsia="es-EC"/>
              </w:rPr>
              <w:t xml:space="preserve">    </w:t>
            </w:r>
          </w:p>
        </w:tc>
        <w:tc>
          <w:tcPr>
            <w:tcW w:w="1080" w:type="dxa"/>
            <w:shd w:val="clear" w:color="auto" w:fill="E2EFD9" w:themeFill="accent6" w:themeFillTint="33"/>
            <w:noWrap/>
            <w:hideMark/>
          </w:tcPr>
          <w:p w14:paraId="6FFDCCE7" w14:textId="674A7D99" w:rsidR="0043620F" w:rsidRPr="00C2120C" w:rsidRDefault="008922D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473.088</w:t>
            </w:r>
            <w:r w:rsidR="0043620F" w:rsidRPr="00C2120C">
              <w:rPr>
                <w:rFonts w:ascii="Arial" w:eastAsia="Times New Roman" w:hAnsi="Arial" w:cs="Arial"/>
                <w:color w:val="000000"/>
                <w:sz w:val="18"/>
                <w:szCs w:val="18"/>
                <w:lang w:val="es-EC" w:eastAsia="es-EC"/>
              </w:rPr>
              <w:t xml:space="preserve">     </w:t>
            </w:r>
          </w:p>
        </w:tc>
        <w:tc>
          <w:tcPr>
            <w:tcW w:w="1080" w:type="dxa"/>
            <w:shd w:val="clear" w:color="auto" w:fill="E2EFD9" w:themeFill="accent6" w:themeFillTint="33"/>
            <w:noWrap/>
            <w:hideMark/>
          </w:tcPr>
          <w:p w14:paraId="76AABD44" w14:textId="2459AF27" w:rsidR="0043620F" w:rsidRPr="00C2120C" w:rsidRDefault="001740F0"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473.088</w:t>
            </w:r>
          </w:p>
        </w:tc>
        <w:tc>
          <w:tcPr>
            <w:tcW w:w="1080" w:type="dxa"/>
            <w:shd w:val="clear" w:color="auto" w:fill="E2EFD9" w:themeFill="accent6" w:themeFillTint="33"/>
            <w:noWrap/>
            <w:hideMark/>
          </w:tcPr>
          <w:p w14:paraId="0F2BC395" w14:textId="198A2BC1"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2.365.440 </w:t>
            </w:r>
          </w:p>
        </w:tc>
        <w:tc>
          <w:tcPr>
            <w:tcW w:w="4050" w:type="dxa"/>
            <w:gridSpan w:val="2"/>
            <w:shd w:val="clear" w:color="auto" w:fill="E2EFD9" w:themeFill="accent6" w:themeFillTint="33"/>
          </w:tcPr>
          <w:p w14:paraId="4BA45769" w14:textId="77777777"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p>
        </w:tc>
      </w:tr>
      <w:tr w:rsidR="0043620F" w:rsidRPr="00A01772" w14:paraId="21AB2524" w14:textId="7ABA3FF7" w:rsidTr="000D5546">
        <w:trPr>
          <w:gridAfter w:val="1"/>
          <w:wAfter w:w="8" w:type="dxa"/>
          <w:trHeight w:val="255"/>
        </w:trPr>
        <w:tc>
          <w:tcPr>
            <w:tcW w:w="501" w:type="dxa"/>
            <w:vMerge w:val="restart"/>
            <w:shd w:val="clear" w:color="auto" w:fill="E2EFD9" w:themeFill="accent6" w:themeFillTint="33"/>
            <w:noWrap/>
            <w:hideMark/>
          </w:tcPr>
          <w:p w14:paraId="5D46887B"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5.2</w:t>
            </w:r>
          </w:p>
        </w:tc>
        <w:tc>
          <w:tcPr>
            <w:tcW w:w="1749" w:type="dxa"/>
            <w:vMerge w:val="restart"/>
            <w:shd w:val="clear" w:color="auto" w:fill="E2EFD9" w:themeFill="accent6" w:themeFillTint="33"/>
            <w:noWrap/>
            <w:hideMark/>
          </w:tcPr>
          <w:p w14:paraId="75EECA98"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Evaluación </w:t>
            </w:r>
          </w:p>
        </w:tc>
        <w:tc>
          <w:tcPr>
            <w:tcW w:w="990" w:type="dxa"/>
            <w:shd w:val="clear" w:color="auto" w:fill="auto"/>
            <w:noWrap/>
            <w:hideMark/>
          </w:tcPr>
          <w:p w14:paraId="64DF2958" w14:textId="77777777"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Física</w:t>
            </w:r>
          </w:p>
        </w:tc>
        <w:tc>
          <w:tcPr>
            <w:tcW w:w="1260" w:type="dxa"/>
            <w:shd w:val="clear" w:color="auto" w:fill="auto"/>
            <w:noWrap/>
            <w:hideMark/>
          </w:tcPr>
          <w:p w14:paraId="6042062F" w14:textId="77777777"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Evaluaciones</w:t>
            </w:r>
          </w:p>
        </w:tc>
        <w:tc>
          <w:tcPr>
            <w:tcW w:w="1080" w:type="dxa"/>
            <w:shd w:val="clear" w:color="auto" w:fill="auto"/>
            <w:noWrap/>
            <w:hideMark/>
          </w:tcPr>
          <w:p w14:paraId="5FF42485" w14:textId="4E1798BA"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990" w:type="dxa"/>
            <w:shd w:val="clear" w:color="auto" w:fill="auto"/>
            <w:noWrap/>
            <w:hideMark/>
          </w:tcPr>
          <w:p w14:paraId="3429EE4A" w14:textId="7A4B0244"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1</w:t>
            </w:r>
          </w:p>
        </w:tc>
        <w:tc>
          <w:tcPr>
            <w:tcW w:w="1080" w:type="dxa"/>
            <w:shd w:val="clear" w:color="auto" w:fill="auto"/>
            <w:noWrap/>
            <w:hideMark/>
          </w:tcPr>
          <w:p w14:paraId="47A75CE8" w14:textId="2AA2DDB8"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auto"/>
            <w:noWrap/>
            <w:hideMark/>
          </w:tcPr>
          <w:p w14:paraId="7AA409D1" w14:textId="4520AECA"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p>
        </w:tc>
        <w:tc>
          <w:tcPr>
            <w:tcW w:w="1080" w:type="dxa"/>
            <w:shd w:val="clear" w:color="auto" w:fill="auto"/>
            <w:noWrap/>
            <w:hideMark/>
          </w:tcPr>
          <w:p w14:paraId="02199974" w14:textId="1FA14323" w:rsidR="0043620F" w:rsidRPr="00C2120C" w:rsidRDefault="002E0962" w:rsidP="0043620F">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3</w:t>
            </w:r>
          </w:p>
        </w:tc>
        <w:tc>
          <w:tcPr>
            <w:tcW w:w="1080" w:type="dxa"/>
            <w:shd w:val="clear" w:color="auto" w:fill="auto"/>
            <w:noWrap/>
            <w:hideMark/>
          </w:tcPr>
          <w:p w14:paraId="2B20BACD" w14:textId="089952A3" w:rsidR="0043620F" w:rsidRPr="00C2120C" w:rsidRDefault="002E0962" w:rsidP="000D5546">
            <w:pPr>
              <w:spacing w:after="0" w:line="240" w:lineRule="auto"/>
              <w:jc w:val="center"/>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4</w:t>
            </w:r>
          </w:p>
        </w:tc>
        <w:tc>
          <w:tcPr>
            <w:tcW w:w="4050" w:type="dxa"/>
            <w:gridSpan w:val="2"/>
          </w:tcPr>
          <w:p w14:paraId="5634EB5A" w14:textId="77777777"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p>
        </w:tc>
      </w:tr>
      <w:tr w:rsidR="0043620F" w:rsidRPr="00A01772" w14:paraId="7E5CFE49" w14:textId="4735C904" w:rsidTr="000D5546">
        <w:trPr>
          <w:gridAfter w:val="1"/>
          <w:wAfter w:w="8" w:type="dxa"/>
          <w:trHeight w:val="255"/>
        </w:trPr>
        <w:tc>
          <w:tcPr>
            <w:tcW w:w="501" w:type="dxa"/>
            <w:vMerge/>
            <w:hideMark/>
          </w:tcPr>
          <w:p w14:paraId="3DBC9851"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p>
        </w:tc>
        <w:tc>
          <w:tcPr>
            <w:tcW w:w="1749" w:type="dxa"/>
            <w:vMerge/>
            <w:hideMark/>
          </w:tcPr>
          <w:p w14:paraId="072C24C9"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p>
        </w:tc>
        <w:tc>
          <w:tcPr>
            <w:tcW w:w="990" w:type="dxa"/>
            <w:shd w:val="clear" w:color="auto" w:fill="E2EFD9" w:themeFill="accent6" w:themeFillTint="33"/>
            <w:noWrap/>
            <w:hideMark/>
          </w:tcPr>
          <w:p w14:paraId="438BDFD4" w14:textId="77777777"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Financiera </w:t>
            </w:r>
          </w:p>
        </w:tc>
        <w:tc>
          <w:tcPr>
            <w:tcW w:w="1260" w:type="dxa"/>
            <w:shd w:val="clear" w:color="auto" w:fill="E2EFD9" w:themeFill="accent6" w:themeFillTint="33"/>
            <w:noWrap/>
            <w:hideMark/>
          </w:tcPr>
          <w:p w14:paraId="68169351" w14:textId="66B98BC2"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US</w:t>
            </w:r>
            <w:r>
              <w:rPr>
                <w:rFonts w:ascii="Arial" w:eastAsia="Times New Roman" w:hAnsi="Arial" w:cs="Arial"/>
                <w:color w:val="000000"/>
                <w:sz w:val="18"/>
                <w:szCs w:val="18"/>
                <w:lang w:val="es-EC" w:eastAsia="es-EC"/>
              </w:rPr>
              <w:t>$</w:t>
            </w:r>
          </w:p>
        </w:tc>
        <w:tc>
          <w:tcPr>
            <w:tcW w:w="1080" w:type="dxa"/>
            <w:shd w:val="clear" w:color="auto" w:fill="E2EFD9" w:themeFill="accent6" w:themeFillTint="33"/>
            <w:noWrap/>
            <w:hideMark/>
          </w:tcPr>
          <w:p w14:paraId="451E7952" w14:textId="19E85856"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0</w:t>
            </w:r>
            <w:r w:rsidRPr="00C2120C">
              <w:rPr>
                <w:rFonts w:ascii="Arial" w:eastAsia="Times New Roman" w:hAnsi="Arial" w:cs="Arial"/>
                <w:color w:val="000000"/>
                <w:sz w:val="18"/>
                <w:szCs w:val="18"/>
                <w:lang w:val="es-EC" w:eastAsia="es-EC"/>
              </w:rPr>
              <w:t xml:space="preserve">   </w:t>
            </w:r>
          </w:p>
        </w:tc>
        <w:tc>
          <w:tcPr>
            <w:tcW w:w="990" w:type="dxa"/>
            <w:shd w:val="clear" w:color="auto" w:fill="E2EFD9" w:themeFill="accent6" w:themeFillTint="33"/>
            <w:noWrap/>
            <w:hideMark/>
          </w:tcPr>
          <w:p w14:paraId="3D211209" w14:textId="7D5BBD6D"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44.800 </w:t>
            </w:r>
          </w:p>
        </w:tc>
        <w:tc>
          <w:tcPr>
            <w:tcW w:w="1080" w:type="dxa"/>
            <w:shd w:val="clear" w:color="auto" w:fill="E2EFD9" w:themeFill="accent6" w:themeFillTint="33"/>
            <w:noWrap/>
            <w:hideMark/>
          </w:tcPr>
          <w:p w14:paraId="38BDB58B" w14:textId="0191AD5E"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w:t>
            </w:r>
            <w:r>
              <w:rPr>
                <w:rFonts w:ascii="Arial" w:eastAsia="Times New Roman" w:hAnsi="Arial" w:cs="Arial"/>
                <w:color w:val="000000"/>
                <w:sz w:val="18"/>
                <w:szCs w:val="18"/>
                <w:lang w:val="es-EC" w:eastAsia="es-EC"/>
              </w:rPr>
              <w:t>0</w:t>
            </w:r>
            <w:r w:rsidRPr="00C2120C">
              <w:rPr>
                <w:rFonts w:ascii="Arial" w:eastAsia="Times New Roman" w:hAnsi="Arial" w:cs="Arial"/>
                <w:color w:val="000000"/>
                <w:sz w:val="18"/>
                <w:szCs w:val="18"/>
                <w:lang w:val="es-EC" w:eastAsia="es-EC"/>
              </w:rPr>
              <w:t xml:space="preserve">  </w:t>
            </w:r>
          </w:p>
        </w:tc>
        <w:tc>
          <w:tcPr>
            <w:tcW w:w="1080" w:type="dxa"/>
            <w:shd w:val="clear" w:color="auto" w:fill="E2EFD9" w:themeFill="accent6" w:themeFillTint="33"/>
            <w:noWrap/>
            <w:hideMark/>
          </w:tcPr>
          <w:p w14:paraId="60EA59E7" w14:textId="7D03DE2D"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w:t>
            </w:r>
            <w:r>
              <w:rPr>
                <w:rFonts w:ascii="Arial" w:eastAsia="Times New Roman" w:hAnsi="Arial" w:cs="Arial"/>
                <w:color w:val="000000"/>
                <w:sz w:val="18"/>
                <w:szCs w:val="18"/>
                <w:lang w:val="es-EC" w:eastAsia="es-EC"/>
              </w:rPr>
              <w:t>0</w:t>
            </w:r>
            <w:r w:rsidRPr="00C2120C">
              <w:rPr>
                <w:rFonts w:ascii="Arial" w:eastAsia="Times New Roman" w:hAnsi="Arial" w:cs="Arial"/>
                <w:color w:val="000000"/>
                <w:sz w:val="18"/>
                <w:szCs w:val="18"/>
                <w:lang w:val="es-EC" w:eastAsia="es-EC"/>
              </w:rPr>
              <w:t xml:space="preserve">   </w:t>
            </w:r>
          </w:p>
        </w:tc>
        <w:tc>
          <w:tcPr>
            <w:tcW w:w="1080" w:type="dxa"/>
            <w:shd w:val="clear" w:color="auto" w:fill="E2EFD9" w:themeFill="accent6" w:themeFillTint="33"/>
            <w:noWrap/>
            <w:hideMark/>
          </w:tcPr>
          <w:p w14:paraId="1987ECE7" w14:textId="24E35450"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156.800 </w:t>
            </w:r>
          </w:p>
        </w:tc>
        <w:tc>
          <w:tcPr>
            <w:tcW w:w="1080" w:type="dxa"/>
            <w:shd w:val="clear" w:color="auto" w:fill="E2EFD9" w:themeFill="accent6" w:themeFillTint="33"/>
            <w:noWrap/>
            <w:hideMark/>
          </w:tcPr>
          <w:p w14:paraId="0E9828AC" w14:textId="16415238"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201.600 </w:t>
            </w:r>
          </w:p>
        </w:tc>
        <w:tc>
          <w:tcPr>
            <w:tcW w:w="4050" w:type="dxa"/>
            <w:gridSpan w:val="2"/>
            <w:shd w:val="clear" w:color="auto" w:fill="E2EFD9" w:themeFill="accent6" w:themeFillTint="33"/>
          </w:tcPr>
          <w:p w14:paraId="756D78D0" w14:textId="77777777"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p>
        </w:tc>
      </w:tr>
      <w:tr w:rsidR="0043620F" w:rsidRPr="00A01772" w14:paraId="1385B9FE" w14:textId="03C0C604" w:rsidTr="000D5546">
        <w:trPr>
          <w:gridAfter w:val="1"/>
          <w:wAfter w:w="8" w:type="dxa"/>
          <w:trHeight w:val="255"/>
        </w:trPr>
        <w:tc>
          <w:tcPr>
            <w:tcW w:w="501" w:type="dxa"/>
            <w:vMerge w:val="restart"/>
            <w:shd w:val="clear" w:color="auto" w:fill="E2EFD9" w:themeFill="accent6" w:themeFillTint="33"/>
            <w:noWrap/>
            <w:hideMark/>
          </w:tcPr>
          <w:p w14:paraId="50943260"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5.3</w:t>
            </w:r>
          </w:p>
        </w:tc>
        <w:tc>
          <w:tcPr>
            <w:tcW w:w="1749" w:type="dxa"/>
            <w:vMerge w:val="restart"/>
            <w:shd w:val="clear" w:color="auto" w:fill="E2EFD9" w:themeFill="accent6" w:themeFillTint="33"/>
            <w:noWrap/>
            <w:hideMark/>
          </w:tcPr>
          <w:p w14:paraId="605D7074"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Auditoría</w:t>
            </w:r>
          </w:p>
        </w:tc>
        <w:tc>
          <w:tcPr>
            <w:tcW w:w="990" w:type="dxa"/>
            <w:shd w:val="clear" w:color="auto" w:fill="auto"/>
            <w:noWrap/>
            <w:hideMark/>
          </w:tcPr>
          <w:p w14:paraId="7BAFFB56" w14:textId="77777777"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Física</w:t>
            </w:r>
          </w:p>
        </w:tc>
        <w:tc>
          <w:tcPr>
            <w:tcW w:w="1260" w:type="dxa"/>
            <w:shd w:val="clear" w:color="auto" w:fill="auto"/>
            <w:noWrap/>
            <w:hideMark/>
          </w:tcPr>
          <w:p w14:paraId="294A1358" w14:textId="77777777"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Auditorías</w:t>
            </w:r>
          </w:p>
        </w:tc>
        <w:tc>
          <w:tcPr>
            <w:tcW w:w="1080" w:type="dxa"/>
            <w:shd w:val="clear" w:color="auto" w:fill="auto"/>
            <w:noWrap/>
            <w:hideMark/>
          </w:tcPr>
          <w:p w14:paraId="19D4EF9D" w14:textId="4942A0A0"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1</w:t>
            </w:r>
          </w:p>
        </w:tc>
        <w:tc>
          <w:tcPr>
            <w:tcW w:w="990" w:type="dxa"/>
            <w:shd w:val="clear" w:color="auto" w:fill="auto"/>
            <w:noWrap/>
            <w:hideMark/>
          </w:tcPr>
          <w:p w14:paraId="18F908F1" w14:textId="1C18F398"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1</w:t>
            </w:r>
          </w:p>
        </w:tc>
        <w:tc>
          <w:tcPr>
            <w:tcW w:w="1080" w:type="dxa"/>
            <w:shd w:val="clear" w:color="auto" w:fill="auto"/>
            <w:noWrap/>
            <w:hideMark/>
          </w:tcPr>
          <w:p w14:paraId="24D8D427" w14:textId="0445BD0E"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1</w:t>
            </w:r>
          </w:p>
        </w:tc>
        <w:tc>
          <w:tcPr>
            <w:tcW w:w="1080" w:type="dxa"/>
            <w:shd w:val="clear" w:color="auto" w:fill="auto"/>
            <w:noWrap/>
            <w:hideMark/>
          </w:tcPr>
          <w:p w14:paraId="2D4FA466" w14:textId="0272635C"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1</w:t>
            </w:r>
          </w:p>
        </w:tc>
        <w:tc>
          <w:tcPr>
            <w:tcW w:w="1080" w:type="dxa"/>
            <w:shd w:val="clear" w:color="auto" w:fill="auto"/>
            <w:noWrap/>
            <w:hideMark/>
          </w:tcPr>
          <w:p w14:paraId="6362BACA" w14:textId="795A6668"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1</w:t>
            </w:r>
          </w:p>
        </w:tc>
        <w:tc>
          <w:tcPr>
            <w:tcW w:w="1080" w:type="dxa"/>
            <w:shd w:val="clear" w:color="auto" w:fill="auto"/>
            <w:noWrap/>
            <w:hideMark/>
          </w:tcPr>
          <w:p w14:paraId="5DA4BA23" w14:textId="419A07F1" w:rsidR="0043620F" w:rsidRPr="00C2120C" w:rsidRDefault="0043620F" w:rsidP="000D5546">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5</w:t>
            </w:r>
          </w:p>
        </w:tc>
        <w:tc>
          <w:tcPr>
            <w:tcW w:w="4050" w:type="dxa"/>
            <w:gridSpan w:val="2"/>
          </w:tcPr>
          <w:p w14:paraId="15794413" w14:textId="77777777"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p>
        </w:tc>
      </w:tr>
      <w:tr w:rsidR="0043620F" w:rsidRPr="00A01772" w14:paraId="4E6BB3A3" w14:textId="68353E5A" w:rsidTr="000D5546">
        <w:trPr>
          <w:gridAfter w:val="1"/>
          <w:wAfter w:w="8" w:type="dxa"/>
          <w:trHeight w:val="255"/>
        </w:trPr>
        <w:tc>
          <w:tcPr>
            <w:tcW w:w="501" w:type="dxa"/>
            <w:vMerge/>
            <w:vAlign w:val="center"/>
            <w:hideMark/>
          </w:tcPr>
          <w:p w14:paraId="0C3D009F"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p>
        </w:tc>
        <w:tc>
          <w:tcPr>
            <w:tcW w:w="1749" w:type="dxa"/>
            <w:vMerge/>
            <w:vAlign w:val="center"/>
            <w:hideMark/>
          </w:tcPr>
          <w:p w14:paraId="1B4D81D8" w14:textId="77777777" w:rsidR="0043620F" w:rsidRPr="00C2120C" w:rsidRDefault="0043620F" w:rsidP="0043620F">
            <w:pPr>
              <w:spacing w:after="0" w:line="240" w:lineRule="auto"/>
              <w:rPr>
                <w:rFonts w:ascii="Arial" w:eastAsia="Times New Roman" w:hAnsi="Arial" w:cs="Arial"/>
                <w:color w:val="000000"/>
                <w:sz w:val="18"/>
                <w:szCs w:val="18"/>
                <w:lang w:val="es-EC" w:eastAsia="es-EC"/>
              </w:rPr>
            </w:pPr>
          </w:p>
        </w:tc>
        <w:tc>
          <w:tcPr>
            <w:tcW w:w="990" w:type="dxa"/>
            <w:shd w:val="clear" w:color="auto" w:fill="E2EFD9" w:themeFill="accent6" w:themeFillTint="33"/>
            <w:noWrap/>
            <w:hideMark/>
          </w:tcPr>
          <w:p w14:paraId="077B0A26" w14:textId="77777777"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Financiera </w:t>
            </w:r>
          </w:p>
        </w:tc>
        <w:tc>
          <w:tcPr>
            <w:tcW w:w="1260" w:type="dxa"/>
            <w:shd w:val="clear" w:color="auto" w:fill="E2EFD9" w:themeFill="accent6" w:themeFillTint="33"/>
            <w:noWrap/>
            <w:hideMark/>
          </w:tcPr>
          <w:p w14:paraId="1640FCA5" w14:textId="37199016" w:rsidR="0043620F" w:rsidRPr="00C2120C" w:rsidRDefault="0043620F" w:rsidP="0043620F">
            <w:pPr>
              <w:spacing w:after="0" w:line="240" w:lineRule="auto"/>
              <w:jc w:val="center"/>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US</w:t>
            </w:r>
            <w:r>
              <w:rPr>
                <w:rFonts w:ascii="Arial" w:eastAsia="Times New Roman" w:hAnsi="Arial" w:cs="Arial"/>
                <w:color w:val="000000"/>
                <w:sz w:val="18"/>
                <w:szCs w:val="18"/>
                <w:lang w:val="es-EC" w:eastAsia="es-EC"/>
              </w:rPr>
              <w:t>$</w:t>
            </w:r>
          </w:p>
        </w:tc>
        <w:tc>
          <w:tcPr>
            <w:tcW w:w="1080" w:type="dxa"/>
            <w:shd w:val="clear" w:color="auto" w:fill="E2EFD9" w:themeFill="accent6" w:themeFillTint="33"/>
            <w:noWrap/>
            <w:hideMark/>
          </w:tcPr>
          <w:p w14:paraId="5628F931" w14:textId="0B1FB038"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67.200 </w:t>
            </w:r>
          </w:p>
        </w:tc>
        <w:tc>
          <w:tcPr>
            <w:tcW w:w="990" w:type="dxa"/>
            <w:shd w:val="clear" w:color="auto" w:fill="E2EFD9" w:themeFill="accent6" w:themeFillTint="33"/>
            <w:noWrap/>
            <w:hideMark/>
          </w:tcPr>
          <w:p w14:paraId="7CECAFED" w14:textId="6D478C32"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67.200 </w:t>
            </w:r>
          </w:p>
        </w:tc>
        <w:tc>
          <w:tcPr>
            <w:tcW w:w="1080" w:type="dxa"/>
            <w:shd w:val="clear" w:color="auto" w:fill="E2EFD9" w:themeFill="accent6" w:themeFillTint="33"/>
            <w:noWrap/>
            <w:hideMark/>
          </w:tcPr>
          <w:p w14:paraId="1F262337" w14:textId="0BAAA949"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67.200 </w:t>
            </w:r>
          </w:p>
        </w:tc>
        <w:tc>
          <w:tcPr>
            <w:tcW w:w="1080" w:type="dxa"/>
            <w:shd w:val="clear" w:color="auto" w:fill="E2EFD9" w:themeFill="accent6" w:themeFillTint="33"/>
            <w:noWrap/>
            <w:hideMark/>
          </w:tcPr>
          <w:p w14:paraId="1521C23C" w14:textId="116590EA"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67.200 </w:t>
            </w:r>
          </w:p>
        </w:tc>
        <w:tc>
          <w:tcPr>
            <w:tcW w:w="1080" w:type="dxa"/>
            <w:shd w:val="clear" w:color="auto" w:fill="E2EFD9" w:themeFill="accent6" w:themeFillTint="33"/>
            <w:noWrap/>
            <w:hideMark/>
          </w:tcPr>
          <w:p w14:paraId="4B2535B0" w14:textId="13A9F540"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67.200 </w:t>
            </w:r>
          </w:p>
        </w:tc>
        <w:tc>
          <w:tcPr>
            <w:tcW w:w="1080" w:type="dxa"/>
            <w:shd w:val="clear" w:color="auto" w:fill="E2EFD9" w:themeFill="accent6" w:themeFillTint="33"/>
            <w:noWrap/>
            <w:hideMark/>
          </w:tcPr>
          <w:p w14:paraId="6D897C1F" w14:textId="759D0B2B"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r w:rsidRPr="00C2120C">
              <w:rPr>
                <w:rFonts w:ascii="Arial" w:eastAsia="Times New Roman" w:hAnsi="Arial" w:cs="Arial"/>
                <w:color w:val="000000"/>
                <w:sz w:val="18"/>
                <w:szCs w:val="18"/>
                <w:lang w:val="es-EC" w:eastAsia="es-EC"/>
              </w:rPr>
              <w:t xml:space="preserve">    336.000 </w:t>
            </w:r>
          </w:p>
        </w:tc>
        <w:tc>
          <w:tcPr>
            <w:tcW w:w="4050" w:type="dxa"/>
            <w:gridSpan w:val="2"/>
            <w:shd w:val="clear" w:color="auto" w:fill="E2EFD9" w:themeFill="accent6" w:themeFillTint="33"/>
          </w:tcPr>
          <w:p w14:paraId="5DA5FE67" w14:textId="77777777" w:rsidR="0043620F" w:rsidRPr="00C2120C" w:rsidRDefault="0043620F" w:rsidP="0043620F">
            <w:pPr>
              <w:spacing w:after="0" w:line="240" w:lineRule="auto"/>
              <w:jc w:val="right"/>
              <w:rPr>
                <w:rFonts w:ascii="Arial" w:eastAsia="Times New Roman" w:hAnsi="Arial" w:cs="Arial"/>
                <w:color w:val="000000"/>
                <w:sz w:val="18"/>
                <w:szCs w:val="18"/>
                <w:lang w:val="es-EC" w:eastAsia="es-EC"/>
              </w:rPr>
            </w:pPr>
          </w:p>
        </w:tc>
      </w:tr>
    </w:tbl>
    <w:p w14:paraId="0C28BEEF" w14:textId="0FDFE2DF" w:rsidR="006926E6" w:rsidRDefault="006926E6" w:rsidP="00701C79">
      <w:pPr>
        <w:keepNext/>
        <w:spacing w:after="0" w:line="240" w:lineRule="auto"/>
        <w:jc w:val="center"/>
        <w:rPr>
          <w:rFonts w:ascii="Arial" w:eastAsia="Arial" w:hAnsi="Arial" w:cs="Arial"/>
          <w:b/>
          <w:bCs/>
          <w:smallCaps/>
          <w:lang w:val="es-419"/>
        </w:rPr>
      </w:pPr>
    </w:p>
    <w:p w14:paraId="7379CCFD" w14:textId="0F6A57CA" w:rsidR="00502BB2" w:rsidRPr="00727955" w:rsidRDefault="00502BB2" w:rsidP="00343C2B">
      <w:pPr>
        <w:rPr>
          <w:rFonts w:ascii="Arial" w:hAnsi="Arial" w:cs="Arial"/>
          <w:sz w:val="18"/>
          <w:szCs w:val="18"/>
          <w:lang w:val="es-ES"/>
        </w:rPr>
        <w:sectPr w:rsidR="00502BB2" w:rsidRPr="00727955" w:rsidSect="00E61805">
          <w:pgSz w:w="16838" w:h="11906" w:orient="landscape"/>
          <w:pgMar w:top="450" w:right="1088" w:bottom="1800" w:left="1440" w:header="706" w:footer="706" w:gutter="0"/>
          <w:cols w:space="708"/>
          <w:docGrid w:linePitch="360"/>
        </w:sectPr>
      </w:pPr>
      <w:bookmarkStart w:id="10" w:name="_Hlk482096911"/>
    </w:p>
    <w:p w14:paraId="22B9EC57" w14:textId="7F938F77" w:rsidR="00343C2B" w:rsidRPr="00727955" w:rsidRDefault="00A66D9F" w:rsidP="00F3798A">
      <w:pPr>
        <w:jc w:val="center"/>
        <w:rPr>
          <w:rFonts w:ascii="Arial" w:hAnsi="Arial" w:cs="Arial"/>
          <w:b/>
          <w:sz w:val="18"/>
          <w:szCs w:val="18"/>
          <w:lang w:val="es-PY"/>
        </w:rPr>
      </w:pPr>
      <w:r w:rsidRPr="00727955">
        <w:rPr>
          <w:rFonts w:ascii="Arial" w:hAnsi="Arial" w:cs="Arial"/>
          <w:b/>
          <w:sz w:val="18"/>
          <w:szCs w:val="18"/>
          <w:lang w:val="es-PY"/>
        </w:rPr>
        <w:lastRenderedPageBreak/>
        <w:t>Cuadro 3: Costo total del Programa</w:t>
      </w:r>
      <w:r w:rsidR="006F068A">
        <w:rPr>
          <w:rFonts w:ascii="Arial" w:hAnsi="Arial" w:cs="Arial"/>
          <w:b/>
          <w:sz w:val="18"/>
          <w:szCs w:val="18"/>
          <w:lang w:val="es-PY"/>
        </w:rPr>
        <w:t xml:space="preserve"> (miles US$)</w:t>
      </w:r>
    </w:p>
    <w:tbl>
      <w:tblPr>
        <w:tblStyle w:val="TableGrid"/>
        <w:tblW w:w="0" w:type="auto"/>
        <w:jc w:val="center"/>
        <w:tblLook w:val="04A0" w:firstRow="1" w:lastRow="0" w:firstColumn="1" w:lastColumn="0" w:noHBand="0" w:noVBand="1"/>
      </w:tblPr>
      <w:tblGrid>
        <w:gridCol w:w="4673"/>
        <w:gridCol w:w="2268"/>
      </w:tblGrid>
      <w:tr w:rsidR="00343C2B" w:rsidRPr="00727955" w14:paraId="3E37A64E" w14:textId="77777777" w:rsidTr="00B22BF6">
        <w:trPr>
          <w:jc w:val="center"/>
        </w:trPr>
        <w:tc>
          <w:tcPr>
            <w:tcW w:w="4673" w:type="dxa"/>
            <w:tcBorders>
              <w:top w:val="single" w:sz="4" w:space="0" w:color="auto"/>
              <w:left w:val="single" w:sz="4" w:space="0" w:color="auto"/>
              <w:bottom w:val="single" w:sz="4" w:space="0" w:color="auto"/>
              <w:right w:val="single" w:sz="4" w:space="0" w:color="auto"/>
            </w:tcBorders>
            <w:hideMark/>
          </w:tcPr>
          <w:p w14:paraId="51AC84C5" w14:textId="105FE196" w:rsidR="006F068A" w:rsidRPr="006F068A" w:rsidRDefault="00343C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12121"/>
                <w:sz w:val="18"/>
                <w:szCs w:val="18"/>
                <w:lang w:val="es-ES" w:eastAsia="es-PY"/>
              </w:rPr>
            </w:pPr>
            <w:r w:rsidRPr="006F068A">
              <w:rPr>
                <w:rFonts w:ascii="Arial" w:eastAsia="Times New Roman" w:hAnsi="Arial" w:cs="Arial"/>
                <w:b/>
                <w:color w:val="212121"/>
                <w:sz w:val="18"/>
                <w:szCs w:val="18"/>
                <w:lang w:val="es-ES" w:eastAsia="es-PY"/>
              </w:rPr>
              <w:t>Costo estimado de Productos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26E5820" w14:textId="430878CA" w:rsidR="00343C2B" w:rsidRPr="006F068A" w:rsidRDefault="002A58CF" w:rsidP="006F068A">
            <w:pPr>
              <w:spacing w:after="0" w:line="240" w:lineRule="auto"/>
              <w:jc w:val="center"/>
              <w:rPr>
                <w:rFonts w:ascii="Arial" w:eastAsiaTheme="minorHAnsi" w:hAnsi="Arial" w:cs="Arial"/>
                <w:b/>
                <w:sz w:val="18"/>
                <w:szCs w:val="18"/>
                <w:lang w:eastAsia="en-US"/>
              </w:rPr>
            </w:pPr>
            <w:r w:rsidRPr="006F068A">
              <w:rPr>
                <w:rFonts w:ascii="Arial" w:hAnsi="Arial" w:cs="Arial"/>
                <w:b/>
                <w:sz w:val="18"/>
                <w:szCs w:val="18"/>
              </w:rPr>
              <w:t>4</w:t>
            </w:r>
            <w:r w:rsidR="00367963">
              <w:rPr>
                <w:rFonts w:ascii="Arial" w:hAnsi="Arial" w:cs="Arial"/>
                <w:b/>
                <w:sz w:val="18"/>
                <w:szCs w:val="18"/>
              </w:rPr>
              <w:t>4</w:t>
            </w:r>
            <w:r w:rsidR="00B65D4B">
              <w:rPr>
                <w:rFonts w:ascii="Arial" w:hAnsi="Arial" w:cs="Arial"/>
                <w:b/>
                <w:sz w:val="18"/>
                <w:szCs w:val="18"/>
              </w:rPr>
              <w:t>.</w:t>
            </w:r>
            <w:r w:rsidR="00367963">
              <w:rPr>
                <w:rFonts w:ascii="Arial" w:hAnsi="Arial" w:cs="Arial"/>
                <w:b/>
                <w:sz w:val="18"/>
                <w:szCs w:val="18"/>
              </w:rPr>
              <w:t>13</w:t>
            </w:r>
            <w:r w:rsidR="00027DB9">
              <w:rPr>
                <w:rFonts w:ascii="Arial" w:hAnsi="Arial" w:cs="Arial"/>
                <w:b/>
                <w:sz w:val="18"/>
                <w:szCs w:val="18"/>
              </w:rPr>
              <w:t>7</w:t>
            </w:r>
          </w:p>
        </w:tc>
      </w:tr>
      <w:tr w:rsidR="006F068A" w:rsidRPr="00727955" w14:paraId="1693F462" w14:textId="77777777" w:rsidTr="00B22BF6">
        <w:trPr>
          <w:jc w:val="center"/>
        </w:trPr>
        <w:tc>
          <w:tcPr>
            <w:tcW w:w="4673" w:type="dxa"/>
            <w:tcBorders>
              <w:top w:val="single" w:sz="4" w:space="0" w:color="auto"/>
              <w:left w:val="single" w:sz="4" w:space="0" w:color="auto"/>
              <w:bottom w:val="single" w:sz="4" w:space="0" w:color="auto"/>
              <w:right w:val="single" w:sz="4" w:space="0" w:color="auto"/>
            </w:tcBorders>
          </w:tcPr>
          <w:p w14:paraId="4043B54E" w14:textId="1F6EFC55" w:rsidR="006F068A" w:rsidRPr="006F068A" w:rsidRDefault="006F068A" w:rsidP="006F068A">
            <w:pPr>
              <w:pStyle w:val="ListParagraph"/>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18"/>
                <w:szCs w:val="18"/>
                <w:lang w:val="es-ES" w:eastAsia="es-PY"/>
              </w:rPr>
            </w:pPr>
            <w:r>
              <w:rPr>
                <w:rFonts w:ascii="Arial" w:eastAsia="Times New Roman" w:hAnsi="Arial" w:cs="Arial"/>
                <w:color w:val="212121"/>
                <w:sz w:val="18"/>
                <w:szCs w:val="18"/>
                <w:lang w:val="es-ES" w:eastAsia="es-PY"/>
              </w:rPr>
              <w:t>Componente 1</w:t>
            </w:r>
          </w:p>
        </w:tc>
        <w:tc>
          <w:tcPr>
            <w:tcW w:w="2268" w:type="dxa"/>
            <w:tcBorders>
              <w:top w:val="single" w:sz="4" w:space="0" w:color="auto"/>
              <w:left w:val="single" w:sz="4" w:space="0" w:color="auto"/>
              <w:bottom w:val="single" w:sz="4" w:space="0" w:color="auto"/>
              <w:right w:val="single" w:sz="4" w:space="0" w:color="auto"/>
            </w:tcBorders>
            <w:vAlign w:val="center"/>
          </w:tcPr>
          <w:p w14:paraId="008F5A9D" w14:textId="4BE8283F" w:rsidR="006F068A" w:rsidRPr="00727955" w:rsidRDefault="006F068A" w:rsidP="006F068A">
            <w:pPr>
              <w:spacing w:after="0" w:line="240" w:lineRule="auto"/>
              <w:jc w:val="center"/>
              <w:rPr>
                <w:rFonts w:ascii="Arial" w:hAnsi="Arial" w:cs="Arial"/>
                <w:sz w:val="18"/>
                <w:szCs w:val="18"/>
              </w:rPr>
            </w:pPr>
            <w:r>
              <w:rPr>
                <w:rFonts w:ascii="Arial" w:hAnsi="Arial" w:cs="Arial"/>
                <w:sz w:val="18"/>
                <w:szCs w:val="18"/>
              </w:rPr>
              <w:t>9</w:t>
            </w:r>
            <w:r w:rsidR="00B65D4B">
              <w:rPr>
                <w:rFonts w:ascii="Arial" w:hAnsi="Arial" w:cs="Arial"/>
                <w:sz w:val="18"/>
                <w:szCs w:val="18"/>
              </w:rPr>
              <w:t>.</w:t>
            </w:r>
            <w:r>
              <w:rPr>
                <w:rFonts w:ascii="Arial" w:hAnsi="Arial" w:cs="Arial"/>
                <w:sz w:val="18"/>
                <w:szCs w:val="18"/>
              </w:rPr>
              <w:t>949</w:t>
            </w:r>
          </w:p>
        </w:tc>
      </w:tr>
      <w:tr w:rsidR="006F068A" w:rsidRPr="00727955" w14:paraId="1F1871A4" w14:textId="77777777" w:rsidTr="00B22BF6">
        <w:trPr>
          <w:jc w:val="center"/>
        </w:trPr>
        <w:tc>
          <w:tcPr>
            <w:tcW w:w="4673" w:type="dxa"/>
            <w:tcBorders>
              <w:top w:val="single" w:sz="4" w:space="0" w:color="auto"/>
              <w:left w:val="single" w:sz="4" w:space="0" w:color="auto"/>
              <w:bottom w:val="single" w:sz="4" w:space="0" w:color="auto"/>
              <w:right w:val="single" w:sz="4" w:space="0" w:color="auto"/>
            </w:tcBorders>
          </w:tcPr>
          <w:p w14:paraId="47D6538F" w14:textId="0FC0DB38" w:rsidR="006F068A" w:rsidRPr="006F068A" w:rsidRDefault="006F068A" w:rsidP="006F068A">
            <w:pPr>
              <w:pStyle w:val="ListParagraph"/>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18"/>
                <w:szCs w:val="18"/>
                <w:lang w:val="es-ES" w:eastAsia="es-PY"/>
              </w:rPr>
            </w:pPr>
            <w:r>
              <w:rPr>
                <w:rFonts w:ascii="Arial" w:eastAsia="Times New Roman" w:hAnsi="Arial" w:cs="Arial"/>
                <w:color w:val="212121"/>
                <w:sz w:val="18"/>
                <w:szCs w:val="18"/>
                <w:lang w:val="es-ES" w:eastAsia="es-PY"/>
              </w:rPr>
              <w:t>Componente 2</w:t>
            </w:r>
          </w:p>
        </w:tc>
        <w:tc>
          <w:tcPr>
            <w:tcW w:w="2268" w:type="dxa"/>
            <w:tcBorders>
              <w:top w:val="single" w:sz="4" w:space="0" w:color="auto"/>
              <w:left w:val="single" w:sz="4" w:space="0" w:color="auto"/>
              <w:bottom w:val="single" w:sz="4" w:space="0" w:color="auto"/>
              <w:right w:val="single" w:sz="4" w:space="0" w:color="auto"/>
            </w:tcBorders>
            <w:vAlign w:val="center"/>
          </w:tcPr>
          <w:p w14:paraId="04507EAD" w14:textId="1A76FF71" w:rsidR="006F068A" w:rsidRPr="00727955" w:rsidRDefault="006F068A" w:rsidP="006F068A">
            <w:pPr>
              <w:spacing w:after="0" w:line="240" w:lineRule="auto"/>
              <w:jc w:val="center"/>
              <w:rPr>
                <w:rFonts w:ascii="Arial" w:hAnsi="Arial" w:cs="Arial"/>
                <w:sz w:val="18"/>
                <w:szCs w:val="18"/>
              </w:rPr>
            </w:pPr>
            <w:r>
              <w:rPr>
                <w:rFonts w:ascii="Arial" w:hAnsi="Arial" w:cs="Arial"/>
                <w:sz w:val="18"/>
                <w:szCs w:val="18"/>
              </w:rPr>
              <w:t>4</w:t>
            </w:r>
            <w:r w:rsidR="00B65D4B">
              <w:rPr>
                <w:rFonts w:ascii="Arial" w:hAnsi="Arial" w:cs="Arial"/>
                <w:sz w:val="18"/>
                <w:szCs w:val="18"/>
              </w:rPr>
              <w:t>.</w:t>
            </w:r>
            <w:r>
              <w:rPr>
                <w:rFonts w:ascii="Arial" w:hAnsi="Arial" w:cs="Arial"/>
                <w:sz w:val="18"/>
                <w:szCs w:val="18"/>
              </w:rPr>
              <w:t>480</w:t>
            </w:r>
          </w:p>
        </w:tc>
      </w:tr>
      <w:tr w:rsidR="006F068A" w:rsidRPr="00727955" w14:paraId="65D31AB7" w14:textId="77777777" w:rsidTr="00B22BF6">
        <w:trPr>
          <w:jc w:val="center"/>
        </w:trPr>
        <w:tc>
          <w:tcPr>
            <w:tcW w:w="4673" w:type="dxa"/>
            <w:tcBorders>
              <w:top w:val="single" w:sz="4" w:space="0" w:color="auto"/>
              <w:left w:val="single" w:sz="4" w:space="0" w:color="auto"/>
              <w:bottom w:val="single" w:sz="4" w:space="0" w:color="auto"/>
              <w:right w:val="single" w:sz="4" w:space="0" w:color="auto"/>
            </w:tcBorders>
          </w:tcPr>
          <w:p w14:paraId="2E0461D7" w14:textId="11943CD4" w:rsidR="006F068A" w:rsidRPr="006F068A" w:rsidRDefault="006F068A" w:rsidP="006F068A">
            <w:pPr>
              <w:pStyle w:val="ListParagraph"/>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18"/>
                <w:szCs w:val="18"/>
                <w:lang w:val="es-ES" w:eastAsia="es-PY"/>
              </w:rPr>
            </w:pPr>
            <w:r>
              <w:rPr>
                <w:rFonts w:ascii="Arial" w:eastAsia="Times New Roman" w:hAnsi="Arial" w:cs="Arial"/>
                <w:color w:val="212121"/>
                <w:sz w:val="18"/>
                <w:szCs w:val="18"/>
                <w:lang w:val="es-ES" w:eastAsia="es-PY"/>
              </w:rPr>
              <w:t>Componente 3</w:t>
            </w:r>
          </w:p>
        </w:tc>
        <w:tc>
          <w:tcPr>
            <w:tcW w:w="2268" w:type="dxa"/>
            <w:tcBorders>
              <w:top w:val="single" w:sz="4" w:space="0" w:color="auto"/>
              <w:left w:val="single" w:sz="4" w:space="0" w:color="auto"/>
              <w:bottom w:val="single" w:sz="4" w:space="0" w:color="auto"/>
              <w:right w:val="single" w:sz="4" w:space="0" w:color="auto"/>
            </w:tcBorders>
            <w:vAlign w:val="center"/>
          </w:tcPr>
          <w:p w14:paraId="792A462D" w14:textId="3D0404D4" w:rsidR="006F068A" w:rsidRPr="00727955" w:rsidRDefault="006F068A" w:rsidP="006F068A">
            <w:pPr>
              <w:spacing w:after="0" w:line="240" w:lineRule="auto"/>
              <w:jc w:val="center"/>
              <w:rPr>
                <w:rFonts w:ascii="Arial" w:hAnsi="Arial" w:cs="Arial"/>
                <w:sz w:val="18"/>
                <w:szCs w:val="18"/>
              </w:rPr>
            </w:pPr>
            <w:r>
              <w:rPr>
                <w:rFonts w:ascii="Arial" w:hAnsi="Arial" w:cs="Arial"/>
                <w:sz w:val="18"/>
                <w:szCs w:val="18"/>
              </w:rPr>
              <w:t>1</w:t>
            </w:r>
            <w:r w:rsidR="00367963">
              <w:rPr>
                <w:rFonts w:ascii="Arial" w:hAnsi="Arial" w:cs="Arial"/>
                <w:sz w:val="18"/>
                <w:szCs w:val="18"/>
              </w:rPr>
              <w:t>9</w:t>
            </w:r>
            <w:r w:rsidR="00B65D4B">
              <w:rPr>
                <w:rFonts w:ascii="Arial" w:hAnsi="Arial" w:cs="Arial"/>
                <w:sz w:val="18"/>
                <w:szCs w:val="18"/>
              </w:rPr>
              <w:t>.</w:t>
            </w:r>
            <w:r w:rsidR="00367963">
              <w:rPr>
                <w:rFonts w:ascii="Arial" w:hAnsi="Arial" w:cs="Arial"/>
                <w:sz w:val="18"/>
                <w:szCs w:val="18"/>
              </w:rPr>
              <w:t>824</w:t>
            </w:r>
          </w:p>
        </w:tc>
      </w:tr>
      <w:tr w:rsidR="006F068A" w:rsidRPr="00727955" w14:paraId="02F86354" w14:textId="77777777" w:rsidTr="00B22BF6">
        <w:trPr>
          <w:jc w:val="center"/>
        </w:trPr>
        <w:tc>
          <w:tcPr>
            <w:tcW w:w="4673" w:type="dxa"/>
            <w:tcBorders>
              <w:top w:val="single" w:sz="4" w:space="0" w:color="auto"/>
              <w:left w:val="single" w:sz="4" w:space="0" w:color="auto"/>
              <w:bottom w:val="single" w:sz="4" w:space="0" w:color="auto"/>
              <w:right w:val="single" w:sz="4" w:space="0" w:color="auto"/>
            </w:tcBorders>
          </w:tcPr>
          <w:p w14:paraId="7FA61BFC" w14:textId="62D6DBC3" w:rsidR="006F068A" w:rsidRPr="006F068A" w:rsidRDefault="006F068A" w:rsidP="006F068A">
            <w:pPr>
              <w:pStyle w:val="ListParagraph"/>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18"/>
                <w:szCs w:val="18"/>
                <w:lang w:val="es-ES" w:eastAsia="es-PY"/>
              </w:rPr>
            </w:pPr>
            <w:r>
              <w:rPr>
                <w:rFonts w:ascii="Arial" w:eastAsia="Times New Roman" w:hAnsi="Arial" w:cs="Arial"/>
                <w:color w:val="212121"/>
                <w:sz w:val="18"/>
                <w:szCs w:val="18"/>
                <w:lang w:val="es-ES" w:eastAsia="es-PY"/>
              </w:rPr>
              <w:t>Componente 4</w:t>
            </w:r>
          </w:p>
        </w:tc>
        <w:tc>
          <w:tcPr>
            <w:tcW w:w="2268" w:type="dxa"/>
            <w:tcBorders>
              <w:top w:val="single" w:sz="4" w:space="0" w:color="auto"/>
              <w:left w:val="single" w:sz="4" w:space="0" w:color="auto"/>
              <w:bottom w:val="single" w:sz="4" w:space="0" w:color="auto"/>
              <w:right w:val="single" w:sz="4" w:space="0" w:color="auto"/>
            </w:tcBorders>
            <w:vAlign w:val="center"/>
          </w:tcPr>
          <w:p w14:paraId="228C7F32" w14:textId="7459D415" w:rsidR="006F068A" w:rsidRPr="00727955" w:rsidRDefault="006F068A" w:rsidP="006F068A">
            <w:pPr>
              <w:spacing w:after="0" w:line="240" w:lineRule="auto"/>
              <w:jc w:val="center"/>
              <w:rPr>
                <w:rFonts w:ascii="Arial" w:hAnsi="Arial" w:cs="Arial"/>
                <w:sz w:val="18"/>
                <w:szCs w:val="18"/>
              </w:rPr>
            </w:pPr>
            <w:r>
              <w:rPr>
                <w:rFonts w:ascii="Arial" w:hAnsi="Arial" w:cs="Arial"/>
                <w:sz w:val="18"/>
                <w:szCs w:val="18"/>
              </w:rPr>
              <w:t>9</w:t>
            </w:r>
            <w:r w:rsidR="00B65D4B">
              <w:rPr>
                <w:rFonts w:ascii="Arial" w:hAnsi="Arial" w:cs="Arial"/>
                <w:sz w:val="18"/>
                <w:szCs w:val="18"/>
              </w:rPr>
              <w:t>.</w:t>
            </w:r>
            <w:r w:rsidR="009D1AD8">
              <w:rPr>
                <w:rFonts w:ascii="Arial" w:hAnsi="Arial" w:cs="Arial"/>
                <w:sz w:val="18"/>
                <w:szCs w:val="18"/>
              </w:rPr>
              <w:t>8</w:t>
            </w:r>
            <w:r w:rsidR="00027DB9">
              <w:rPr>
                <w:rFonts w:ascii="Arial" w:hAnsi="Arial" w:cs="Arial"/>
                <w:sz w:val="18"/>
                <w:szCs w:val="18"/>
              </w:rPr>
              <w:t>84</w:t>
            </w:r>
          </w:p>
        </w:tc>
      </w:tr>
      <w:tr w:rsidR="00343C2B" w:rsidRPr="00727955" w14:paraId="628A3EED" w14:textId="77777777" w:rsidTr="00B22BF6">
        <w:trPr>
          <w:jc w:val="center"/>
        </w:trPr>
        <w:tc>
          <w:tcPr>
            <w:tcW w:w="4673" w:type="dxa"/>
            <w:tcBorders>
              <w:top w:val="single" w:sz="4" w:space="0" w:color="auto"/>
              <w:left w:val="single" w:sz="4" w:space="0" w:color="auto"/>
              <w:bottom w:val="single" w:sz="4" w:space="0" w:color="auto"/>
              <w:right w:val="single" w:sz="4" w:space="0" w:color="auto"/>
            </w:tcBorders>
            <w:hideMark/>
          </w:tcPr>
          <w:p w14:paraId="77F3E0A4" w14:textId="300E20B2" w:rsidR="00343C2B" w:rsidRPr="006F068A" w:rsidRDefault="00343C2B">
            <w:pPr>
              <w:spacing w:after="0" w:line="240" w:lineRule="auto"/>
              <w:rPr>
                <w:rFonts w:ascii="Arial" w:hAnsi="Arial" w:cs="Arial"/>
                <w:b/>
                <w:sz w:val="18"/>
                <w:szCs w:val="18"/>
                <w:lang w:val="es-PY"/>
              </w:rPr>
            </w:pPr>
            <w:r w:rsidRPr="006F068A">
              <w:rPr>
                <w:rFonts w:ascii="Arial" w:hAnsi="Arial" w:cs="Arial"/>
                <w:b/>
                <w:sz w:val="18"/>
                <w:szCs w:val="18"/>
                <w:lang w:val="es-ES_tradnl"/>
              </w:rPr>
              <w:t>Administración, Monitoreo</w:t>
            </w:r>
            <w:r w:rsidR="00A77846" w:rsidRPr="006F068A">
              <w:rPr>
                <w:rFonts w:ascii="Arial" w:hAnsi="Arial" w:cs="Arial"/>
                <w:b/>
                <w:sz w:val="18"/>
                <w:szCs w:val="18"/>
                <w:lang w:val="es-ES_tradnl"/>
              </w:rPr>
              <w:t xml:space="preserve"> y Evaluación</w:t>
            </w:r>
            <w:r w:rsidRPr="006F068A">
              <w:rPr>
                <w:rFonts w:ascii="Arial" w:hAnsi="Arial" w:cs="Arial"/>
                <w:b/>
                <w:sz w:val="18"/>
                <w:szCs w:val="18"/>
                <w:lang w:val="es-ES_tradnl"/>
              </w:rPr>
              <w:t xml:space="preserve">, Auditoría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1FDD967" w14:textId="2BBF1722" w:rsidR="00343C2B" w:rsidRPr="006F068A" w:rsidRDefault="00A77846" w:rsidP="006F068A">
            <w:pPr>
              <w:spacing w:after="0" w:line="240" w:lineRule="auto"/>
              <w:jc w:val="center"/>
              <w:rPr>
                <w:rFonts w:ascii="Arial" w:hAnsi="Arial" w:cs="Arial"/>
                <w:b/>
                <w:sz w:val="18"/>
                <w:szCs w:val="18"/>
              </w:rPr>
            </w:pPr>
            <w:r w:rsidRPr="006F068A">
              <w:rPr>
                <w:rFonts w:ascii="Arial" w:hAnsi="Arial" w:cs="Arial"/>
                <w:b/>
                <w:sz w:val="18"/>
                <w:szCs w:val="18"/>
              </w:rPr>
              <w:t>2</w:t>
            </w:r>
            <w:r w:rsidR="00B65D4B">
              <w:rPr>
                <w:rFonts w:ascii="Arial" w:hAnsi="Arial" w:cs="Arial"/>
                <w:b/>
                <w:sz w:val="18"/>
                <w:szCs w:val="18"/>
              </w:rPr>
              <w:t>.</w:t>
            </w:r>
            <w:r w:rsidR="00027DB9">
              <w:rPr>
                <w:rFonts w:ascii="Arial" w:hAnsi="Arial" w:cs="Arial"/>
                <w:b/>
                <w:sz w:val="18"/>
                <w:szCs w:val="18"/>
              </w:rPr>
              <w:t>903</w:t>
            </w:r>
          </w:p>
        </w:tc>
      </w:tr>
      <w:tr w:rsidR="003350CC" w:rsidRPr="00727955" w14:paraId="7ED5EA31" w14:textId="77777777" w:rsidTr="00B22BF6">
        <w:trPr>
          <w:jc w:val="center"/>
        </w:trPr>
        <w:tc>
          <w:tcPr>
            <w:tcW w:w="4673" w:type="dxa"/>
            <w:tcBorders>
              <w:top w:val="single" w:sz="4" w:space="0" w:color="auto"/>
              <w:left w:val="single" w:sz="4" w:space="0" w:color="auto"/>
              <w:bottom w:val="single" w:sz="4" w:space="0" w:color="auto"/>
              <w:right w:val="single" w:sz="4" w:space="0" w:color="auto"/>
            </w:tcBorders>
          </w:tcPr>
          <w:p w14:paraId="7DF26EE7" w14:textId="770E7F84" w:rsidR="003350CC" w:rsidRPr="00727955" w:rsidRDefault="00630F40" w:rsidP="00630F40">
            <w:pPr>
              <w:pStyle w:val="ListParagraph"/>
              <w:numPr>
                <w:ilvl w:val="0"/>
                <w:numId w:val="18"/>
              </w:numPr>
              <w:spacing w:after="0" w:line="240" w:lineRule="auto"/>
              <w:rPr>
                <w:rFonts w:ascii="Arial" w:hAnsi="Arial" w:cs="Arial"/>
                <w:sz w:val="18"/>
                <w:szCs w:val="18"/>
                <w:lang w:val="es-ES_tradnl"/>
              </w:rPr>
            </w:pPr>
            <w:r w:rsidRPr="00727955">
              <w:rPr>
                <w:rFonts w:ascii="Arial" w:hAnsi="Arial" w:cs="Arial"/>
                <w:sz w:val="18"/>
                <w:szCs w:val="18"/>
                <w:lang w:val="es-ES_tradnl"/>
              </w:rPr>
              <w:t>Gestión del programa</w:t>
            </w:r>
            <w:r w:rsidR="006F068A">
              <w:rPr>
                <w:rStyle w:val="FootnoteReference"/>
                <w:rFonts w:ascii="Arial" w:hAnsi="Arial" w:cs="Arial"/>
                <w:sz w:val="18"/>
                <w:szCs w:val="18"/>
                <w:lang w:val="es-ES_tradnl"/>
              </w:rPr>
              <w:footnoteReference w:id="4"/>
            </w:r>
          </w:p>
        </w:tc>
        <w:tc>
          <w:tcPr>
            <w:tcW w:w="2268" w:type="dxa"/>
            <w:tcBorders>
              <w:top w:val="single" w:sz="4" w:space="0" w:color="auto"/>
              <w:left w:val="single" w:sz="4" w:space="0" w:color="auto"/>
              <w:bottom w:val="single" w:sz="4" w:space="0" w:color="auto"/>
              <w:right w:val="single" w:sz="4" w:space="0" w:color="auto"/>
            </w:tcBorders>
            <w:vAlign w:val="center"/>
          </w:tcPr>
          <w:p w14:paraId="58959DDC" w14:textId="2DA663B6" w:rsidR="003350CC" w:rsidRPr="00727955" w:rsidRDefault="006F068A" w:rsidP="006F068A">
            <w:pPr>
              <w:spacing w:after="0" w:line="240" w:lineRule="auto"/>
              <w:jc w:val="center"/>
              <w:rPr>
                <w:rFonts w:ascii="Arial" w:hAnsi="Arial" w:cs="Arial"/>
                <w:sz w:val="18"/>
                <w:szCs w:val="18"/>
              </w:rPr>
            </w:pPr>
            <w:r>
              <w:rPr>
                <w:rFonts w:ascii="Arial" w:hAnsi="Arial" w:cs="Arial"/>
                <w:sz w:val="18"/>
                <w:szCs w:val="18"/>
              </w:rPr>
              <w:t>2</w:t>
            </w:r>
            <w:r w:rsidR="00B65D4B">
              <w:rPr>
                <w:rFonts w:ascii="Arial" w:hAnsi="Arial" w:cs="Arial"/>
                <w:sz w:val="18"/>
                <w:szCs w:val="18"/>
              </w:rPr>
              <w:t>.</w:t>
            </w:r>
            <w:r>
              <w:rPr>
                <w:rFonts w:ascii="Arial" w:hAnsi="Arial" w:cs="Arial"/>
                <w:sz w:val="18"/>
                <w:szCs w:val="18"/>
              </w:rPr>
              <w:t>365</w:t>
            </w:r>
          </w:p>
        </w:tc>
      </w:tr>
      <w:tr w:rsidR="003475F8" w:rsidRPr="00727955" w14:paraId="532A4A8E" w14:textId="77777777" w:rsidTr="00B22BF6">
        <w:trPr>
          <w:jc w:val="center"/>
        </w:trPr>
        <w:tc>
          <w:tcPr>
            <w:tcW w:w="4673" w:type="dxa"/>
            <w:tcBorders>
              <w:top w:val="single" w:sz="4" w:space="0" w:color="auto"/>
              <w:left w:val="single" w:sz="4" w:space="0" w:color="auto"/>
              <w:bottom w:val="single" w:sz="4" w:space="0" w:color="auto"/>
              <w:right w:val="single" w:sz="4" w:space="0" w:color="auto"/>
            </w:tcBorders>
          </w:tcPr>
          <w:p w14:paraId="38FF97C3" w14:textId="678463FF" w:rsidR="003475F8" w:rsidRPr="00727955" w:rsidRDefault="003475F8" w:rsidP="00630F40">
            <w:pPr>
              <w:pStyle w:val="ListParagraph"/>
              <w:numPr>
                <w:ilvl w:val="0"/>
                <w:numId w:val="18"/>
              </w:numPr>
              <w:spacing w:after="0" w:line="240" w:lineRule="auto"/>
              <w:rPr>
                <w:rFonts w:ascii="Arial" w:hAnsi="Arial" w:cs="Arial"/>
                <w:sz w:val="18"/>
                <w:szCs w:val="18"/>
                <w:lang w:val="es-ES_tradnl"/>
              </w:rPr>
            </w:pPr>
            <w:r w:rsidRPr="00727955">
              <w:rPr>
                <w:rFonts w:ascii="Arial" w:hAnsi="Arial" w:cs="Arial"/>
                <w:sz w:val="18"/>
                <w:szCs w:val="18"/>
                <w:lang w:val="es-ES_tradnl"/>
              </w:rPr>
              <w:t>Evaluación intermedia</w:t>
            </w:r>
            <w:r w:rsidR="00B96953">
              <w:rPr>
                <w:rFonts w:ascii="Arial" w:hAnsi="Arial" w:cs="Arial"/>
                <w:sz w:val="18"/>
                <w:szCs w:val="18"/>
                <w:lang w:val="es-ES_tradnl"/>
              </w:rPr>
              <w:t>,</w:t>
            </w:r>
            <w:r w:rsidRPr="00727955">
              <w:rPr>
                <w:rFonts w:ascii="Arial" w:hAnsi="Arial" w:cs="Arial"/>
                <w:sz w:val="18"/>
                <w:szCs w:val="18"/>
                <w:lang w:val="es-ES_tradnl"/>
              </w:rPr>
              <w:t xml:space="preserve"> final</w:t>
            </w:r>
            <w:r w:rsidR="009D1AD8">
              <w:rPr>
                <w:rFonts w:ascii="Arial" w:hAnsi="Arial" w:cs="Arial"/>
                <w:sz w:val="18"/>
                <w:szCs w:val="18"/>
                <w:lang w:val="es-ES_tradnl"/>
              </w:rPr>
              <w:t xml:space="preserve">, de impacto </w:t>
            </w:r>
            <w:r w:rsidR="00B96953">
              <w:rPr>
                <w:rFonts w:ascii="Arial" w:hAnsi="Arial" w:cs="Arial"/>
                <w:sz w:val="18"/>
                <w:szCs w:val="18"/>
                <w:lang w:val="es-ES_tradnl"/>
              </w:rPr>
              <w:t>y análisis costo-beneficio ex post.</w:t>
            </w:r>
          </w:p>
        </w:tc>
        <w:tc>
          <w:tcPr>
            <w:tcW w:w="2268" w:type="dxa"/>
            <w:tcBorders>
              <w:top w:val="single" w:sz="4" w:space="0" w:color="auto"/>
              <w:left w:val="single" w:sz="4" w:space="0" w:color="auto"/>
              <w:bottom w:val="single" w:sz="4" w:space="0" w:color="auto"/>
              <w:right w:val="single" w:sz="4" w:space="0" w:color="auto"/>
            </w:tcBorders>
            <w:vAlign w:val="center"/>
          </w:tcPr>
          <w:p w14:paraId="406DE656" w14:textId="5E63B2DC" w:rsidR="003475F8" w:rsidRPr="00727955" w:rsidRDefault="00027DB9" w:rsidP="006F068A">
            <w:pPr>
              <w:spacing w:after="0" w:line="240" w:lineRule="auto"/>
              <w:jc w:val="center"/>
              <w:rPr>
                <w:rFonts w:ascii="Arial" w:hAnsi="Arial" w:cs="Arial"/>
                <w:sz w:val="18"/>
                <w:szCs w:val="18"/>
              </w:rPr>
            </w:pPr>
            <w:r>
              <w:rPr>
                <w:rFonts w:ascii="Arial" w:hAnsi="Arial" w:cs="Arial"/>
                <w:sz w:val="18"/>
                <w:szCs w:val="18"/>
              </w:rPr>
              <w:t>202</w:t>
            </w:r>
          </w:p>
        </w:tc>
      </w:tr>
      <w:tr w:rsidR="00630F40" w:rsidRPr="00727955" w14:paraId="6555ACF4" w14:textId="77777777" w:rsidTr="00B22BF6">
        <w:trPr>
          <w:jc w:val="center"/>
        </w:trPr>
        <w:tc>
          <w:tcPr>
            <w:tcW w:w="4673" w:type="dxa"/>
            <w:tcBorders>
              <w:top w:val="single" w:sz="4" w:space="0" w:color="auto"/>
              <w:left w:val="single" w:sz="4" w:space="0" w:color="auto"/>
              <w:bottom w:val="single" w:sz="4" w:space="0" w:color="auto"/>
              <w:right w:val="single" w:sz="4" w:space="0" w:color="auto"/>
            </w:tcBorders>
          </w:tcPr>
          <w:p w14:paraId="76141C8A" w14:textId="46DF29DB" w:rsidR="00630F40" w:rsidRPr="00727955" w:rsidRDefault="00630F40" w:rsidP="00630F40">
            <w:pPr>
              <w:pStyle w:val="ListParagraph"/>
              <w:numPr>
                <w:ilvl w:val="0"/>
                <w:numId w:val="18"/>
              </w:numPr>
              <w:spacing w:after="0" w:line="240" w:lineRule="auto"/>
              <w:rPr>
                <w:rFonts w:ascii="Arial" w:hAnsi="Arial" w:cs="Arial"/>
                <w:sz w:val="18"/>
                <w:szCs w:val="18"/>
                <w:lang w:val="es-ES_tradnl"/>
              </w:rPr>
            </w:pPr>
            <w:r w:rsidRPr="00727955">
              <w:rPr>
                <w:rFonts w:ascii="Arial" w:hAnsi="Arial" w:cs="Arial"/>
                <w:sz w:val="18"/>
                <w:szCs w:val="18"/>
                <w:lang w:val="es-ES_tradnl"/>
              </w:rPr>
              <w:t>Auditor</w:t>
            </w:r>
            <w:r w:rsidR="00B4650B">
              <w:rPr>
                <w:rFonts w:ascii="Arial" w:hAnsi="Arial" w:cs="Arial"/>
                <w:sz w:val="18"/>
                <w:szCs w:val="18"/>
                <w:lang w:val="es-ES_tradnl"/>
              </w:rPr>
              <w:t>í</w:t>
            </w:r>
            <w:r w:rsidRPr="00727955">
              <w:rPr>
                <w:rFonts w:ascii="Arial" w:hAnsi="Arial" w:cs="Arial"/>
                <w:sz w:val="18"/>
                <w:szCs w:val="18"/>
                <w:lang w:val="es-ES_tradnl"/>
              </w:rPr>
              <w:t>a</w:t>
            </w:r>
            <w:r w:rsidR="006F068A">
              <w:rPr>
                <w:rFonts w:ascii="Arial" w:hAnsi="Arial" w:cs="Arial"/>
                <w:sz w:val="18"/>
                <w:szCs w:val="18"/>
                <w:lang w:val="es-ES_tradnl"/>
              </w:rPr>
              <w:t>s</w:t>
            </w:r>
          </w:p>
        </w:tc>
        <w:tc>
          <w:tcPr>
            <w:tcW w:w="2268" w:type="dxa"/>
            <w:tcBorders>
              <w:top w:val="single" w:sz="4" w:space="0" w:color="auto"/>
              <w:left w:val="single" w:sz="4" w:space="0" w:color="auto"/>
              <w:bottom w:val="single" w:sz="4" w:space="0" w:color="auto"/>
              <w:right w:val="single" w:sz="4" w:space="0" w:color="auto"/>
            </w:tcBorders>
            <w:vAlign w:val="center"/>
          </w:tcPr>
          <w:p w14:paraId="7C97C461" w14:textId="6D765902" w:rsidR="00630F40" w:rsidRPr="00727955" w:rsidRDefault="006F068A" w:rsidP="006F068A">
            <w:pPr>
              <w:spacing w:after="0" w:line="240" w:lineRule="auto"/>
              <w:jc w:val="center"/>
              <w:rPr>
                <w:rFonts w:ascii="Arial" w:hAnsi="Arial" w:cs="Arial"/>
                <w:sz w:val="18"/>
                <w:szCs w:val="18"/>
              </w:rPr>
            </w:pPr>
            <w:r>
              <w:rPr>
                <w:rFonts w:ascii="Arial" w:hAnsi="Arial" w:cs="Arial"/>
                <w:sz w:val="18"/>
                <w:szCs w:val="18"/>
              </w:rPr>
              <w:t>336</w:t>
            </w:r>
          </w:p>
        </w:tc>
      </w:tr>
      <w:tr w:rsidR="00343C2B" w:rsidRPr="00727955" w14:paraId="50E1FB5F" w14:textId="77777777" w:rsidTr="00B22BF6">
        <w:trPr>
          <w:jc w:val="center"/>
        </w:trPr>
        <w:tc>
          <w:tcPr>
            <w:tcW w:w="4673" w:type="dxa"/>
            <w:tcBorders>
              <w:top w:val="single" w:sz="4" w:space="0" w:color="auto"/>
              <w:left w:val="single" w:sz="4" w:space="0" w:color="auto"/>
              <w:bottom w:val="single" w:sz="4" w:space="0" w:color="auto"/>
              <w:right w:val="single" w:sz="4" w:space="0" w:color="auto"/>
            </w:tcBorders>
            <w:hideMark/>
          </w:tcPr>
          <w:p w14:paraId="6C9CE343" w14:textId="77777777" w:rsidR="00343C2B" w:rsidRPr="006F068A" w:rsidRDefault="00343C2B">
            <w:pPr>
              <w:pStyle w:val="HTMLPreformatted"/>
              <w:shd w:val="clear" w:color="auto" w:fill="FFFFFF"/>
              <w:rPr>
                <w:rFonts w:ascii="Arial" w:hAnsi="Arial" w:cs="Arial"/>
                <w:b/>
                <w:color w:val="212121"/>
                <w:sz w:val="18"/>
                <w:szCs w:val="18"/>
                <w:lang w:val="es-ES_tradnl"/>
              </w:rPr>
            </w:pPr>
            <w:r w:rsidRPr="006F068A">
              <w:rPr>
                <w:rFonts w:ascii="Arial" w:hAnsi="Arial" w:cs="Arial"/>
                <w:b/>
                <w:color w:val="212121"/>
                <w:sz w:val="18"/>
                <w:szCs w:val="18"/>
                <w:lang w:val="es-ES"/>
              </w:rPr>
              <w:t xml:space="preserve">Costo Total estimado del Programa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9C76106" w14:textId="76C68171" w:rsidR="00343C2B" w:rsidRPr="006F068A" w:rsidRDefault="00340A28" w:rsidP="006F068A">
            <w:pPr>
              <w:spacing w:after="0" w:line="240" w:lineRule="auto"/>
              <w:jc w:val="center"/>
              <w:rPr>
                <w:rFonts w:ascii="Arial" w:hAnsi="Arial" w:cs="Arial"/>
                <w:b/>
                <w:sz w:val="18"/>
                <w:szCs w:val="18"/>
              </w:rPr>
            </w:pPr>
            <w:r w:rsidRPr="006F068A">
              <w:rPr>
                <w:rFonts w:ascii="Arial" w:hAnsi="Arial" w:cs="Arial"/>
                <w:b/>
                <w:sz w:val="18"/>
                <w:szCs w:val="18"/>
              </w:rPr>
              <w:t>4</w:t>
            </w:r>
            <w:r w:rsidR="00367963">
              <w:rPr>
                <w:rFonts w:ascii="Arial" w:hAnsi="Arial" w:cs="Arial"/>
                <w:b/>
                <w:sz w:val="18"/>
                <w:szCs w:val="18"/>
              </w:rPr>
              <w:t>7</w:t>
            </w:r>
            <w:r w:rsidR="00B65D4B">
              <w:rPr>
                <w:rFonts w:ascii="Arial" w:hAnsi="Arial" w:cs="Arial"/>
                <w:b/>
                <w:sz w:val="18"/>
                <w:szCs w:val="18"/>
              </w:rPr>
              <w:t>.</w:t>
            </w:r>
            <w:r w:rsidR="00367963">
              <w:rPr>
                <w:rFonts w:ascii="Arial" w:hAnsi="Arial" w:cs="Arial"/>
                <w:b/>
                <w:sz w:val="18"/>
                <w:szCs w:val="18"/>
              </w:rPr>
              <w:t>04</w:t>
            </w:r>
            <w:r w:rsidR="006F068A" w:rsidRPr="006F068A">
              <w:rPr>
                <w:rFonts w:ascii="Arial" w:hAnsi="Arial" w:cs="Arial"/>
                <w:b/>
                <w:sz w:val="18"/>
                <w:szCs w:val="18"/>
              </w:rPr>
              <w:t>0</w:t>
            </w:r>
          </w:p>
        </w:tc>
      </w:tr>
    </w:tbl>
    <w:p w14:paraId="08753D56" w14:textId="77777777" w:rsidR="00194F4B" w:rsidRPr="00727955" w:rsidRDefault="00194F4B" w:rsidP="00542496">
      <w:pPr>
        <w:pStyle w:val="AutoNumpara"/>
        <w:tabs>
          <w:tab w:val="clear" w:pos="720"/>
        </w:tabs>
        <w:ind w:left="0" w:firstLine="0"/>
        <w:rPr>
          <w:rFonts w:ascii="Arial" w:hAnsi="Arial" w:cs="Arial"/>
          <w:b/>
          <w:noProof w:val="0"/>
          <w:sz w:val="18"/>
          <w:szCs w:val="18"/>
          <w:lang w:val="es-MX"/>
        </w:rPr>
      </w:pPr>
    </w:p>
    <w:p w14:paraId="14BECD35" w14:textId="77777777" w:rsidR="00671C37" w:rsidRPr="00727955" w:rsidRDefault="009A4BB7" w:rsidP="004A1D9B">
      <w:pPr>
        <w:pStyle w:val="sub-sections"/>
        <w:ind w:left="720" w:hanging="720"/>
        <w:rPr>
          <w:rFonts w:ascii="Arial" w:hAnsi="Arial" w:cs="Arial"/>
          <w:lang w:val="es-ES_tradnl"/>
        </w:rPr>
      </w:pPr>
      <w:bookmarkStart w:id="11" w:name="_Toc487815086"/>
      <w:bookmarkEnd w:id="10"/>
      <w:r w:rsidRPr="00727955">
        <w:rPr>
          <w:rFonts w:ascii="Arial" w:hAnsi="Arial" w:cs="Arial"/>
          <w:lang w:val="es-ES_tradnl"/>
        </w:rPr>
        <w:t xml:space="preserve">Instrumentos de Monitoreo del Proyecto </w:t>
      </w:r>
      <w:r w:rsidR="002A3479" w:rsidRPr="00727955">
        <w:rPr>
          <w:rFonts w:ascii="Arial" w:hAnsi="Arial" w:cs="Arial"/>
          <w:lang w:val="es-ES_tradnl"/>
        </w:rPr>
        <w:t xml:space="preserve">y </w:t>
      </w:r>
      <w:r w:rsidR="009B6B10" w:rsidRPr="00727955">
        <w:rPr>
          <w:rFonts w:ascii="Arial" w:hAnsi="Arial" w:cs="Arial"/>
          <w:lang w:val="es-ES_tradnl"/>
        </w:rPr>
        <w:t>Recopilación</w:t>
      </w:r>
      <w:r w:rsidR="002A3479" w:rsidRPr="00727955">
        <w:rPr>
          <w:rFonts w:ascii="Arial" w:hAnsi="Arial" w:cs="Arial"/>
          <w:lang w:val="es-ES_tradnl"/>
        </w:rPr>
        <w:t xml:space="preserve"> de Datos</w:t>
      </w:r>
      <w:bookmarkEnd w:id="11"/>
    </w:p>
    <w:p w14:paraId="76D3303C" w14:textId="77777777" w:rsidR="000C12D1" w:rsidRPr="00727955" w:rsidRDefault="000C12D1" w:rsidP="00542496">
      <w:pPr>
        <w:spacing w:after="0" w:line="240" w:lineRule="auto"/>
        <w:rPr>
          <w:rFonts w:ascii="Arial" w:hAnsi="Arial" w:cs="Arial"/>
          <w:lang w:val="es-ES_tradnl"/>
        </w:rPr>
      </w:pPr>
    </w:p>
    <w:p w14:paraId="7FD0A99F" w14:textId="4D0BDC1E" w:rsidR="00B636E5" w:rsidRDefault="00B636E5" w:rsidP="008373D5">
      <w:pPr>
        <w:pStyle w:val="ListParagraph"/>
        <w:numPr>
          <w:ilvl w:val="1"/>
          <w:numId w:val="48"/>
        </w:numPr>
        <w:ind w:left="720" w:hanging="720"/>
        <w:jc w:val="both"/>
        <w:rPr>
          <w:rFonts w:ascii="Arial" w:hAnsi="Arial" w:cs="Arial"/>
          <w:lang w:val="es-ES"/>
        </w:rPr>
      </w:pPr>
      <w:bookmarkStart w:id="12" w:name="_Hlk10820009"/>
      <w:r w:rsidRPr="00B636E5">
        <w:rPr>
          <w:rFonts w:ascii="Arial" w:hAnsi="Arial" w:cs="Arial"/>
          <w:lang w:val="es-ES"/>
        </w:rPr>
        <w:t>El prestatario será la República de Ecuador, y el Organismo Ejecutor (OE) y contraparte oficial del programa será el MEF, entidad con capacidades técnicas, administrativas y experiencia suficiente para llevar adelante el programa, contando con la SGP y la VPR como Organismos Sub Ejecutores (OSE). El MEF ha sido el OE de las operaciones 2653/OC-EC, 3073/OC-EC y 4364/OC-EC, que tienen características similares a esta</w:t>
      </w:r>
      <w:r w:rsidRPr="00B636E5">
        <w:rPr>
          <w:vertAlign w:val="superscript"/>
          <w:lang w:val="es-ES"/>
        </w:rPr>
        <w:footnoteReference w:id="5"/>
      </w:r>
      <w:r w:rsidRPr="00B636E5">
        <w:rPr>
          <w:rFonts w:ascii="Arial" w:hAnsi="Arial" w:cs="Arial"/>
          <w:lang w:val="es-ES"/>
        </w:rPr>
        <w:t xml:space="preserve">. El MEF será el responsable de la ejecución del </w:t>
      </w:r>
      <w:r w:rsidR="00B65D4B">
        <w:rPr>
          <w:rFonts w:ascii="Arial" w:hAnsi="Arial" w:cs="Arial"/>
          <w:lang w:val="es-ES"/>
        </w:rPr>
        <w:t>C</w:t>
      </w:r>
      <w:r w:rsidRPr="00B636E5">
        <w:rPr>
          <w:rFonts w:ascii="Arial" w:hAnsi="Arial" w:cs="Arial"/>
          <w:lang w:val="es-ES"/>
        </w:rPr>
        <w:t xml:space="preserve">omponente 3, y, la VPR, del componente 1, y la SGP de los </w:t>
      </w:r>
      <w:r w:rsidR="00B65D4B">
        <w:rPr>
          <w:rFonts w:ascii="Arial" w:hAnsi="Arial" w:cs="Arial"/>
          <w:lang w:val="es-ES"/>
        </w:rPr>
        <w:t>C</w:t>
      </w:r>
      <w:r w:rsidRPr="00B636E5">
        <w:rPr>
          <w:rFonts w:ascii="Arial" w:hAnsi="Arial" w:cs="Arial"/>
          <w:lang w:val="es-ES"/>
        </w:rPr>
        <w:t>omponentes 2 y 4, como OSE. Además, el MEF será el responsable de la consolidación y presentación de informes de progreso, desembolsos, de contratar las evaluaciones y las auditorías, así como del cumplimiento de las condiciones contractuales especiales previas al primer desembolso del financiamiento. A los efectos del manejo gerencial, el OE y los OSE conformarán sus equipos de gestión (EDGs) separados para asegurar dedicación exclusiva y de tiempo completo en la ejecución del programa. Los EDGs se conformarán por profesionales con experiencia en la ejecución de este tipo de programa.</w:t>
      </w:r>
      <w:bookmarkStart w:id="13" w:name="_Hlk5204486"/>
      <w:r w:rsidRPr="00B636E5">
        <w:rPr>
          <w:lang w:val="es-419"/>
        </w:rPr>
        <w:t xml:space="preserve"> </w:t>
      </w:r>
      <w:r w:rsidRPr="00B636E5">
        <w:rPr>
          <w:rFonts w:ascii="Arial" w:hAnsi="Arial" w:cs="Arial"/>
          <w:lang w:val="es-ES"/>
        </w:rPr>
        <w:t xml:space="preserve">Funciones de los EDG y mecanismo de coordinación. </w:t>
      </w:r>
    </w:p>
    <w:p w14:paraId="6DCEA9DB" w14:textId="77777777" w:rsidR="00B636E5" w:rsidRDefault="00B636E5" w:rsidP="00B636E5">
      <w:pPr>
        <w:pStyle w:val="ListParagraph"/>
        <w:ind w:left="360"/>
        <w:jc w:val="both"/>
        <w:rPr>
          <w:rFonts w:ascii="Arial" w:hAnsi="Arial" w:cs="Arial"/>
          <w:lang w:val="es-ES"/>
        </w:rPr>
      </w:pPr>
    </w:p>
    <w:p w14:paraId="3DC9FCE3" w14:textId="3010064C" w:rsidR="00B636E5" w:rsidRDefault="00B636E5" w:rsidP="008373D5">
      <w:pPr>
        <w:pStyle w:val="ListParagraph"/>
        <w:numPr>
          <w:ilvl w:val="1"/>
          <w:numId w:val="48"/>
        </w:numPr>
        <w:ind w:left="720" w:hanging="720"/>
        <w:jc w:val="both"/>
        <w:rPr>
          <w:rFonts w:ascii="Arial" w:hAnsi="Arial" w:cs="Arial"/>
          <w:lang w:val="es-ES"/>
        </w:rPr>
      </w:pPr>
      <w:r w:rsidRPr="00B636E5">
        <w:rPr>
          <w:rFonts w:ascii="Arial" w:hAnsi="Arial" w:cs="Arial"/>
          <w:lang w:val="es-ES"/>
        </w:rPr>
        <w:t xml:space="preserve">El EDG del MEF, como OE, contará con un coordinador y un equipo de apoyo y tendrá como funciones: (i) interlocución con el Banco para temas generales del proyecto; (ii) administración de los recursos del programa, que incluye la tramitación de las solicitudes de desembolsos y la elaboración de los reportes sobre el uso de los recursos; (iii) preparación y remisión (después de aprobación por parte del Ministro del MEF o la autoridad que él designe y de las autoridades designadas por la VPR y la SGP) al Banco de los Informes Semestrales de Avance, Informes Financieros Auditados, Informe de Evaluación de Medio Término, Informe de Evaluación Final y otros documentos definidos en el ROP y (iv) supervisión de la gestión de los aspectos ambientales y sociales del programa. Asimismo, será el responsable de la planificación, el monitoreo y la gestión de las adquisiciones de del componente 3. A su vez, los OSE, deberán entregar oportunamente al MEF toda la información necesaria para el cumplimiento de lo aquí indicado, y </w:t>
      </w:r>
      <w:r w:rsidRPr="00B636E5">
        <w:rPr>
          <w:rFonts w:ascii="Arial" w:hAnsi="Arial" w:cs="Arial"/>
          <w:lang w:val="es-ES"/>
        </w:rPr>
        <w:lastRenderedPageBreak/>
        <w:t>deberán, proveer dirección estratégica, planificar, monitorear, gerenciar y reportar sobre el uso de los recursos financieros, licitar, contratar y gestionar técnica y fiduciariamente los bienes, obras y servicios diferentes a consultoría y servicios de consultoría de los componentes a su cargo. En este sentido, cada OSE será el responsable directo de la administración de los recursos del financiamiento que les serán transferidos considerando la preparación de los Términos de Referencia para las compras y contrataciones, así como de los procesos administrativos para que estas se realicen, garantizando un estricto cumplimiento de las políticas del Banco en la materia, y el envío de toda la documentación requerida al Banco para su no objeción.  Para ello, cada OSE contará con un coordinador para su EDGs, que será el responsable de (i) la interlocución con el OE para la consolidación de los documentos generales del proyecto que deben ser enviados al Banco; (ii) la interlocución con el BID para el envío de no objeciones relacionadas con sus contrataciones y adquisiciones. El OE y los OSE tendrán reuniones periódicas mensuales en las que revisarán conjuntamente el avance de las actividades del proyecto y tomarán acción para resolver obstáculos a la ejecución. En el ROP se detallarán las funciones, responsabilidades y la composición de los EDGs y se detallarán las especificidades de los acuerdos interinstitucionales.</w:t>
      </w:r>
    </w:p>
    <w:p w14:paraId="71CE4D1A" w14:textId="77777777" w:rsidR="00B636E5" w:rsidRPr="00B636E5" w:rsidRDefault="00B636E5" w:rsidP="00B636E5">
      <w:pPr>
        <w:pStyle w:val="ListParagraph"/>
        <w:ind w:left="360"/>
        <w:jc w:val="both"/>
        <w:rPr>
          <w:rFonts w:ascii="Arial" w:hAnsi="Arial" w:cs="Arial"/>
          <w:lang w:val="es-ES"/>
        </w:rPr>
      </w:pPr>
    </w:p>
    <w:p w14:paraId="05D263C8" w14:textId="2FAA20C5" w:rsidR="00B636E5" w:rsidRPr="00B636E5" w:rsidRDefault="00B636E5" w:rsidP="008373D5">
      <w:pPr>
        <w:pStyle w:val="ListParagraph"/>
        <w:numPr>
          <w:ilvl w:val="1"/>
          <w:numId w:val="48"/>
        </w:numPr>
        <w:ind w:left="720" w:hanging="720"/>
        <w:jc w:val="both"/>
        <w:rPr>
          <w:rFonts w:ascii="Arial" w:hAnsi="Arial" w:cs="Arial"/>
          <w:lang w:val="es-ES"/>
        </w:rPr>
      </w:pPr>
      <w:r w:rsidRPr="00B636E5">
        <w:rPr>
          <w:rFonts w:ascii="Arial" w:hAnsi="Arial" w:cs="Arial"/>
          <w:lang w:val="es-ES"/>
        </w:rPr>
        <w:t>En la medida que la operación tiene prevista una serie de actividades, cuyos principales responsables y beneficiarios son otras agencias públicas distintas al organismo ejecutor, se establecerán convenios interinstitucionales, en que se fijen los términos de cooperación incluyendo: la preparación de términos de referencia y las especificaciones técnicas de los bienes y servicios a ser contratados; su transferencia a las entidades beneficiarias; y las responsabilidades de cada uno de los agentes firmantes.</w:t>
      </w:r>
    </w:p>
    <w:bookmarkEnd w:id="12"/>
    <w:bookmarkEnd w:id="13"/>
    <w:p w14:paraId="39FF1EC4" w14:textId="77777777" w:rsidR="000C12D1" w:rsidRPr="00727955" w:rsidRDefault="000C12D1" w:rsidP="00C2120C">
      <w:pPr>
        <w:pStyle w:val="ListParagraph"/>
        <w:ind w:hanging="720"/>
        <w:jc w:val="both"/>
        <w:rPr>
          <w:rFonts w:ascii="Arial" w:hAnsi="Arial" w:cs="Arial"/>
          <w:lang w:val="es-ES_tradnl"/>
        </w:rPr>
      </w:pPr>
    </w:p>
    <w:p w14:paraId="0B4C2A36" w14:textId="0AD1AA55" w:rsidR="00951E1B" w:rsidRPr="00727955" w:rsidRDefault="009A4BB7" w:rsidP="008373D5">
      <w:pPr>
        <w:pStyle w:val="ListParagraph"/>
        <w:numPr>
          <w:ilvl w:val="1"/>
          <w:numId w:val="48"/>
        </w:numPr>
        <w:ind w:left="720" w:hanging="720"/>
        <w:jc w:val="both"/>
        <w:rPr>
          <w:rFonts w:ascii="Arial" w:hAnsi="Arial" w:cs="Arial"/>
          <w:lang w:val="es-ES_tradnl"/>
        </w:rPr>
      </w:pPr>
      <w:r w:rsidRPr="00727955">
        <w:rPr>
          <w:rFonts w:ascii="Arial" w:hAnsi="Arial" w:cs="Arial"/>
          <w:lang w:val="es-PA"/>
        </w:rPr>
        <w:t xml:space="preserve">El sistema de monitoreo del proyecto estará conformado por los siguientes instrumentos: </w:t>
      </w:r>
      <w:r w:rsidR="007F4C71" w:rsidRPr="00727955">
        <w:rPr>
          <w:rFonts w:ascii="Arial" w:hAnsi="Arial" w:cs="Arial"/>
          <w:lang w:val="es-PA"/>
        </w:rPr>
        <w:t>(</w:t>
      </w:r>
      <w:r w:rsidRPr="00727955">
        <w:rPr>
          <w:rFonts w:ascii="Arial" w:hAnsi="Arial" w:cs="Arial"/>
          <w:lang w:val="es-PA"/>
        </w:rPr>
        <w:t xml:space="preserve">i) </w:t>
      </w:r>
      <w:r w:rsidR="000C12D1" w:rsidRPr="00727955">
        <w:rPr>
          <w:rFonts w:ascii="Arial" w:hAnsi="Arial" w:cs="Arial"/>
          <w:lang w:val="es-PA"/>
        </w:rPr>
        <w:t xml:space="preserve">el </w:t>
      </w:r>
      <w:r w:rsidR="00980E8A" w:rsidRPr="00727955">
        <w:rPr>
          <w:rFonts w:ascii="Arial" w:hAnsi="Arial" w:cs="Arial"/>
          <w:lang w:val="es-PA"/>
        </w:rPr>
        <w:t xml:space="preserve">Reglamento </w:t>
      </w:r>
      <w:r w:rsidRPr="00727955">
        <w:rPr>
          <w:rFonts w:ascii="Arial" w:hAnsi="Arial" w:cs="Arial"/>
          <w:lang w:val="es-PA"/>
        </w:rPr>
        <w:t>Operativo del Pro</w:t>
      </w:r>
      <w:r w:rsidR="000C12D1" w:rsidRPr="00727955">
        <w:rPr>
          <w:rFonts w:ascii="Arial" w:hAnsi="Arial" w:cs="Arial"/>
          <w:lang w:val="es-PA"/>
        </w:rPr>
        <w:t>grama</w:t>
      </w:r>
      <w:r w:rsidRPr="00727955">
        <w:rPr>
          <w:rFonts w:ascii="Arial" w:hAnsi="Arial" w:cs="Arial"/>
          <w:lang w:val="es-PA"/>
        </w:rPr>
        <w:t xml:space="preserve"> (</w:t>
      </w:r>
      <w:r w:rsidR="00980E8A" w:rsidRPr="00727955">
        <w:rPr>
          <w:rFonts w:ascii="Arial" w:hAnsi="Arial" w:cs="Arial"/>
          <w:lang w:val="es-PA"/>
        </w:rPr>
        <w:t>R</w:t>
      </w:r>
      <w:r w:rsidRPr="00727955">
        <w:rPr>
          <w:rFonts w:ascii="Arial" w:hAnsi="Arial" w:cs="Arial"/>
          <w:lang w:val="es-PA"/>
        </w:rPr>
        <w:t xml:space="preserve">OP); </w:t>
      </w:r>
      <w:r w:rsidR="007F4C71" w:rsidRPr="00727955">
        <w:rPr>
          <w:rFonts w:ascii="Arial" w:hAnsi="Arial" w:cs="Arial"/>
          <w:lang w:val="es-PA"/>
        </w:rPr>
        <w:t>(</w:t>
      </w:r>
      <w:r w:rsidRPr="00727955">
        <w:rPr>
          <w:rFonts w:ascii="Arial" w:hAnsi="Arial" w:cs="Arial"/>
          <w:lang w:val="es-PA"/>
        </w:rPr>
        <w:t xml:space="preserve">ii) Matriz de Resultados (MdR); </w:t>
      </w:r>
      <w:r w:rsidR="007F4C71" w:rsidRPr="00727955">
        <w:rPr>
          <w:rFonts w:ascii="Arial" w:hAnsi="Arial" w:cs="Arial"/>
          <w:lang w:val="es-PA"/>
        </w:rPr>
        <w:t>(</w:t>
      </w:r>
      <w:r w:rsidRPr="00727955">
        <w:rPr>
          <w:rFonts w:ascii="Arial" w:hAnsi="Arial" w:cs="Arial"/>
          <w:lang w:val="es-PA"/>
        </w:rPr>
        <w:t xml:space="preserve">iii) Plan de Ejecución Plurianual (PEP); </w:t>
      </w:r>
      <w:r w:rsidR="007F4C71" w:rsidRPr="00727955">
        <w:rPr>
          <w:rFonts w:ascii="Arial" w:hAnsi="Arial" w:cs="Arial"/>
          <w:lang w:val="es-PA"/>
        </w:rPr>
        <w:t>(</w:t>
      </w:r>
      <w:r w:rsidRPr="00727955">
        <w:rPr>
          <w:rFonts w:ascii="Arial" w:hAnsi="Arial" w:cs="Arial"/>
          <w:lang w:val="es-PA"/>
        </w:rPr>
        <w:t xml:space="preserve">iv) Plan Operativo Anual (POA); </w:t>
      </w:r>
      <w:r w:rsidR="007F4C71" w:rsidRPr="00727955">
        <w:rPr>
          <w:rFonts w:ascii="Arial" w:hAnsi="Arial" w:cs="Arial"/>
          <w:lang w:val="es-PA"/>
        </w:rPr>
        <w:t>(</w:t>
      </w:r>
      <w:r w:rsidRPr="00727955">
        <w:rPr>
          <w:rFonts w:ascii="Arial" w:hAnsi="Arial" w:cs="Arial"/>
          <w:lang w:val="es-PA"/>
        </w:rPr>
        <w:t xml:space="preserve">v) Plan de Adquisiciones (PA); </w:t>
      </w:r>
      <w:r w:rsidR="007F4C71" w:rsidRPr="00727955">
        <w:rPr>
          <w:rFonts w:ascii="Arial" w:hAnsi="Arial" w:cs="Arial"/>
          <w:lang w:val="es-PA"/>
        </w:rPr>
        <w:t>(</w:t>
      </w:r>
      <w:r w:rsidRPr="00727955">
        <w:rPr>
          <w:rFonts w:ascii="Arial" w:hAnsi="Arial" w:cs="Arial"/>
          <w:lang w:val="es-PA"/>
        </w:rPr>
        <w:t xml:space="preserve">vi) Matrices de Riesgo y de Evaluación y Mitigación de los Riesgos del Proyecto; </w:t>
      </w:r>
      <w:r w:rsidR="007F4C71" w:rsidRPr="00727955">
        <w:rPr>
          <w:rFonts w:ascii="Arial" w:hAnsi="Arial" w:cs="Arial"/>
          <w:lang w:val="es-PA"/>
        </w:rPr>
        <w:t>(</w:t>
      </w:r>
      <w:r w:rsidRPr="00727955">
        <w:rPr>
          <w:rFonts w:ascii="Arial" w:hAnsi="Arial" w:cs="Arial"/>
          <w:lang w:val="es-PA"/>
        </w:rPr>
        <w:t xml:space="preserve">vii) Plan de Monitoreo y Evaluación (PME); </w:t>
      </w:r>
      <w:r w:rsidR="007F4C71" w:rsidRPr="00727955">
        <w:rPr>
          <w:rFonts w:ascii="Arial" w:hAnsi="Arial" w:cs="Arial"/>
          <w:lang w:val="es-PA"/>
        </w:rPr>
        <w:t>(</w:t>
      </w:r>
      <w:r w:rsidRPr="00727955">
        <w:rPr>
          <w:rFonts w:ascii="Arial" w:hAnsi="Arial" w:cs="Arial"/>
          <w:lang w:val="es-PA"/>
        </w:rPr>
        <w:t xml:space="preserve">viii) Informes Semestrales de Avance (ISA) </w:t>
      </w:r>
      <w:r w:rsidRPr="00727955">
        <w:rPr>
          <w:rFonts w:ascii="Arial" w:hAnsi="Arial" w:cs="Arial"/>
          <w:lang w:val="es-PY"/>
        </w:rPr>
        <w:t>que incluyen el avance logrado en el POA, los resultados obtenidos de la ejecución de las actividades;</w:t>
      </w:r>
      <w:r w:rsidRPr="00727955">
        <w:rPr>
          <w:rFonts w:ascii="Arial" w:hAnsi="Arial" w:cs="Arial"/>
          <w:lang w:val="es-PA"/>
        </w:rPr>
        <w:t xml:space="preserve"> </w:t>
      </w:r>
      <w:r w:rsidR="007F4C71" w:rsidRPr="00727955">
        <w:rPr>
          <w:rFonts w:ascii="Arial" w:hAnsi="Arial" w:cs="Arial"/>
          <w:lang w:val="es-PA"/>
        </w:rPr>
        <w:t>(</w:t>
      </w:r>
      <w:r w:rsidRPr="00727955">
        <w:rPr>
          <w:rFonts w:ascii="Arial" w:hAnsi="Arial" w:cs="Arial"/>
          <w:lang w:val="es-PA"/>
        </w:rPr>
        <w:t xml:space="preserve">ix) Informes de Monitoreo del Progreso (PMR); </w:t>
      </w:r>
      <w:r w:rsidR="0053498C" w:rsidRPr="00727955">
        <w:rPr>
          <w:rFonts w:ascii="Arial" w:hAnsi="Arial" w:cs="Arial"/>
          <w:lang w:val="es-PA"/>
        </w:rPr>
        <w:t xml:space="preserve">y </w:t>
      </w:r>
      <w:r w:rsidR="007F4C71" w:rsidRPr="00727955">
        <w:rPr>
          <w:rFonts w:ascii="Arial" w:hAnsi="Arial" w:cs="Arial"/>
          <w:lang w:val="es-PA"/>
        </w:rPr>
        <w:t>(</w:t>
      </w:r>
      <w:r w:rsidRPr="00727955">
        <w:rPr>
          <w:rFonts w:ascii="Arial" w:hAnsi="Arial" w:cs="Arial"/>
          <w:lang w:val="es-PA"/>
        </w:rPr>
        <w:t>x) Estados Financieros Auditados (EFA</w:t>
      </w:r>
      <w:r w:rsidR="00D67064" w:rsidRPr="00727955">
        <w:rPr>
          <w:rFonts w:ascii="Arial" w:hAnsi="Arial" w:cs="Arial"/>
          <w:lang w:val="es-PA"/>
        </w:rPr>
        <w:t>)</w:t>
      </w:r>
      <w:r w:rsidR="00637C69" w:rsidRPr="00727955">
        <w:rPr>
          <w:rFonts w:ascii="Arial" w:hAnsi="Arial" w:cs="Arial"/>
          <w:lang w:val="es-PA"/>
        </w:rPr>
        <w:t xml:space="preserve">. </w:t>
      </w:r>
    </w:p>
    <w:p w14:paraId="03FC0767" w14:textId="77777777" w:rsidR="000C12D1" w:rsidRPr="00727955" w:rsidRDefault="000C12D1" w:rsidP="00C2120C">
      <w:pPr>
        <w:pStyle w:val="ListParagraph"/>
        <w:ind w:hanging="720"/>
        <w:jc w:val="both"/>
        <w:rPr>
          <w:rFonts w:ascii="Arial" w:hAnsi="Arial" w:cs="Arial"/>
          <w:lang w:val="es-PA"/>
        </w:rPr>
      </w:pPr>
    </w:p>
    <w:p w14:paraId="76B4AD37" w14:textId="77777777" w:rsidR="009A4BB7" w:rsidRPr="00727955" w:rsidRDefault="009A4BB7" w:rsidP="008373D5">
      <w:pPr>
        <w:pStyle w:val="ListParagraph"/>
        <w:numPr>
          <w:ilvl w:val="1"/>
          <w:numId w:val="48"/>
        </w:numPr>
        <w:ind w:left="720" w:hanging="720"/>
        <w:jc w:val="both"/>
        <w:rPr>
          <w:rFonts w:ascii="Arial" w:hAnsi="Arial" w:cs="Arial"/>
          <w:lang w:val="es-PA"/>
        </w:rPr>
      </w:pPr>
      <w:r w:rsidRPr="00727955">
        <w:rPr>
          <w:rFonts w:ascii="Arial" w:hAnsi="Arial" w:cs="Arial"/>
          <w:lang w:val="es-PA"/>
        </w:rPr>
        <w:t xml:space="preserve">El monitoreo de la ejecución del proyecto se concentrará en dos niveles: (i) el cumplimiento de la ejecución de las actividades del proyecto; y (ii) el </w:t>
      </w:r>
      <w:r w:rsidR="002A3479" w:rsidRPr="00727955">
        <w:rPr>
          <w:rFonts w:ascii="Arial" w:hAnsi="Arial" w:cs="Arial"/>
          <w:lang w:val="es-PA"/>
        </w:rPr>
        <w:t xml:space="preserve">seguimiento de los </w:t>
      </w:r>
      <w:r w:rsidRPr="00727955">
        <w:rPr>
          <w:rFonts w:ascii="Arial" w:hAnsi="Arial" w:cs="Arial"/>
          <w:lang w:val="es-PA"/>
        </w:rPr>
        <w:t xml:space="preserve">indicadores de producto contenidos en la MdR. Toda la información pertinente y adecuada para lograr un entendimiento cabal de la actividad de seguimiento, se encuentra recogida en los instrumentos referidos en este apartado. </w:t>
      </w:r>
    </w:p>
    <w:p w14:paraId="0C661D08" w14:textId="77777777" w:rsidR="000C12D1" w:rsidRPr="00727955" w:rsidRDefault="000C12D1" w:rsidP="0053498C">
      <w:pPr>
        <w:pStyle w:val="ListParagraph"/>
        <w:jc w:val="both"/>
        <w:rPr>
          <w:rFonts w:ascii="Arial" w:hAnsi="Arial" w:cs="Arial"/>
          <w:lang w:val="es-PA"/>
        </w:rPr>
      </w:pPr>
    </w:p>
    <w:p w14:paraId="44746DBC" w14:textId="77777777" w:rsidR="009A4BB7" w:rsidRPr="00727955" w:rsidRDefault="009A4BB7" w:rsidP="008373D5">
      <w:pPr>
        <w:pStyle w:val="ListParagraph"/>
        <w:numPr>
          <w:ilvl w:val="1"/>
          <w:numId w:val="48"/>
        </w:numPr>
        <w:ind w:left="720" w:hanging="720"/>
        <w:jc w:val="both"/>
        <w:rPr>
          <w:rFonts w:ascii="Arial" w:hAnsi="Arial" w:cs="Arial"/>
          <w:lang w:val="es-PA"/>
        </w:rPr>
      </w:pPr>
      <w:r w:rsidRPr="00727955">
        <w:rPr>
          <w:rFonts w:ascii="Arial" w:hAnsi="Arial" w:cs="Arial"/>
          <w:lang w:val="es-PA"/>
        </w:rPr>
        <w:t>Los contenidos principales y características de cada uno de ellos se describen a continuación:</w:t>
      </w:r>
    </w:p>
    <w:p w14:paraId="41A2971E" w14:textId="3AE08E98" w:rsidR="00F63898" w:rsidRPr="00727955" w:rsidRDefault="00294DB7" w:rsidP="00542496">
      <w:pPr>
        <w:numPr>
          <w:ilvl w:val="0"/>
          <w:numId w:val="2"/>
        </w:numPr>
        <w:spacing w:before="240"/>
        <w:ind w:left="1080"/>
        <w:jc w:val="both"/>
        <w:rPr>
          <w:rFonts w:ascii="Arial" w:hAnsi="Arial" w:cs="Arial"/>
          <w:lang w:val="es-PY"/>
        </w:rPr>
      </w:pPr>
      <w:r w:rsidRPr="00727955">
        <w:rPr>
          <w:rFonts w:ascii="Arial" w:hAnsi="Arial" w:cs="Arial"/>
          <w:b/>
          <w:lang w:val="es-PA"/>
        </w:rPr>
        <w:lastRenderedPageBreak/>
        <w:t xml:space="preserve">Reglamento </w:t>
      </w:r>
      <w:r w:rsidR="009A4BB7" w:rsidRPr="00727955">
        <w:rPr>
          <w:rFonts w:ascii="Arial" w:hAnsi="Arial" w:cs="Arial"/>
          <w:b/>
          <w:lang w:val="es-PA"/>
        </w:rPr>
        <w:t>Operativo</w:t>
      </w:r>
      <w:r w:rsidR="005B18AA" w:rsidRPr="00727955">
        <w:rPr>
          <w:rFonts w:ascii="Arial" w:hAnsi="Arial" w:cs="Arial"/>
          <w:b/>
          <w:lang w:val="es-PA"/>
        </w:rPr>
        <w:t xml:space="preserve"> </w:t>
      </w:r>
      <w:r w:rsidR="009A4BB7" w:rsidRPr="00727955">
        <w:rPr>
          <w:rFonts w:ascii="Arial" w:hAnsi="Arial" w:cs="Arial"/>
          <w:b/>
          <w:lang w:val="es-PA"/>
        </w:rPr>
        <w:t>del Pro</w:t>
      </w:r>
      <w:r w:rsidR="005B18AA" w:rsidRPr="00727955">
        <w:rPr>
          <w:rFonts w:ascii="Arial" w:hAnsi="Arial" w:cs="Arial"/>
          <w:b/>
          <w:lang w:val="es-PA"/>
        </w:rPr>
        <w:t>grama</w:t>
      </w:r>
      <w:r w:rsidR="009A4BB7" w:rsidRPr="00727955">
        <w:rPr>
          <w:rFonts w:ascii="Arial" w:hAnsi="Arial" w:cs="Arial"/>
          <w:b/>
          <w:lang w:val="es-PA"/>
        </w:rPr>
        <w:t xml:space="preserve"> (</w:t>
      </w:r>
      <w:r w:rsidRPr="00727955">
        <w:rPr>
          <w:rFonts w:ascii="Arial" w:hAnsi="Arial" w:cs="Arial"/>
          <w:b/>
          <w:lang w:val="es-PA"/>
        </w:rPr>
        <w:t>R</w:t>
      </w:r>
      <w:r w:rsidR="009A4BB7" w:rsidRPr="00727955">
        <w:rPr>
          <w:rFonts w:ascii="Arial" w:hAnsi="Arial" w:cs="Arial"/>
          <w:b/>
          <w:lang w:val="es-PA"/>
        </w:rPr>
        <w:t>OP).</w:t>
      </w:r>
      <w:r w:rsidR="009A4BB7" w:rsidRPr="00727955">
        <w:rPr>
          <w:rFonts w:ascii="Arial" w:hAnsi="Arial" w:cs="Arial"/>
          <w:lang w:val="es-PA"/>
        </w:rPr>
        <w:t xml:space="preserve"> Para la ejecución del proyecto </w:t>
      </w:r>
      <w:r w:rsidR="005B18AA" w:rsidRPr="00727955">
        <w:rPr>
          <w:rFonts w:ascii="Arial" w:hAnsi="Arial" w:cs="Arial"/>
          <w:lang w:val="es-PA"/>
        </w:rPr>
        <w:t xml:space="preserve">el </w:t>
      </w:r>
      <w:r w:rsidR="009A4BB7" w:rsidRPr="00727955">
        <w:rPr>
          <w:rFonts w:ascii="Arial" w:hAnsi="Arial" w:cs="Arial"/>
          <w:lang w:val="es-PA"/>
        </w:rPr>
        <w:t xml:space="preserve">Organismo Ejecutor estará regido por un </w:t>
      </w:r>
      <w:r w:rsidRPr="00727955">
        <w:rPr>
          <w:rFonts w:ascii="Arial" w:hAnsi="Arial" w:cs="Arial"/>
          <w:lang w:val="es-PA"/>
        </w:rPr>
        <w:t>R</w:t>
      </w:r>
      <w:r w:rsidR="009A4BB7" w:rsidRPr="00727955">
        <w:rPr>
          <w:rFonts w:ascii="Arial" w:hAnsi="Arial" w:cs="Arial"/>
          <w:lang w:val="es-PA"/>
        </w:rPr>
        <w:t>OP, que establece las normas y procedimientos de ejecución para: programación de actividades, gestión técnica, gestión financiera-contable, adquisiciones, monitoreo, auditorías y evaluación del proyecto. Asimismo, incluye:</w:t>
      </w:r>
      <w:r w:rsidR="00A01772">
        <w:rPr>
          <w:rFonts w:ascii="Arial" w:hAnsi="Arial" w:cs="Arial"/>
          <w:lang w:val="es-PA"/>
        </w:rPr>
        <w:t> </w:t>
      </w:r>
      <w:r w:rsidR="00D67064" w:rsidRPr="00727955">
        <w:rPr>
          <w:rFonts w:ascii="Arial" w:hAnsi="Arial" w:cs="Arial"/>
          <w:lang w:val="es-PA"/>
        </w:rPr>
        <w:t>(</w:t>
      </w:r>
      <w:r w:rsidR="009A4BB7" w:rsidRPr="00727955">
        <w:rPr>
          <w:rFonts w:ascii="Arial" w:hAnsi="Arial" w:cs="Arial"/>
          <w:lang w:val="es-PA"/>
        </w:rPr>
        <w:t>i)</w:t>
      </w:r>
      <w:r w:rsidR="00664F06" w:rsidRPr="00727955">
        <w:rPr>
          <w:rFonts w:ascii="Arial" w:hAnsi="Arial" w:cs="Arial"/>
          <w:lang w:val="es-PA"/>
        </w:rPr>
        <w:t> </w:t>
      </w:r>
      <w:r w:rsidR="009A4BB7" w:rsidRPr="00727955">
        <w:rPr>
          <w:rFonts w:ascii="Arial" w:hAnsi="Arial" w:cs="Arial"/>
          <w:lang w:val="es-PA"/>
        </w:rPr>
        <w:t xml:space="preserve">procedimientos y responsabilidades de las instancias participantes en la ejecución del proyecto; </w:t>
      </w:r>
      <w:r w:rsidR="00D67064" w:rsidRPr="00727955">
        <w:rPr>
          <w:rFonts w:ascii="Arial" w:hAnsi="Arial" w:cs="Arial"/>
          <w:lang w:val="es-PA"/>
        </w:rPr>
        <w:t>(</w:t>
      </w:r>
      <w:r w:rsidR="009A4BB7" w:rsidRPr="00727955">
        <w:rPr>
          <w:rFonts w:ascii="Arial" w:hAnsi="Arial" w:cs="Arial"/>
          <w:lang w:val="es-PA"/>
        </w:rPr>
        <w:t>ii)</w:t>
      </w:r>
      <w:r w:rsidR="00D67064" w:rsidRPr="00727955">
        <w:rPr>
          <w:rFonts w:ascii="Arial" w:hAnsi="Arial" w:cs="Arial"/>
          <w:lang w:val="es-PA"/>
        </w:rPr>
        <w:t> </w:t>
      </w:r>
      <w:r w:rsidR="009A4BB7" w:rsidRPr="00727955">
        <w:rPr>
          <w:rFonts w:ascii="Arial" w:hAnsi="Arial" w:cs="Arial"/>
          <w:lang w:val="es-PA"/>
        </w:rPr>
        <w:t xml:space="preserve">documentación técnica de soporte preparada para las inversiones, incluyendo estudios de viabilidad económica y </w:t>
      </w:r>
      <w:r w:rsidR="005B18AA" w:rsidRPr="00727955">
        <w:rPr>
          <w:rFonts w:ascii="Arial" w:hAnsi="Arial" w:cs="Arial"/>
          <w:lang w:val="es-PA"/>
        </w:rPr>
        <w:t>socioambiental</w:t>
      </w:r>
      <w:r w:rsidR="009A4BB7" w:rsidRPr="00727955">
        <w:rPr>
          <w:rFonts w:ascii="Arial" w:hAnsi="Arial" w:cs="Arial"/>
          <w:lang w:val="es-PA"/>
        </w:rPr>
        <w:t xml:space="preserve"> y planes de gestión y operación u otros según se dispongan; </w:t>
      </w:r>
      <w:r w:rsidR="00D67064" w:rsidRPr="00727955">
        <w:rPr>
          <w:rFonts w:ascii="Arial" w:hAnsi="Arial" w:cs="Arial"/>
          <w:lang w:val="es-PA"/>
        </w:rPr>
        <w:t>(</w:t>
      </w:r>
      <w:r w:rsidR="009A4BB7" w:rsidRPr="00727955">
        <w:rPr>
          <w:rFonts w:ascii="Arial" w:hAnsi="Arial" w:cs="Arial"/>
          <w:lang w:val="es-PA"/>
        </w:rPr>
        <w:t xml:space="preserve">iii) la supervisión técnica y </w:t>
      </w:r>
      <w:r w:rsidR="005B18AA" w:rsidRPr="00727955">
        <w:rPr>
          <w:rFonts w:ascii="Arial" w:hAnsi="Arial" w:cs="Arial"/>
          <w:lang w:val="es-PA"/>
        </w:rPr>
        <w:t>socioambiental</w:t>
      </w:r>
      <w:r w:rsidR="009A4BB7" w:rsidRPr="00727955">
        <w:rPr>
          <w:rFonts w:ascii="Arial" w:hAnsi="Arial" w:cs="Arial"/>
          <w:lang w:val="es-PA"/>
        </w:rPr>
        <w:t xml:space="preserve"> de las obras; y </w:t>
      </w:r>
      <w:r w:rsidR="00D67064" w:rsidRPr="00727955">
        <w:rPr>
          <w:rFonts w:ascii="Arial" w:hAnsi="Arial" w:cs="Arial"/>
          <w:lang w:val="es-PA"/>
        </w:rPr>
        <w:t>(</w:t>
      </w:r>
      <w:r w:rsidR="009A4BB7" w:rsidRPr="00727955">
        <w:rPr>
          <w:rFonts w:ascii="Arial" w:hAnsi="Arial" w:cs="Arial"/>
          <w:lang w:val="es-PA"/>
        </w:rPr>
        <w:t>iv)</w:t>
      </w:r>
      <w:r w:rsidR="00664F06" w:rsidRPr="00727955">
        <w:rPr>
          <w:rFonts w:ascii="Arial" w:hAnsi="Arial" w:cs="Arial"/>
          <w:lang w:val="es-PA"/>
        </w:rPr>
        <w:t> </w:t>
      </w:r>
      <w:r w:rsidR="009A4BB7" w:rsidRPr="00727955">
        <w:rPr>
          <w:rFonts w:ascii="Arial" w:hAnsi="Arial" w:cs="Arial"/>
          <w:lang w:val="es-PA"/>
        </w:rPr>
        <w:t>el PGAS</w:t>
      </w:r>
      <w:r w:rsidR="009A4BB7" w:rsidRPr="00727955">
        <w:rPr>
          <w:rFonts w:ascii="Arial" w:hAnsi="Arial" w:cs="Arial"/>
          <w:b/>
          <w:lang w:val="es-PA"/>
        </w:rPr>
        <w:t xml:space="preserve">. </w:t>
      </w:r>
    </w:p>
    <w:p w14:paraId="158C413A" w14:textId="449DBEC5" w:rsidR="0053498C" w:rsidRPr="00727955" w:rsidRDefault="0053498C" w:rsidP="00542496">
      <w:pPr>
        <w:numPr>
          <w:ilvl w:val="0"/>
          <w:numId w:val="2"/>
        </w:numPr>
        <w:spacing w:before="240"/>
        <w:ind w:left="1080"/>
        <w:jc w:val="both"/>
        <w:rPr>
          <w:rFonts w:ascii="Arial" w:hAnsi="Arial" w:cs="Arial"/>
          <w:lang w:val="es-PY"/>
        </w:rPr>
      </w:pPr>
      <w:r w:rsidRPr="00727955">
        <w:rPr>
          <w:rFonts w:ascii="Arial" w:hAnsi="Arial" w:cs="Arial"/>
          <w:b/>
          <w:lang w:val="es-PA"/>
        </w:rPr>
        <w:t>Matriz de Resultados (MdR)</w:t>
      </w:r>
      <w:r w:rsidRPr="00727955">
        <w:rPr>
          <w:rFonts w:ascii="Arial" w:hAnsi="Arial" w:cs="Arial"/>
          <w:b/>
          <w:lang w:val="es-PY"/>
        </w:rPr>
        <w:t xml:space="preserve">. </w:t>
      </w:r>
      <w:r w:rsidRPr="00727955">
        <w:rPr>
          <w:rFonts w:ascii="Arial" w:hAnsi="Arial" w:cs="Arial"/>
          <w:lang w:val="es-PY"/>
        </w:rPr>
        <w:t>Se</w:t>
      </w:r>
      <w:r w:rsidRPr="00727955">
        <w:rPr>
          <w:rFonts w:ascii="Arial" w:hAnsi="Arial" w:cs="Arial"/>
          <w:lang w:val="es-PA"/>
        </w:rPr>
        <w:t xml:space="preserve"> presenta como parte </w:t>
      </w:r>
      <w:r w:rsidR="00A66D9F" w:rsidRPr="00727955">
        <w:rPr>
          <w:rFonts w:ascii="Arial" w:hAnsi="Arial" w:cs="Arial"/>
          <w:lang w:val="es-PA"/>
        </w:rPr>
        <w:t xml:space="preserve">del documento principal </w:t>
      </w:r>
      <w:r w:rsidRPr="00727955">
        <w:rPr>
          <w:rFonts w:ascii="Arial" w:hAnsi="Arial" w:cs="Arial"/>
          <w:lang w:val="es-PA"/>
        </w:rPr>
        <w:t>e incluye indicadores de productos, resultados y, en su caso, de impactos, así como sus líneas de base y metas, su frecuencia de recolección y las fuentes de información. La MdR es la herramienta que se usará para establecer si el proyecto cumplió con sus objetivos de desarrollo. Se recurrirá a la MdR en cada instancia de elaboración y actualización del PEP y del POA y de diseño, seguimiento y evaluación de un componente o subcomponente, una línea de acción o actividad específica. Los medios de verificación para la medición y seguimiento de los indicadores de productos corresponden a principalmente a documentos administrativos de la Unidad Ejecutora. Estos documentos incluyen:</w:t>
      </w:r>
      <w:r w:rsidR="00D67064" w:rsidRPr="00727955">
        <w:rPr>
          <w:rFonts w:ascii="Arial" w:hAnsi="Arial" w:cs="Arial"/>
          <w:lang w:val="es-PA"/>
        </w:rPr>
        <w:t>(</w:t>
      </w:r>
      <w:r w:rsidRPr="00727955">
        <w:rPr>
          <w:rFonts w:ascii="Arial" w:hAnsi="Arial" w:cs="Arial"/>
          <w:lang w:val="es-PA"/>
        </w:rPr>
        <w:t>i)</w:t>
      </w:r>
      <w:r w:rsidR="00A01772">
        <w:rPr>
          <w:rFonts w:ascii="Arial" w:hAnsi="Arial" w:cs="Arial"/>
          <w:lang w:val="es-PA"/>
        </w:rPr>
        <w:t> </w:t>
      </w:r>
      <w:r w:rsidRPr="00727955">
        <w:rPr>
          <w:rFonts w:ascii="Arial" w:hAnsi="Arial" w:cs="Arial"/>
          <w:lang w:val="es-PA"/>
        </w:rPr>
        <w:t xml:space="preserve">actas de certificación y verificación de obras, </w:t>
      </w:r>
      <w:r w:rsidR="00D67064" w:rsidRPr="00727955">
        <w:rPr>
          <w:rFonts w:ascii="Arial" w:hAnsi="Arial" w:cs="Arial"/>
          <w:lang w:val="es-PA"/>
        </w:rPr>
        <w:t>(</w:t>
      </w:r>
      <w:r w:rsidRPr="00727955">
        <w:rPr>
          <w:rFonts w:ascii="Arial" w:hAnsi="Arial" w:cs="Arial"/>
          <w:lang w:val="es-PA"/>
        </w:rPr>
        <w:t>ii) informes de consultoría</w:t>
      </w:r>
      <w:r w:rsidR="00D67064" w:rsidRPr="00727955">
        <w:rPr>
          <w:rFonts w:ascii="Arial" w:hAnsi="Arial" w:cs="Arial"/>
          <w:lang w:val="es-PA"/>
        </w:rPr>
        <w:t>;</w:t>
      </w:r>
      <w:r w:rsidRPr="00727955">
        <w:rPr>
          <w:rFonts w:ascii="Arial" w:hAnsi="Arial" w:cs="Arial"/>
          <w:lang w:val="es-PA"/>
        </w:rPr>
        <w:t xml:space="preserve"> </w:t>
      </w:r>
      <w:r w:rsidR="00D67064" w:rsidRPr="00727955">
        <w:rPr>
          <w:rFonts w:ascii="Arial" w:hAnsi="Arial" w:cs="Arial"/>
          <w:lang w:val="es-PA"/>
        </w:rPr>
        <w:t>(</w:t>
      </w:r>
      <w:r w:rsidRPr="00727955">
        <w:rPr>
          <w:rFonts w:ascii="Arial" w:hAnsi="Arial" w:cs="Arial"/>
          <w:lang w:val="es-PA"/>
        </w:rPr>
        <w:t>iii) documentos de programas de capacitación, disposiciones de aprobación</w:t>
      </w:r>
      <w:r w:rsidR="00D67064" w:rsidRPr="00727955">
        <w:rPr>
          <w:rFonts w:ascii="Arial" w:hAnsi="Arial" w:cs="Arial"/>
          <w:lang w:val="es-PA"/>
        </w:rPr>
        <w:t>;</w:t>
      </w:r>
      <w:r w:rsidRPr="00727955">
        <w:rPr>
          <w:rFonts w:ascii="Arial" w:hAnsi="Arial" w:cs="Arial"/>
          <w:lang w:val="es-PA"/>
        </w:rPr>
        <w:t xml:space="preserve"> </w:t>
      </w:r>
      <w:r w:rsidR="00D67064" w:rsidRPr="00727955">
        <w:rPr>
          <w:rFonts w:ascii="Arial" w:hAnsi="Arial" w:cs="Arial"/>
          <w:lang w:val="es-PA"/>
        </w:rPr>
        <w:t>(</w:t>
      </w:r>
      <w:r w:rsidRPr="00727955">
        <w:rPr>
          <w:rFonts w:ascii="Arial" w:hAnsi="Arial" w:cs="Arial"/>
          <w:lang w:val="es-PA"/>
        </w:rPr>
        <w:t>iv) reportes de operación del sistema informático</w:t>
      </w:r>
      <w:r w:rsidR="00D67064" w:rsidRPr="00727955">
        <w:rPr>
          <w:rFonts w:ascii="Arial" w:hAnsi="Arial" w:cs="Arial"/>
          <w:lang w:val="es-PA"/>
        </w:rPr>
        <w:t>;</w:t>
      </w:r>
      <w:r w:rsidRPr="00727955">
        <w:rPr>
          <w:rFonts w:ascii="Arial" w:hAnsi="Arial" w:cs="Arial"/>
          <w:lang w:val="es-PA"/>
        </w:rPr>
        <w:t xml:space="preserve"> </w:t>
      </w:r>
      <w:r w:rsidR="00D67064" w:rsidRPr="00727955">
        <w:rPr>
          <w:rFonts w:ascii="Arial" w:hAnsi="Arial" w:cs="Arial"/>
          <w:lang w:val="es-PA"/>
        </w:rPr>
        <w:t>(</w:t>
      </w:r>
      <w:r w:rsidRPr="00727955">
        <w:rPr>
          <w:rFonts w:ascii="Arial" w:hAnsi="Arial" w:cs="Arial"/>
          <w:lang w:val="es-PA"/>
        </w:rPr>
        <w:t>v)</w:t>
      </w:r>
      <w:r w:rsidR="00A01772">
        <w:rPr>
          <w:rFonts w:ascii="Arial" w:hAnsi="Arial" w:cs="Arial"/>
          <w:lang w:val="es-PA"/>
        </w:rPr>
        <w:t> </w:t>
      </w:r>
      <w:r w:rsidRPr="00727955">
        <w:rPr>
          <w:rFonts w:ascii="Arial" w:hAnsi="Arial" w:cs="Arial"/>
          <w:lang w:val="es-PA"/>
        </w:rPr>
        <w:t>informes de recepción de bienes/servicios</w:t>
      </w:r>
      <w:r w:rsidR="00D67064" w:rsidRPr="00727955">
        <w:rPr>
          <w:rFonts w:ascii="Arial" w:hAnsi="Arial" w:cs="Arial"/>
          <w:lang w:val="es-PA"/>
        </w:rPr>
        <w:t>; y</w:t>
      </w:r>
      <w:r w:rsidRPr="00727955">
        <w:rPr>
          <w:rFonts w:ascii="Arial" w:hAnsi="Arial" w:cs="Arial"/>
          <w:lang w:val="es-PA"/>
        </w:rPr>
        <w:t xml:space="preserve"> </w:t>
      </w:r>
      <w:r w:rsidR="00D67064" w:rsidRPr="00727955">
        <w:rPr>
          <w:rFonts w:ascii="Arial" w:hAnsi="Arial" w:cs="Arial"/>
          <w:lang w:val="es-PA"/>
        </w:rPr>
        <w:t>(</w:t>
      </w:r>
      <w:r w:rsidRPr="00727955">
        <w:rPr>
          <w:rFonts w:ascii="Arial" w:hAnsi="Arial" w:cs="Arial"/>
          <w:lang w:val="es-PA"/>
        </w:rPr>
        <w:t>vi)</w:t>
      </w:r>
      <w:r w:rsidR="00664F06" w:rsidRPr="00727955">
        <w:rPr>
          <w:rFonts w:ascii="Arial" w:hAnsi="Arial" w:cs="Arial"/>
          <w:lang w:val="es-PA"/>
        </w:rPr>
        <w:t> </w:t>
      </w:r>
      <w:r w:rsidRPr="00727955">
        <w:rPr>
          <w:rFonts w:ascii="Arial" w:hAnsi="Arial" w:cs="Arial"/>
          <w:lang w:val="es-PA"/>
        </w:rPr>
        <w:t>informes de ejecución varios</w:t>
      </w:r>
    </w:p>
    <w:p w14:paraId="40AF140E" w14:textId="00C9C421" w:rsidR="009029E9" w:rsidRPr="00727955" w:rsidRDefault="009A4BB7" w:rsidP="00542496">
      <w:pPr>
        <w:numPr>
          <w:ilvl w:val="0"/>
          <w:numId w:val="2"/>
        </w:numPr>
        <w:spacing w:before="240"/>
        <w:ind w:left="1080"/>
        <w:jc w:val="both"/>
        <w:rPr>
          <w:rFonts w:ascii="Arial" w:hAnsi="Arial" w:cs="Arial"/>
          <w:lang w:val="es-PY"/>
        </w:rPr>
      </w:pPr>
      <w:r w:rsidRPr="00727955">
        <w:rPr>
          <w:rFonts w:ascii="Arial" w:hAnsi="Arial" w:cs="Arial"/>
          <w:b/>
          <w:lang w:val="es-PA"/>
        </w:rPr>
        <w:t>Plan de Ejecución Plurianual (PEP)</w:t>
      </w:r>
      <w:r w:rsidRPr="00B65D4B">
        <w:rPr>
          <w:rFonts w:ascii="Arial" w:hAnsi="Arial" w:cs="Arial"/>
          <w:b/>
          <w:bCs/>
          <w:lang w:val="es-PA"/>
        </w:rPr>
        <w:t>.</w:t>
      </w:r>
      <w:r w:rsidRPr="00727955">
        <w:rPr>
          <w:rFonts w:ascii="Arial" w:hAnsi="Arial" w:cs="Arial"/>
          <w:lang w:val="es-PY"/>
        </w:rPr>
        <w:t xml:space="preserve"> Es un instrumento de planificación multianual a nivel de componentes, subcomponentes (cuando aplica), productos, paquetes de trabajo (cuando aplica) y actividades, que debe identificar estimación de costos, un cronograma de ejecución (física y financiera) y sus responsables. El PEP inicial se prepara en la fase de diseño del proyecto y como</w:t>
      </w:r>
      <w:r w:rsidR="002741A8" w:rsidRPr="00727955">
        <w:rPr>
          <w:rFonts w:ascii="Arial" w:hAnsi="Arial" w:cs="Arial"/>
          <w:lang w:val="es-PY"/>
        </w:rPr>
        <w:t xml:space="preserve"> enlace al documento principal</w:t>
      </w:r>
      <w:r w:rsidRPr="00727955">
        <w:rPr>
          <w:rFonts w:ascii="Arial" w:hAnsi="Arial" w:cs="Arial"/>
          <w:lang w:val="es-PY"/>
        </w:rPr>
        <w:t>. En la fase de elegibilidad</w:t>
      </w:r>
      <w:r w:rsidR="00DC3BB5" w:rsidRPr="00727955">
        <w:rPr>
          <w:rFonts w:ascii="Arial" w:hAnsi="Arial" w:cs="Arial"/>
          <w:lang w:val="es-PY"/>
        </w:rPr>
        <w:t>,</w:t>
      </w:r>
      <w:r w:rsidRPr="00727955">
        <w:rPr>
          <w:rFonts w:ascii="Arial" w:hAnsi="Arial" w:cs="Arial"/>
          <w:lang w:val="es-PY"/>
        </w:rPr>
        <w:t xml:space="preserve"> luego de la aprobación del contrato de préstamo respectivo</w:t>
      </w:r>
      <w:r w:rsidR="00DC3BB5" w:rsidRPr="00727955">
        <w:rPr>
          <w:rFonts w:ascii="Arial" w:hAnsi="Arial" w:cs="Arial"/>
          <w:lang w:val="es-PY"/>
        </w:rPr>
        <w:t>,</w:t>
      </w:r>
      <w:r w:rsidRPr="00727955">
        <w:rPr>
          <w:rFonts w:ascii="Arial" w:hAnsi="Arial" w:cs="Arial"/>
          <w:lang w:val="es-PY"/>
        </w:rPr>
        <w:t xml:space="preserve"> se actualiza y genera el PEP Final, que se presenta al Banco como primer informe del Proyecto, cuya información se actualiza en el PMR de los sistemas del BID.</w:t>
      </w:r>
    </w:p>
    <w:p w14:paraId="17A12997" w14:textId="5E142D6D" w:rsidR="00BD7189" w:rsidRPr="00727955" w:rsidRDefault="009A4BB7" w:rsidP="00542496">
      <w:pPr>
        <w:spacing w:before="240"/>
        <w:ind w:left="1080"/>
        <w:jc w:val="both"/>
        <w:rPr>
          <w:rFonts w:ascii="Arial" w:hAnsi="Arial" w:cs="Arial"/>
          <w:lang w:val="es-PY"/>
        </w:rPr>
      </w:pPr>
      <w:r w:rsidRPr="00727955">
        <w:rPr>
          <w:rFonts w:ascii="Arial" w:hAnsi="Arial" w:cs="Arial"/>
          <w:lang w:val="es-PY"/>
        </w:rPr>
        <w:t xml:space="preserve">El PEP se nutre </w:t>
      </w:r>
      <w:r w:rsidR="00D97094" w:rsidRPr="00727955">
        <w:rPr>
          <w:rFonts w:ascii="Arial" w:hAnsi="Arial" w:cs="Arial"/>
          <w:lang w:val="es-PY"/>
        </w:rPr>
        <w:t>del documento</w:t>
      </w:r>
      <w:r w:rsidR="002B4D24" w:rsidRPr="00727955">
        <w:rPr>
          <w:rFonts w:ascii="Arial" w:hAnsi="Arial" w:cs="Arial"/>
          <w:lang w:val="es-PY"/>
        </w:rPr>
        <w:t xml:space="preserve"> principal</w:t>
      </w:r>
      <w:r w:rsidR="00D97094" w:rsidRPr="00727955">
        <w:rPr>
          <w:rFonts w:ascii="Arial" w:hAnsi="Arial" w:cs="Arial"/>
          <w:lang w:val="es-PY"/>
        </w:rPr>
        <w:t>,</w:t>
      </w:r>
      <w:r w:rsidRPr="00727955">
        <w:rPr>
          <w:rFonts w:ascii="Arial" w:hAnsi="Arial" w:cs="Arial"/>
          <w:lang w:val="es-PY"/>
        </w:rPr>
        <w:t xml:space="preserve"> de su matriz de resultados y del perfil de riesgos; cubre todo el período de ejecución del proyecto a nivel de macro actividades y responsables. El PEP es una herramienta de planificación y tiene coherencia en términos de temporalidad con el cumplimiento de los objetivos de la matriz de resultados, debiendo nutrir a las partes de los elementos analíticos que aseguren que los plazos de ejecución programados son realistas y pueden ser sustentados. Cada PEP enumera las contrataciones y las actividades que se van a realizar durante </w:t>
      </w:r>
      <w:r w:rsidRPr="00727955">
        <w:rPr>
          <w:rFonts w:ascii="Arial" w:hAnsi="Arial" w:cs="Arial"/>
          <w:lang w:val="es-PY"/>
        </w:rPr>
        <w:lastRenderedPageBreak/>
        <w:t xml:space="preserve">toda la operación, y especifica los montos y los tiempos de los que se dispone para cada uno de los productos y actividades del proyecto. En la medida que los proyectos se vean afectados por factores externos que pongan en riesgo el logro de los objetivos, resultados e indicadores, </w:t>
      </w:r>
      <w:r w:rsidR="00DC3BB5" w:rsidRPr="00727955">
        <w:rPr>
          <w:rFonts w:ascii="Arial" w:hAnsi="Arial" w:cs="Arial"/>
          <w:lang w:val="es-PY"/>
        </w:rPr>
        <w:t>el</w:t>
      </w:r>
      <w:r w:rsidRPr="00727955">
        <w:rPr>
          <w:rFonts w:ascii="Arial" w:hAnsi="Arial" w:cs="Arial"/>
          <w:lang w:val="es-PY"/>
        </w:rPr>
        <w:t xml:space="preserve"> PEP podrá ser modificado, con el debido registro documentado de las razones de los cambios. Cualquier cambio en el PEP que altere la ruta crítica deberá contar con la “no objeción” previa del Banco.</w:t>
      </w:r>
      <w:r w:rsidR="000C1820" w:rsidRPr="00727955">
        <w:rPr>
          <w:rFonts w:ascii="Arial" w:hAnsi="Arial" w:cs="Arial"/>
          <w:lang w:val="es-PY"/>
        </w:rPr>
        <w:t xml:space="preserve"> </w:t>
      </w:r>
      <w:r w:rsidR="00637C69" w:rsidRPr="00727955">
        <w:rPr>
          <w:rFonts w:ascii="Arial" w:hAnsi="Arial" w:cs="Arial"/>
          <w:lang w:val="es-PY"/>
        </w:rPr>
        <w:t>El PEP deberá ser presentado al Banco junto con el POA para cada año de ejecución.</w:t>
      </w:r>
    </w:p>
    <w:p w14:paraId="1CC54ACB" w14:textId="77777777" w:rsidR="001E29CA" w:rsidRPr="00727955" w:rsidRDefault="009A4BB7" w:rsidP="00542496">
      <w:pPr>
        <w:pStyle w:val="ListParagraph"/>
        <w:numPr>
          <w:ilvl w:val="0"/>
          <w:numId w:val="2"/>
        </w:numPr>
        <w:ind w:left="1080"/>
        <w:jc w:val="both"/>
        <w:rPr>
          <w:rFonts w:ascii="Arial" w:hAnsi="Arial" w:cs="Arial"/>
          <w:lang w:val="es-PY"/>
        </w:rPr>
      </w:pPr>
      <w:r w:rsidRPr="00727955">
        <w:rPr>
          <w:rFonts w:ascii="Arial" w:hAnsi="Arial" w:cs="Arial"/>
          <w:b/>
          <w:lang w:val="es-PA"/>
        </w:rPr>
        <w:t>Plan Operativo Anual (POA)</w:t>
      </w:r>
      <w:r w:rsidRPr="004A1D9B">
        <w:rPr>
          <w:rFonts w:ascii="Arial" w:hAnsi="Arial" w:cs="Arial"/>
          <w:b/>
          <w:bCs/>
          <w:lang w:val="es-PA"/>
        </w:rPr>
        <w:t>.</w:t>
      </w:r>
      <w:r w:rsidRPr="00727955">
        <w:rPr>
          <w:rFonts w:ascii="Arial" w:hAnsi="Arial" w:cs="Arial"/>
          <w:lang w:val="es-PA"/>
        </w:rPr>
        <w:t xml:space="preserve"> El POA es una herramienta de planificación a nivel de actividades, que permite dar seguimiento a la ejecución; se desprende del PEP y establece con detalle la ejecución del proyecto para el año fiscal que se esté planificando; es un instrumento dinámico y abarca todos los aspectos de la ejecución. El POA contiene un cronograma de ejecución de actividades relacionadas fundamentalmente con el alcance de los componentes, subcomponentes y productos del proyecto, la planificación de la gestión de adquisiciones de bienes y servicios (determinante de los tiempos), la planificación de las necesidades de recursos financieros (directamente resultante de la secuencia de adquisiciones que permite anticipar el nivel de desembolsos y “</w:t>
      </w:r>
      <w:r w:rsidRPr="00727955">
        <w:rPr>
          <w:rFonts w:ascii="Arial" w:hAnsi="Arial" w:cs="Arial"/>
          <w:i/>
          <w:lang w:val="es-PA"/>
        </w:rPr>
        <w:t>cash flow</w:t>
      </w:r>
      <w:r w:rsidRPr="00727955">
        <w:rPr>
          <w:rFonts w:ascii="Arial" w:hAnsi="Arial" w:cs="Arial"/>
          <w:lang w:val="es-PA"/>
        </w:rPr>
        <w:t>” requerido, así como el cumplimiento de las salvaguardias ambientales y sociales, la ejecución de las acciones de mitigación de riesgos, las actividades de gestión del proyecto y el monitoreo y evaluación del mismo. Cualquier cambio en el POA que altere la ruta crítica deberá contar con la “no objeción” previa del Banco. Este instrumento se constituye en el insumo principal para la formulac</w:t>
      </w:r>
      <w:r w:rsidR="006A360D" w:rsidRPr="00727955">
        <w:rPr>
          <w:rFonts w:ascii="Arial" w:hAnsi="Arial" w:cs="Arial"/>
          <w:lang w:val="es-PA"/>
        </w:rPr>
        <w:t xml:space="preserve">ión del presupuesto del proyecto </w:t>
      </w:r>
      <w:r w:rsidRPr="00727955">
        <w:rPr>
          <w:rFonts w:ascii="Arial" w:hAnsi="Arial" w:cs="Arial"/>
          <w:lang w:val="es-PA"/>
        </w:rPr>
        <w:t>de cada año.</w:t>
      </w:r>
      <w:r w:rsidR="000C1820" w:rsidRPr="00727955">
        <w:rPr>
          <w:rFonts w:ascii="Arial" w:hAnsi="Arial" w:cs="Arial"/>
          <w:lang w:val="es-PA"/>
        </w:rPr>
        <w:t xml:space="preserve"> </w:t>
      </w:r>
      <w:r w:rsidR="00DC3BB5" w:rsidRPr="00727955">
        <w:rPr>
          <w:rFonts w:ascii="Arial" w:hAnsi="Arial" w:cs="Arial"/>
          <w:lang w:val="es-PA"/>
        </w:rPr>
        <w:t>El</w:t>
      </w:r>
      <w:r w:rsidR="00637C69" w:rsidRPr="00727955">
        <w:rPr>
          <w:rFonts w:ascii="Arial" w:hAnsi="Arial" w:cs="Arial"/>
          <w:lang w:val="es-PA"/>
        </w:rPr>
        <w:t xml:space="preserve"> POA, correspondiente al siguiente año de ejecución del programa</w:t>
      </w:r>
      <w:r w:rsidR="006C510C" w:rsidRPr="00727955">
        <w:rPr>
          <w:rFonts w:ascii="Arial" w:hAnsi="Arial" w:cs="Arial"/>
          <w:lang w:val="es-PA"/>
        </w:rPr>
        <w:t xml:space="preserve"> y</w:t>
      </w:r>
      <w:r w:rsidR="00637C69" w:rsidRPr="00727955">
        <w:rPr>
          <w:rFonts w:ascii="Arial" w:hAnsi="Arial" w:cs="Arial"/>
          <w:lang w:val="es-PA"/>
        </w:rPr>
        <w:t xml:space="preserve"> deben presentar</w:t>
      </w:r>
      <w:r w:rsidR="009018BA" w:rsidRPr="00727955">
        <w:rPr>
          <w:rFonts w:ascii="Arial" w:hAnsi="Arial" w:cs="Arial"/>
          <w:lang w:val="es-PA"/>
        </w:rPr>
        <w:t>se</w:t>
      </w:r>
      <w:r w:rsidR="00637C69" w:rsidRPr="00727955">
        <w:rPr>
          <w:rFonts w:ascii="Arial" w:hAnsi="Arial" w:cs="Arial"/>
          <w:lang w:val="es-PA"/>
        </w:rPr>
        <w:t xml:space="preserve"> al Banco en el </w:t>
      </w:r>
      <w:r w:rsidR="009018BA" w:rsidRPr="00727955">
        <w:rPr>
          <w:rFonts w:ascii="Arial" w:hAnsi="Arial" w:cs="Arial"/>
          <w:lang w:val="es-PA"/>
        </w:rPr>
        <w:t>último trimestre del año en curso.</w:t>
      </w:r>
    </w:p>
    <w:p w14:paraId="57D3056B" w14:textId="147A8B1A" w:rsidR="006A360D" w:rsidRPr="00727955" w:rsidRDefault="009A4BB7" w:rsidP="00542496">
      <w:pPr>
        <w:numPr>
          <w:ilvl w:val="0"/>
          <w:numId w:val="2"/>
        </w:numPr>
        <w:spacing w:before="240"/>
        <w:ind w:left="1080"/>
        <w:jc w:val="both"/>
        <w:rPr>
          <w:rFonts w:ascii="Arial" w:hAnsi="Arial" w:cs="Arial"/>
          <w:lang w:val="es-PA"/>
        </w:rPr>
      </w:pPr>
      <w:r w:rsidRPr="00727955">
        <w:rPr>
          <w:rFonts w:ascii="Arial" w:hAnsi="Arial" w:cs="Arial"/>
          <w:b/>
          <w:lang w:val="es-PA"/>
        </w:rPr>
        <w:t>Plan de Adquisiciones (PA).</w:t>
      </w:r>
      <w:r w:rsidRPr="00727955">
        <w:rPr>
          <w:rFonts w:ascii="Arial" w:hAnsi="Arial" w:cs="Arial"/>
          <w:lang w:val="es-PA"/>
        </w:rPr>
        <w:t xml:space="preserve"> El Plan de Adquisiciones es el documento que resume todos los acuerdos celebrados con el Banco durante la gestión de la operación de Préstamo, respecto a la adquisición de los bienes, obras, servicios de consultoría y servicios diferentes de consultoría necesarios para la ejecución de los Proyectos financiados por el BID y asegurar el logro de sus objetivos. En este documento se establecen las estrategias, secuencias y mecanismos de gestión de adquisiciones y administración de contrataciones por parte del </w:t>
      </w:r>
      <w:r w:rsidR="00B667E7" w:rsidRPr="00727955">
        <w:rPr>
          <w:rFonts w:ascii="Arial" w:hAnsi="Arial" w:cs="Arial"/>
          <w:lang w:val="es-PA"/>
        </w:rPr>
        <w:t>e</w:t>
      </w:r>
      <w:r w:rsidRPr="00727955">
        <w:rPr>
          <w:rFonts w:ascii="Arial" w:hAnsi="Arial" w:cs="Arial"/>
          <w:lang w:val="es-PA"/>
        </w:rPr>
        <w:t>jecutor y de supervisión de esos procesos por el BID durante, como mín</w:t>
      </w:r>
      <w:r w:rsidR="006A360D" w:rsidRPr="00727955">
        <w:rPr>
          <w:rFonts w:ascii="Arial" w:hAnsi="Arial" w:cs="Arial"/>
          <w:lang w:val="es-PA"/>
        </w:rPr>
        <w:t xml:space="preserve">imo, los siguientes </w:t>
      </w:r>
      <w:r w:rsidR="00B667E7" w:rsidRPr="00727955">
        <w:rPr>
          <w:rFonts w:ascii="Arial" w:hAnsi="Arial" w:cs="Arial"/>
          <w:lang w:val="es-PA"/>
        </w:rPr>
        <w:t>12</w:t>
      </w:r>
      <w:r w:rsidRPr="00727955">
        <w:rPr>
          <w:rFonts w:ascii="Arial" w:hAnsi="Arial" w:cs="Arial"/>
          <w:lang w:val="es-PA"/>
        </w:rPr>
        <w:t xml:space="preserve"> meses de ejecución del Proyecto. </w:t>
      </w:r>
      <w:r w:rsidR="00D97094" w:rsidRPr="00727955">
        <w:rPr>
          <w:rFonts w:ascii="Arial" w:hAnsi="Arial" w:cs="Arial"/>
          <w:lang w:val="es-PA"/>
        </w:rPr>
        <w:t xml:space="preserve">El MEF enviará al Banco el PA consolidado de </w:t>
      </w:r>
      <w:r w:rsidR="00B636E5">
        <w:rPr>
          <w:rFonts w:ascii="Arial" w:hAnsi="Arial" w:cs="Arial"/>
          <w:lang w:val="es-PA"/>
        </w:rPr>
        <w:t xml:space="preserve">las tres </w:t>
      </w:r>
      <w:r w:rsidR="00D97094" w:rsidRPr="00727955">
        <w:rPr>
          <w:rFonts w:ascii="Arial" w:hAnsi="Arial" w:cs="Arial"/>
          <w:lang w:val="es-PA"/>
        </w:rPr>
        <w:t>instituciones (MEF</w:t>
      </w:r>
      <w:r w:rsidR="00B636E5">
        <w:rPr>
          <w:rFonts w:ascii="Arial" w:hAnsi="Arial" w:cs="Arial"/>
          <w:lang w:val="es-PA"/>
        </w:rPr>
        <w:t>, VPR, y SGP</w:t>
      </w:r>
      <w:r w:rsidR="00D97094" w:rsidRPr="00727955">
        <w:rPr>
          <w:rFonts w:ascii="Arial" w:hAnsi="Arial" w:cs="Arial"/>
          <w:lang w:val="es-PA"/>
        </w:rPr>
        <w:t xml:space="preserve">), sin embargo, la </w:t>
      </w:r>
      <w:r w:rsidR="00B636E5">
        <w:rPr>
          <w:rFonts w:ascii="Arial" w:hAnsi="Arial" w:cs="Arial"/>
          <w:lang w:val="es-PA"/>
        </w:rPr>
        <w:t>VPR y la SGP</w:t>
      </w:r>
      <w:r w:rsidR="00D97094" w:rsidRPr="00727955">
        <w:rPr>
          <w:rFonts w:ascii="Arial" w:hAnsi="Arial" w:cs="Arial"/>
          <w:lang w:val="es-PA"/>
        </w:rPr>
        <w:t xml:space="preserve"> como OSE enviará</w:t>
      </w:r>
      <w:r w:rsidR="00B636E5">
        <w:rPr>
          <w:rFonts w:ascii="Arial" w:hAnsi="Arial" w:cs="Arial"/>
          <w:lang w:val="es-PA"/>
        </w:rPr>
        <w:t>n</w:t>
      </w:r>
      <w:r w:rsidR="00D97094" w:rsidRPr="00727955">
        <w:rPr>
          <w:rFonts w:ascii="Arial" w:hAnsi="Arial" w:cs="Arial"/>
          <w:lang w:val="es-PA"/>
        </w:rPr>
        <w:t xml:space="preserve"> directamente al Banco su</w:t>
      </w:r>
      <w:r w:rsidR="00B636E5">
        <w:rPr>
          <w:rFonts w:ascii="Arial" w:hAnsi="Arial" w:cs="Arial"/>
          <w:lang w:val="es-PA"/>
        </w:rPr>
        <w:t>s</w:t>
      </w:r>
      <w:r w:rsidR="00D97094" w:rsidRPr="00727955">
        <w:rPr>
          <w:rFonts w:ascii="Arial" w:hAnsi="Arial" w:cs="Arial"/>
          <w:lang w:val="es-PA"/>
        </w:rPr>
        <w:t xml:space="preserve"> PA para su conocimiento y aprobación.</w:t>
      </w:r>
    </w:p>
    <w:p w14:paraId="5583B223" w14:textId="5682D7B2" w:rsidR="009A4BB7" w:rsidRPr="00727955" w:rsidRDefault="009A4BB7" w:rsidP="00542496">
      <w:pPr>
        <w:spacing w:before="240"/>
        <w:ind w:left="1080"/>
        <w:jc w:val="both"/>
        <w:rPr>
          <w:rFonts w:ascii="Arial" w:hAnsi="Arial" w:cs="Arial"/>
          <w:lang w:val="es-PA"/>
        </w:rPr>
      </w:pPr>
      <w:r w:rsidRPr="00727955">
        <w:rPr>
          <w:rFonts w:ascii="Arial" w:hAnsi="Arial" w:cs="Arial"/>
          <w:lang w:val="es-PA"/>
        </w:rPr>
        <w:t xml:space="preserve">Los PA se elaboran con base al formato proveído por el Banco que debe contener mínimamente: </w:t>
      </w:r>
      <w:r w:rsidR="00B667E7" w:rsidRPr="00727955">
        <w:rPr>
          <w:rFonts w:ascii="Arial" w:hAnsi="Arial" w:cs="Arial"/>
          <w:lang w:val="es-PA"/>
        </w:rPr>
        <w:t>(</w:t>
      </w:r>
      <w:r w:rsidRPr="00727955">
        <w:rPr>
          <w:rFonts w:ascii="Arial" w:hAnsi="Arial" w:cs="Arial"/>
          <w:lang w:val="es-PA"/>
        </w:rPr>
        <w:t xml:space="preserve">a) las obras, bienes, servicios de consultoría y de no consultoría; </w:t>
      </w:r>
      <w:r w:rsidR="00B667E7" w:rsidRPr="00727955">
        <w:rPr>
          <w:rFonts w:ascii="Arial" w:hAnsi="Arial" w:cs="Arial"/>
          <w:lang w:val="es-PA"/>
        </w:rPr>
        <w:t>(</w:t>
      </w:r>
      <w:r w:rsidRPr="00727955">
        <w:rPr>
          <w:rFonts w:ascii="Arial" w:hAnsi="Arial" w:cs="Arial"/>
          <w:lang w:val="es-PA"/>
        </w:rPr>
        <w:t xml:space="preserve">b) los métodos propuestos para las contrataciones; y </w:t>
      </w:r>
      <w:r w:rsidR="00B667E7" w:rsidRPr="00727955">
        <w:rPr>
          <w:rFonts w:ascii="Arial" w:hAnsi="Arial" w:cs="Arial"/>
          <w:lang w:val="es-PA"/>
        </w:rPr>
        <w:t>(</w:t>
      </w:r>
      <w:r w:rsidRPr="00727955">
        <w:rPr>
          <w:rFonts w:ascii="Arial" w:hAnsi="Arial" w:cs="Arial"/>
          <w:lang w:val="es-PA"/>
        </w:rPr>
        <w:t>c)</w:t>
      </w:r>
      <w:r w:rsidR="00B667E7" w:rsidRPr="00727955">
        <w:rPr>
          <w:rFonts w:ascii="Arial" w:hAnsi="Arial" w:cs="Arial"/>
          <w:lang w:val="es-PA"/>
        </w:rPr>
        <w:t> </w:t>
      </w:r>
      <w:r w:rsidRPr="00727955">
        <w:rPr>
          <w:rFonts w:ascii="Arial" w:hAnsi="Arial" w:cs="Arial"/>
          <w:lang w:val="es-PA"/>
        </w:rPr>
        <w:t xml:space="preserve">los procedimientos aplicados por el Banco para la supervisión de los </w:t>
      </w:r>
      <w:r w:rsidRPr="00727955">
        <w:rPr>
          <w:rFonts w:ascii="Arial" w:hAnsi="Arial" w:cs="Arial"/>
          <w:lang w:val="es-PA"/>
        </w:rPr>
        <w:lastRenderedPageBreak/>
        <w:t>procesos de adquisiciones (ex</w:t>
      </w:r>
      <w:r w:rsidR="0051332C">
        <w:rPr>
          <w:rFonts w:ascii="Arial" w:hAnsi="Arial" w:cs="Arial"/>
          <w:lang w:val="es-PA"/>
        </w:rPr>
        <w:t xml:space="preserve"> </w:t>
      </w:r>
      <w:r w:rsidRPr="00727955">
        <w:rPr>
          <w:rFonts w:ascii="Arial" w:hAnsi="Arial" w:cs="Arial"/>
          <w:lang w:val="es-PA"/>
        </w:rPr>
        <w:t>post o ex</w:t>
      </w:r>
      <w:r w:rsidR="0051332C">
        <w:rPr>
          <w:rFonts w:ascii="Arial" w:hAnsi="Arial" w:cs="Arial"/>
          <w:lang w:val="es-PA"/>
        </w:rPr>
        <w:t xml:space="preserve"> </w:t>
      </w:r>
      <w:r w:rsidRPr="00727955">
        <w:rPr>
          <w:rFonts w:ascii="Arial" w:hAnsi="Arial" w:cs="Arial"/>
          <w:lang w:val="es-PA"/>
        </w:rPr>
        <w:t xml:space="preserve">ante). </w:t>
      </w:r>
      <w:r w:rsidR="006A360D" w:rsidRPr="00727955">
        <w:rPr>
          <w:rFonts w:ascii="Arial" w:hAnsi="Arial" w:cs="Arial"/>
          <w:lang w:val="es-PA"/>
        </w:rPr>
        <w:t>El PA se presenta anualmente junto con el POA respectivo.</w:t>
      </w:r>
    </w:p>
    <w:p w14:paraId="3855C181" w14:textId="77777777" w:rsidR="009A4BB7" w:rsidRPr="00727955" w:rsidRDefault="009A4BB7" w:rsidP="00542496">
      <w:pPr>
        <w:numPr>
          <w:ilvl w:val="0"/>
          <w:numId w:val="2"/>
        </w:numPr>
        <w:spacing w:before="240"/>
        <w:ind w:left="1080"/>
        <w:jc w:val="both"/>
        <w:rPr>
          <w:rFonts w:ascii="Arial" w:hAnsi="Arial" w:cs="Arial"/>
          <w:lang w:val="es-PA"/>
        </w:rPr>
      </w:pPr>
      <w:r w:rsidRPr="00727955">
        <w:rPr>
          <w:rFonts w:ascii="Arial" w:hAnsi="Arial" w:cs="Arial"/>
          <w:b/>
          <w:lang w:val="es-PA"/>
        </w:rPr>
        <w:t>Matrices de Gestión de Riesgos del Proyecto (MGR).</w:t>
      </w:r>
      <w:r w:rsidRPr="00727955">
        <w:rPr>
          <w:rFonts w:ascii="Arial" w:hAnsi="Arial" w:cs="Arial"/>
          <w:lang w:val="es-PA"/>
        </w:rPr>
        <w:t xml:space="preserve"> Las Matrices de Gestión de Riesgos (RRF, MER y MMR) constituyen la herramienta metodológica donde se documenta la evaluación y en la que se establece un orden de prioridades sobre los tipos de riesgos específicos afrontados por el proyecto. La Matriz es un inventario de los riesgos, haciendo la descripción de cada uno de estos que incluye: </w:t>
      </w:r>
      <w:r w:rsidR="000D586E" w:rsidRPr="00727955">
        <w:rPr>
          <w:rFonts w:ascii="Arial" w:hAnsi="Arial" w:cs="Arial"/>
          <w:lang w:val="es-PA"/>
        </w:rPr>
        <w:t>(</w:t>
      </w:r>
      <w:r w:rsidRPr="00727955">
        <w:rPr>
          <w:rFonts w:ascii="Arial" w:hAnsi="Arial" w:cs="Arial"/>
          <w:lang w:val="es-PA"/>
        </w:rPr>
        <w:t xml:space="preserve">a) la calificación de la severidad; </w:t>
      </w:r>
      <w:r w:rsidR="000D586E" w:rsidRPr="00727955">
        <w:rPr>
          <w:rFonts w:ascii="Arial" w:hAnsi="Arial" w:cs="Arial"/>
          <w:lang w:val="es-PA"/>
        </w:rPr>
        <w:t>(</w:t>
      </w:r>
      <w:r w:rsidRPr="00727955">
        <w:rPr>
          <w:rFonts w:ascii="Arial" w:hAnsi="Arial" w:cs="Arial"/>
          <w:lang w:val="es-PA"/>
        </w:rPr>
        <w:t>b) acciones de miti</w:t>
      </w:r>
      <w:r w:rsidR="006A360D" w:rsidRPr="00727955">
        <w:rPr>
          <w:rFonts w:ascii="Arial" w:hAnsi="Arial" w:cs="Arial"/>
          <w:lang w:val="es-PA"/>
        </w:rPr>
        <w:t>gación para los riesgos altos y medios</w:t>
      </w:r>
      <w:r w:rsidRPr="00727955">
        <w:rPr>
          <w:rFonts w:ascii="Arial" w:hAnsi="Arial" w:cs="Arial"/>
          <w:lang w:val="es-PA"/>
        </w:rPr>
        <w:t xml:space="preserve">; </w:t>
      </w:r>
      <w:r w:rsidR="000D586E" w:rsidRPr="00727955">
        <w:rPr>
          <w:rFonts w:ascii="Arial" w:hAnsi="Arial" w:cs="Arial"/>
          <w:lang w:val="es-PA"/>
        </w:rPr>
        <w:t>(</w:t>
      </w:r>
      <w:r w:rsidRPr="00727955">
        <w:rPr>
          <w:rFonts w:ascii="Arial" w:hAnsi="Arial" w:cs="Arial"/>
          <w:lang w:val="es-PA"/>
        </w:rPr>
        <w:t>c)</w:t>
      </w:r>
      <w:r w:rsidR="000D586E" w:rsidRPr="00727955">
        <w:rPr>
          <w:rFonts w:ascii="Arial" w:hAnsi="Arial" w:cs="Arial"/>
          <w:lang w:val="es-PA"/>
        </w:rPr>
        <w:t> </w:t>
      </w:r>
      <w:r w:rsidRPr="00727955">
        <w:rPr>
          <w:rFonts w:ascii="Arial" w:hAnsi="Arial" w:cs="Arial"/>
          <w:lang w:val="es-PA"/>
        </w:rPr>
        <w:t xml:space="preserve">responsables por llevarlas a cabo y controlarlas; </w:t>
      </w:r>
      <w:r w:rsidR="000D586E" w:rsidRPr="00727955">
        <w:rPr>
          <w:rFonts w:ascii="Arial" w:hAnsi="Arial" w:cs="Arial"/>
          <w:lang w:val="es-PA"/>
        </w:rPr>
        <w:t>(</w:t>
      </w:r>
      <w:r w:rsidRPr="00727955">
        <w:rPr>
          <w:rFonts w:ascii="Arial" w:hAnsi="Arial" w:cs="Arial"/>
          <w:lang w:val="es-PA"/>
        </w:rPr>
        <w:t xml:space="preserve">d) indicadores de resultado; y </w:t>
      </w:r>
      <w:r w:rsidR="000D586E" w:rsidRPr="00727955">
        <w:rPr>
          <w:rFonts w:ascii="Arial" w:hAnsi="Arial" w:cs="Arial"/>
          <w:lang w:val="es-PA"/>
        </w:rPr>
        <w:t>(</w:t>
      </w:r>
      <w:r w:rsidRPr="00727955">
        <w:rPr>
          <w:rFonts w:ascii="Arial" w:hAnsi="Arial" w:cs="Arial"/>
          <w:lang w:val="es-PA"/>
        </w:rPr>
        <w:t xml:space="preserve">e) documentación de respaldo. Se definen medidas de mitigación para los riesgos considerados altos y medios, sus respectivos indicadores de seguimiento y, cuando sea el caso, el presupuesto para las actividades de mitigación, las cuales deberán estar incluidas en los POA. </w:t>
      </w:r>
      <w:r w:rsidR="00DB0144" w:rsidRPr="00727955">
        <w:rPr>
          <w:rFonts w:ascii="Arial" w:hAnsi="Arial" w:cs="Arial"/>
          <w:lang w:val="es-PA"/>
        </w:rPr>
        <w:t xml:space="preserve">Se dará seguimiento trimestral a los riesgos previstos en estas matrices y se presentará en cada Informe de Avance los resultados de este seguimiento. </w:t>
      </w:r>
    </w:p>
    <w:p w14:paraId="4CED5511" w14:textId="5B085658" w:rsidR="00DB1EFE" w:rsidRPr="00727955" w:rsidRDefault="0053498C" w:rsidP="00542496">
      <w:pPr>
        <w:numPr>
          <w:ilvl w:val="0"/>
          <w:numId w:val="2"/>
        </w:numPr>
        <w:spacing w:before="240"/>
        <w:ind w:left="1080"/>
        <w:jc w:val="both"/>
        <w:rPr>
          <w:rFonts w:ascii="Arial" w:hAnsi="Arial" w:cs="Arial"/>
          <w:lang w:val="es-PA"/>
        </w:rPr>
      </w:pPr>
      <w:r w:rsidRPr="00727955">
        <w:rPr>
          <w:rFonts w:ascii="Arial" w:hAnsi="Arial" w:cs="Arial"/>
          <w:b/>
          <w:lang w:val="es-PA"/>
        </w:rPr>
        <w:t>Plan de Monitoreo y Evaluación</w:t>
      </w:r>
      <w:r w:rsidR="00DB1EFE" w:rsidRPr="00727955">
        <w:rPr>
          <w:rFonts w:ascii="Arial" w:hAnsi="Arial" w:cs="Arial"/>
          <w:lang w:val="es-PA"/>
        </w:rPr>
        <w:t xml:space="preserve"> </w:t>
      </w:r>
      <w:r w:rsidR="008A1A6F" w:rsidRPr="004A1D9B">
        <w:rPr>
          <w:rFonts w:ascii="Arial" w:hAnsi="Arial" w:cs="Arial"/>
          <w:b/>
          <w:bCs/>
          <w:lang w:val="es-ES_tradnl"/>
        </w:rPr>
        <w:t>(PME</w:t>
      </w:r>
      <w:r w:rsidR="00B65D4B">
        <w:rPr>
          <w:rFonts w:ascii="Arial" w:hAnsi="Arial" w:cs="Arial"/>
          <w:b/>
          <w:bCs/>
          <w:lang w:val="es-ES_tradnl"/>
        </w:rPr>
        <w:t>)</w:t>
      </w:r>
      <w:r w:rsidR="004A1D9B">
        <w:rPr>
          <w:rFonts w:ascii="Arial" w:hAnsi="Arial" w:cs="Arial"/>
          <w:b/>
          <w:bCs/>
          <w:lang w:val="es-ES_tradnl"/>
        </w:rPr>
        <w:t>.</w:t>
      </w:r>
      <w:r w:rsidR="008A1A6F" w:rsidRPr="00727955">
        <w:rPr>
          <w:rFonts w:ascii="Arial" w:hAnsi="Arial" w:cs="Arial"/>
          <w:lang w:val="es-ES_tradnl"/>
        </w:rPr>
        <w:t xml:space="preserve"> Detalla los arreglos de seguimiento y evaluación, que incorporan sistemas y metodologías múltiples para poder cumplir con los objetivos del mismo, además de acompañar la medición de los resultados e impactos esperados</w:t>
      </w:r>
    </w:p>
    <w:p w14:paraId="47E559E6" w14:textId="56E19E5A" w:rsidR="009A4BB7" w:rsidRPr="00727955" w:rsidRDefault="009A4BB7" w:rsidP="00542496">
      <w:pPr>
        <w:numPr>
          <w:ilvl w:val="0"/>
          <w:numId w:val="2"/>
        </w:numPr>
        <w:spacing w:before="240"/>
        <w:ind w:left="1080"/>
        <w:jc w:val="both"/>
        <w:rPr>
          <w:rFonts w:ascii="Arial" w:hAnsi="Arial" w:cs="Arial"/>
          <w:lang w:val="es-PA"/>
        </w:rPr>
      </w:pPr>
      <w:r w:rsidRPr="00727955">
        <w:rPr>
          <w:rFonts w:ascii="Arial" w:hAnsi="Arial" w:cs="Arial"/>
          <w:b/>
          <w:lang w:val="es-PA"/>
        </w:rPr>
        <w:t xml:space="preserve">Informes Semestrales de Avance (ISA). </w:t>
      </w:r>
      <w:r w:rsidRPr="00727955">
        <w:rPr>
          <w:rFonts w:ascii="Arial" w:hAnsi="Arial" w:cs="Arial"/>
          <w:lang w:val="es-PA"/>
        </w:rPr>
        <w:t xml:space="preserve">Estos informes tienen como objetivo presentar al BID los resultados alcanzados en la ejecución del POA y del PA, relacionados a los procesos de ejecución y autorización de desembolsos. El </w:t>
      </w:r>
      <w:r w:rsidR="00FD7E0C" w:rsidRPr="00727955">
        <w:rPr>
          <w:rFonts w:ascii="Arial" w:hAnsi="Arial" w:cs="Arial"/>
          <w:lang w:val="es-PA"/>
        </w:rPr>
        <w:t>i</w:t>
      </w:r>
      <w:r w:rsidRPr="00727955">
        <w:rPr>
          <w:rFonts w:ascii="Arial" w:hAnsi="Arial" w:cs="Arial"/>
          <w:lang w:val="es-PA"/>
        </w:rPr>
        <w:t xml:space="preserve">nforme de </w:t>
      </w:r>
      <w:r w:rsidR="00FD7E0C" w:rsidRPr="00727955">
        <w:rPr>
          <w:rFonts w:ascii="Arial" w:hAnsi="Arial" w:cs="Arial"/>
          <w:lang w:val="es-PA"/>
        </w:rPr>
        <w:t>a</w:t>
      </w:r>
      <w:r w:rsidRPr="00727955">
        <w:rPr>
          <w:rFonts w:ascii="Arial" w:hAnsi="Arial" w:cs="Arial"/>
          <w:lang w:val="es-PA"/>
        </w:rPr>
        <w:t>vance correspondiente a la segunda mitad del año calendario deberá presentar un resumen de los resultados alcanzados por componentes (parciales y totales, cuando sea el caso),</w:t>
      </w:r>
      <w:r w:rsidR="0043611B" w:rsidRPr="00727955">
        <w:rPr>
          <w:rFonts w:ascii="Arial" w:hAnsi="Arial" w:cs="Arial"/>
          <w:lang w:val="es-PA"/>
        </w:rPr>
        <w:t xml:space="preserve"> durante todo el año,</w:t>
      </w:r>
      <w:r w:rsidRPr="00727955">
        <w:rPr>
          <w:rFonts w:ascii="Arial" w:hAnsi="Arial" w:cs="Arial"/>
          <w:lang w:val="es-PA"/>
        </w:rPr>
        <w:t xml:space="preserve"> analizando también el grado de impacto o no impacto de los riesgos. Debe presentar también una visión consolidada de las dificultades y lecciones aprendidas, así como las conclusiones y recomendaciones destinadas a retroalimentar el proyecto. Los ISA son la fuente de información principal para alimentar el reporte de avance en el PMR.</w:t>
      </w:r>
      <w:r w:rsidR="00B636E5">
        <w:rPr>
          <w:rFonts w:ascii="Arial" w:hAnsi="Arial" w:cs="Arial"/>
          <w:lang w:val="es-PA"/>
        </w:rPr>
        <w:t xml:space="preserve"> El MEF como OE será el responsable de consolidar los informes de avance de la VPR y de la SGP, enviando al Banco un solo Informe Semestral con la información del programa como un todo.</w:t>
      </w:r>
    </w:p>
    <w:p w14:paraId="44B69589" w14:textId="77777777" w:rsidR="009A4BB7" w:rsidRPr="00727955" w:rsidRDefault="009A4BB7" w:rsidP="00542496">
      <w:pPr>
        <w:numPr>
          <w:ilvl w:val="0"/>
          <w:numId w:val="2"/>
        </w:numPr>
        <w:spacing w:before="240"/>
        <w:ind w:left="1080"/>
        <w:jc w:val="both"/>
        <w:rPr>
          <w:rFonts w:ascii="Arial" w:hAnsi="Arial" w:cs="Arial"/>
          <w:b/>
          <w:lang w:val="es-PA"/>
        </w:rPr>
      </w:pPr>
      <w:r w:rsidRPr="00727955">
        <w:rPr>
          <w:rFonts w:ascii="Arial" w:hAnsi="Arial" w:cs="Arial"/>
          <w:b/>
          <w:lang w:val="es-PA"/>
        </w:rPr>
        <w:t>Informe de Monitoreo del Progreso (PMR).</w:t>
      </w:r>
      <w:r w:rsidRPr="00727955">
        <w:rPr>
          <w:rFonts w:ascii="Arial" w:hAnsi="Arial" w:cs="Arial"/>
          <w:lang w:val="es-PA"/>
        </w:rPr>
        <w:t xml:space="preserve"> Recoge la estimación temporal de los desembolsos y </w:t>
      </w:r>
      <w:r w:rsidR="00B07E27" w:rsidRPr="00727955">
        <w:rPr>
          <w:rFonts w:ascii="Arial" w:hAnsi="Arial" w:cs="Arial"/>
          <w:lang w:val="es-PA"/>
        </w:rPr>
        <w:t>el</w:t>
      </w:r>
      <w:r w:rsidRPr="00727955">
        <w:rPr>
          <w:rFonts w:ascii="Arial" w:hAnsi="Arial" w:cs="Arial"/>
          <w:lang w:val="es-PA"/>
        </w:rPr>
        <w:t xml:space="preserve"> cumplimiento de las metas</w:t>
      </w:r>
      <w:r w:rsidR="00DC3BB5" w:rsidRPr="00727955">
        <w:rPr>
          <w:rFonts w:ascii="Arial" w:hAnsi="Arial" w:cs="Arial"/>
          <w:lang w:val="es-PA"/>
        </w:rPr>
        <w:t xml:space="preserve">, físicas y </w:t>
      </w:r>
      <w:r w:rsidR="00A678C9" w:rsidRPr="00727955">
        <w:rPr>
          <w:rFonts w:ascii="Arial" w:hAnsi="Arial" w:cs="Arial"/>
          <w:lang w:val="es-PA"/>
        </w:rPr>
        <w:t>financieras</w:t>
      </w:r>
      <w:r w:rsidR="00DC3BB5" w:rsidRPr="00727955">
        <w:rPr>
          <w:rFonts w:ascii="Arial" w:hAnsi="Arial" w:cs="Arial"/>
          <w:lang w:val="es-PA"/>
        </w:rPr>
        <w:t>,</w:t>
      </w:r>
      <w:r w:rsidRPr="00727955">
        <w:rPr>
          <w:rFonts w:ascii="Arial" w:hAnsi="Arial" w:cs="Arial"/>
          <w:lang w:val="es-PA"/>
        </w:rPr>
        <w:t xml:space="preserve"> </w:t>
      </w:r>
      <w:r w:rsidR="00A71EBB" w:rsidRPr="00727955">
        <w:rPr>
          <w:rFonts w:ascii="Arial" w:hAnsi="Arial" w:cs="Arial"/>
          <w:lang w:val="es-PA"/>
        </w:rPr>
        <w:t>correspondientes</w:t>
      </w:r>
      <w:r w:rsidR="00B07E27" w:rsidRPr="00727955">
        <w:rPr>
          <w:rFonts w:ascii="Arial" w:hAnsi="Arial" w:cs="Arial"/>
          <w:lang w:val="es-PA"/>
        </w:rPr>
        <w:t xml:space="preserve"> a los productos del proyecto. E</w:t>
      </w:r>
      <w:r w:rsidRPr="00727955">
        <w:rPr>
          <w:rFonts w:ascii="Arial" w:hAnsi="Arial" w:cs="Arial"/>
          <w:lang w:val="es-PA"/>
        </w:rPr>
        <w:t xml:space="preserve">s un mecanismo para </w:t>
      </w:r>
      <w:r w:rsidR="00B07E27" w:rsidRPr="00727955">
        <w:rPr>
          <w:rFonts w:ascii="Arial" w:hAnsi="Arial" w:cs="Arial"/>
          <w:lang w:val="es-PA"/>
        </w:rPr>
        <w:t xml:space="preserve">monitorear </w:t>
      </w:r>
      <w:r w:rsidRPr="00727955">
        <w:rPr>
          <w:rFonts w:ascii="Arial" w:hAnsi="Arial" w:cs="Arial"/>
          <w:lang w:val="es-PA"/>
        </w:rPr>
        <w:t>el desempeño del Proyecto e indispensable para preparar el Informe de Terminación de Proyecto (PCR).</w:t>
      </w:r>
      <w:r w:rsidR="00B07E27" w:rsidRPr="00727955">
        <w:rPr>
          <w:rFonts w:ascii="Arial" w:hAnsi="Arial" w:cs="Arial"/>
          <w:lang w:val="es-PA"/>
        </w:rPr>
        <w:t xml:space="preserve"> El PMR se completa cada seis meses de la </w:t>
      </w:r>
      <w:r w:rsidR="00547CD7" w:rsidRPr="00727955">
        <w:rPr>
          <w:rFonts w:ascii="Arial" w:hAnsi="Arial" w:cs="Arial"/>
          <w:lang w:val="es-PA"/>
        </w:rPr>
        <w:t>ejecución</w:t>
      </w:r>
      <w:r w:rsidR="00B07E27" w:rsidRPr="00727955">
        <w:rPr>
          <w:rFonts w:ascii="Arial" w:hAnsi="Arial" w:cs="Arial"/>
          <w:lang w:val="es-PA"/>
        </w:rPr>
        <w:t xml:space="preserve"> del Programa. </w:t>
      </w:r>
    </w:p>
    <w:p w14:paraId="2B937F77" w14:textId="77777777" w:rsidR="00316581" w:rsidRPr="00727955" w:rsidRDefault="001B6FC4" w:rsidP="00542496">
      <w:pPr>
        <w:spacing w:before="240"/>
        <w:ind w:left="1080" w:hanging="720"/>
        <w:jc w:val="both"/>
        <w:rPr>
          <w:rFonts w:ascii="Arial" w:hAnsi="Arial" w:cs="Arial"/>
          <w:b/>
          <w:lang w:val="es-PA"/>
        </w:rPr>
      </w:pPr>
      <w:r w:rsidRPr="00727955">
        <w:rPr>
          <w:rFonts w:ascii="Arial" w:hAnsi="Arial" w:cs="Arial"/>
          <w:lang w:val="es-PA"/>
        </w:rPr>
        <w:t>i</w:t>
      </w:r>
      <w:r w:rsidR="00BD7189" w:rsidRPr="00727955">
        <w:rPr>
          <w:rFonts w:ascii="Arial" w:hAnsi="Arial" w:cs="Arial"/>
          <w:lang w:val="es-PA"/>
        </w:rPr>
        <w:t>x</w:t>
      </w:r>
      <w:r w:rsidRPr="00727955">
        <w:rPr>
          <w:rFonts w:ascii="Arial" w:hAnsi="Arial" w:cs="Arial"/>
          <w:lang w:val="es-PA"/>
        </w:rPr>
        <w:t>.</w:t>
      </w:r>
      <w:r w:rsidR="00BD7189" w:rsidRPr="00727955">
        <w:rPr>
          <w:rFonts w:ascii="Arial" w:hAnsi="Arial" w:cs="Arial"/>
          <w:lang w:val="es-PA"/>
        </w:rPr>
        <w:t xml:space="preserve"> </w:t>
      </w:r>
      <w:r w:rsidRPr="00727955">
        <w:rPr>
          <w:rFonts w:ascii="Arial" w:hAnsi="Arial" w:cs="Arial"/>
          <w:b/>
          <w:lang w:val="es-PA"/>
        </w:rPr>
        <w:tab/>
      </w:r>
      <w:r w:rsidR="009A4BB7" w:rsidRPr="00727955">
        <w:rPr>
          <w:rFonts w:ascii="Arial" w:hAnsi="Arial" w:cs="Arial"/>
          <w:b/>
          <w:lang w:val="es-PA"/>
        </w:rPr>
        <w:t xml:space="preserve">Estados Financieros Auditados (EFA). </w:t>
      </w:r>
      <w:r w:rsidR="00DC3BB5" w:rsidRPr="00727955">
        <w:rPr>
          <w:rFonts w:ascii="Arial" w:hAnsi="Arial" w:cs="Arial"/>
          <w:lang w:val="es-PA"/>
        </w:rPr>
        <w:t>El</w:t>
      </w:r>
      <w:r w:rsidR="009A4BB7" w:rsidRPr="00727955">
        <w:rPr>
          <w:rFonts w:ascii="Arial" w:hAnsi="Arial" w:cs="Arial"/>
          <w:lang w:val="es-PA"/>
        </w:rPr>
        <w:t xml:space="preserve"> Organismo Ejecutor presentará al Banco, dentro del plazo de 120 días siguientes al cierre de </w:t>
      </w:r>
      <w:r w:rsidR="009A4BB7" w:rsidRPr="00727955">
        <w:rPr>
          <w:rFonts w:ascii="Arial" w:hAnsi="Arial" w:cs="Arial"/>
          <w:lang w:val="es-PA"/>
        </w:rPr>
        <w:lastRenderedPageBreak/>
        <w:t>cada ejercicio económico y durante el plazo para desembolsos del financiamiento, los EFA del proyecto debidamente dictaminados por firmas de auditoría independientes aceptables al Banco</w:t>
      </w:r>
      <w:r w:rsidR="00DC3BB5" w:rsidRPr="00727955">
        <w:rPr>
          <w:rFonts w:ascii="Arial" w:hAnsi="Arial" w:cs="Arial"/>
          <w:lang w:val="es-PA"/>
        </w:rPr>
        <w:t>, contratada por</w:t>
      </w:r>
      <w:r w:rsidR="009A4BB7" w:rsidRPr="00727955">
        <w:rPr>
          <w:rFonts w:ascii="Arial" w:hAnsi="Arial" w:cs="Arial"/>
          <w:lang w:val="es-PA"/>
        </w:rPr>
        <w:t xml:space="preserve"> </w:t>
      </w:r>
      <w:r w:rsidR="00DC3BB5" w:rsidRPr="00727955">
        <w:rPr>
          <w:rFonts w:ascii="Arial" w:hAnsi="Arial" w:cs="Arial"/>
          <w:lang w:val="es-PA"/>
        </w:rPr>
        <w:t>el</w:t>
      </w:r>
      <w:r w:rsidR="009A4BB7" w:rsidRPr="00727955">
        <w:rPr>
          <w:rFonts w:ascii="Arial" w:hAnsi="Arial" w:cs="Arial"/>
          <w:lang w:val="es-PA"/>
        </w:rPr>
        <w:t xml:space="preserve"> OE. El último de estos informes será presentado dentro de los 120 días siguientes a la fecha estipulada para el último desembolso del financiamiento. Durante el plazo para desembolsos del financiamiento, dentro de los sesenta (60) días siguientes a la fecha del vencimiento de cada semestre,</w:t>
      </w:r>
      <w:r w:rsidR="0053498C" w:rsidRPr="00727955">
        <w:rPr>
          <w:rFonts w:ascii="Arial" w:hAnsi="Arial" w:cs="Arial"/>
          <w:lang w:val="es-PA"/>
        </w:rPr>
        <w:t xml:space="preserve"> el OE</w:t>
      </w:r>
      <w:r w:rsidR="009A4BB7" w:rsidRPr="00727955">
        <w:rPr>
          <w:rFonts w:ascii="Arial" w:hAnsi="Arial" w:cs="Arial"/>
          <w:lang w:val="es-PA"/>
        </w:rPr>
        <w:t xml:space="preserve"> deberá presentar al Banco informes financieros no auditados sobre las actividades financiadas en el semestre anterior para los componentes del proyecto.</w:t>
      </w:r>
    </w:p>
    <w:p w14:paraId="548DB1C6" w14:textId="30204035" w:rsidR="00A152E6" w:rsidRPr="00727955" w:rsidRDefault="00A152E6" w:rsidP="008373D5">
      <w:pPr>
        <w:pStyle w:val="ListParagraph"/>
        <w:numPr>
          <w:ilvl w:val="1"/>
          <w:numId w:val="48"/>
        </w:numPr>
        <w:ind w:left="720" w:hanging="720"/>
        <w:jc w:val="both"/>
        <w:rPr>
          <w:rFonts w:ascii="Arial" w:hAnsi="Arial" w:cs="Arial"/>
          <w:lang w:val="es-PA"/>
        </w:rPr>
      </w:pPr>
      <w:r w:rsidRPr="00727955">
        <w:rPr>
          <w:rFonts w:ascii="Arial" w:hAnsi="Arial" w:cs="Arial"/>
          <w:b/>
          <w:lang w:val="es-PA"/>
        </w:rPr>
        <w:t>Recopilación de datos e instrumentos</w:t>
      </w:r>
      <w:r w:rsidR="004A1D9B">
        <w:rPr>
          <w:rFonts w:ascii="Arial" w:hAnsi="Arial" w:cs="Arial"/>
          <w:b/>
          <w:lang w:val="es-PA"/>
        </w:rPr>
        <w:t>.</w:t>
      </w:r>
      <w:r w:rsidRPr="00727955">
        <w:rPr>
          <w:rFonts w:ascii="Arial" w:hAnsi="Arial" w:cs="Arial"/>
          <w:lang w:val="es-PA"/>
        </w:rPr>
        <w:t xml:space="preserve"> </w:t>
      </w:r>
      <w:r w:rsidR="00A6689D" w:rsidRPr="00727955">
        <w:rPr>
          <w:rFonts w:ascii="Arial" w:hAnsi="Arial" w:cs="Arial"/>
          <w:lang w:val="es-PA"/>
        </w:rPr>
        <w:t>el</w:t>
      </w:r>
      <w:r w:rsidRPr="00727955">
        <w:rPr>
          <w:rFonts w:ascii="Arial" w:hAnsi="Arial" w:cs="Arial"/>
          <w:lang w:val="es-PA"/>
        </w:rPr>
        <w:t xml:space="preserve"> Especialista en Planificación y Monitoreo (EPM) de</w:t>
      </w:r>
      <w:r w:rsidR="00D97094" w:rsidRPr="00727955">
        <w:rPr>
          <w:rFonts w:ascii="Arial" w:hAnsi="Arial" w:cs="Arial"/>
          <w:lang w:val="es-PA"/>
        </w:rPr>
        <w:t xml:space="preserve">l EDG del OE, en coordinación con </w:t>
      </w:r>
      <w:r w:rsidR="00B636E5">
        <w:rPr>
          <w:rFonts w:ascii="Arial" w:hAnsi="Arial" w:cs="Arial"/>
          <w:lang w:val="es-PA"/>
        </w:rPr>
        <w:t>los</w:t>
      </w:r>
      <w:r w:rsidR="00D97094" w:rsidRPr="00727955">
        <w:rPr>
          <w:rFonts w:ascii="Arial" w:hAnsi="Arial" w:cs="Arial"/>
          <w:lang w:val="es-PA"/>
        </w:rPr>
        <w:t xml:space="preserve"> OSE,</w:t>
      </w:r>
      <w:r w:rsidRPr="00727955">
        <w:rPr>
          <w:rFonts w:ascii="Arial" w:hAnsi="Arial" w:cs="Arial"/>
          <w:lang w:val="es-PA"/>
        </w:rPr>
        <w:t xml:space="preserve"> preparará </w:t>
      </w:r>
      <w:r w:rsidR="00A6689D" w:rsidRPr="00727955">
        <w:rPr>
          <w:rFonts w:ascii="Arial" w:hAnsi="Arial" w:cs="Arial"/>
          <w:lang w:val="es-PA"/>
        </w:rPr>
        <w:t xml:space="preserve">un </w:t>
      </w:r>
      <w:r w:rsidRPr="00727955">
        <w:rPr>
          <w:rFonts w:ascii="Arial" w:hAnsi="Arial" w:cs="Arial"/>
          <w:lang w:val="es-PA"/>
        </w:rPr>
        <w:t xml:space="preserve">Plan de Seguimiento en </w:t>
      </w:r>
      <w:r w:rsidR="00A6689D" w:rsidRPr="00727955">
        <w:rPr>
          <w:rFonts w:ascii="Arial" w:hAnsi="Arial" w:cs="Arial"/>
          <w:lang w:val="es-PA"/>
        </w:rPr>
        <w:t>el</w:t>
      </w:r>
      <w:r w:rsidRPr="00727955">
        <w:rPr>
          <w:rFonts w:ascii="Arial" w:hAnsi="Arial" w:cs="Arial"/>
          <w:lang w:val="es-PA"/>
        </w:rPr>
        <w:t xml:space="preserve"> que se detallará las fuentes de información, datos, indicadores, estadísticas y metodología a ser utilizada para la supervisión de cada una de las actividades del proyecto. </w:t>
      </w:r>
      <w:r w:rsidR="00316581" w:rsidRPr="00727955">
        <w:rPr>
          <w:rFonts w:ascii="Arial" w:hAnsi="Arial" w:cs="Arial"/>
          <w:lang w:val="es-PA"/>
        </w:rPr>
        <w:t>Asimismo,</w:t>
      </w:r>
      <w:r w:rsidR="008F7983" w:rsidRPr="00727955">
        <w:rPr>
          <w:rFonts w:ascii="Arial" w:hAnsi="Arial" w:cs="Arial"/>
          <w:lang w:val="es-PA"/>
        </w:rPr>
        <w:t xml:space="preserve"> será</w:t>
      </w:r>
      <w:r w:rsidR="00A6689D" w:rsidRPr="00727955">
        <w:rPr>
          <w:rFonts w:ascii="Arial" w:hAnsi="Arial" w:cs="Arial"/>
          <w:lang w:val="es-PA"/>
        </w:rPr>
        <w:t xml:space="preserve"> el</w:t>
      </w:r>
      <w:r w:rsidR="008F7983" w:rsidRPr="00727955">
        <w:rPr>
          <w:rFonts w:ascii="Arial" w:hAnsi="Arial" w:cs="Arial"/>
          <w:lang w:val="es-PA"/>
        </w:rPr>
        <w:t xml:space="preserve"> responsable de preparar los informes semestrales de avance a ser revisados y aprobados por el Coordinador </w:t>
      </w:r>
      <w:r w:rsidR="00A30F02" w:rsidRPr="00727955">
        <w:rPr>
          <w:rFonts w:ascii="Arial" w:hAnsi="Arial" w:cs="Arial"/>
          <w:lang w:val="es-PA"/>
        </w:rPr>
        <w:t>de</w:t>
      </w:r>
      <w:r w:rsidR="00D97094" w:rsidRPr="00727955">
        <w:rPr>
          <w:rFonts w:ascii="Arial" w:hAnsi="Arial" w:cs="Arial"/>
          <w:lang w:val="es-PA"/>
        </w:rPr>
        <w:t>l EDG del OE</w:t>
      </w:r>
      <w:r w:rsidR="008F7983" w:rsidRPr="00727955">
        <w:rPr>
          <w:rFonts w:ascii="Arial" w:hAnsi="Arial" w:cs="Arial"/>
          <w:lang w:val="es-PA"/>
        </w:rPr>
        <w:t>, antes de su revisión por parte del Banco.</w:t>
      </w:r>
    </w:p>
    <w:p w14:paraId="5AE9E5F3" w14:textId="77777777" w:rsidR="00A6689D" w:rsidRPr="00727955" w:rsidRDefault="00A6689D" w:rsidP="00C2120C">
      <w:pPr>
        <w:pStyle w:val="ListParagraph"/>
        <w:ind w:hanging="720"/>
        <w:jc w:val="both"/>
        <w:rPr>
          <w:rFonts w:ascii="Arial" w:hAnsi="Arial" w:cs="Arial"/>
          <w:lang w:val="es-PA"/>
        </w:rPr>
      </w:pPr>
    </w:p>
    <w:p w14:paraId="5A278021" w14:textId="5D362D36" w:rsidR="00BD7189" w:rsidRPr="00727955" w:rsidRDefault="00A152E6" w:rsidP="008373D5">
      <w:pPr>
        <w:pStyle w:val="ListParagraph"/>
        <w:numPr>
          <w:ilvl w:val="1"/>
          <w:numId w:val="48"/>
        </w:numPr>
        <w:ind w:left="720" w:hanging="720"/>
        <w:jc w:val="both"/>
        <w:rPr>
          <w:rFonts w:ascii="Arial" w:hAnsi="Arial" w:cs="Arial"/>
          <w:lang w:val="es-PA"/>
        </w:rPr>
      </w:pPr>
      <w:r w:rsidRPr="00727955">
        <w:rPr>
          <w:rFonts w:ascii="Arial" w:hAnsi="Arial" w:cs="Arial"/>
          <w:b/>
          <w:lang w:val="es-PA"/>
        </w:rPr>
        <w:t>Responsabilidades</w:t>
      </w:r>
      <w:r w:rsidR="004A1D9B">
        <w:rPr>
          <w:rFonts w:ascii="Arial" w:hAnsi="Arial" w:cs="Arial"/>
          <w:b/>
          <w:lang w:val="es-PA"/>
        </w:rPr>
        <w:t>.</w:t>
      </w:r>
      <w:r w:rsidRPr="00727955">
        <w:rPr>
          <w:rFonts w:ascii="Arial" w:hAnsi="Arial" w:cs="Arial"/>
          <w:lang w:val="es-PA"/>
        </w:rPr>
        <w:t xml:space="preserve"> </w:t>
      </w:r>
      <w:r w:rsidR="00A6689D" w:rsidRPr="00727955">
        <w:rPr>
          <w:rFonts w:ascii="Arial" w:hAnsi="Arial" w:cs="Arial"/>
          <w:lang w:val="es-PA"/>
        </w:rPr>
        <w:t>El</w:t>
      </w:r>
      <w:r w:rsidRPr="00727955">
        <w:rPr>
          <w:rFonts w:ascii="Arial" w:hAnsi="Arial" w:cs="Arial"/>
          <w:lang w:val="es-PA"/>
        </w:rPr>
        <w:t xml:space="preserve"> EPM, con el apoyo de</w:t>
      </w:r>
      <w:r w:rsidR="00A6689D" w:rsidRPr="00727955">
        <w:rPr>
          <w:rFonts w:ascii="Arial" w:hAnsi="Arial" w:cs="Arial"/>
          <w:lang w:val="es-PA"/>
        </w:rPr>
        <w:t>l</w:t>
      </w:r>
      <w:r w:rsidRPr="00727955">
        <w:rPr>
          <w:rFonts w:ascii="Arial" w:hAnsi="Arial" w:cs="Arial"/>
          <w:lang w:val="es-PA"/>
        </w:rPr>
        <w:t xml:space="preserve"> OE, asegurará de que los instrumentos y datos necesarios para efectuar el seguimiento están disponibles y actualizados permanentemente para </w:t>
      </w:r>
      <w:r w:rsidR="00A6689D" w:rsidRPr="00727955">
        <w:rPr>
          <w:rFonts w:ascii="Arial" w:hAnsi="Arial" w:cs="Arial"/>
          <w:lang w:val="es-PA"/>
        </w:rPr>
        <w:t>el</w:t>
      </w:r>
      <w:r w:rsidRPr="00727955">
        <w:rPr>
          <w:rFonts w:ascii="Arial" w:hAnsi="Arial" w:cs="Arial"/>
          <w:lang w:val="es-PA"/>
        </w:rPr>
        <w:t xml:space="preserve"> Coordina</w:t>
      </w:r>
      <w:r w:rsidR="00A6689D" w:rsidRPr="00727955">
        <w:rPr>
          <w:rFonts w:ascii="Arial" w:hAnsi="Arial" w:cs="Arial"/>
          <w:lang w:val="es-PA"/>
        </w:rPr>
        <w:t>dor</w:t>
      </w:r>
      <w:r w:rsidRPr="00727955">
        <w:rPr>
          <w:rFonts w:ascii="Arial" w:hAnsi="Arial" w:cs="Arial"/>
          <w:lang w:val="es-PA"/>
        </w:rPr>
        <w:t xml:space="preserve"> del Proyecto </w:t>
      </w:r>
      <w:r w:rsidR="00A6689D" w:rsidRPr="00727955">
        <w:rPr>
          <w:rFonts w:ascii="Arial" w:hAnsi="Arial" w:cs="Arial"/>
          <w:lang w:val="es-PA"/>
        </w:rPr>
        <w:t>y de la alta administración de</w:t>
      </w:r>
      <w:r w:rsidR="00D97094" w:rsidRPr="00727955">
        <w:rPr>
          <w:rFonts w:ascii="Arial" w:hAnsi="Arial" w:cs="Arial"/>
          <w:lang w:val="es-PA"/>
        </w:rPr>
        <w:t>l MEF</w:t>
      </w:r>
      <w:r w:rsidR="007A58A9">
        <w:rPr>
          <w:rFonts w:ascii="Arial" w:hAnsi="Arial" w:cs="Arial"/>
          <w:lang w:val="es-PA"/>
        </w:rPr>
        <w:t>, de la VPR y de la SGP.</w:t>
      </w:r>
      <w:r w:rsidRPr="00727955">
        <w:rPr>
          <w:rFonts w:ascii="Arial" w:hAnsi="Arial" w:cs="Arial"/>
          <w:lang w:val="es-PA"/>
        </w:rPr>
        <w:t xml:space="preserve"> en aras de que el seguimiento se pueda realizar sin contratiempos</w:t>
      </w:r>
      <w:r w:rsidR="00F174F6" w:rsidRPr="00727955">
        <w:rPr>
          <w:rFonts w:ascii="Arial" w:hAnsi="Arial" w:cs="Arial"/>
          <w:lang w:val="es-PA"/>
        </w:rPr>
        <w:t>.</w:t>
      </w:r>
      <w:r w:rsidRPr="00727955">
        <w:rPr>
          <w:rFonts w:ascii="Arial" w:hAnsi="Arial" w:cs="Arial"/>
          <w:lang w:val="es-PA"/>
        </w:rPr>
        <w:t xml:space="preserve"> </w:t>
      </w:r>
      <w:r w:rsidR="00F174F6" w:rsidRPr="00727955">
        <w:rPr>
          <w:rFonts w:ascii="Arial" w:hAnsi="Arial" w:cs="Arial"/>
          <w:lang w:val="es-PA"/>
        </w:rPr>
        <w:t>A</w:t>
      </w:r>
      <w:r w:rsidRPr="00727955">
        <w:rPr>
          <w:rFonts w:ascii="Arial" w:hAnsi="Arial" w:cs="Arial"/>
          <w:lang w:val="es-PA"/>
        </w:rPr>
        <w:t>simismo, será responsable de reunir la información necesaria y elaborar borradores de informes con base a la información proveída por cada miembro responsable de área de</w:t>
      </w:r>
      <w:r w:rsidR="00D97094" w:rsidRPr="00727955">
        <w:rPr>
          <w:rFonts w:ascii="Arial" w:hAnsi="Arial" w:cs="Arial"/>
          <w:lang w:val="es-PA"/>
        </w:rPr>
        <w:t>l EDG</w:t>
      </w:r>
      <w:r w:rsidRPr="00727955">
        <w:rPr>
          <w:rFonts w:ascii="Arial" w:hAnsi="Arial" w:cs="Arial"/>
          <w:lang w:val="es-PA"/>
        </w:rPr>
        <w:t xml:space="preserve">, que serán aprobados por </w:t>
      </w:r>
      <w:r w:rsidR="00A6689D" w:rsidRPr="00727955">
        <w:rPr>
          <w:rFonts w:ascii="Arial" w:hAnsi="Arial" w:cs="Arial"/>
          <w:lang w:val="es-PA"/>
        </w:rPr>
        <w:t>el</w:t>
      </w:r>
      <w:r w:rsidRPr="00727955">
        <w:rPr>
          <w:rFonts w:ascii="Arial" w:hAnsi="Arial" w:cs="Arial"/>
          <w:lang w:val="es-PA"/>
        </w:rPr>
        <w:t xml:space="preserve"> Coordinador</w:t>
      </w:r>
      <w:r w:rsidR="00A6689D" w:rsidRPr="00727955">
        <w:rPr>
          <w:rFonts w:ascii="Arial" w:hAnsi="Arial" w:cs="Arial"/>
          <w:lang w:val="es-PA"/>
        </w:rPr>
        <w:t xml:space="preserve"> del</w:t>
      </w:r>
      <w:r w:rsidR="00D97094" w:rsidRPr="00727955">
        <w:rPr>
          <w:rFonts w:ascii="Arial" w:hAnsi="Arial" w:cs="Arial"/>
          <w:lang w:val="es-PA"/>
        </w:rPr>
        <w:t xml:space="preserve"> EDG del OE</w:t>
      </w:r>
      <w:r w:rsidRPr="00727955">
        <w:rPr>
          <w:rFonts w:ascii="Arial" w:hAnsi="Arial" w:cs="Arial"/>
          <w:lang w:val="es-PA"/>
        </w:rPr>
        <w:t xml:space="preserve">, antes del envío al Banco para la aprobación final. </w:t>
      </w:r>
    </w:p>
    <w:p w14:paraId="386B5E8F" w14:textId="77777777" w:rsidR="00DB1EFE" w:rsidRPr="00727955" w:rsidRDefault="00BD7189" w:rsidP="00542496">
      <w:pPr>
        <w:pStyle w:val="sub-sections"/>
        <w:rPr>
          <w:rFonts w:ascii="Arial" w:hAnsi="Arial" w:cs="Arial"/>
          <w:smallCaps/>
          <w:lang w:val="es-ES_tradnl"/>
        </w:rPr>
      </w:pPr>
      <w:bookmarkStart w:id="14" w:name="_Toc487815087"/>
      <w:r w:rsidRPr="00727955">
        <w:rPr>
          <w:rFonts w:ascii="Arial" w:hAnsi="Arial" w:cs="Arial"/>
          <w:smallCaps/>
          <w:lang w:val="es-ES_tradnl"/>
        </w:rPr>
        <w:t xml:space="preserve">Presentación </w:t>
      </w:r>
      <w:r w:rsidR="00497A47" w:rsidRPr="00727955">
        <w:rPr>
          <w:rFonts w:ascii="Arial" w:hAnsi="Arial" w:cs="Arial"/>
          <w:smallCaps/>
          <w:lang w:val="es-ES_tradnl"/>
        </w:rPr>
        <w:t>d</w:t>
      </w:r>
      <w:r w:rsidRPr="00727955">
        <w:rPr>
          <w:rFonts w:ascii="Arial" w:hAnsi="Arial" w:cs="Arial"/>
          <w:smallCaps/>
          <w:lang w:val="es-ES_tradnl"/>
        </w:rPr>
        <w:t>e Informes</w:t>
      </w:r>
      <w:bookmarkEnd w:id="14"/>
    </w:p>
    <w:p w14:paraId="0A17755C" w14:textId="77777777" w:rsidR="00A6689D" w:rsidRPr="00727955" w:rsidRDefault="00A6689D" w:rsidP="00542496">
      <w:pPr>
        <w:spacing w:after="0" w:line="240" w:lineRule="auto"/>
        <w:rPr>
          <w:rFonts w:ascii="Arial" w:hAnsi="Arial" w:cs="Arial"/>
          <w:sz w:val="18"/>
          <w:szCs w:val="18"/>
          <w:lang w:val="es-ES_tradnl"/>
        </w:rPr>
      </w:pPr>
    </w:p>
    <w:p w14:paraId="40FE02FE" w14:textId="77777777" w:rsidR="00A152E6" w:rsidRPr="00727955" w:rsidRDefault="00A6689D" w:rsidP="008373D5">
      <w:pPr>
        <w:pStyle w:val="ListParagraph"/>
        <w:numPr>
          <w:ilvl w:val="1"/>
          <w:numId w:val="48"/>
        </w:numPr>
        <w:spacing w:after="0" w:line="240" w:lineRule="auto"/>
        <w:ind w:left="720" w:hanging="630"/>
        <w:jc w:val="both"/>
        <w:rPr>
          <w:rFonts w:ascii="Arial" w:hAnsi="Arial" w:cs="Arial"/>
          <w:lang w:val="es-PA"/>
        </w:rPr>
      </w:pPr>
      <w:r w:rsidRPr="00727955">
        <w:rPr>
          <w:rFonts w:ascii="Arial" w:hAnsi="Arial" w:cs="Arial"/>
          <w:lang w:val="es-PA"/>
        </w:rPr>
        <w:t xml:space="preserve"> El</w:t>
      </w:r>
      <w:r w:rsidR="00A152E6" w:rsidRPr="00727955">
        <w:rPr>
          <w:rFonts w:ascii="Arial" w:hAnsi="Arial" w:cs="Arial"/>
          <w:lang w:val="es-PA"/>
        </w:rPr>
        <w:t xml:space="preserve"> Coordinador del Proyecto presentará al Banco los Informes Semestrales de Avance durante la ejecución, a más tardar 60 días posteriores al fin de cada semestre, los cuales indicarán el nivel de cumplimiento y avance, físico y financiero, del proyecto con los indicadores establecidos en la Matriz de Resultados y actividades programadas en el PEP, POA y Plan de Adquisiciones, analizando los problemas encontrados y presentando las medidas correctivas para enfrentarlos. Los informes del segundo semestre incluirán además el PEP/POA del año calendario siguiente, con un pronóstico de desembolsos, el PA actualizado y el estado del plan de mantenimiento de las obras ejecutadas por el proyecto, las posibles modificaciones de las asignaciones presupuestarias por componente y el seguimiento a las matrices de riesgos del proyecto.</w:t>
      </w:r>
    </w:p>
    <w:p w14:paraId="6BC5A96E" w14:textId="77777777" w:rsidR="00B66F8B" w:rsidRPr="00727955" w:rsidRDefault="00B66F8B" w:rsidP="00F3798A">
      <w:pPr>
        <w:pStyle w:val="ListParagraph"/>
        <w:spacing w:after="0" w:line="240" w:lineRule="auto"/>
        <w:ind w:left="540"/>
        <w:jc w:val="both"/>
        <w:rPr>
          <w:rFonts w:ascii="Arial" w:hAnsi="Arial" w:cs="Arial"/>
          <w:lang w:val="es-PA"/>
        </w:rPr>
      </w:pPr>
    </w:p>
    <w:p w14:paraId="76562EF4" w14:textId="77777777" w:rsidR="005736FA" w:rsidRPr="00727955" w:rsidRDefault="005736FA" w:rsidP="00542496">
      <w:pPr>
        <w:pStyle w:val="ListParagraph"/>
        <w:spacing w:after="0" w:line="240" w:lineRule="auto"/>
        <w:ind w:left="540"/>
        <w:jc w:val="both"/>
        <w:rPr>
          <w:rFonts w:ascii="Arial" w:hAnsi="Arial" w:cs="Arial"/>
          <w:lang w:val="es-PA"/>
        </w:rPr>
      </w:pPr>
    </w:p>
    <w:p w14:paraId="6354366F" w14:textId="77777777" w:rsidR="00A152E6" w:rsidRPr="00727955" w:rsidRDefault="00A152E6" w:rsidP="00542496">
      <w:pPr>
        <w:pStyle w:val="sub-sections"/>
        <w:rPr>
          <w:rFonts w:ascii="Arial" w:hAnsi="Arial" w:cs="Arial"/>
          <w:lang w:val="es-ES_tradnl"/>
        </w:rPr>
      </w:pPr>
      <w:bookmarkStart w:id="15" w:name="_Toc487815088"/>
      <w:r w:rsidRPr="00727955">
        <w:rPr>
          <w:rFonts w:ascii="Arial" w:hAnsi="Arial" w:cs="Arial"/>
          <w:lang w:val="es-ES_tradnl"/>
        </w:rPr>
        <w:t xml:space="preserve">Coordinación, plan de trabajo y presupuesto del </w:t>
      </w:r>
      <w:r w:rsidR="00A71EBB" w:rsidRPr="00727955">
        <w:rPr>
          <w:rFonts w:ascii="Arial" w:hAnsi="Arial" w:cs="Arial"/>
          <w:lang w:val="es-ES_tradnl"/>
        </w:rPr>
        <w:t>monitoreo</w:t>
      </w:r>
      <w:bookmarkEnd w:id="15"/>
    </w:p>
    <w:p w14:paraId="30B91A77" w14:textId="77777777" w:rsidR="00A6689D" w:rsidRPr="00727955" w:rsidRDefault="00A6689D" w:rsidP="00542496">
      <w:pPr>
        <w:spacing w:after="0" w:line="240" w:lineRule="auto"/>
        <w:rPr>
          <w:rFonts w:ascii="Arial" w:hAnsi="Arial" w:cs="Arial"/>
          <w:sz w:val="18"/>
          <w:szCs w:val="18"/>
          <w:lang w:val="es-ES_tradnl"/>
        </w:rPr>
      </w:pPr>
    </w:p>
    <w:p w14:paraId="48390E6A" w14:textId="414276D3" w:rsidR="00A152E6" w:rsidRPr="00727955" w:rsidRDefault="00A152E6" w:rsidP="008373D5">
      <w:pPr>
        <w:pStyle w:val="ListParagraph"/>
        <w:numPr>
          <w:ilvl w:val="1"/>
          <w:numId w:val="48"/>
        </w:numPr>
        <w:tabs>
          <w:tab w:val="left" w:pos="720"/>
        </w:tabs>
        <w:spacing w:after="0" w:line="240" w:lineRule="auto"/>
        <w:ind w:left="720" w:hanging="720"/>
        <w:jc w:val="both"/>
        <w:rPr>
          <w:rFonts w:ascii="Arial" w:hAnsi="Arial" w:cs="Arial"/>
          <w:lang w:val="es-PA"/>
        </w:rPr>
      </w:pPr>
      <w:r w:rsidRPr="00727955">
        <w:rPr>
          <w:rFonts w:ascii="Arial" w:hAnsi="Arial" w:cs="Arial"/>
          <w:lang w:val="es-PA"/>
        </w:rPr>
        <w:t xml:space="preserve">Para realizar el </w:t>
      </w:r>
      <w:r w:rsidR="006415D0" w:rsidRPr="00727955">
        <w:rPr>
          <w:rFonts w:ascii="Arial" w:hAnsi="Arial" w:cs="Arial"/>
          <w:lang w:val="es-PA"/>
        </w:rPr>
        <w:t>monitoreo</w:t>
      </w:r>
      <w:r w:rsidRPr="00727955">
        <w:rPr>
          <w:rFonts w:ascii="Arial" w:hAnsi="Arial" w:cs="Arial"/>
          <w:lang w:val="es-PA"/>
        </w:rPr>
        <w:t xml:space="preserve"> del proyecto, </w:t>
      </w:r>
      <w:r w:rsidR="00A6689D" w:rsidRPr="00727955">
        <w:rPr>
          <w:rFonts w:ascii="Arial" w:hAnsi="Arial" w:cs="Arial"/>
          <w:lang w:val="es-PA"/>
        </w:rPr>
        <w:t>el</w:t>
      </w:r>
      <w:r w:rsidRPr="00727955">
        <w:rPr>
          <w:rFonts w:ascii="Arial" w:hAnsi="Arial" w:cs="Arial"/>
          <w:lang w:val="es-PA"/>
        </w:rPr>
        <w:t xml:space="preserve"> OE </w:t>
      </w:r>
      <w:r w:rsidR="0026625A" w:rsidRPr="00727955">
        <w:rPr>
          <w:rFonts w:ascii="Arial" w:hAnsi="Arial" w:cs="Arial"/>
          <w:lang w:val="es-PA"/>
        </w:rPr>
        <w:t xml:space="preserve">y </w:t>
      </w:r>
      <w:r w:rsidR="007A58A9">
        <w:rPr>
          <w:rFonts w:ascii="Arial" w:hAnsi="Arial" w:cs="Arial"/>
          <w:lang w:val="es-PA"/>
        </w:rPr>
        <w:t xml:space="preserve">los </w:t>
      </w:r>
      <w:r w:rsidR="0026625A" w:rsidRPr="00727955">
        <w:rPr>
          <w:rFonts w:ascii="Arial" w:hAnsi="Arial" w:cs="Arial"/>
          <w:lang w:val="es-PA"/>
        </w:rPr>
        <w:t xml:space="preserve">OSE </w:t>
      </w:r>
      <w:r w:rsidRPr="00727955">
        <w:rPr>
          <w:rFonts w:ascii="Arial" w:hAnsi="Arial" w:cs="Arial"/>
          <w:lang w:val="es-PA"/>
        </w:rPr>
        <w:t>utilizará</w:t>
      </w:r>
      <w:r w:rsidR="0026625A" w:rsidRPr="00727955">
        <w:rPr>
          <w:rFonts w:ascii="Arial" w:hAnsi="Arial" w:cs="Arial"/>
          <w:lang w:val="es-PA"/>
        </w:rPr>
        <w:t>n</w:t>
      </w:r>
      <w:r w:rsidRPr="00727955">
        <w:rPr>
          <w:rFonts w:ascii="Arial" w:hAnsi="Arial" w:cs="Arial"/>
          <w:lang w:val="es-PA"/>
        </w:rPr>
        <w:t xml:space="preserve"> los documentos citados en el numeral </w:t>
      </w:r>
      <w:r w:rsidR="006709B1">
        <w:rPr>
          <w:rFonts w:ascii="Arial" w:hAnsi="Arial" w:cs="Arial"/>
          <w:lang w:val="es-PA"/>
        </w:rPr>
        <w:t>3.9</w:t>
      </w:r>
      <w:r w:rsidRPr="00727955">
        <w:rPr>
          <w:rFonts w:ascii="Arial" w:hAnsi="Arial" w:cs="Arial"/>
          <w:lang w:val="es-PA"/>
        </w:rPr>
        <w:t xml:space="preserve"> y lo estipulado en el presente documento.</w:t>
      </w:r>
    </w:p>
    <w:p w14:paraId="4FEAC16A" w14:textId="77777777" w:rsidR="00A6689D" w:rsidRPr="00727955" w:rsidRDefault="00A6689D" w:rsidP="00C2120C">
      <w:pPr>
        <w:pStyle w:val="ListParagraph"/>
        <w:tabs>
          <w:tab w:val="left" w:pos="720"/>
        </w:tabs>
        <w:ind w:hanging="720"/>
        <w:jc w:val="both"/>
        <w:rPr>
          <w:rFonts w:ascii="Arial" w:hAnsi="Arial" w:cs="Arial"/>
          <w:lang w:val="es-PA"/>
        </w:rPr>
      </w:pPr>
    </w:p>
    <w:p w14:paraId="7C0ACF3A" w14:textId="53896AE7" w:rsidR="00A152E6" w:rsidRPr="00727955" w:rsidRDefault="00A152E6" w:rsidP="008373D5">
      <w:pPr>
        <w:pStyle w:val="ListParagraph"/>
        <w:numPr>
          <w:ilvl w:val="1"/>
          <w:numId w:val="48"/>
        </w:numPr>
        <w:tabs>
          <w:tab w:val="left" w:pos="720"/>
        </w:tabs>
        <w:ind w:left="720" w:hanging="720"/>
        <w:jc w:val="both"/>
        <w:rPr>
          <w:rFonts w:ascii="Arial" w:hAnsi="Arial" w:cs="Arial"/>
          <w:lang w:val="es-PA"/>
        </w:rPr>
      </w:pPr>
      <w:r w:rsidRPr="00727955">
        <w:rPr>
          <w:rFonts w:ascii="Arial" w:hAnsi="Arial" w:cs="Arial"/>
          <w:lang w:val="es-PA"/>
        </w:rPr>
        <w:lastRenderedPageBreak/>
        <w:t>La inclusión de las acciones de monitoreo en el PEP asegura que su cumplimiento será parte de los reportes de progreso y de actualización del PEP mismo que</w:t>
      </w:r>
      <w:r w:rsidR="00497A47" w:rsidRPr="00727955">
        <w:rPr>
          <w:rFonts w:ascii="Arial" w:hAnsi="Arial" w:cs="Arial"/>
          <w:lang w:val="es-PA"/>
        </w:rPr>
        <w:t xml:space="preserve"> el</w:t>
      </w:r>
      <w:r w:rsidRPr="00727955">
        <w:rPr>
          <w:rFonts w:ascii="Arial" w:hAnsi="Arial" w:cs="Arial"/>
          <w:lang w:val="es-PA"/>
        </w:rPr>
        <w:t xml:space="preserve"> Coordinado</w:t>
      </w:r>
      <w:r w:rsidR="00497A47" w:rsidRPr="00727955">
        <w:rPr>
          <w:rFonts w:ascii="Arial" w:hAnsi="Arial" w:cs="Arial"/>
          <w:lang w:val="es-PA"/>
        </w:rPr>
        <w:t>r</w:t>
      </w:r>
      <w:r w:rsidRPr="00727955">
        <w:rPr>
          <w:rFonts w:ascii="Arial" w:hAnsi="Arial" w:cs="Arial"/>
          <w:lang w:val="es-PA"/>
        </w:rPr>
        <w:t xml:space="preserve"> del Proyecto debe presentar al Banco. El Banco verificará la realización de las acciones en las reuniones de supervisión regular del avance del proyecto. El siguiente cuadro muestra el Plan de Trabajo y el Presupuesto para el monitoreo. El monitoreo del </w:t>
      </w:r>
      <w:r w:rsidR="004A1D9B">
        <w:rPr>
          <w:rFonts w:ascii="Arial" w:hAnsi="Arial" w:cs="Arial"/>
          <w:lang w:val="es-PA"/>
        </w:rPr>
        <w:t>p</w:t>
      </w:r>
      <w:r w:rsidRPr="00727955">
        <w:rPr>
          <w:rFonts w:ascii="Arial" w:hAnsi="Arial" w:cs="Arial"/>
          <w:lang w:val="es-PA"/>
        </w:rPr>
        <w:t>royecto será responsabilidad de</w:t>
      </w:r>
      <w:r w:rsidR="0026625A" w:rsidRPr="00727955">
        <w:rPr>
          <w:rFonts w:ascii="Arial" w:hAnsi="Arial" w:cs="Arial"/>
          <w:lang w:val="es-PA"/>
        </w:rPr>
        <w:t xml:space="preserve"> los EDG</w:t>
      </w:r>
      <w:r w:rsidRPr="00727955">
        <w:rPr>
          <w:rFonts w:ascii="Arial" w:hAnsi="Arial" w:cs="Arial"/>
          <w:lang w:val="es-PA"/>
        </w:rPr>
        <w:t>, con el apoyo técnico</w:t>
      </w:r>
      <w:r w:rsidR="00497A47" w:rsidRPr="00727955">
        <w:rPr>
          <w:rFonts w:ascii="Arial" w:hAnsi="Arial" w:cs="Arial"/>
          <w:lang w:val="es-PA"/>
        </w:rPr>
        <w:t xml:space="preserve"> del EPM</w:t>
      </w:r>
      <w:r w:rsidRPr="00727955">
        <w:rPr>
          <w:rFonts w:ascii="Arial" w:hAnsi="Arial" w:cs="Arial"/>
          <w:lang w:val="es-PA"/>
        </w:rPr>
        <w:t>.</w:t>
      </w:r>
    </w:p>
    <w:p w14:paraId="45BCEE76" w14:textId="77777777" w:rsidR="00497A47" w:rsidRPr="00727955" w:rsidRDefault="00497A47" w:rsidP="00497A47">
      <w:pPr>
        <w:pStyle w:val="ListParagraph"/>
        <w:jc w:val="both"/>
        <w:rPr>
          <w:rFonts w:ascii="Arial" w:hAnsi="Arial" w:cs="Arial"/>
          <w:lang w:val="es-PA"/>
        </w:rPr>
      </w:pPr>
    </w:p>
    <w:p w14:paraId="7C151196" w14:textId="5C84605B" w:rsidR="00A152E6" w:rsidRPr="00727955" w:rsidRDefault="00A152E6" w:rsidP="008373D5">
      <w:pPr>
        <w:pStyle w:val="ListParagraph"/>
        <w:numPr>
          <w:ilvl w:val="1"/>
          <w:numId w:val="48"/>
        </w:numPr>
        <w:ind w:left="720" w:hanging="720"/>
        <w:jc w:val="both"/>
        <w:rPr>
          <w:rFonts w:ascii="Arial" w:hAnsi="Arial" w:cs="Arial"/>
          <w:lang w:val="es-PA"/>
        </w:rPr>
      </w:pPr>
      <w:r w:rsidRPr="00727955">
        <w:rPr>
          <w:rFonts w:ascii="Arial" w:hAnsi="Arial" w:cs="Arial"/>
          <w:lang w:val="es-PA"/>
        </w:rPr>
        <w:t>Por parte del Banco, la supervisión técnica de la ejecución del proyecto estará a cargo de la División</w:t>
      </w:r>
      <w:r w:rsidR="00524267" w:rsidRPr="00727955">
        <w:rPr>
          <w:rFonts w:ascii="Arial" w:hAnsi="Arial" w:cs="Arial"/>
          <w:lang w:val="es-PA"/>
        </w:rPr>
        <w:t xml:space="preserve"> de Innovación al Servicio del Ciudadano</w:t>
      </w:r>
      <w:r w:rsidRPr="00727955">
        <w:rPr>
          <w:rFonts w:ascii="Arial" w:hAnsi="Arial" w:cs="Arial"/>
          <w:lang w:val="es-PA"/>
        </w:rPr>
        <w:t xml:space="preserve"> (</w:t>
      </w:r>
      <w:r w:rsidR="00524267" w:rsidRPr="00727955">
        <w:rPr>
          <w:rFonts w:ascii="Arial" w:hAnsi="Arial" w:cs="Arial"/>
          <w:lang w:val="es-PY"/>
        </w:rPr>
        <w:t>IFD</w:t>
      </w:r>
      <w:r w:rsidR="006B49AB" w:rsidRPr="00727955">
        <w:rPr>
          <w:rFonts w:ascii="Arial" w:hAnsi="Arial" w:cs="Arial"/>
          <w:lang w:val="es-PY"/>
        </w:rPr>
        <w:t>/</w:t>
      </w:r>
      <w:r w:rsidR="00524267" w:rsidRPr="00727955">
        <w:rPr>
          <w:rFonts w:ascii="Arial" w:hAnsi="Arial" w:cs="Arial"/>
          <w:lang w:val="es-PY"/>
        </w:rPr>
        <w:t>ICS</w:t>
      </w:r>
      <w:r w:rsidRPr="00727955">
        <w:rPr>
          <w:rFonts w:ascii="Arial" w:hAnsi="Arial" w:cs="Arial"/>
          <w:lang w:val="es-PA"/>
        </w:rPr>
        <w:t xml:space="preserve">) con el apoyo de la Oficina de Adquisiciones para Operaciones (FMP) y de la Representación del Banco en </w:t>
      </w:r>
      <w:r w:rsidR="0026625A" w:rsidRPr="00727955">
        <w:rPr>
          <w:rFonts w:ascii="Arial" w:hAnsi="Arial" w:cs="Arial"/>
          <w:lang w:val="es-PA"/>
        </w:rPr>
        <w:t>Ecuador</w:t>
      </w:r>
      <w:r w:rsidRPr="00727955">
        <w:rPr>
          <w:rFonts w:ascii="Arial" w:hAnsi="Arial" w:cs="Arial"/>
          <w:lang w:val="es-PA"/>
        </w:rPr>
        <w:t xml:space="preserve"> C</w:t>
      </w:r>
      <w:r w:rsidR="0026625A" w:rsidRPr="00727955">
        <w:rPr>
          <w:rFonts w:ascii="Arial" w:hAnsi="Arial" w:cs="Arial"/>
          <w:lang w:val="es-PA"/>
        </w:rPr>
        <w:t>EC</w:t>
      </w:r>
      <w:r w:rsidRPr="00727955">
        <w:rPr>
          <w:rFonts w:ascii="Arial" w:hAnsi="Arial" w:cs="Arial"/>
          <w:lang w:val="es-PA"/>
        </w:rPr>
        <w:t>. Se realizará anualmente</w:t>
      </w:r>
      <w:r w:rsidR="006B49AB" w:rsidRPr="00727955">
        <w:rPr>
          <w:rFonts w:ascii="Arial" w:hAnsi="Arial" w:cs="Arial"/>
          <w:lang w:val="es-PA"/>
        </w:rPr>
        <w:t>, al menos,</w:t>
      </w:r>
      <w:r w:rsidRPr="00727955">
        <w:rPr>
          <w:rFonts w:ascii="Arial" w:hAnsi="Arial" w:cs="Arial"/>
          <w:lang w:val="es-PA"/>
        </w:rPr>
        <w:t xml:space="preserve"> un</w:t>
      </w:r>
      <w:r w:rsidR="006B49AB" w:rsidRPr="00727955">
        <w:rPr>
          <w:rFonts w:ascii="Arial" w:hAnsi="Arial" w:cs="Arial"/>
          <w:lang w:val="es-PA"/>
        </w:rPr>
        <w:t xml:space="preserve">a reunión conjunta entre </w:t>
      </w:r>
      <w:r w:rsidR="00524267" w:rsidRPr="00727955">
        <w:rPr>
          <w:rFonts w:ascii="Arial" w:hAnsi="Arial" w:cs="Arial"/>
          <w:lang w:val="es-PA"/>
        </w:rPr>
        <w:t>el</w:t>
      </w:r>
      <w:r w:rsidR="006B49AB" w:rsidRPr="00727955">
        <w:rPr>
          <w:rFonts w:ascii="Arial" w:hAnsi="Arial" w:cs="Arial"/>
          <w:lang w:val="es-PA"/>
        </w:rPr>
        <w:t xml:space="preserve"> OE</w:t>
      </w:r>
      <w:r w:rsidR="0026625A" w:rsidRPr="00727955">
        <w:rPr>
          <w:rFonts w:ascii="Arial" w:hAnsi="Arial" w:cs="Arial"/>
          <w:lang w:val="es-PA"/>
        </w:rPr>
        <w:t xml:space="preserve">, </w:t>
      </w:r>
      <w:r w:rsidR="009B2335">
        <w:rPr>
          <w:rFonts w:ascii="Arial" w:hAnsi="Arial" w:cs="Arial"/>
          <w:lang w:val="es-PA"/>
        </w:rPr>
        <w:t>los</w:t>
      </w:r>
      <w:r w:rsidR="0026625A" w:rsidRPr="00727955">
        <w:rPr>
          <w:rFonts w:ascii="Arial" w:hAnsi="Arial" w:cs="Arial"/>
          <w:lang w:val="es-PA"/>
        </w:rPr>
        <w:t xml:space="preserve"> OSE</w:t>
      </w:r>
      <w:r w:rsidRPr="00727955">
        <w:rPr>
          <w:rFonts w:ascii="Arial" w:hAnsi="Arial" w:cs="Arial"/>
          <w:lang w:val="es-PA"/>
        </w:rPr>
        <w:t xml:space="preserve"> y el Banco, donde se discutirá, entre otros aspectos: (i) el avance de las actividades identificadas en el POA; (ii) el nivel de cumplimiento de los indicadores establecidos para cada componente; (iii) el POA para el año siguiente; (iv) el PA para los próximos 12</w:t>
      </w:r>
      <w:r w:rsidR="00F903E2">
        <w:rPr>
          <w:rFonts w:ascii="Arial" w:hAnsi="Arial" w:cs="Arial"/>
          <w:lang w:val="es-PA"/>
        </w:rPr>
        <w:t> </w:t>
      </w:r>
      <w:r w:rsidRPr="00727955">
        <w:rPr>
          <w:rFonts w:ascii="Arial" w:hAnsi="Arial" w:cs="Arial"/>
          <w:lang w:val="es-PA"/>
        </w:rPr>
        <w:t>meses y las posibles modificaciones de las asignaciones presupue</w:t>
      </w:r>
      <w:r w:rsidR="006B49AB" w:rsidRPr="00727955">
        <w:rPr>
          <w:rFonts w:ascii="Arial" w:hAnsi="Arial" w:cs="Arial"/>
          <w:lang w:val="es-PA"/>
        </w:rPr>
        <w:t>starias por componente;</w:t>
      </w:r>
      <w:r w:rsidRPr="00727955">
        <w:rPr>
          <w:rFonts w:ascii="Arial" w:hAnsi="Arial" w:cs="Arial"/>
          <w:lang w:val="es-PA"/>
        </w:rPr>
        <w:t xml:space="preserve"> y (v)</w:t>
      </w:r>
      <w:r w:rsidR="006B49AB" w:rsidRPr="00727955">
        <w:rPr>
          <w:rFonts w:ascii="Arial" w:hAnsi="Arial" w:cs="Arial"/>
          <w:lang w:val="es-PA"/>
        </w:rPr>
        <w:t xml:space="preserve"> el</w:t>
      </w:r>
      <w:r w:rsidRPr="00727955">
        <w:rPr>
          <w:rFonts w:ascii="Arial" w:hAnsi="Arial" w:cs="Arial"/>
          <w:lang w:val="es-PA"/>
        </w:rPr>
        <w:t xml:space="preserve"> seguimiento a las matrices de riesgos del proyecto.</w:t>
      </w:r>
    </w:p>
    <w:p w14:paraId="4F5096D6" w14:textId="77777777" w:rsidR="00524267" w:rsidRPr="00727955" w:rsidRDefault="00524267" w:rsidP="00C2120C">
      <w:pPr>
        <w:pStyle w:val="ListParagraph"/>
        <w:ind w:hanging="720"/>
        <w:rPr>
          <w:rFonts w:ascii="Arial" w:hAnsi="Arial" w:cs="Arial"/>
          <w:lang w:val="es-PA"/>
        </w:rPr>
      </w:pPr>
    </w:p>
    <w:p w14:paraId="61B76695" w14:textId="77777777" w:rsidR="00A152E6" w:rsidRPr="00727955" w:rsidRDefault="00A152E6" w:rsidP="008373D5">
      <w:pPr>
        <w:pStyle w:val="ListParagraph"/>
        <w:numPr>
          <w:ilvl w:val="1"/>
          <w:numId w:val="48"/>
        </w:numPr>
        <w:ind w:left="720" w:hanging="720"/>
        <w:jc w:val="both"/>
        <w:rPr>
          <w:rFonts w:ascii="Arial" w:hAnsi="Arial" w:cs="Arial"/>
          <w:lang w:val="es-PA"/>
        </w:rPr>
      </w:pPr>
      <w:r w:rsidRPr="00727955">
        <w:rPr>
          <w:rFonts w:ascii="Arial" w:hAnsi="Arial" w:cs="Arial"/>
          <w:lang w:val="es-PA"/>
        </w:rPr>
        <w:t>Los plazos para el seguimiento, el presupuesto asignado a cada una de las actividades principales y la fuente de financiamiento se encuentran en el Plan de Ejecución del Programa, Plan de Desembolsos del Programa y PMR.</w:t>
      </w:r>
    </w:p>
    <w:p w14:paraId="53E74FF9" w14:textId="77777777" w:rsidR="00524267" w:rsidRPr="00727955" w:rsidRDefault="00524267" w:rsidP="00C2120C">
      <w:pPr>
        <w:pStyle w:val="ListParagraph"/>
        <w:ind w:hanging="720"/>
        <w:jc w:val="both"/>
        <w:rPr>
          <w:rFonts w:ascii="Arial" w:hAnsi="Arial" w:cs="Arial"/>
          <w:lang w:val="es-PA"/>
        </w:rPr>
      </w:pPr>
    </w:p>
    <w:p w14:paraId="6BF3E83C" w14:textId="17FA9DBD" w:rsidR="00765733" w:rsidRPr="00727955" w:rsidRDefault="006B49AB" w:rsidP="008373D5">
      <w:pPr>
        <w:pStyle w:val="ListParagraph"/>
        <w:numPr>
          <w:ilvl w:val="1"/>
          <w:numId w:val="48"/>
        </w:numPr>
        <w:ind w:left="720" w:hanging="720"/>
        <w:jc w:val="both"/>
        <w:rPr>
          <w:rFonts w:ascii="Arial" w:hAnsi="Arial" w:cs="Arial"/>
          <w:lang w:val="es-PA"/>
        </w:rPr>
      </w:pPr>
      <w:r w:rsidRPr="00727955">
        <w:rPr>
          <w:rFonts w:ascii="Arial" w:hAnsi="Arial" w:cs="Arial"/>
          <w:lang w:val="es-PA"/>
        </w:rPr>
        <w:t>En los siguientes dos cuadros se presen</w:t>
      </w:r>
      <w:r w:rsidR="00926C0A" w:rsidRPr="00727955">
        <w:rPr>
          <w:rFonts w:ascii="Arial" w:hAnsi="Arial" w:cs="Arial"/>
          <w:lang w:val="es-PA"/>
        </w:rPr>
        <w:t xml:space="preserve">tan el Plan de Trabajo (Cuadro </w:t>
      </w:r>
      <w:r w:rsidR="0026625A" w:rsidRPr="00727955">
        <w:rPr>
          <w:rFonts w:ascii="Arial" w:hAnsi="Arial" w:cs="Arial"/>
          <w:lang w:val="es-PA"/>
        </w:rPr>
        <w:t>4</w:t>
      </w:r>
      <w:r w:rsidRPr="00727955">
        <w:rPr>
          <w:rFonts w:ascii="Arial" w:hAnsi="Arial" w:cs="Arial"/>
          <w:lang w:val="es-PA"/>
        </w:rPr>
        <w:t>) y el Presupuesto para el Monitoreo de</w:t>
      </w:r>
      <w:r w:rsidR="00926C0A" w:rsidRPr="00727955">
        <w:rPr>
          <w:rFonts w:ascii="Arial" w:hAnsi="Arial" w:cs="Arial"/>
          <w:lang w:val="es-PA"/>
        </w:rPr>
        <w:t xml:space="preserve">l Proyecto (Cuadro </w:t>
      </w:r>
      <w:r w:rsidR="0026625A" w:rsidRPr="00727955">
        <w:rPr>
          <w:rFonts w:ascii="Arial" w:hAnsi="Arial" w:cs="Arial"/>
          <w:lang w:val="es-PA"/>
        </w:rPr>
        <w:t>5</w:t>
      </w:r>
      <w:r w:rsidR="00B65066" w:rsidRPr="00727955">
        <w:rPr>
          <w:rFonts w:ascii="Arial" w:hAnsi="Arial" w:cs="Arial"/>
          <w:lang w:val="es-PA"/>
        </w:rPr>
        <w:t>)</w:t>
      </w:r>
      <w:r w:rsidRPr="00727955">
        <w:rPr>
          <w:rFonts w:ascii="Arial" w:hAnsi="Arial" w:cs="Arial"/>
          <w:lang w:val="es-PA"/>
        </w:rPr>
        <w:t>.</w:t>
      </w:r>
    </w:p>
    <w:p w14:paraId="286B1DE3" w14:textId="17F0725D" w:rsidR="009C7C34" w:rsidRPr="009C7C34" w:rsidRDefault="00926C0A" w:rsidP="00D04358">
      <w:pPr>
        <w:spacing w:before="240"/>
        <w:jc w:val="center"/>
        <w:rPr>
          <w:rFonts w:ascii="Arial" w:hAnsi="Arial" w:cs="Arial"/>
          <w:b/>
          <w:sz w:val="18"/>
          <w:szCs w:val="18"/>
          <w:lang w:val="es-PA"/>
        </w:rPr>
      </w:pPr>
      <w:r w:rsidRPr="00727955">
        <w:rPr>
          <w:rFonts w:ascii="Arial" w:hAnsi="Arial" w:cs="Arial"/>
          <w:b/>
          <w:sz w:val="18"/>
          <w:szCs w:val="18"/>
          <w:lang w:val="es-PA"/>
        </w:rPr>
        <w:t xml:space="preserve">Cuadro </w:t>
      </w:r>
      <w:r w:rsidR="00025E6A" w:rsidRPr="00727955">
        <w:rPr>
          <w:rFonts w:ascii="Arial" w:hAnsi="Arial" w:cs="Arial"/>
          <w:b/>
          <w:sz w:val="18"/>
          <w:szCs w:val="18"/>
          <w:lang w:val="es-PA"/>
        </w:rPr>
        <w:t>4</w:t>
      </w:r>
      <w:r w:rsidR="00E73062" w:rsidRPr="00727955">
        <w:rPr>
          <w:rFonts w:ascii="Arial" w:hAnsi="Arial" w:cs="Arial"/>
          <w:b/>
          <w:sz w:val="18"/>
          <w:szCs w:val="18"/>
          <w:lang w:val="es-PA"/>
        </w:rPr>
        <w:t>.</w:t>
      </w:r>
      <w:r w:rsidR="006B49AB" w:rsidRPr="00727955">
        <w:rPr>
          <w:rFonts w:ascii="Arial" w:hAnsi="Arial" w:cs="Arial"/>
          <w:b/>
          <w:sz w:val="18"/>
          <w:szCs w:val="18"/>
          <w:lang w:val="es-PA"/>
        </w:rPr>
        <w:t xml:space="preserve"> Plan de Trabajo</w:t>
      </w:r>
      <w:r w:rsidR="00BD6919" w:rsidRPr="00727955">
        <w:rPr>
          <w:rStyle w:val="FootnoteReference"/>
          <w:rFonts w:ascii="Arial" w:hAnsi="Arial" w:cs="Arial"/>
          <w:b/>
          <w:sz w:val="18"/>
          <w:szCs w:val="18"/>
          <w:lang w:val="es-PA"/>
        </w:rPr>
        <w:footnoteReference w:id="6"/>
      </w:r>
    </w:p>
    <w:tbl>
      <w:tblPr>
        <w:tblW w:w="5155" w:type="pct"/>
        <w:tblLayout w:type="fixed"/>
        <w:tblCellMar>
          <w:left w:w="70" w:type="dxa"/>
          <w:right w:w="70" w:type="dxa"/>
        </w:tblCellMar>
        <w:tblLook w:val="04A0" w:firstRow="1" w:lastRow="0" w:firstColumn="1" w:lastColumn="0" w:noHBand="0" w:noVBand="1"/>
      </w:tblPr>
      <w:tblGrid>
        <w:gridCol w:w="442"/>
        <w:gridCol w:w="2038"/>
        <w:gridCol w:w="1027"/>
        <w:gridCol w:w="341"/>
        <w:gridCol w:w="234"/>
        <w:gridCol w:w="238"/>
        <w:gridCol w:w="233"/>
        <w:gridCol w:w="9"/>
        <w:gridCol w:w="239"/>
        <w:gridCol w:w="239"/>
        <w:gridCol w:w="239"/>
        <w:gridCol w:w="262"/>
        <w:gridCol w:w="253"/>
        <w:gridCol w:w="248"/>
        <w:gridCol w:w="239"/>
        <w:gridCol w:w="253"/>
        <w:gridCol w:w="241"/>
        <w:gridCol w:w="241"/>
        <w:gridCol w:w="241"/>
        <w:gridCol w:w="272"/>
        <w:gridCol w:w="248"/>
        <w:gridCol w:w="248"/>
        <w:gridCol w:w="248"/>
        <w:gridCol w:w="270"/>
        <w:gridCol w:w="10"/>
      </w:tblGrid>
      <w:tr w:rsidR="009C7C34" w:rsidRPr="009C7C34" w14:paraId="1D52B51E" w14:textId="77777777" w:rsidTr="00C2120C">
        <w:trPr>
          <w:gridAfter w:val="1"/>
          <w:wAfter w:w="6" w:type="pct"/>
          <w:trHeight w:val="737"/>
          <w:tblHeader/>
        </w:trPr>
        <w:tc>
          <w:tcPr>
            <w:tcW w:w="258" w:type="pct"/>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30664703" w14:textId="77777777" w:rsidR="009C7C34" w:rsidRPr="009C7C34" w:rsidRDefault="009C7C34" w:rsidP="009C7C34">
            <w:pPr>
              <w:spacing w:before="240"/>
              <w:jc w:val="center"/>
              <w:rPr>
                <w:rFonts w:ascii="Arial" w:hAnsi="Arial" w:cs="Arial"/>
                <w:b/>
                <w:bCs/>
                <w:sz w:val="18"/>
                <w:szCs w:val="18"/>
                <w:lang w:val="es-PY"/>
              </w:rPr>
            </w:pPr>
            <w:r w:rsidRPr="009C7C34">
              <w:rPr>
                <w:rFonts w:ascii="Arial" w:hAnsi="Arial" w:cs="Arial"/>
                <w:b/>
                <w:bCs/>
                <w:sz w:val="18"/>
                <w:szCs w:val="18"/>
                <w:lang w:val="es-PY"/>
              </w:rPr>
              <w:t>#</w:t>
            </w:r>
          </w:p>
        </w:tc>
        <w:tc>
          <w:tcPr>
            <w:tcW w:w="1191"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5EBF04BF" w14:textId="77777777" w:rsidR="009C7C34" w:rsidRPr="009C7C34" w:rsidRDefault="009C7C34" w:rsidP="009C7C34">
            <w:pPr>
              <w:spacing w:before="240"/>
              <w:jc w:val="center"/>
              <w:rPr>
                <w:rFonts w:ascii="Arial" w:hAnsi="Arial" w:cs="Arial"/>
                <w:b/>
                <w:bCs/>
                <w:sz w:val="18"/>
                <w:szCs w:val="18"/>
                <w:lang w:val="es-PY"/>
              </w:rPr>
            </w:pPr>
            <w:r w:rsidRPr="009C7C34">
              <w:rPr>
                <w:rFonts w:ascii="Arial" w:hAnsi="Arial" w:cs="Arial"/>
                <w:b/>
                <w:bCs/>
                <w:sz w:val="18"/>
                <w:szCs w:val="18"/>
                <w:lang w:val="es-PY"/>
              </w:rPr>
              <w:t>Actividades</w:t>
            </w:r>
          </w:p>
        </w:tc>
        <w:tc>
          <w:tcPr>
            <w:tcW w:w="600" w:type="pct"/>
            <w:tcBorders>
              <w:top w:val="single" w:sz="4" w:space="0" w:color="auto"/>
              <w:left w:val="nil"/>
              <w:bottom w:val="single" w:sz="4" w:space="0" w:color="auto"/>
              <w:right w:val="single" w:sz="4" w:space="0" w:color="auto"/>
            </w:tcBorders>
            <w:shd w:val="clear" w:color="000000" w:fill="D9D9D9"/>
            <w:noWrap/>
            <w:vAlign w:val="center"/>
            <w:hideMark/>
          </w:tcPr>
          <w:p w14:paraId="6125F83D" w14:textId="77777777" w:rsidR="009C7C34" w:rsidRPr="009C7C34" w:rsidRDefault="009C7C34" w:rsidP="009C7C34">
            <w:pPr>
              <w:spacing w:before="240"/>
              <w:jc w:val="center"/>
              <w:rPr>
                <w:rFonts w:ascii="Arial" w:hAnsi="Arial" w:cs="Arial"/>
                <w:b/>
                <w:bCs/>
                <w:sz w:val="18"/>
                <w:szCs w:val="18"/>
                <w:lang w:val="es-PY"/>
              </w:rPr>
            </w:pPr>
            <w:r w:rsidRPr="009C7C34">
              <w:rPr>
                <w:rFonts w:ascii="Arial" w:hAnsi="Arial" w:cs="Arial"/>
                <w:b/>
                <w:bCs/>
                <w:sz w:val="18"/>
                <w:szCs w:val="18"/>
                <w:lang w:val="es-PY"/>
              </w:rPr>
              <w:t>Responsable</w:t>
            </w:r>
          </w:p>
        </w:tc>
        <w:tc>
          <w:tcPr>
            <w:tcW w:w="611" w:type="pct"/>
            <w:gridSpan w:val="4"/>
            <w:tcBorders>
              <w:top w:val="single" w:sz="4" w:space="0" w:color="auto"/>
              <w:left w:val="nil"/>
              <w:bottom w:val="single" w:sz="4" w:space="0" w:color="auto"/>
              <w:right w:val="single" w:sz="4" w:space="0" w:color="auto"/>
            </w:tcBorders>
            <w:shd w:val="clear" w:color="000000" w:fill="D9D9D9"/>
            <w:noWrap/>
            <w:vAlign w:val="center"/>
            <w:hideMark/>
          </w:tcPr>
          <w:p w14:paraId="08B128BC" w14:textId="77777777" w:rsidR="009C7C34" w:rsidRPr="009C7C34" w:rsidRDefault="009C7C34" w:rsidP="009C7C34">
            <w:pPr>
              <w:spacing w:before="240"/>
              <w:jc w:val="center"/>
              <w:rPr>
                <w:rFonts w:ascii="Arial" w:hAnsi="Arial" w:cs="Arial"/>
                <w:b/>
                <w:bCs/>
                <w:sz w:val="18"/>
                <w:szCs w:val="18"/>
                <w:lang w:val="es-PY"/>
              </w:rPr>
            </w:pPr>
            <w:r w:rsidRPr="009C7C34">
              <w:rPr>
                <w:rFonts w:ascii="Arial" w:hAnsi="Arial" w:cs="Arial"/>
                <w:b/>
                <w:bCs/>
                <w:sz w:val="18"/>
                <w:szCs w:val="18"/>
                <w:lang w:val="es-PY"/>
              </w:rPr>
              <w:t>Año 1</w:t>
            </w:r>
          </w:p>
        </w:tc>
        <w:tc>
          <w:tcPr>
            <w:tcW w:w="578" w:type="pct"/>
            <w:gridSpan w:val="5"/>
            <w:tcBorders>
              <w:top w:val="single" w:sz="4" w:space="0" w:color="auto"/>
              <w:left w:val="nil"/>
              <w:bottom w:val="single" w:sz="4" w:space="0" w:color="auto"/>
              <w:right w:val="single" w:sz="4" w:space="0" w:color="auto"/>
            </w:tcBorders>
            <w:shd w:val="clear" w:color="000000" w:fill="D9D9D9"/>
            <w:noWrap/>
            <w:vAlign w:val="center"/>
            <w:hideMark/>
          </w:tcPr>
          <w:p w14:paraId="0F746F58" w14:textId="77777777" w:rsidR="009C7C34" w:rsidRPr="009C7C34" w:rsidRDefault="009C7C34" w:rsidP="009C7C34">
            <w:pPr>
              <w:spacing w:before="240"/>
              <w:jc w:val="center"/>
              <w:rPr>
                <w:rFonts w:ascii="Arial" w:hAnsi="Arial" w:cs="Arial"/>
                <w:b/>
                <w:bCs/>
                <w:sz w:val="18"/>
                <w:szCs w:val="18"/>
                <w:lang w:val="es-PY"/>
              </w:rPr>
            </w:pPr>
            <w:r w:rsidRPr="009C7C34">
              <w:rPr>
                <w:rFonts w:ascii="Arial" w:hAnsi="Arial" w:cs="Arial"/>
                <w:b/>
                <w:bCs/>
                <w:sz w:val="18"/>
                <w:szCs w:val="18"/>
                <w:lang w:val="es-PY"/>
              </w:rPr>
              <w:t>Año 2</w:t>
            </w:r>
          </w:p>
        </w:tc>
        <w:tc>
          <w:tcPr>
            <w:tcW w:w="580" w:type="pct"/>
            <w:gridSpan w:val="4"/>
            <w:tcBorders>
              <w:top w:val="single" w:sz="4" w:space="0" w:color="auto"/>
              <w:left w:val="nil"/>
              <w:bottom w:val="single" w:sz="4" w:space="0" w:color="auto"/>
              <w:right w:val="single" w:sz="4" w:space="0" w:color="auto"/>
            </w:tcBorders>
            <w:shd w:val="clear" w:color="000000" w:fill="D9D9D9"/>
            <w:noWrap/>
            <w:vAlign w:val="center"/>
            <w:hideMark/>
          </w:tcPr>
          <w:p w14:paraId="00E03B8B" w14:textId="77777777" w:rsidR="009C7C34" w:rsidRPr="009C7C34" w:rsidRDefault="009C7C34" w:rsidP="009C7C34">
            <w:pPr>
              <w:spacing w:before="240"/>
              <w:jc w:val="center"/>
              <w:rPr>
                <w:rFonts w:ascii="Arial" w:hAnsi="Arial" w:cs="Arial"/>
                <w:b/>
                <w:bCs/>
                <w:sz w:val="18"/>
                <w:szCs w:val="18"/>
                <w:lang w:val="es-PY"/>
              </w:rPr>
            </w:pPr>
            <w:r w:rsidRPr="009C7C34">
              <w:rPr>
                <w:rFonts w:ascii="Arial" w:hAnsi="Arial" w:cs="Arial"/>
                <w:b/>
                <w:bCs/>
                <w:sz w:val="18"/>
                <w:szCs w:val="18"/>
                <w:lang w:val="es-PY"/>
              </w:rPr>
              <w:t>Año 3</w:t>
            </w:r>
          </w:p>
        </w:tc>
        <w:tc>
          <w:tcPr>
            <w:tcW w:w="582" w:type="pct"/>
            <w:gridSpan w:val="4"/>
            <w:tcBorders>
              <w:top w:val="single" w:sz="4" w:space="0" w:color="auto"/>
              <w:left w:val="nil"/>
              <w:bottom w:val="single" w:sz="4" w:space="0" w:color="auto"/>
              <w:right w:val="single" w:sz="4" w:space="0" w:color="auto"/>
            </w:tcBorders>
            <w:shd w:val="clear" w:color="000000" w:fill="D9D9D9"/>
            <w:noWrap/>
            <w:vAlign w:val="center"/>
            <w:hideMark/>
          </w:tcPr>
          <w:p w14:paraId="3558FC4B" w14:textId="77777777" w:rsidR="009C7C34" w:rsidRPr="009C7C34" w:rsidRDefault="009C7C34" w:rsidP="009C7C34">
            <w:pPr>
              <w:spacing w:before="240"/>
              <w:jc w:val="center"/>
              <w:rPr>
                <w:rFonts w:ascii="Arial" w:hAnsi="Arial" w:cs="Arial"/>
                <w:b/>
                <w:bCs/>
                <w:sz w:val="18"/>
                <w:szCs w:val="18"/>
                <w:lang w:val="es-PY"/>
              </w:rPr>
            </w:pPr>
            <w:r w:rsidRPr="009C7C34">
              <w:rPr>
                <w:rFonts w:ascii="Arial" w:hAnsi="Arial" w:cs="Arial"/>
                <w:b/>
                <w:bCs/>
                <w:sz w:val="18"/>
                <w:szCs w:val="18"/>
                <w:lang w:val="es-PY"/>
              </w:rPr>
              <w:t>Año 4</w:t>
            </w:r>
          </w:p>
        </w:tc>
        <w:tc>
          <w:tcPr>
            <w:tcW w:w="593" w:type="pct"/>
            <w:gridSpan w:val="4"/>
            <w:tcBorders>
              <w:top w:val="single" w:sz="4" w:space="0" w:color="auto"/>
              <w:left w:val="nil"/>
              <w:bottom w:val="single" w:sz="4" w:space="0" w:color="auto"/>
              <w:right w:val="single" w:sz="4" w:space="0" w:color="auto"/>
            </w:tcBorders>
            <w:shd w:val="clear" w:color="000000" w:fill="D9D9D9"/>
            <w:noWrap/>
            <w:vAlign w:val="center"/>
            <w:hideMark/>
          </w:tcPr>
          <w:p w14:paraId="31D396F3" w14:textId="77777777" w:rsidR="009C7C34" w:rsidRPr="009C7C34" w:rsidRDefault="009C7C34" w:rsidP="009C7C34">
            <w:pPr>
              <w:spacing w:before="240"/>
              <w:jc w:val="center"/>
              <w:rPr>
                <w:rFonts w:ascii="Arial" w:hAnsi="Arial" w:cs="Arial"/>
                <w:b/>
                <w:bCs/>
                <w:sz w:val="18"/>
                <w:szCs w:val="18"/>
                <w:lang w:val="es-PY"/>
              </w:rPr>
            </w:pPr>
            <w:r w:rsidRPr="009C7C34">
              <w:rPr>
                <w:rFonts w:ascii="Arial" w:hAnsi="Arial" w:cs="Arial"/>
                <w:b/>
                <w:bCs/>
                <w:sz w:val="18"/>
                <w:szCs w:val="18"/>
                <w:lang w:val="es-PY"/>
              </w:rPr>
              <w:t>Año 5</w:t>
            </w:r>
          </w:p>
        </w:tc>
      </w:tr>
      <w:tr w:rsidR="009C7C34" w:rsidRPr="009C7C34" w14:paraId="4C44B244" w14:textId="77777777" w:rsidTr="00C2376E">
        <w:trPr>
          <w:trHeight w:val="225"/>
          <w:tblHeader/>
        </w:trPr>
        <w:tc>
          <w:tcPr>
            <w:tcW w:w="258" w:type="pct"/>
            <w:vMerge/>
            <w:tcBorders>
              <w:top w:val="single" w:sz="4" w:space="0" w:color="auto"/>
              <w:left w:val="single" w:sz="4" w:space="0" w:color="auto"/>
              <w:bottom w:val="single" w:sz="4" w:space="0" w:color="000000"/>
              <w:right w:val="single" w:sz="4" w:space="0" w:color="auto"/>
            </w:tcBorders>
            <w:vAlign w:val="center"/>
            <w:hideMark/>
          </w:tcPr>
          <w:p w14:paraId="08FB1103" w14:textId="77777777" w:rsidR="009C7C34" w:rsidRPr="009C7C34" w:rsidRDefault="009C7C34" w:rsidP="009C7C34">
            <w:pPr>
              <w:spacing w:before="240"/>
              <w:jc w:val="center"/>
              <w:rPr>
                <w:rFonts w:ascii="Arial" w:hAnsi="Arial" w:cs="Arial"/>
                <w:b/>
                <w:bCs/>
                <w:sz w:val="18"/>
                <w:szCs w:val="18"/>
                <w:lang w:val="es-PY"/>
              </w:rPr>
            </w:pPr>
          </w:p>
        </w:tc>
        <w:tc>
          <w:tcPr>
            <w:tcW w:w="1191" w:type="pct"/>
            <w:vMerge/>
            <w:tcBorders>
              <w:top w:val="single" w:sz="4" w:space="0" w:color="auto"/>
              <w:left w:val="single" w:sz="4" w:space="0" w:color="auto"/>
              <w:bottom w:val="single" w:sz="4" w:space="0" w:color="000000"/>
              <w:right w:val="single" w:sz="4" w:space="0" w:color="auto"/>
            </w:tcBorders>
            <w:vAlign w:val="center"/>
            <w:hideMark/>
          </w:tcPr>
          <w:p w14:paraId="22C85867" w14:textId="77777777" w:rsidR="009C7C34" w:rsidRPr="009C7C34" w:rsidRDefault="009C7C34" w:rsidP="009C7C34">
            <w:pPr>
              <w:spacing w:before="240"/>
              <w:jc w:val="center"/>
              <w:rPr>
                <w:rFonts w:ascii="Arial" w:hAnsi="Arial" w:cs="Arial"/>
                <w:b/>
                <w:bCs/>
                <w:sz w:val="18"/>
                <w:szCs w:val="18"/>
                <w:lang w:val="es-PY"/>
              </w:rPr>
            </w:pPr>
          </w:p>
        </w:tc>
        <w:tc>
          <w:tcPr>
            <w:tcW w:w="600" w:type="pct"/>
            <w:tcBorders>
              <w:top w:val="nil"/>
              <w:left w:val="nil"/>
              <w:bottom w:val="single" w:sz="4" w:space="0" w:color="auto"/>
              <w:right w:val="single" w:sz="4" w:space="0" w:color="auto"/>
            </w:tcBorders>
            <w:shd w:val="clear" w:color="000000" w:fill="D9D9D9"/>
            <w:vAlign w:val="center"/>
            <w:hideMark/>
          </w:tcPr>
          <w:p w14:paraId="7AF41B01" w14:textId="77777777" w:rsidR="009C7C34" w:rsidRPr="009C7C34" w:rsidRDefault="009C7C34" w:rsidP="009C7C34">
            <w:pPr>
              <w:spacing w:before="240"/>
              <w:jc w:val="center"/>
              <w:rPr>
                <w:rFonts w:ascii="Arial" w:hAnsi="Arial" w:cs="Arial"/>
                <w:b/>
                <w:bCs/>
                <w:sz w:val="18"/>
                <w:szCs w:val="18"/>
                <w:lang w:val="es-PY"/>
              </w:rPr>
            </w:pPr>
            <w:r w:rsidRPr="009C7C34">
              <w:rPr>
                <w:rFonts w:ascii="Arial" w:hAnsi="Arial" w:cs="Arial"/>
                <w:b/>
                <w:bCs/>
                <w:sz w:val="18"/>
                <w:szCs w:val="18"/>
                <w:lang w:val="es-PY"/>
              </w:rPr>
              <w:t>EDG-OE</w:t>
            </w:r>
          </w:p>
        </w:tc>
        <w:tc>
          <w:tcPr>
            <w:tcW w:w="199" w:type="pct"/>
            <w:tcBorders>
              <w:top w:val="nil"/>
              <w:left w:val="nil"/>
              <w:bottom w:val="single" w:sz="4" w:space="0" w:color="auto"/>
              <w:right w:val="single" w:sz="4" w:space="0" w:color="auto"/>
            </w:tcBorders>
            <w:shd w:val="clear" w:color="000000" w:fill="D9D9D9"/>
            <w:noWrap/>
            <w:vAlign w:val="center"/>
            <w:hideMark/>
          </w:tcPr>
          <w:p w14:paraId="01BCE4AC" w14:textId="77777777" w:rsidR="009C7C34" w:rsidRPr="009C7C34" w:rsidRDefault="009C7C34" w:rsidP="009C7C34">
            <w:pPr>
              <w:spacing w:before="240"/>
              <w:jc w:val="center"/>
              <w:rPr>
                <w:rFonts w:ascii="Arial" w:hAnsi="Arial" w:cs="Arial"/>
                <w:b/>
                <w:bCs/>
                <w:sz w:val="18"/>
                <w:szCs w:val="18"/>
                <w:lang w:val="es-PY"/>
              </w:rPr>
            </w:pPr>
            <w:r w:rsidRPr="009C7C34">
              <w:rPr>
                <w:rFonts w:ascii="Arial" w:hAnsi="Arial" w:cs="Arial"/>
                <w:b/>
                <w:bCs/>
                <w:sz w:val="18"/>
                <w:szCs w:val="18"/>
                <w:lang w:val="es-PY"/>
              </w:rPr>
              <w:t>1</w:t>
            </w:r>
          </w:p>
        </w:tc>
        <w:tc>
          <w:tcPr>
            <w:tcW w:w="137" w:type="pct"/>
            <w:tcBorders>
              <w:top w:val="nil"/>
              <w:left w:val="nil"/>
              <w:bottom w:val="single" w:sz="4" w:space="0" w:color="auto"/>
              <w:right w:val="single" w:sz="4" w:space="0" w:color="auto"/>
            </w:tcBorders>
            <w:shd w:val="clear" w:color="000000" w:fill="D9D9D9"/>
            <w:noWrap/>
            <w:vAlign w:val="center"/>
            <w:hideMark/>
          </w:tcPr>
          <w:p w14:paraId="469D5A8C" w14:textId="77777777" w:rsidR="009C7C34" w:rsidRPr="009C7C34" w:rsidRDefault="009C7C34" w:rsidP="009C7C34">
            <w:pPr>
              <w:spacing w:before="240"/>
              <w:jc w:val="center"/>
              <w:rPr>
                <w:rFonts w:ascii="Arial" w:hAnsi="Arial" w:cs="Arial"/>
                <w:b/>
                <w:bCs/>
                <w:sz w:val="18"/>
                <w:szCs w:val="18"/>
                <w:lang w:val="es-PY"/>
              </w:rPr>
            </w:pPr>
            <w:r w:rsidRPr="009C7C34">
              <w:rPr>
                <w:rFonts w:ascii="Arial" w:hAnsi="Arial" w:cs="Arial"/>
                <w:b/>
                <w:bCs/>
                <w:sz w:val="18"/>
                <w:szCs w:val="18"/>
                <w:lang w:val="es-PY"/>
              </w:rPr>
              <w:t>2</w:t>
            </w:r>
          </w:p>
        </w:tc>
        <w:tc>
          <w:tcPr>
            <w:tcW w:w="139" w:type="pct"/>
            <w:tcBorders>
              <w:top w:val="nil"/>
              <w:left w:val="nil"/>
              <w:bottom w:val="single" w:sz="4" w:space="0" w:color="auto"/>
              <w:right w:val="single" w:sz="4" w:space="0" w:color="auto"/>
            </w:tcBorders>
            <w:shd w:val="clear" w:color="000000" w:fill="D9D9D9"/>
            <w:noWrap/>
            <w:vAlign w:val="center"/>
            <w:hideMark/>
          </w:tcPr>
          <w:p w14:paraId="1DA79251" w14:textId="77777777" w:rsidR="009C7C34" w:rsidRPr="009C7C34" w:rsidRDefault="009C7C34" w:rsidP="009C7C34">
            <w:pPr>
              <w:spacing w:before="240"/>
              <w:jc w:val="center"/>
              <w:rPr>
                <w:rFonts w:ascii="Arial" w:hAnsi="Arial" w:cs="Arial"/>
                <w:b/>
                <w:bCs/>
                <w:sz w:val="18"/>
                <w:szCs w:val="18"/>
                <w:lang w:val="es-PY"/>
              </w:rPr>
            </w:pPr>
            <w:r w:rsidRPr="009C7C34">
              <w:rPr>
                <w:rFonts w:ascii="Arial" w:hAnsi="Arial" w:cs="Arial"/>
                <w:b/>
                <w:bCs/>
                <w:sz w:val="18"/>
                <w:szCs w:val="18"/>
                <w:lang w:val="es-PY"/>
              </w:rPr>
              <w:t>3</w:t>
            </w:r>
          </w:p>
        </w:tc>
        <w:tc>
          <w:tcPr>
            <w:tcW w:w="141" w:type="pct"/>
            <w:gridSpan w:val="2"/>
            <w:tcBorders>
              <w:top w:val="nil"/>
              <w:left w:val="nil"/>
              <w:bottom w:val="single" w:sz="4" w:space="0" w:color="auto"/>
              <w:right w:val="single" w:sz="4" w:space="0" w:color="auto"/>
            </w:tcBorders>
            <w:shd w:val="clear" w:color="000000" w:fill="D9D9D9"/>
            <w:noWrap/>
            <w:vAlign w:val="center"/>
            <w:hideMark/>
          </w:tcPr>
          <w:p w14:paraId="40A4F5A8" w14:textId="77777777" w:rsidR="009C7C34" w:rsidRPr="009C7C34" w:rsidRDefault="009C7C34" w:rsidP="009C7C34">
            <w:pPr>
              <w:spacing w:before="240"/>
              <w:jc w:val="center"/>
              <w:rPr>
                <w:rFonts w:ascii="Arial" w:hAnsi="Arial" w:cs="Arial"/>
                <w:b/>
                <w:bCs/>
                <w:sz w:val="18"/>
                <w:szCs w:val="18"/>
                <w:lang w:val="es-PY"/>
              </w:rPr>
            </w:pPr>
            <w:r w:rsidRPr="009C7C34">
              <w:rPr>
                <w:rFonts w:ascii="Arial" w:hAnsi="Arial" w:cs="Arial"/>
                <w:b/>
                <w:bCs/>
                <w:sz w:val="18"/>
                <w:szCs w:val="18"/>
                <w:lang w:val="es-PY"/>
              </w:rPr>
              <w:t>4</w:t>
            </w:r>
          </w:p>
        </w:tc>
        <w:tc>
          <w:tcPr>
            <w:tcW w:w="140" w:type="pct"/>
            <w:tcBorders>
              <w:top w:val="nil"/>
              <w:left w:val="nil"/>
              <w:bottom w:val="single" w:sz="4" w:space="0" w:color="auto"/>
              <w:right w:val="single" w:sz="4" w:space="0" w:color="auto"/>
            </w:tcBorders>
            <w:shd w:val="clear" w:color="000000" w:fill="D9D9D9"/>
            <w:noWrap/>
            <w:vAlign w:val="center"/>
            <w:hideMark/>
          </w:tcPr>
          <w:p w14:paraId="13710BC5" w14:textId="77777777" w:rsidR="009C7C34" w:rsidRPr="009C7C34" w:rsidRDefault="009C7C34" w:rsidP="009C7C34">
            <w:pPr>
              <w:spacing w:before="240"/>
              <w:jc w:val="center"/>
              <w:rPr>
                <w:rFonts w:ascii="Arial" w:hAnsi="Arial" w:cs="Arial"/>
                <w:b/>
                <w:bCs/>
                <w:sz w:val="18"/>
                <w:szCs w:val="18"/>
                <w:lang w:val="es-PY"/>
              </w:rPr>
            </w:pPr>
            <w:r w:rsidRPr="009C7C34">
              <w:rPr>
                <w:rFonts w:ascii="Arial" w:hAnsi="Arial" w:cs="Arial"/>
                <w:b/>
                <w:bCs/>
                <w:sz w:val="18"/>
                <w:szCs w:val="18"/>
                <w:lang w:val="es-PY"/>
              </w:rPr>
              <w:t>1</w:t>
            </w:r>
          </w:p>
        </w:tc>
        <w:tc>
          <w:tcPr>
            <w:tcW w:w="140" w:type="pct"/>
            <w:tcBorders>
              <w:top w:val="nil"/>
              <w:left w:val="nil"/>
              <w:bottom w:val="single" w:sz="4" w:space="0" w:color="auto"/>
              <w:right w:val="single" w:sz="4" w:space="0" w:color="auto"/>
            </w:tcBorders>
            <w:shd w:val="clear" w:color="000000" w:fill="D9D9D9"/>
            <w:noWrap/>
            <w:vAlign w:val="center"/>
            <w:hideMark/>
          </w:tcPr>
          <w:p w14:paraId="72DD40F5" w14:textId="77777777" w:rsidR="009C7C34" w:rsidRPr="009C7C34" w:rsidRDefault="009C7C34" w:rsidP="009C7C34">
            <w:pPr>
              <w:spacing w:before="240"/>
              <w:jc w:val="center"/>
              <w:rPr>
                <w:rFonts w:ascii="Arial" w:hAnsi="Arial" w:cs="Arial"/>
                <w:b/>
                <w:bCs/>
                <w:sz w:val="18"/>
                <w:szCs w:val="18"/>
                <w:lang w:val="es-PY"/>
              </w:rPr>
            </w:pPr>
            <w:r w:rsidRPr="009C7C34">
              <w:rPr>
                <w:rFonts w:ascii="Arial" w:hAnsi="Arial" w:cs="Arial"/>
                <w:b/>
                <w:bCs/>
                <w:sz w:val="18"/>
                <w:szCs w:val="18"/>
                <w:lang w:val="es-PY"/>
              </w:rPr>
              <w:t>2</w:t>
            </w:r>
          </w:p>
        </w:tc>
        <w:tc>
          <w:tcPr>
            <w:tcW w:w="140" w:type="pct"/>
            <w:tcBorders>
              <w:top w:val="nil"/>
              <w:left w:val="nil"/>
              <w:bottom w:val="single" w:sz="4" w:space="0" w:color="auto"/>
              <w:right w:val="single" w:sz="4" w:space="0" w:color="auto"/>
            </w:tcBorders>
            <w:shd w:val="clear" w:color="000000" w:fill="D9D9D9"/>
            <w:noWrap/>
            <w:vAlign w:val="center"/>
            <w:hideMark/>
          </w:tcPr>
          <w:p w14:paraId="2D11E048" w14:textId="77777777" w:rsidR="009C7C34" w:rsidRPr="009C7C34" w:rsidRDefault="009C7C34" w:rsidP="009C7C34">
            <w:pPr>
              <w:spacing w:before="240"/>
              <w:jc w:val="center"/>
              <w:rPr>
                <w:rFonts w:ascii="Arial" w:hAnsi="Arial" w:cs="Arial"/>
                <w:b/>
                <w:bCs/>
                <w:sz w:val="18"/>
                <w:szCs w:val="18"/>
                <w:lang w:val="es-PY"/>
              </w:rPr>
            </w:pPr>
            <w:r w:rsidRPr="009C7C34">
              <w:rPr>
                <w:rFonts w:ascii="Arial" w:hAnsi="Arial" w:cs="Arial"/>
                <w:b/>
                <w:bCs/>
                <w:sz w:val="18"/>
                <w:szCs w:val="18"/>
                <w:lang w:val="es-PY"/>
              </w:rPr>
              <w:t>3</w:t>
            </w:r>
          </w:p>
        </w:tc>
        <w:tc>
          <w:tcPr>
            <w:tcW w:w="153" w:type="pct"/>
            <w:tcBorders>
              <w:top w:val="nil"/>
              <w:left w:val="nil"/>
              <w:bottom w:val="single" w:sz="4" w:space="0" w:color="auto"/>
              <w:right w:val="single" w:sz="4" w:space="0" w:color="auto"/>
            </w:tcBorders>
            <w:shd w:val="clear" w:color="000000" w:fill="D9D9D9"/>
            <w:noWrap/>
            <w:vAlign w:val="center"/>
            <w:hideMark/>
          </w:tcPr>
          <w:p w14:paraId="21D5E594" w14:textId="77777777" w:rsidR="009C7C34" w:rsidRPr="009C7C34" w:rsidRDefault="009C7C34" w:rsidP="009C7C34">
            <w:pPr>
              <w:spacing w:before="240"/>
              <w:jc w:val="center"/>
              <w:rPr>
                <w:rFonts w:ascii="Arial" w:hAnsi="Arial" w:cs="Arial"/>
                <w:b/>
                <w:bCs/>
                <w:sz w:val="18"/>
                <w:szCs w:val="18"/>
                <w:lang w:val="es-PY"/>
              </w:rPr>
            </w:pPr>
            <w:r w:rsidRPr="009C7C34">
              <w:rPr>
                <w:rFonts w:ascii="Arial" w:hAnsi="Arial" w:cs="Arial"/>
                <w:b/>
                <w:bCs/>
                <w:sz w:val="18"/>
                <w:szCs w:val="18"/>
                <w:lang w:val="es-PY"/>
              </w:rPr>
              <w:t>4</w:t>
            </w:r>
          </w:p>
        </w:tc>
        <w:tc>
          <w:tcPr>
            <w:tcW w:w="148" w:type="pct"/>
            <w:tcBorders>
              <w:top w:val="nil"/>
              <w:left w:val="nil"/>
              <w:bottom w:val="single" w:sz="4" w:space="0" w:color="auto"/>
              <w:right w:val="single" w:sz="4" w:space="0" w:color="auto"/>
            </w:tcBorders>
            <w:shd w:val="clear" w:color="000000" w:fill="D9D9D9"/>
            <w:noWrap/>
            <w:vAlign w:val="center"/>
            <w:hideMark/>
          </w:tcPr>
          <w:p w14:paraId="25D513D1" w14:textId="77777777" w:rsidR="009C7C34" w:rsidRPr="009C7C34" w:rsidRDefault="009C7C34" w:rsidP="009C7C34">
            <w:pPr>
              <w:spacing w:before="240"/>
              <w:jc w:val="center"/>
              <w:rPr>
                <w:rFonts w:ascii="Arial" w:hAnsi="Arial" w:cs="Arial"/>
                <w:b/>
                <w:bCs/>
                <w:sz w:val="18"/>
                <w:szCs w:val="18"/>
                <w:lang w:val="es-PY"/>
              </w:rPr>
            </w:pPr>
            <w:r w:rsidRPr="009C7C34">
              <w:rPr>
                <w:rFonts w:ascii="Arial" w:hAnsi="Arial" w:cs="Arial"/>
                <w:b/>
                <w:bCs/>
                <w:sz w:val="18"/>
                <w:szCs w:val="18"/>
                <w:lang w:val="es-PY"/>
              </w:rPr>
              <w:t>1</w:t>
            </w:r>
          </w:p>
        </w:tc>
        <w:tc>
          <w:tcPr>
            <w:tcW w:w="145" w:type="pct"/>
            <w:tcBorders>
              <w:top w:val="nil"/>
              <w:left w:val="nil"/>
              <w:bottom w:val="single" w:sz="4" w:space="0" w:color="auto"/>
              <w:right w:val="single" w:sz="4" w:space="0" w:color="auto"/>
            </w:tcBorders>
            <w:shd w:val="clear" w:color="000000" w:fill="D9D9D9"/>
            <w:noWrap/>
            <w:vAlign w:val="center"/>
            <w:hideMark/>
          </w:tcPr>
          <w:p w14:paraId="7A66037A" w14:textId="77777777" w:rsidR="009C7C34" w:rsidRPr="009C7C34" w:rsidRDefault="009C7C34" w:rsidP="009C7C34">
            <w:pPr>
              <w:spacing w:before="240"/>
              <w:jc w:val="center"/>
              <w:rPr>
                <w:rFonts w:ascii="Arial" w:hAnsi="Arial" w:cs="Arial"/>
                <w:b/>
                <w:bCs/>
                <w:sz w:val="18"/>
                <w:szCs w:val="18"/>
                <w:lang w:val="es-PY"/>
              </w:rPr>
            </w:pPr>
            <w:r w:rsidRPr="009C7C34">
              <w:rPr>
                <w:rFonts w:ascii="Arial" w:hAnsi="Arial" w:cs="Arial"/>
                <w:b/>
                <w:bCs/>
                <w:sz w:val="18"/>
                <w:szCs w:val="18"/>
                <w:lang w:val="es-PY"/>
              </w:rPr>
              <w:t>2</w:t>
            </w:r>
          </w:p>
        </w:tc>
        <w:tc>
          <w:tcPr>
            <w:tcW w:w="140" w:type="pct"/>
            <w:tcBorders>
              <w:top w:val="nil"/>
              <w:left w:val="nil"/>
              <w:bottom w:val="single" w:sz="4" w:space="0" w:color="auto"/>
              <w:right w:val="single" w:sz="4" w:space="0" w:color="auto"/>
            </w:tcBorders>
            <w:shd w:val="clear" w:color="000000" w:fill="D9D9D9"/>
            <w:noWrap/>
            <w:vAlign w:val="center"/>
            <w:hideMark/>
          </w:tcPr>
          <w:p w14:paraId="36A05542" w14:textId="77777777" w:rsidR="009C7C34" w:rsidRPr="009C7C34" w:rsidRDefault="009C7C34" w:rsidP="009C7C34">
            <w:pPr>
              <w:spacing w:before="240"/>
              <w:jc w:val="center"/>
              <w:rPr>
                <w:rFonts w:ascii="Arial" w:hAnsi="Arial" w:cs="Arial"/>
                <w:b/>
                <w:bCs/>
                <w:sz w:val="18"/>
                <w:szCs w:val="18"/>
                <w:lang w:val="es-PY"/>
              </w:rPr>
            </w:pPr>
            <w:r w:rsidRPr="009C7C34">
              <w:rPr>
                <w:rFonts w:ascii="Arial" w:hAnsi="Arial" w:cs="Arial"/>
                <w:b/>
                <w:bCs/>
                <w:sz w:val="18"/>
                <w:szCs w:val="18"/>
                <w:lang w:val="es-PY"/>
              </w:rPr>
              <w:t>3</w:t>
            </w:r>
          </w:p>
        </w:tc>
        <w:tc>
          <w:tcPr>
            <w:tcW w:w="148" w:type="pct"/>
            <w:tcBorders>
              <w:top w:val="nil"/>
              <w:left w:val="nil"/>
              <w:bottom w:val="single" w:sz="4" w:space="0" w:color="auto"/>
              <w:right w:val="single" w:sz="4" w:space="0" w:color="auto"/>
            </w:tcBorders>
            <w:shd w:val="clear" w:color="000000" w:fill="D9D9D9"/>
            <w:noWrap/>
            <w:vAlign w:val="center"/>
            <w:hideMark/>
          </w:tcPr>
          <w:p w14:paraId="3FF39B38" w14:textId="77777777" w:rsidR="009C7C34" w:rsidRPr="009C7C34" w:rsidRDefault="009C7C34" w:rsidP="009C7C34">
            <w:pPr>
              <w:spacing w:before="240"/>
              <w:jc w:val="center"/>
              <w:rPr>
                <w:rFonts w:ascii="Arial" w:hAnsi="Arial" w:cs="Arial"/>
                <w:b/>
                <w:bCs/>
                <w:sz w:val="18"/>
                <w:szCs w:val="18"/>
                <w:lang w:val="es-PY"/>
              </w:rPr>
            </w:pPr>
            <w:r w:rsidRPr="009C7C34">
              <w:rPr>
                <w:rFonts w:ascii="Arial" w:hAnsi="Arial" w:cs="Arial"/>
                <w:b/>
                <w:bCs/>
                <w:sz w:val="18"/>
                <w:szCs w:val="18"/>
                <w:lang w:val="es-PY"/>
              </w:rPr>
              <w:t>4</w:t>
            </w:r>
          </w:p>
        </w:tc>
        <w:tc>
          <w:tcPr>
            <w:tcW w:w="141" w:type="pct"/>
            <w:tcBorders>
              <w:top w:val="nil"/>
              <w:left w:val="nil"/>
              <w:bottom w:val="single" w:sz="4" w:space="0" w:color="auto"/>
              <w:right w:val="single" w:sz="4" w:space="0" w:color="auto"/>
            </w:tcBorders>
            <w:shd w:val="clear" w:color="000000" w:fill="D9D9D9"/>
            <w:noWrap/>
            <w:vAlign w:val="center"/>
            <w:hideMark/>
          </w:tcPr>
          <w:p w14:paraId="7F968FCD" w14:textId="77777777" w:rsidR="009C7C34" w:rsidRPr="009C7C34" w:rsidRDefault="009C7C34" w:rsidP="009C7C34">
            <w:pPr>
              <w:spacing w:before="240"/>
              <w:jc w:val="center"/>
              <w:rPr>
                <w:rFonts w:ascii="Arial" w:hAnsi="Arial" w:cs="Arial"/>
                <w:b/>
                <w:bCs/>
                <w:sz w:val="18"/>
                <w:szCs w:val="18"/>
                <w:lang w:val="es-PY"/>
              </w:rPr>
            </w:pPr>
            <w:r w:rsidRPr="009C7C34">
              <w:rPr>
                <w:rFonts w:ascii="Arial" w:hAnsi="Arial" w:cs="Arial"/>
                <w:b/>
                <w:bCs/>
                <w:sz w:val="18"/>
                <w:szCs w:val="18"/>
                <w:lang w:val="es-PY"/>
              </w:rPr>
              <w:t>1</w:t>
            </w:r>
          </w:p>
        </w:tc>
        <w:tc>
          <w:tcPr>
            <w:tcW w:w="141" w:type="pct"/>
            <w:tcBorders>
              <w:top w:val="nil"/>
              <w:left w:val="nil"/>
              <w:bottom w:val="single" w:sz="4" w:space="0" w:color="auto"/>
              <w:right w:val="single" w:sz="4" w:space="0" w:color="auto"/>
            </w:tcBorders>
            <w:shd w:val="clear" w:color="000000" w:fill="D9D9D9"/>
            <w:noWrap/>
            <w:vAlign w:val="center"/>
            <w:hideMark/>
          </w:tcPr>
          <w:p w14:paraId="4E17B138" w14:textId="77777777" w:rsidR="009C7C34" w:rsidRPr="009C7C34" w:rsidRDefault="009C7C34" w:rsidP="009C7C34">
            <w:pPr>
              <w:spacing w:before="240"/>
              <w:jc w:val="center"/>
              <w:rPr>
                <w:rFonts w:ascii="Arial" w:hAnsi="Arial" w:cs="Arial"/>
                <w:b/>
                <w:bCs/>
                <w:sz w:val="18"/>
                <w:szCs w:val="18"/>
                <w:lang w:val="es-PY"/>
              </w:rPr>
            </w:pPr>
            <w:r w:rsidRPr="009C7C34">
              <w:rPr>
                <w:rFonts w:ascii="Arial" w:hAnsi="Arial" w:cs="Arial"/>
                <w:b/>
                <w:bCs/>
                <w:sz w:val="18"/>
                <w:szCs w:val="18"/>
                <w:lang w:val="es-PY"/>
              </w:rPr>
              <w:t>2</w:t>
            </w:r>
          </w:p>
        </w:tc>
        <w:tc>
          <w:tcPr>
            <w:tcW w:w="141" w:type="pct"/>
            <w:tcBorders>
              <w:top w:val="nil"/>
              <w:left w:val="nil"/>
              <w:bottom w:val="single" w:sz="4" w:space="0" w:color="auto"/>
              <w:right w:val="single" w:sz="4" w:space="0" w:color="auto"/>
            </w:tcBorders>
            <w:shd w:val="clear" w:color="000000" w:fill="D9D9D9"/>
            <w:noWrap/>
            <w:vAlign w:val="center"/>
            <w:hideMark/>
          </w:tcPr>
          <w:p w14:paraId="7DF69405" w14:textId="77777777" w:rsidR="009C7C34" w:rsidRPr="009C7C34" w:rsidRDefault="009C7C34" w:rsidP="009C7C34">
            <w:pPr>
              <w:spacing w:before="240"/>
              <w:jc w:val="center"/>
              <w:rPr>
                <w:rFonts w:ascii="Arial" w:hAnsi="Arial" w:cs="Arial"/>
                <w:b/>
                <w:bCs/>
                <w:sz w:val="18"/>
                <w:szCs w:val="18"/>
                <w:lang w:val="es-PY"/>
              </w:rPr>
            </w:pPr>
            <w:r w:rsidRPr="009C7C34">
              <w:rPr>
                <w:rFonts w:ascii="Arial" w:hAnsi="Arial" w:cs="Arial"/>
                <w:b/>
                <w:bCs/>
                <w:sz w:val="18"/>
                <w:szCs w:val="18"/>
                <w:lang w:val="es-PY"/>
              </w:rPr>
              <w:t>3</w:t>
            </w:r>
          </w:p>
        </w:tc>
        <w:tc>
          <w:tcPr>
            <w:tcW w:w="159" w:type="pct"/>
            <w:tcBorders>
              <w:top w:val="nil"/>
              <w:left w:val="nil"/>
              <w:bottom w:val="single" w:sz="4" w:space="0" w:color="auto"/>
              <w:right w:val="single" w:sz="4" w:space="0" w:color="auto"/>
            </w:tcBorders>
            <w:shd w:val="clear" w:color="000000" w:fill="D9D9D9"/>
            <w:noWrap/>
            <w:vAlign w:val="center"/>
            <w:hideMark/>
          </w:tcPr>
          <w:p w14:paraId="77998C7C" w14:textId="77777777" w:rsidR="009C7C34" w:rsidRPr="009C7C34" w:rsidRDefault="009C7C34" w:rsidP="009C7C34">
            <w:pPr>
              <w:spacing w:before="240"/>
              <w:jc w:val="center"/>
              <w:rPr>
                <w:rFonts w:ascii="Arial" w:hAnsi="Arial" w:cs="Arial"/>
                <w:b/>
                <w:bCs/>
                <w:sz w:val="18"/>
                <w:szCs w:val="18"/>
                <w:lang w:val="es-PY"/>
              </w:rPr>
            </w:pPr>
            <w:r w:rsidRPr="009C7C34">
              <w:rPr>
                <w:rFonts w:ascii="Arial" w:hAnsi="Arial" w:cs="Arial"/>
                <w:b/>
                <w:bCs/>
                <w:sz w:val="18"/>
                <w:szCs w:val="18"/>
                <w:lang w:val="es-PY"/>
              </w:rPr>
              <w:t>4</w:t>
            </w:r>
          </w:p>
        </w:tc>
        <w:tc>
          <w:tcPr>
            <w:tcW w:w="145" w:type="pct"/>
            <w:tcBorders>
              <w:top w:val="nil"/>
              <w:left w:val="nil"/>
              <w:bottom w:val="single" w:sz="4" w:space="0" w:color="auto"/>
              <w:right w:val="single" w:sz="4" w:space="0" w:color="auto"/>
            </w:tcBorders>
            <w:shd w:val="clear" w:color="000000" w:fill="D9D9D9"/>
            <w:noWrap/>
            <w:vAlign w:val="center"/>
            <w:hideMark/>
          </w:tcPr>
          <w:p w14:paraId="58AF56E0" w14:textId="77777777" w:rsidR="009C7C34" w:rsidRPr="009C7C34" w:rsidRDefault="009C7C34" w:rsidP="009C7C34">
            <w:pPr>
              <w:spacing w:before="240"/>
              <w:jc w:val="center"/>
              <w:rPr>
                <w:rFonts w:ascii="Arial" w:hAnsi="Arial" w:cs="Arial"/>
                <w:b/>
                <w:bCs/>
                <w:sz w:val="18"/>
                <w:szCs w:val="18"/>
                <w:lang w:val="es-PY"/>
              </w:rPr>
            </w:pPr>
            <w:r w:rsidRPr="009C7C34">
              <w:rPr>
                <w:rFonts w:ascii="Arial" w:hAnsi="Arial" w:cs="Arial"/>
                <w:b/>
                <w:bCs/>
                <w:sz w:val="18"/>
                <w:szCs w:val="18"/>
                <w:lang w:val="es-PY"/>
              </w:rPr>
              <w:t>1</w:t>
            </w:r>
          </w:p>
        </w:tc>
        <w:tc>
          <w:tcPr>
            <w:tcW w:w="145" w:type="pct"/>
            <w:tcBorders>
              <w:top w:val="nil"/>
              <w:left w:val="nil"/>
              <w:bottom w:val="single" w:sz="4" w:space="0" w:color="auto"/>
              <w:right w:val="single" w:sz="4" w:space="0" w:color="auto"/>
            </w:tcBorders>
            <w:shd w:val="clear" w:color="000000" w:fill="D9D9D9"/>
            <w:noWrap/>
            <w:vAlign w:val="center"/>
            <w:hideMark/>
          </w:tcPr>
          <w:p w14:paraId="59A4A385" w14:textId="77777777" w:rsidR="009C7C34" w:rsidRPr="009C7C34" w:rsidRDefault="009C7C34" w:rsidP="009C7C34">
            <w:pPr>
              <w:spacing w:before="240"/>
              <w:jc w:val="center"/>
              <w:rPr>
                <w:rFonts w:ascii="Arial" w:hAnsi="Arial" w:cs="Arial"/>
                <w:b/>
                <w:bCs/>
                <w:sz w:val="18"/>
                <w:szCs w:val="18"/>
                <w:lang w:val="es-PY"/>
              </w:rPr>
            </w:pPr>
            <w:r w:rsidRPr="009C7C34">
              <w:rPr>
                <w:rFonts w:ascii="Arial" w:hAnsi="Arial" w:cs="Arial"/>
                <w:b/>
                <w:bCs/>
                <w:sz w:val="18"/>
                <w:szCs w:val="18"/>
                <w:lang w:val="es-PY"/>
              </w:rPr>
              <w:t>2</w:t>
            </w:r>
          </w:p>
        </w:tc>
        <w:tc>
          <w:tcPr>
            <w:tcW w:w="145" w:type="pct"/>
            <w:tcBorders>
              <w:top w:val="nil"/>
              <w:left w:val="nil"/>
              <w:bottom w:val="single" w:sz="4" w:space="0" w:color="auto"/>
              <w:right w:val="single" w:sz="4" w:space="0" w:color="auto"/>
            </w:tcBorders>
            <w:shd w:val="clear" w:color="000000" w:fill="D9D9D9"/>
            <w:noWrap/>
            <w:vAlign w:val="center"/>
            <w:hideMark/>
          </w:tcPr>
          <w:p w14:paraId="1C21FE7C" w14:textId="77777777" w:rsidR="009C7C34" w:rsidRPr="009C7C34" w:rsidRDefault="009C7C34" w:rsidP="009C7C34">
            <w:pPr>
              <w:spacing w:before="240"/>
              <w:jc w:val="center"/>
              <w:rPr>
                <w:rFonts w:ascii="Arial" w:hAnsi="Arial" w:cs="Arial"/>
                <w:b/>
                <w:bCs/>
                <w:sz w:val="18"/>
                <w:szCs w:val="18"/>
                <w:lang w:val="es-PY"/>
              </w:rPr>
            </w:pPr>
            <w:r w:rsidRPr="009C7C34">
              <w:rPr>
                <w:rFonts w:ascii="Arial" w:hAnsi="Arial" w:cs="Arial"/>
                <w:b/>
                <w:bCs/>
                <w:sz w:val="18"/>
                <w:szCs w:val="18"/>
                <w:lang w:val="es-PY"/>
              </w:rPr>
              <w:t>3</w:t>
            </w:r>
          </w:p>
        </w:tc>
        <w:tc>
          <w:tcPr>
            <w:tcW w:w="164" w:type="pct"/>
            <w:gridSpan w:val="2"/>
            <w:tcBorders>
              <w:top w:val="nil"/>
              <w:left w:val="nil"/>
              <w:bottom w:val="single" w:sz="4" w:space="0" w:color="auto"/>
              <w:right w:val="single" w:sz="4" w:space="0" w:color="auto"/>
            </w:tcBorders>
            <w:shd w:val="clear" w:color="000000" w:fill="D9D9D9"/>
            <w:noWrap/>
            <w:vAlign w:val="center"/>
            <w:hideMark/>
          </w:tcPr>
          <w:p w14:paraId="5F2C945E" w14:textId="77777777" w:rsidR="009C7C34" w:rsidRPr="009C7C34" w:rsidRDefault="009C7C34" w:rsidP="009C7C34">
            <w:pPr>
              <w:spacing w:before="240"/>
              <w:jc w:val="center"/>
              <w:rPr>
                <w:rFonts w:ascii="Arial" w:hAnsi="Arial" w:cs="Arial"/>
                <w:b/>
                <w:bCs/>
                <w:sz w:val="18"/>
                <w:szCs w:val="18"/>
                <w:lang w:val="es-PY"/>
              </w:rPr>
            </w:pPr>
            <w:r w:rsidRPr="009C7C34">
              <w:rPr>
                <w:rFonts w:ascii="Arial" w:hAnsi="Arial" w:cs="Arial"/>
                <w:b/>
                <w:bCs/>
                <w:sz w:val="18"/>
                <w:szCs w:val="18"/>
                <w:lang w:val="es-PY"/>
              </w:rPr>
              <w:t>4</w:t>
            </w:r>
          </w:p>
        </w:tc>
      </w:tr>
      <w:tr w:rsidR="009C7C34" w:rsidRPr="009C7C34" w14:paraId="69CE32E1" w14:textId="77777777" w:rsidTr="00C2376E">
        <w:trPr>
          <w:trHeight w:val="300"/>
        </w:trPr>
        <w:tc>
          <w:tcPr>
            <w:tcW w:w="258" w:type="pct"/>
            <w:tcBorders>
              <w:top w:val="nil"/>
              <w:left w:val="single" w:sz="4" w:space="0" w:color="auto"/>
              <w:bottom w:val="single" w:sz="4" w:space="0" w:color="auto"/>
              <w:right w:val="single" w:sz="4" w:space="0" w:color="auto"/>
            </w:tcBorders>
            <w:shd w:val="clear" w:color="000000" w:fill="002060"/>
            <w:noWrap/>
            <w:vAlign w:val="center"/>
            <w:hideMark/>
          </w:tcPr>
          <w:p w14:paraId="0277A590"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1</w:t>
            </w:r>
          </w:p>
        </w:tc>
        <w:tc>
          <w:tcPr>
            <w:tcW w:w="4742" w:type="pct"/>
            <w:gridSpan w:val="24"/>
            <w:tcBorders>
              <w:top w:val="single" w:sz="4" w:space="0" w:color="auto"/>
              <w:left w:val="nil"/>
              <w:bottom w:val="single" w:sz="4" w:space="0" w:color="auto"/>
              <w:right w:val="single" w:sz="4" w:space="0" w:color="auto"/>
            </w:tcBorders>
            <w:shd w:val="clear" w:color="000000" w:fill="002060"/>
            <w:vAlign w:val="center"/>
            <w:hideMark/>
          </w:tcPr>
          <w:p w14:paraId="43172409"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Cumplimiento de Condiciones Previas</w:t>
            </w:r>
          </w:p>
        </w:tc>
      </w:tr>
      <w:tr w:rsidR="009C7C34" w:rsidRPr="009C7C34" w14:paraId="7F78E715" w14:textId="77777777" w:rsidTr="00C2120C">
        <w:trPr>
          <w:trHeight w:val="675"/>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14:paraId="2682C8C4"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1.1</w:t>
            </w:r>
          </w:p>
        </w:tc>
        <w:tc>
          <w:tcPr>
            <w:tcW w:w="1191" w:type="pct"/>
            <w:tcBorders>
              <w:top w:val="nil"/>
              <w:left w:val="nil"/>
              <w:bottom w:val="single" w:sz="4" w:space="0" w:color="auto"/>
              <w:right w:val="single" w:sz="4" w:space="0" w:color="auto"/>
            </w:tcBorders>
            <w:shd w:val="clear" w:color="auto" w:fill="auto"/>
            <w:vAlign w:val="center"/>
            <w:hideMark/>
          </w:tcPr>
          <w:p w14:paraId="025CD7AE"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Desarrollo del Taller de Arranque para la actualización de los instrumentos P&amp;M (MdR/PEP/POA/PA/PD) del proyecto y la Gestión de Riesgos</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CAE4D6"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EP&amp;M</w:t>
            </w:r>
          </w:p>
        </w:tc>
        <w:tc>
          <w:tcPr>
            <w:tcW w:w="199" w:type="pct"/>
            <w:tcBorders>
              <w:top w:val="nil"/>
              <w:left w:val="nil"/>
              <w:bottom w:val="single" w:sz="4" w:space="0" w:color="auto"/>
              <w:right w:val="single" w:sz="4" w:space="0" w:color="auto"/>
            </w:tcBorders>
            <w:shd w:val="clear" w:color="000000" w:fill="DDEBF7"/>
            <w:noWrap/>
            <w:vAlign w:val="center"/>
            <w:hideMark/>
          </w:tcPr>
          <w:p w14:paraId="08B9A92F"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37" w:type="pct"/>
            <w:tcBorders>
              <w:top w:val="nil"/>
              <w:left w:val="nil"/>
              <w:bottom w:val="single" w:sz="4" w:space="0" w:color="auto"/>
              <w:right w:val="single" w:sz="4" w:space="0" w:color="auto"/>
            </w:tcBorders>
            <w:shd w:val="clear" w:color="auto" w:fill="auto"/>
            <w:noWrap/>
            <w:vAlign w:val="center"/>
            <w:hideMark/>
          </w:tcPr>
          <w:p w14:paraId="559C2679"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39" w:type="pct"/>
            <w:tcBorders>
              <w:top w:val="nil"/>
              <w:left w:val="nil"/>
              <w:bottom w:val="single" w:sz="4" w:space="0" w:color="auto"/>
              <w:right w:val="single" w:sz="4" w:space="0" w:color="auto"/>
            </w:tcBorders>
            <w:shd w:val="clear" w:color="auto" w:fill="auto"/>
            <w:noWrap/>
            <w:vAlign w:val="center"/>
            <w:hideMark/>
          </w:tcPr>
          <w:p w14:paraId="627CC4D9"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1" w:type="pct"/>
            <w:gridSpan w:val="2"/>
            <w:tcBorders>
              <w:top w:val="nil"/>
              <w:left w:val="nil"/>
              <w:bottom w:val="single" w:sz="4" w:space="0" w:color="auto"/>
              <w:right w:val="single" w:sz="4" w:space="0" w:color="auto"/>
            </w:tcBorders>
            <w:shd w:val="clear" w:color="auto" w:fill="auto"/>
            <w:noWrap/>
            <w:vAlign w:val="center"/>
            <w:hideMark/>
          </w:tcPr>
          <w:p w14:paraId="6798B151"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0" w:type="pct"/>
            <w:tcBorders>
              <w:top w:val="nil"/>
              <w:left w:val="nil"/>
              <w:bottom w:val="single" w:sz="4" w:space="0" w:color="auto"/>
              <w:right w:val="single" w:sz="4" w:space="0" w:color="auto"/>
            </w:tcBorders>
            <w:shd w:val="clear" w:color="auto" w:fill="auto"/>
            <w:noWrap/>
            <w:vAlign w:val="center"/>
            <w:hideMark/>
          </w:tcPr>
          <w:p w14:paraId="67D74D43"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0" w:type="pct"/>
            <w:tcBorders>
              <w:top w:val="nil"/>
              <w:left w:val="nil"/>
              <w:bottom w:val="single" w:sz="4" w:space="0" w:color="auto"/>
              <w:right w:val="single" w:sz="4" w:space="0" w:color="auto"/>
            </w:tcBorders>
            <w:shd w:val="clear" w:color="auto" w:fill="auto"/>
            <w:noWrap/>
            <w:vAlign w:val="center"/>
            <w:hideMark/>
          </w:tcPr>
          <w:p w14:paraId="49BBDF34"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0" w:type="pct"/>
            <w:tcBorders>
              <w:top w:val="nil"/>
              <w:left w:val="nil"/>
              <w:bottom w:val="single" w:sz="4" w:space="0" w:color="auto"/>
              <w:right w:val="single" w:sz="4" w:space="0" w:color="auto"/>
            </w:tcBorders>
            <w:shd w:val="clear" w:color="auto" w:fill="auto"/>
            <w:noWrap/>
            <w:vAlign w:val="center"/>
            <w:hideMark/>
          </w:tcPr>
          <w:p w14:paraId="476E9BE4"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53" w:type="pct"/>
            <w:tcBorders>
              <w:top w:val="nil"/>
              <w:left w:val="nil"/>
              <w:bottom w:val="single" w:sz="4" w:space="0" w:color="auto"/>
              <w:right w:val="single" w:sz="4" w:space="0" w:color="auto"/>
            </w:tcBorders>
            <w:shd w:val="clear" w:color="auto" w:fill="auto"/>
            <w:noWrap/>
            <w:vAlign w:val="center"/>
            <w:hideMark/>
          </w:tcPr>
          <w:p w14:paraId="795F5709"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8" w:type="pct"/>
            <w:tcBorders>
              <w:top w:val="nil"/>
              <w:left w:val="nil"/>
              <w:bottom w:val="single" w:sz="4" w:space="0" w:color="auto"/>
              <w:right w:val="single" w:sz="4" w:space="0" w:color="auto"/>
            </w:tcBorders>
            <w:shd w:val="clear" w:color="auto" w:fill="auto"/>
            <w:noWrap/>
            <w:vAlign w:val="center"/>
            <w:hideMark/>
          </w:tcPr>
          <w:p w14:paraId="599AF2F9"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5" w:type="pct"/>
            <w:tcBorders>
              <w:top w:val="nil"/>
              <w:left w:val="nil"/>
              <w:bottom w:val="single" w:sz="4" w:space="0" w:color="auto"/>
              <w:right w:val="single" w:sz="4" w:space="0" w:color="auto"/>
            </w:tcBorders>
            <w:shd w:val="clear" w:color="auto" w:fill="auto"/>
            <w:noWrap/>
            <w:vAlign w:val="center"/>
            <w:hideMark/>
          </w:tcPr>
          <w:p w14:paraId="28681A4B"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0" w:type="pct"/>
            <w:tcBorders>
              <w:top w:val="nil"/>
              <w:left w:val="nil"/>
              <w:bottom w:val="single" w:sz="4" w:space="0" w:color="auto"/>
              <w:right w:val="single" w:sz="4" w:space="0" w:color="auto"/>
            </w:tcBorders>
            <w:shd w:val="clear" w:color="auto" w:fill="auto"/>
            <w:noWrap/>
            <w:vAlign w:val="center"/>
            <w:hideMark/>
          </w:tcPr>
          <w:p w14:paraId="3CC56EF0"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8" w:type="pct"/>
            <w:tcBorders>
              <w:top w:val="nil"/>
              <w:left w:val="nil"/>
              <w:bottom w:val="single" w:sz="4" w:space="0" w:color="auto"/>
              <w:right w:val="single" w:sz="4" w:space="0" w:color="auto"/>
            </w:tcBorders>
            <w:shd w:val="clear" w:color="auto" w:fill="auto"/>
            <w:noWrap/>
            <w:vAlign w:val="center"/>
            <w:hideMark/>
          </w:tcPr>
          <w:p w14:paraId="7D3DAFCC"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1" w:type="pct"/>
            <w:tcBorders>
              <w:top w:val="nil"/>
              <w:left w:val="nil"/>
              <w:bottom w:val="single" w:sz="4" w:space="0" w:color="auto"/>
              <w:right w:val="single" w:sz="4" w:space="0" w:color="auto"/>
            </w:tcBorders>
            <w:shd w:val="clear" w:color="auto" w:fill="auto"/>
            <w:noWrap/>
            <w:vAlign w:val="center"/>
            <w:hideMark/>
          </w:tcPr>
          <w:p w14:paraId="428E114E"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1" w:type="pct"/>
            <w:tcBorders>
              <w:top w:val="nil"/>
              <w:left w:val="nil"/>
              <w:bottom w:val="single" w:sz="4" w:space="0" w:color="auto"/>
              <w:right w:val="single" w:sz="4" w:space="0" w:color="auto"/>
            </w:tcBorders>
            <w:shd w:val="clear" w:color="auto" w:fill="auto"/>
            <w:noWrap/>
            <w:vAlign w:val="center"/>
            <w:hideMark/>
          </w:tcPr>
          <w:p w14:paraId="5F3AC243"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1" w:type="pct"/>
            <w:tcBorders>
              <w:top w:val="nil"/>
              <w:left w:val="nil"/>
              <w:bottom w:val="single" w:sz="4" w:space="0" w:color="auto"/>
              <w:right w:val="single" w:sz="4" w:space="0" w:color="auto"/>
            </w:tcBorders>
            <w:shd w:val="clear" w:color="auto" w:fill="auto"/>
            <w:noWrap/>
            <w:vAlign w:val="center"/>
            <w:hideMark/>
          </w:tcPr>
          <w:p w14:paraId="6C3B77E0"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59" w:type="pct"/>
            <w:tcBorders>
              <w:top w:val="nil"/>
              <w:left w:val="nil"/>
              <w:bottom w:val="single" w:sz="4" w:space="0" w:color="auto"/>
              <w:right w:val="single" w:sz="4" w:space="0" w:color="auto"/>
            </w:tcBorders>
            <w:shd w:val="clear" w:color="auto" w:fill="auto"/>
            <w:noWrap/>
            <w:vAlign w:val="center"/>
            <w:hideMark/>
          </w:tcPr>
          <w:p w14:paraId="4072D006"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5" w:type="pct"/>
            <w:tcBorders>
              <w:top w:val="nil"/>
              <w:left w:val="nil"/>
              <w:bottom w:val="single" w:sz="4" w:space="0" w:color="auto"/>
              <w:right w:val="single" w:sz="4" w:space="0" w:color="auto"/>
            </w:tcBorders>
            <w:shd w:val="clear" w:color="auto" w:fill="auto"/>
            <w:noWrap/>
            <w:vAlign w:val="center"/>
            <w:hideMark/>
          </w:tcPr>
          <w:p w14:paraId="0FA35591"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5" w:type="pct"/>
            <w:tcBorders>
              <w:top w:val="nil"/>
              <w:left w:val="nil"/>
              <w:bottom w:val="single" w:sz="4" w:space="0" w:color="auto"/>
              <w:right w:val="single" w:sz="4" w:space="0" w:color="auto"/>
            </w:tcBorders>
            <w:shd w:val="clear" w:color="auto" w:fill="auto"/>
            <w:noWrap/>
            <w:vAlign w:val="center"/>
            <w:hideMark/>
          </w:tcPr>
          <w:p w14:paraId="081657EC"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5" w:type="pct"/>
            <w:tcBorders>
              <w:top w:val="nil"/>
              <w:left w:val="nil"/>
              <w:bottom w:val="single" w:sz="4" w:space="0" w:color="auto"/>
              <w:right w:val="single" w:sz="4" w:space="0" w:color="auto"/>
            </w:tcBorders>
            <w:shd w:val="clear" w:color="auto" w:fill="auto"/>
            <w:noWrap/>
            <w:vAlign w:val="center"/>
            <w:hideMark/>
          </w:tcPr>
          <w:p w14:paraId="5C37ADB5"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64" w:type="pct"/>
            <w:gridSpan w:val="2"/>
            <w:tcBorders>
              <w:top w:val="nil"/>
              <w:left w:val="nil"/>
              <w:bottom w:val="single" w:sz="4" w:space="0" w:color="auto"/>
              <w:right w:val="single" w:sz="4" w:space="0" w:color="auto"/>
            </w:tcBorders>
            <w:shd w:val="clear" w:color="auto" w:fill="auto"/>
            <w:noWrap/>
            <w:vAlign w:val="center"/>
            <w:hideMark/>
          </w:tcPr>
          <w:p w14:paraId="5F0FE2B3"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r>
      <w:tr w:rsidR="009C7C34" w:rsidRPr="009C7C34" w14:paraId="6E101DD3" w14:textId="77777777" w:rsidTr="00C2120C">
        <w:trPr>
          <w:trHeight w:val="48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14:paraId="5C460CB5"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lastRenderedPageBreak/>
              <w:t>1.2</w:t>
            </w:r>
          </w:p>
        </w:tc>
        <w:tc>
          <w:tcPr>
            <w:tcW w:w="1191" w:type="pct"/>
            <w:tcBorders>
              <w:top w:val="nil"/>
              <w:left w:val="nil"/>
              <w:bottom w:val="single" w:sz="4" w:space="0" w:color="auto"/>
              <w:right w:val="single" w:sz="4" w:space="0" w:color="auto"/>
            </w:tcBorders>
            <w:shd w:val="clear" w:color="auto" w:fill="auto"/>
            <w:vAlign w:val="center"/>
            <w:hideMark/>
          </w:tcPr>
          <w:p w14:paraId="0662742B"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xml:space="preserve">Actualización / completar el desarrollo del Reglamento   Operativo del Proyecto </w:t>
            </w: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0A0F4521" w14:textId="77777777" w:rsidR="009C7C34" w:rsidRPr="009C7C34" w:rsidRDefault="009C7C34" w:rsidP="009C7C34">
            <w:pPr>
              <w:spacing w:before="240"/>
              <w:jc w:val="center"/>
              <w:rPr>
                <w:rFonts w:ascii="Arial" w:hAnsi="Arial" w:cs="Arial"/>
                <w:b/>
                <w:sz w:val="18"/>
                <w:szCs w:val="18"/>
                <w:lang w:val="es-PY"/>
              </w:rPr>
            </w:pPr>
          </w:p>
        </w:tc>
        <w:tc>
          <w:tcPr>
            <w:tcW w:w="199" w:type="pct"/>
            <w:tcBorders>
              <w:top w:val="nil"/>
              <w:left w:val="nil"/>
              <w:bottom w:val="single" w:sz="4" w:space="0" w:color="auto"/>
              <w:right w:val="single" w:sz="4" w:space="0" w:color="auto"/>
            </w:tcBorders>
            <w:shd w:val="clear" w:color="000000" w:fill="DDEBF7"/>
            <w:noWrap/>
            <w:vAlign w:val="center"/>
            <w:hideMark/>
          </w:tcPr>
          <w:p w14:paraId="06DBBC9D"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37" w:type="pct"/>
            <w:tcBorders>
              <w:top w:val="nil"/>
              <w:left w:val="nil"/>
              <w:bottom w:val="single" w:sz="4" w:space="0" w:color="auto"/>
              <w:right w:val="single" w:sz="4" w:space="0" w:color="auto"/>
            </w:tcBorders>
            <w:shd w:val="clear" w:color="auto" w:fill="auto"/>
            <w:noWrap/>
            <w:vAlign w:val="center"/>
            <w:hideMark/>
          </w:tcPr>
          <w:p w14:paraId="36DF7A4C"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39" w:type="pct"/>
            <w:tcBorders>
              <w:top w:val="nil"/>
              <w:left w:val="nil"/>
              <w:bottom w:val="single" w:sz="4" w:space="0" w:color="auto"/>
              <w:right w:val="single" w:sz="4" w:space="0" w:color="auto"/>
            </w:tcBorders>
            <w:shd w:val="clear" w:color="auto" w:fill="auto"/>
            <w:noWrap/>
            <w:vAlign w:val="center"/>
            <w:hideMark/>
          </w:tcPr>
          <w:p w14:paraId="36639658"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1" w:type="pct"/>
            <w:gridSpan w:val="2"/>
            <w:tcBorders>
              <w:top w:val="nil"/>
              <w:left w:val="nil"/>
              <w:bottom w:val="single" w:sz="4" w:space="0" w:color="auto"/>
              <w:right w:val="single" w:sz="4" w:space="0" w:color="auto"/>
            </w:tcBorders>
            <w:shd w:val="clear" w:color="auto" w:fill="auto"/>
            <w:noWrap/>
            <w:vAlign w:val="center"/>
            <w:hideMark/>
          </w:tcPr>
          <w:p w14:paraId="258B748E"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0" w:type="pct"/>
            <w:tcBorders>
              <w:top w:val="nil"/>
              <w:left w:val="nil"/>
              <w:bottom w:val="single" w:sz="4" w:space="0" w:color="auto"/>
              <w:right w:val="single" w:sz="4" w:space="0" w:color="auto"/>
            </w:tcBorders>
            <w:shd w:val="clear" w:color="auto" w:fill="auto"/>
            <w:noWrap/>
            <w:vAlign w:val="center"/>
            <w:hideMark/>
          </w:tcPr>
          <w:p w14:paraId="7203231B"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0" w:type="pct"/>
            <w:tcBorders>
              <w:top w:val="nil"/>
              <w:left w:val="nil"/>
              <w:bottom w:val="single" w:sz="4" w:space="0" w:color="auto"/>
              <w:right w:val="single" w:sz="4" w:space="0" w:color="auto"/>
            </w:tcBorders>
            <w:shd w:val="clear" w:color="auto" w:fill="auto"/>
            <w:noWrap/>
            <w:vAlign w:val="center"/>
            <w:hideMark/>
          </w:tcPr>
          <w:p w14:paraId="7D66B37F"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0" w:type="pct"/>
            <w:tcBorders>
              <w:top w:val="nil"/>
              <w:left w:val="nil"/>
              <w:bottom w:val="single" w:sz="4" w:space="0" w:color="auto"/>
              <w:right w:val="single" w:sz="4" w:space="0" w:color="auto"/>
            </w:tcBorders>
            <w:shd w:val="clear" w:color="auto" w:fill="auto"/>
            <w:noWrap/>
            <w:vAlign w:val="center"/>
            <w:hideMark/>
          </w:tcPr>
          <w:p w14:paraId="68011688"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53" w:type="pct"/>
            <w:tcBorders>
              <w:top w:val="nil"/>
              <w:left w:val="nil"/>
              <w:bottom w:val="single" w:sz="4" w:space="0" w:color="auto"/>
              <w:right w:val="single" w:sz="4" w:space="0" w:color="auto"/>
            </w:tcBorders>
            <w:shd w:val="clear" w:color="auto" w:fill="auto"/>
            <w:noWrap/>
            <w:vAlign w:val="center"/>
            <w:hideMark/>
          </w:tcPr>
          <w:p w14:paraId="0CCA41F1"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8" w:type="pct"/>
            <w:tcBorders>
              <w:top w:val="nil"/>
              <w:left w:val="nil"/>
              <w:bottom w:val="single" w:sz="4" w:space="0" w:color="auto"/>
              <w:right w:val="single" w:sz="4" w:space="0" w:color="auto"/>
            </w:tcBorders>
            <w:shd w:val="clear" w:color="auto" w:fill="auto"/>
            <w:noWrap/>
            <w:vAlign w:val="center"/>
            <w:hideMark/>
          </w:tcPr>
          <w:p w14:paraId="4650688F"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5" w:type="pct"/>
            <w:tcBorders>
              <w:top w:val="nil"/>
              <w:left w:val="nil"/>
              <w:bottom w:val="single" w:sz="4" w:space="0" w:color="auto"/>
              <w:right w:val="single" w:sz="4" w:space="0" w:color="auto"/>
            </w:tcBorders>
            <w:shd w:val="clear" w:color="auto" w:fill="auto"/>
            <w:noWrap/>
            <w:vAlign w:val="center"/>
            <w:hideMark/>
          </w:tcPr>
          <w:p w14:paraId="15C7FDA9"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0" w:type="pct"/>
            <w:tcBorders>
              <w:top w:val="nil"/>
              <w:left w:val="nil"/>
              <w:bottom w:val="single" w:sz="4" w:space="0" w:color="auto"/>
              <w:right w:val="single" w:sz="4" w:space="0" w:color="auto"/>
            </w:tcBorders>
            <w:shd w:val="clear" w:color="auto" w:fill="auto"/>
            <w:noWrap/>
            <w:vAlign w:val="center"/>
            <w:hideMark/>
          </w:tcPr>
          <w:p w14:paraId="345AE95A"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8" w:type="pct"/>
            <w:tcBorders>
              <w:top w:val="nil"/>
              <w:left w:val="nil"/>
              <w:bottom w:val="single" w:sz="4" w:space="0" w:color="auto"/>
              <w:right w:val="single" w:sz="4" w:space="0" w:color="auto"/>
            </w:tcBorders>
            <w:shd w:val="clear" w:color="auto" w:fill="auto"/>
            <w:noWrap/>
            <w:vAlign w:val="center"/>
            <w:hideMark/>
          </w:tcPr>
          <w:p w14:paraId="1EB6FAF0"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1" w:type="pct"/>
            <w:tcBorders>
              <w:top w:val="nil"/>
              <w:left w:val="nil"/>
              <w:bottom w:val="single" w:sz="4" w:space="0" w:color="auto"/>
              <w:right w:val="single" w:sz="4" w:space="0" w:color="auto"/>
            </w:tcBorders>
            <w:shd w:val="clear" w:color="auto" w:fill="auto"/>
            <w:noWrap/>
            <w:vAlign w:val="center"/>
            <w:hideMark/>
          </w:tcPr>
          <w:p w14:paraId="6CC58979"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1" w:type="pct"/>
            <w:tcBorders>
              <w:top w:val="nil"/>
              <w:left w:val="nil"/>
              <w:bottom w:val="single" w:sz="4" w:space="0" w:color="auto"/>
              <w:right w:val="single" w:sz="4" w:space="0" w:color="auto"/>
            </w:tcBorders>
            <w:shd w:val="clear" w:color="auto" w:fill="auto"/>
            <w:noWrap/>
            <w:vAlign w:val="center"/>
            <w:hideMark/>
          </w:tcPr>
          <w:p w14:paraId="7137E150"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1" w:type="pct"/>
            <w:tcBorders>
              <w:top w:val="nil"/>
              <w:left w:val="nil"/>
              <w:bottom w:val="single" w:sz="4" w:space="0" w:color="auto"/>
              <w:right w:val="single" w:sz="4" w:space="0" w:color="auto"/>
            </w:tcBorders>
            <w:shd w:val="clear" w:color="auto" w:fill="auto"/>
            <w:noWrap/>
            <w:vAlign w:val="center"/>
            <w:hideMark/>
          </w:tcPr>
          <w:p w14:paraId="07CBABBC"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59" w:type="pct"/>
            <w:tcBorders>
              <w:top w:val="nil"/>
              <w:left w:val="nil"/>
              <w:bottom w:val="single" w:sz="4" w:space="0" w:color="auto"/>
              <w:right w:val="single" w:sz="4" w:space="0" w:color="auto"/>
            </w:tcBorders>
            <w:shd w:val="clear" w:color="auto" w:fill="auto"/>
            <w:noWrap/>
            <w:vAlign w:val="center"/>
            <w:hideMark/>
          </w:tcPr>
          <w:p w14:paraId="2B87ED8A"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5" w:type="pct"/>
            <w:tcBorders>
              <w:top w:val="nil"/>
              <w:left w:val="nil"/>
              <w:bottom w:val="single" w:sz="4" w:space="0" w:color="auto"/>
              <w:right w:val="single" w:sz="4" w:space="0" w:color="auto"/>
            </w:tcBorders>
            <w:shd w:val="clear" w:color="auto" w:fill="auto"/>
            <w:noWrap/>
            <w:vAlign w:val="center"/>
            <w:hideMark/>
          </w:tcPr>
          <w:p w14:paraId="18B0A159"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5" w:type="pct"/>
            <w:tcBorders>
              <w:top w:val="nil"/>
              <w:left w:val="nil"/>
              <w:bottom w:val="single" w:sz="4" w:space="0" w:color="auto"/>
              <w:right w:val="single" w:sz="4" w:space="0" w:color="auto"/>
            </w:tcBorders>
            <w:shd w:val="clear" w:color="auto" w:fill="auto"/>
            <w:noWrap/>
            <w:vAlign w:val="center"/>
            <w:hideMark/>
          </w:tcPr>
          <w:p w14:paraId="4B2AA17B"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5" w:type="pct"/>
            <w:tcBorders>
              <w:top w:val="nil"/>
              <w:left w:val="nil"/>
              <w:bottom w:val="single" w:sz="4" w:space="0" w:color="auto"/>
              <w:right w:val="single" w:sz="4" w:space="0" w:color="auto"/>
            </w:tcBorders>
            <w:shd w:val="clear" w:color="auto" w:fill="auto"/>
            <w:noWrap/>
            <w:vAlign w:val="center"/>
            <w:hideMark/>
          </w:tcPr>
          <w:p w14:paraId="3D81D6D5"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64" w:type="pct"/>
            <w:gridSpan w:val="2"/>
            <w:tcBorders>
              <w:top w:val="nil"/>
              <w:left w:val="nil"/>
              <w:bottom w:val="single" w:sz="4" w:space="0" w:color="auto"/>
              <w:right w:val="single" w:sz="4" w:space="0" w:color="auto"/>
            </w:tcBorders>
            <w:shd w:val="clear" w:color="auto" w:fill="auto"/>
            <w:noWrap/>
            <w:vAlign w:val="center"/>
            <w:hideMark/>
          </w:tcPr>
          <w:p w14:paraId="391B797A"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r>
      <w:tr w:rsidR="009C7C34" w:rsidRPr="009C7C34" w14:paraId="49055FBB" w14:textId="77777777" w:rsidTr="00C2120C">
        <w:trPr>
          <w:trHeight w:val="45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14:paraId="7B55260E"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1.3</w:t>
            </w:r>
          </w:p>
        </w:tc>
        <w:tc>
          <w:tcPr>
            <w:tcW w:w="1191" w:type="pct"/>
            <w:tcBorders>
              <w:top w:val="nil"/>
              <w:left w:val="nil"/>
              <w:bottom w:val="single" w:sz="4" w:space="0" w:color="auto"/>
              <w:right w:val="single" w:sz="4" w:space="0" w:color="auto"/>
            </w:tcBorders>
            <w:shd w:val="clear" w:color="auto" w:fill="auto"/>
            <w:vAlign w:val="center"/>
            <w:hideMark/>
          </w:tcPr>
          <w:p w14:paraId="0CA1D16A"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Elaboración del Primer Informe del Proyecto para la actualización del Nivel "P" del sistema PMR del Banco</w:t>
            </w: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36EB7965" w14:textId="77777777" w:rsidR="009C7C34" w:rsidRPr="009C7C34" w:rsidRDefault="009C7C34" w:rsidP="009C7C34">
            <w:pPr>
              <w:spacing w:before="240"/>
              <w:jc w:val="center"/>
              <w:rPr>
                <w:rFonts w:ascii="Arial" w:hAnsi="Arial" w:cs="Arial"/>
                <w:b/>
                <w:sz w:val="18"/>
                <w:szCs w:val="18"/>
                <w:lang w:val="es-PY"/>
              </w:rPr>
            </w:pPr>
          </w:p>
        </w:tc>
        <w:tc>
          <w:tcPr>
            <w:tcW w:w="199" w:type="pct"/>
            <w:tcBorders>
              <w:top w:val="nil"/>
              <w:left w:val="nil"/>
              <w:bottom w:val="single" w:sz="4" w:space="0" w:color="auto"/>
              <w:right w:val="single" w:sz="4" w:space="0" w:color="auto"/>
            </w:tcBorders>
            <w:shd w:val="clear" w:color="000000" w:fill="DDEBF7"/>
            <w:noWrap/>
            <w:vAlign w:val="center"/>
            <w:hideMark/>
          </w:tcPr>
          <w:p w14:paraId="029CDFC7"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37" w:type="pct"/>
            <w:tcBorders>
              <w:top w:val="nil"/>
              <w:left w:val="nil"/>
              <w:bottom w:val="single" w:sz="4" w:space="0" w:color="auto"/>
              <w:right w:val="single" w:sz="4" w:space="0" w:color="auto"/>
            </w:tcBorders>
            <w:shd w:val="clear" w:color="auto" w:fill="auto"/>
            <w:noWrap/>
            <w:vAlign w:val="center"/>
            <w:hideMark/>
          </w:tcPr>
          <w:p w14:paraId="57417EBA"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39" w:type="pct"/>
            <w:tcBorders>
              <w:top w:val="nil"/>
              <w:left w:val="nil"/>
              <w:bottom w:val="single" w:sz="4" w:space="0" w:color="auto"/>
              <w:right w:val="single" w:sz="4" w:space="0" w:color="auto"/>
            </w:tcBorders>
            <w:shd w:val="clear" w:color="auto" w:fill="auto"/>
            <w:noWrap/>
            <w:vAlign w:val="center"/>
            <w:hideMark/>
          </w:tcPr>
          <w:p w14:paraId="06A79093"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1" w:type="pct"/>
            <w:gridSpan w:val="2"/>
            <w:tcBorders>
              <w:top w:val="nil"/>
              <w:left w:val="nil"/>
              <w:bottom w:val="single" w:sz="4" w:space="0" w:color="auto"/>
              <w:right w:val="single" w:sz="4" w:space="0" w:color="auto"/>
            </w:tcBorders>
            <w:shd w:val="clear" w:color="auto" w:fill="auto"/>
            <w:noWrap/>
            <w:vAlign w:val="center"/>
            <w:hideMark/>
          </w:tcPr>
          <w:p w14:paraId="65620A34"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0" w:type="pct"/>
            <w:tcBorders>
              <w:top w:val="nil"/>
              <w:left w:val="nil"/>
              <w:bottom w:val="single" w:sz="4" w:space="0" w:color="auto"/>
              <w:right w:val="single" w:sz="4" w:space="0" w:color="auto"/>
            </w:tcBorders>
            <w:shd w:val="clear" w:color="auto" w:fill="auto"/>
            <w:noWrap/>
            <w:vAlign w:val="center"/>
            <w:hideMark/>
          </w:tcPr>
          <w:p w14:paraId="7D2E4C92"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0" w:type="pct"/>
            <w:tcBorders>
              <w:top w:val="nil"/>
              <w:left w:val="nil"/>
              <w:bottom w:val="single" w:sz="4" w:space="0" w:color="auto"/>
              <w:right w:val="single" w:sz="4" w:space="0" w:color="auto"/>
            </w:tcBorders>
            <w:shd w:val="clear" w:color="auto" w:fill="auto"/>
            <w:noWrap/>
            <w:vAlign w:val="center"/>
            <w:hideMark/>
          </w:tcPr>
          <w:p w14:paraId="743C7B84"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0" w:type="pct"/>
            <w:tcBorders>
              <w:top w:val="nil"/>
              <w:left w:val="nil"/>
              <w:bottom w:val="single" w:sz="4" w:space="0" w:color="auto"/>
              <w:right w:val="single" w:sz="4" w:space="0" w:color="auto"/>
            </w:tcBorders>
            <w:shd w:val="clear" w:color="auto" w:fill="auto"/>
            <w:noWrap/>
            <w:vAlign w:val="center"/>
            <w:hideMark/>
          </w:tcPr>
          <w:p w14:paraId="4F5B682B"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53" w:type="pct"/>
            <w:tcBorders>
              <w:top w:val="nil"/>
              <w:left w:val="nil"/>
              <w:bottom w:val="single" w:sz="4" w:space="0" w:color="auto"/>
              <w:right w:val="single" w:sz="4" w:space="0" w:color="auto"/>
            </w:tcBorders>
            <w:shd w:val="clear" w:color="auto" w:fill="auto"/>
            <w:noWrap/>
            <w:vAlign w:val="center"/>
            <w:hideMark/>
          </w:tcPr>
          <w:p w14:paraId="00B82526"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8" w:type="pct"/>
            <w:tcBorders>
              <w:top w:val="nil"/>
              <w:left w:val="nil"/>
              <w:bottom w:val="single" w:sz="4" w:space="0" w:color="auto"/>
              <w:right w:val="single" w:sz="4" w:space="0" w:color="auto"/>
            </w:tcBorders>
            <w:shd w:val="clear" w:color="auto" w:fill="auto"/>
            <w:noWrap/>
            <w:vAlign w:val="center"/>
            <w:hideMark/>
          </w:tcPr>
          <w:p w14:paraId="3375C905"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5" w:type="pct"/>
            <w:tcBorders>
              <w:top w:val="nil"/>
              <w:left w:val="nil"/>
              <w:bottom w:val="single" w:sz="4" w:space="0" w:color="auto"/>
              <w:right w:val="single" w:sz="4" w:space="0" w:color="auto"/>
            </w:tcBorders>
            <w:shd w:val="clear" w:color="auto" w:fill="auto"/>
            <w:noWrap/>
            <w:vAlign w:val="center"/>
            <w:hideMark/>
          </w:tcPr>
          <w:p w14:paraId="48AD90B8"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0" w:type="pct"/>
            <w:tcBorders>
              <w:top w:val="nil"/>
              <w:left w:val="nil"/>
              <w:bottom w:val="single" w:sz="4" w:space="0" w:color="auto"/>
              <w:right w:val="single" w:sz="4" w:space="0" w:color="auto"/>
            </w:tcBorders>
            <w:shd w:val="clear" w:color="auto" w:fill="auto"/>
            <w:noWrap/>
            <w:vAlign w:val="center"/>
            <w:hideMark/>
          </w:tcPr>
          <w:p w14:paraId="4595C842"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8" w:type="pct"/>
            <w:tcBorders>
              <w:top w:val="nil"/>
              <w:left w:val="nil"/>
              <w:bottom w:val="single" w:sz="4" w:space="0" w:color="auto"/>
              <w:right w:val="single" w:sz="4" w:space="0" w:color="auto"/>
            </w:tcBorders>
            <w:shd w:val="clear" w:color="auto" w:fill="auto"/>
            <w:noWrap/>
            <w:vAlign w:val="center"/>
            <w:hideMark/>
          </w:tcPr>
          <w:p w14:paraId="1E30733B"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1" w:type="pct"/>
            <w:tcBorders>
              <w:top w:val="nil"/>
              <w:left w:val="nil"/>
              <w:bottom w:val="single" w:sz="4" w:space="0" w:color="auto"/>
              <w:right w:val="single" w:sz="4" w:space="0" w:color="auto"/>
            </w:tcBorders>
            <w:shd w:val="clear" w:color="auto" w:fill="auto"/>
            <w:noWrap/>
            <w:vAlign w:val="center"/>
            <w:hideMark/>
          </w:tcPr>
          <w:p w14:paraId="43C15D73"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1" w:type="pct"/>
            <w:tcBorders>
              <w:top w:val="nil"/>
              <w:left w:val="nil"/>
              <w:bottom w:val="single" w:sz="4" w:space="0" w:color="auto"/>
              <w:right w:val="single" w:sz="4" w:space="0" w:color="auto"/>
            </w:tcBorders>
            <w:shd w:val="clear" w:color="auto" w:fill="auto"/>
            <w:noWrap/>
            <w:vAlign w:val="center"/>
            <w:hideMark/>
          </w:tcPr>
          <w:p w14:paraId="6C2AD566"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1" w:type="pct"/>
            <w:tcBorders>
              <w:top w:val="nil"/>
              <w:left w:val="nil"/>
              <w:bottom w:val="single" w:sz="4" w:space="0" w:color="auto"/>
              <w:right w:val="single" w:sz="4" w:space="0" w:color="auto"/>
            </w:tcBorders>
            <w:shd w:val="clear" w:color="auto" w:fill="auto"/>
            <w:noWrap/>
            <w:vAlign w:val="center"/>
            <w:hideMark/>
          </w:tcPr>
          <w:p w14:paraId="424994FA"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59" w:type="pct"/>
            <w:tcBorders>
              <w:top w:val="nil"/>
              <w:left w:val="nil"/>
              <w:bottom w:val="single" w:sz="4" w:space="0" w:color="auto"/>
              <w:right w:val="single" w:sz="4" w:space="0" w:color="auto"/>
            </w:tcBorders>
            <w:shd w:val="clear" w:color="auto" w:fill="auto"/>
            <w:noWrap/>
            <w:vAlign w:val="center"/>
            <w:hideMark/>
          </w:tcPr>
          <w:p w14:paraId="1BE51C74"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5" w:type="pct"/>
            <w:tcBorders>
              <w:top w:val="nil"/>
              <w:left w:val="nil"/>
              <w:bottom w:val="single" w:sz="4" w:space="0" w:color="auto"/>
              <w:right w:val="single" w:sz="4" w:space="0" w:color="auto"/>
            </w:tcBorders>
            <w:shd w:val="clear" w:color="auto" w:fill="auto"/>
            <w:noWrap/>
            <w:vAlign w:val="center"/>
            <w:hideMark/>
          </w:tcPr>
          <w:p w14:paraId="3F815B9E"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5" w:type="pct"/>
            <w:tcBorders>
              <w:top w:val="nil"/>
              <w:left w:val="nil"/>
              <w:bottom w:val="single" w:sz="4" w:space="0" w:color="auto"/>
              <w:right w:val="single" w:sz="4" w:space="0" w:color="auto"/>
            </w:tcBorders>
            <w:shd w:val="clear" w:color="auto" w:fill="auto"/>
            <w:noWrap/>
            <w:vAlign w:val="center"/>
            <w:hideMark/>
          </w:tcPr>
          <w:p w14:paraId="60A48F31"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5" w:type="pct"/>
            <w:tcBorders>
              <w:top w:val="nil"/>
              <w:left w:val="nil"/>
              <w:bottom w:val="single" w:sz="4" w:space="0" w:color="auto"/>
              <w:right w:val="single" w:sz="4" w:space="0" w:color="auto"/>
            </w:tcBorders>
            <w:shd w:val="clear" w:color="auto" w:fill="auto"/>
            <w:noWrap/>
            <w:vAlign w:val="center"/>
            <w:hideMark/>
          </w:tcPr>
          <w:p w14:paraId="24163FFE"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64" w:type="pct"/>
            <w:gridSpan w:val="2"/>
            <w:tcBorders>
              <w:top w:val="nil"/>
              <w:left w:val="nil"/>
              <w:bottom w:val="single" w:sz="4" w:space="0" w:color="auto"/>
              <w:right w:val="single" w:sz="4" w:space="0" w:color="auto"/>
            </w:tcBorders>
            <w:shd w:val="clear" w:color="auto" w:fill="auto"/>
            <w:noWrap/>
            <w:vAlign w:val="center"/>
            <w:hideMark/>
          </w:tcPr>
          <w:p w14:paraId="04A1AA0D"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r>
      <w:tr w:rsidR="009C7C34" w:rsidRPr="009C7C34" w14:paraId="2C42540A" w14:textId="77777777" w:rsidTr="00C2120C">
        <w:trPr>
          <w:trHeight w:val="2339"/>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14:paraId="6E366CCF"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1.4</w:t>
            </w:r>
          </w:p>
        </w:tc>
        <w:tc>
          <w:tcPr>
            <w:tcW w:w="1191" w:type="pct"/>
            <w:tcBorders>
              <w:top w:val="single" w:sz="4" w:space="0" w:color="auto"/>
              <w:left w:val="nil"/>
              <w:bottom w:val="single" w:sz="4" w:space="0" w:color="auto"/>
              <w:right w:val="single" w:sz="4" w:space="0" w:color="auto"/>
            </w:tcBorders>
            <w:shd w:val="clear" w:color="auto" w:fill="auto"/>
            <w:vAlign w:val="center"/>
            <w:hideMark/>
          </w:tcPr>
          <w:p w14:paraId="38F94646"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Coordinación para la disponibilidad presupuestaria en el Presupuesto de la Nación según las necesidades establecidas en el POA del Año 1</w:t>
            </w: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4E09B5AF" w14:textId="77777777" w:rsidR="009C7C34" w:rsidRPr="009C7C34" w:rsidRDefault="009C7C34" w:rsidP="009C7C34">
            <w:pPr>
              <w:spacing w:before="240"/>
              <w:jc w:val="center"/>
              <w:rPr>
                <w:rFonts w:ascii="Arial" w:hAnsi="Arial" w:cs="Arial"/>
                <w:b/>
                <w:sz w:val="18"/>
                <w:szCs w:val="18"/>
                <w:lang w:val="es-PY"/>
              </w:rPr>
            </w:pPr>
          </w:p>
        </w:tc>
        <w:tc>
          <w:tcPr>
            <w:tcW w:w="199" w:type="pct"/>
            <w:tcBorders>
              <w:top w:val="single" w:sz="4" w:space="0" w:color="auto"/>
              <w:left w:val="nil"/>
              <w:bottom w:val="single" w:sz="4" w:space="0" w:color="auto"/>
              <w:right w:val="single" w:sz="4" w:space="0" w:color="auto"/>
            </w:tcBorders>
            <w:shd w:val="clear" w:color="000000" w:fill="DDEBF7"/>
            <w:noWrap/>
            <w:vAlign w:val="center"/>
            <w:hideMark/>
          </w:tcPr>
          <w:p w14:paraId="658BD4A3"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406957CB"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39" w:type="pct"/>
            <w:tcBorders>
              <w:top w:val="single" w:sz="4" w:space="0" w:color="auto"/>
              <w:left w:val="nil"/>
              <w:bottom w:val="single" w:sz="4" w:space="0" w:color="auto"/>
              <w:right w:val="single" w:sz="4" w:space="0" w:color="auto"/>
            </w:tcBorders>
            <w:shd w:val="clear" w:color="auto" w:fill="auto"/>
            <w:noWrap/>
            <w:vAlign w:val="center"/>
            <w:hideMark/>
          </w:tcPr>
          <w:p w14:paraId="2459D3C6"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51E2248"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0" w:type="pct"/>
            <w:tcBorders>
              <w:top w:val="nil"/>
              <w:left w:val="nil"/>
              <w:bottom w:val="single" w:sz="4" w:space="0" w:color="auto"/>
              <w:right w:val="single" w:sz="4" w:space="0" w:color="auto"/>
            </w:tcBorders>
            <w:shd w:val="clear" w:color="auto" w:fill="auto"/>
            <w:noWrap/>
            <w:vAlign w:val="center"/>
            <w:hideMark/>
          </w:tcPr>
          <w:p w14:paraId="1015E559"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0" w:type="pct"/>
            <w:tcBorders>
              <w:top w:val="nil"/>
              <w:left w:val="nil"/>
              <w:bottom w:val="single" w:sz="4" w:space="0" w:color="auto"/>
              <w:right w:val="single" w:sz="4" w:space="0" w:color="auto"/>
            </w:tcBorders>
            <w:shd w:val="clear" w:color="auto" w:fill="auto"/>
            <w:noWrap/>
            <w:vAlign w:val="center"/>
            <w:hideMark/>
          </w:tcPr>
          <w:p w14:paraId="330C3BDC"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0" w:type="pct"/>
            <w:tcBorders>
              <w:top w:val="nil"/>
              <w:left w:val="nil"/>
              <w:bottom w:val="single" w:sz="4" w:space="0" w:color="auto"/>
              <w:right w:val="single" w:sz="4" w:space="0" w:color="auto"/>
            </w:tcBorders>
            <w:shd w:val="clear" w:color="auto" w:fill="auto"/>
            <w:noWrap/>
            <w:vAlign w:val="center"/>
            <w:hideMark/>
          </w:tcPr>
          <w:p w14:paraId="7761270F"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53" w:type="pct"/>
            <w:tcBorders>
              <w:top w:val="nil"/>
              <w:left w:val="nil"/>
              <w:bottom w:val="single" w:sz="4" w:space="0" w:color="auto"/>
              <w:right w:val="single" w:sz="4" w:space="0" w:color="auto"/>
            </w:tcBorders>
            <w:shd w:val="clear" w:color="auto" w:fill="auto"/>
            <w:noWrap/>
            <w:vAlign w:val="center"/>
            <w:hideMark/>
          </w:tcPr>
          <w:p w14:paraId="652456DE"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8" w:type="pct"/>
            <w:tcBorders>
              <w:top w:val="nil"/>
              <w:left w:val="nil"/>
              <w:bottom w:val="single" w:sz="4" w:space="0" w:color="auto"/>
              <w:right w:val="single" w:sz="4" w:space="0" w:color="auto"/>
            </w:tcBorders>
            <w:shd w:val="clear" w:color="auto" w:fill="auto"/>
            <w:noWrap/>
            <w:vAlign w:val="center"/>
            <w:hideMark/>
          </w:tcPr>
          <w:p w14:paraId="3E257C8F"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5" w:type="pct"/>
            <w:tcBorders>
              <w:top w:val="nil"/>
              <w:left w:val="nil"/>
              <w:bottom w:val="single" w:sz="4" w:space="0" w:color="auto"/>
              <w:right w:val="single" w:sz="4" w:space="0" w:color="auto"/>
            </w:tcBorders>
            <w:shd w:val="clear" w:color="auto" w:fill="auto"/>
            <w:noWrap/>
            <w:vAlign w:val="center"/>
            <w:hideMark/>
          </w:tcPr>
          <w:p w14:paraId="3F2841BB"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0" w:type="pct"/>
            <w:tcBorders>
              <w:top w:val="nil"/>
              <w:left w:val="nil"/>
              <w:bottom w:val="single" w:sz="4" w:space="0" w:color="auto"/>
              <w:right w:val="single" w:sz="4" w:space="0" w:color="auto"/>
            </w:tcBorders>
            <w:shd w:val="clear" w:color="auto" w:fill="auto"/>
            <w:noWrap/>
            <w:vAlign w:val="center"/>
            <w:hideMark/>
          </w:tcPr>
          <w:p w14:paraId="066E7D3A"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8" w:type="pct"/>
            <w:tcBorders>
              <w:top w:val="nil"/>
              <w:left w:val="nil"/>
              <w:bottom w:val="single" w:sz="4" w:space="0" w:color="auto"/>
              <w:right w:val="single" w:sz="4" w:space="0" w:color="auto"/>
            </w:tcBorders>
            <w:shd w:val="clear" w:color="auto" w:fill="auto"/>
            <w:noWrap/>
            <w:vAlign w:val="center"/>
            <w:hideMark/>
          </w:tcPr>
          <w:p w14:paraId="57C6C8D3"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1" w:type="pct"/>
            <w:tcBorders>
              <w:top w:val="nil"/>
              <w:left w:val="nil"/>
              <w:bottom w:val="single" w:sz="4" w:space="0" w:color="auto"/>
              <w:right w:val="single" w:sz="4" w:space="0" w:color="auto"/>
            </w:tcBorders>
            <w:shd w:val="clear" w:color="auto" w:fill="auto"/>
            <w:noWrap/>
            <w:vAlign w:val="center"/>
            <w:hideMark/>
          </w:tcPr>
          <w:p w14:paraId="00132DAF"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1" w:type="pct"/>
            <w:tcBorders>
              <w:top w:val="nil"/>
              <w:left w:val="nil"/>
              <w:bottom w:val="single" w:sz="4" w:space="0" w:color="auto"/>
              <w:right w:val="single" w:sz="4" w:space="0" w:color="auto"/>
            </w:tcBorders>
            <w:shd w:val="clear" w:color="auto" w:fill="auto"/>
            <w:noWrap/>
            <w:vAlign w:val="center"/>
            <w:hideMark/>
          </w:tcPr>
          <w:p w14:paraId="7ACC3CAE"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1" w:type="pct"/>
            <w:tcBorders>
              <w:top w:val="nil"/>
              <w:left w:val="nil"/>
              <w:bottom w:val="single" w:sz="4" w:space="0" w:color="auto"/>
              <w:right w:val="single" w:sz="4" w:space="0" w:color="auto"/>
            </w:tcBorders>
            <w:shd w:val="clear" w:color="auto" w:fill="auto"/>
            <w:noWrap/>
            <w:vAlign w:val="center"/>
            <w:hideMark/>
          </w:tcPr>
          <w:p w14:paraId="0840E291"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59" w:type="pct"/>
            <w:tcBorders>
              <w:top w:val="nil"/>
              <w:left w:val="nil"/>
              <w:bottom w:val="single" w:sz="4" w:space="0" w:color="auto"/>
              <w:right w:val="single" w:sz="4" w:space="0" w:color="auto"/>
            </w:tcBorders>
            <w:shd w:val="clear" w:color="auto" w:fill="auto"/>
            <w:noWrap/>
            <w:vAlign w:val="center"/>
            <w:hideMark/>
          </w:tcPr>
          <w:p w14:paraId="3C407F76"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5" w:type="pct"/>
            <w:tcBorders>
              <w:top w:val="nil"/>
              <w:left w:val="nil"/>
              <w:bottom w:val="single" w:sz="4" w:space="0" w:color="auto"/>
              <w:right w:val="single" w:sz="4" w:space="0" w:color="auto"/>
            </w:tcBorders>
            <w:shd w:val="clear" w:color="auto" w:fill="auto"/>
            <w:noWrap/>
            <w:vAlign w:val="center"/>
            <w:hideMark/>
          </w:tcPr>
          <w:p w14:paraId="1166A0D8"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5" w:type="pct"/>
            <w:tcBorders>
              <w:top w:val="nil"/>
              <w:left w:val="nil"/>
              <w:bottom w:val="single" w:sz="4" w:space="0" w:color="auto"/>
              <w:right w:val="single" w:sz="4" w:space="0" w:color="auto"/>
            </w:tcBorders>
            <w:shd w:val="clear" w:color="auto" w:fill="auto"/>
            <w:noWrap/>
            <w:vAlign w:val="center"/>
            <w:hideMark/>
          </w:tcPr>
          <w:p w14:paraId="2935432E"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5" w:type="pct"/>
            <w:tcBorders>
              <w:top w:val="nil"/>
              <w:left w:val="nil"/>
              <w:bottom w:val="single" w:sz="4" w:space="0" w:color="auto"/>
              <w:right w:val="single" w:sz="4" w:space="0" w:color="auto"/>
            </w:tcBorders>
            <w:shd w:val="clear" w:color="auto" w:fill="auto"/>
            <w:noWrap/>
            <w:vAlign w:val="center"/>
            <w:hideMark/>
          </w:tcPr>
          <w:p w14:paraId="7B5F04D6"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64" w:type="pct"/>
            <w:gridSpan w:val="2"/>
            <w:tcBorders>
              <w:top w:val="nil"/>
              <w:left w:val="nil"/>
              <w:bottom w:val="single" w:sz="4" w:space="0" w:color="auto"/>
              <w:right w:val="single" w:sz="4" w:space="0" w:color="auto"/>
            </w:tcBorders>
            <w:shd w:val="clear" w:color="auto" w:fill="auto"/>
            <w:noWrap/>
            <w:vAlign w:val="center"/>
            <w:hideMark/>
          </w:tcPr>
          <w:p w14:paraId="074990BD"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r>
      <w:tr w:rsidR="009C7C34" w:rsidRPr="00387315" w14:paraId="4D447C9B" w14:textId="77777777" w:rsidTr="00C2376E">
        <w:trPr>
          <w:trHeight w:val="323"/>
        </w:trPr>
        <w:tc>
          <w:tcPr>
            <w:tcW w:w="258" w:type="pct"/>
            <w:tcBorders>
              <w:top w:val="nil"/>
              <w:left w:val="single" w:sz="4" w:space="0" w:color="auto"/>
              <w:bottom w:val="single" w:sz="4" w:space="0" w:color="auto"/>
              <w:right w:val="single" w:sz="4" w:space="0" w:color="auto"/>
            </w:tcBorders>
            <w:shd w:val="clear" w:color="auto" w:fill="1F3864" w:themeFill="accent1" w:themeFillShade="80"/>
            <w:noWrap/>
            <w:vAlign w:val="center"/>
          </w:tcPr>
          <w:p w14:paraId="079ED203"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2</w:t>
            </w:r>
          </w:p>
        </w:tc>
        <w:tc>
          <w:tcPr>
            <w:tcW w:w="4742" w:type="pct"/>
            <w:gridSpan w:val="24"/>
            <w:tcBorders>
              <w:top w:val="single" w:sz="4" w:space="0" w:color="auto"/>
              <w:left w:val="nil"/>
              <w:bottom w:val="single" w:sz="4" w:space="0" w:color="auto"/>
              <w:right w:val="single" w:sz="4" w:space="0" w:color="auto"/>
            </w:tcBorders>
            <w:shd w:val="clear" w:color="auto" w:fill="44546A" w:themeFill="text2"/>
            <w:vAlign w:val="center"/>
          </w:tcPr>
          <w:p w14:paraId="72EB706A" w14:textId="77777777" w:rsidR="009C7C34" w:rsidRPr="009C7C34" w:rsidRDefault="009C7C34" w:rsidP="009C7C34">
            <w:pPr>
              <w:spacing w:before="240"/>
              <w:jc w:val="center"/>
              <w:rPr>
                <w:rFonts w:ascii="Arial" w:hAnsi="Arial" w:cs="Arial"/>
                <w:b/>
                <w:sz w:val="18"/>
                <w:szCs w:val="18"/>
                <w:lang w:val="es-PY"/>
              </w:rPr>
            </w:pPr>
            <w:r w:rsidRPr="00C2120C">
              <w:rPr>
                <w:rFonts w:ascii="Arial" w:hAnsi="Arial" w:cs="Arial"/>
                <w:b/>
                <w:color w:val="FFFFFF" w:themeColor="background1"/>
                <w:sz w:val="18"/>
                <w:szCs w:val="18"/>
                <w:lang w:val="es-PY"/>
              </w:rPr>
              <w:t>Formulación del presupuesto del proyecto para inclusión en el presupuesto general del Estado</w:t>
            </w:r>
          </w:p>
        </w:tc>
      </w:tr>
      <w:tr w:rsidR="009C7C34" w:rsidRPr="009C7C34" w14:paraId="4B1CFA95" w14:textId="77777777" w:rsidTr="00C2376E">
        <w:trPr>
          <w:trHeight w:val="675"/>
        </w:trPr>
        <w:tc>
          <w:tcPr>
            <w:tcW w:w="258" w:type="pct"/>
            <w:tcBorders>
              <w:top w:val="single" w:sz="4" w:space="0" w:color="auto"/>
              <w:left w:val="single" w:sz="4" w:space="0" w:color="auto"/>
              <w:right w:val="single" w:sz="4" w:space="0" w:color="auto"/>
            </w:tcBorders>
            <w:shd w:val="clear" w:color="auto" w:fill="auto"/>
            <w:noWrap/>
            <w:vAlign w:val="center"/>
            <w:hideMark/>
          </w:tcPr>
          <w:p w14:paraId="576D27F0"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2.1</w:t>
            </w:r>
          </w:p>
        </w:tc>
        <w:tc>
          <w:tcPr>
            <w:tcW w:w="1191" w:type="pct"/>
            <w:tcBorders>
              <w:top w:val="single" w:sz="4" w:space="0" w:color="auto"/>
              <w:left w:val="nil"/>
              <w:right w:val="single" w:sz="4" w:space="0" w:color="auto"/>
            </w:tcBorders>
            <w:shd w:val="clear" w:color="auto" w:fill="auto"/>
            <w:vAlign w:val="center"/>
            <w:hideMark/>
          </w:tcPr>
          <w:p w14:paraId="11A21608"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xml:space="preserve">Preparación del POA para el siguiente ejercicio fiscal que sirva de insumo para la elaboración del Anteproyecto de Presupuesto </w:t>
            </w:r>
          </w:p>
        </w:tc>
        <w:tc>
          <w:tcPr>
            <w:tcW w:w="600" w:type="pct"/>
            <w:vMerge w:val="restart"/>
            <w:tcBorders>
              <w:top w:val="single" w:sz="4" w:space="0" w:color="auto"/>
              <w:left w:val="single" w:sz="4" w:space="0" w:color="auto"/>
              <w:right w:val="single" w:sz="4" w:space="0" w:color="auto"/>
            </w:tcBorders>
            <w:shd w:val="clear" w:color="auto" w:fill="auto"/>
            <w:vAlign w:val="center"/>
            <w:hideMark/>
          </w:tcPr>
          <w:p w14:paraId="1233DD58"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EP&amp;M</w:t>
            </w:r>
            <w:r w:rsidRPr="009C7C34">
              <w:rPr>
                <w:rFonts w:ascii="Arial" w:hAnsi="Arial" w:cs="Arial"/>
                <w:b/>
                <w:sz w:val="18"/>
                <w:szCs w:val="18"/>
                <w:lang w:val="es-PY"/>
              </w:rPr>
              <w:br/>
            </w:r>
          </w:p>
          <w:p w14:paraId="6ABF216E" w14:textId="77777777" w:rsidR="009C7C34" w:rsidRPr="009C7C34" w:rsidRDefault="009C7C34" w:rsidP="009C7C34">
            <w:pPr>
              <w:spacing w:before="240"/>
              <w:jc w:val="center"/>
              <w:rPr>
                <w:rFonts w:ascii="Arial" w:hAnsi="Arial" w:cs="Arial"/>
                <w:b/>
                <w:sz w:val="18"/>
                <w:szCs w:val="18"/>
                <w:lang w:val="es-PY"/>
              </w:rPr>
            </w:pPr>
          </w:p>
        </w:tc>
        <w:tc>
          <w:tcPr>
            <w:tcW w:w="199" w:type="pct"/>
            <w:tcBorders>
              <w:top w:val="single" w:sz="4" w:space="0" w:color="auto"/>
              <w:left w:val="nil"/>
              <w:bottom w:val="single" w:sz="4" w:space="0" w:color="auto"/>
              <w:right w:val="single" w:sz="4" w:space="0" w:color="auto"/>
            </w:tcBorders>
            <w:shd w:val="clear" w:color="000000" w:fill="E2EFDA"/>
            <w:noWrap/>
            <w:vAlign w:val="center"/>
            <w:hideMark/>
          </w:tcPr>
          <w:p w14:paraId="41725619"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5A5DCE74"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39" w:type="pct"/>
            <w:tcBorders>
              <w:top w:val="single" w:sz="4" w:space="0" w:color="auto"/>
              <w:left w:val="nil"/>
              <w:bottom w:val="single" w:sz="4" w:space="0" w:color="auto"/>
              <w:right w:val="single" w:sz="4" w:space="0" w:color="auto"/>
            </w:tcBorders>
            <w:shd w:val="clear" w:color="auto" w:fill="auto"/>
            <w:noWrap/>
            <w:vAlign w:val="center"/>
            <w:hideMark/>
          </w:tcPr>
          <w:p w14:paraId="5BC61C05"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A2DCA86"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0" w:type="pct"/>
            <w:tcBorders>
              <w:top w:val="single" w:sz="4" w:space="0" w:color="auto"/>
              <w:left w:val="nil"/>
              <w:bottom w:val="single" w:sz="4" w:space="0" w:color="auto"/>
              <w:right w:val="single" w:sz="4" w:space="0" w:color="auto"/>
            </w:tcBorders>
            <w:shd w:val="clear" w:color="000000" w:fill="E2EFDA"/>
            <w:noWrap/>
            <w:vAlign w:val="center"/>
            <w:hideMark/>
          </w:tcPr>
          <w:p w14:paraId="29BF674C"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EAA8AD"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55B50F"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220FF3D7"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8" w:type="pct"/>
            <w:tcBorders>
              <w:top w:val="single" w:sz="4" w:space="0" w:color="auto"/>
              <w:left w:val="nil"/>
              <w:bottom w:val="single" w:sz="4" w:space="0" w:color="auto"/>
              <w:right w:val="single" w:sz="4" w:space="0" w:color="auto"/>
            </w:tcBorders>
            <w:shd w:val="clear" w:color="000000" w:fill="E2EFDA"/>
            <w:noWrap/>
            <w:vAlign w:val="center"/>
            <w:hideMark/>
          </w:tcPr>
          <w:p w14:paraId="590A4E74"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5" w:type="pct"/>
            <w:tcBorders>
              <w:top w:val="single" w:sz="4" w:space="0" w:color="auto"/>
              <w:left w:val="nil"/>
              <w:bottom w:val="single" w:sz="4" w:space="0" w:color="auto"/>
              <w:right w:val="single" w:sz="4" w:space="0" w:color="auto"/>
            </w:tcBorders>
            <w:shd w:val="clear" w:color="auto" w:fill="auto"/>
            <w:noWrap/>
            <w:vAlign w:val="center"/>
            <w:hideMark/>
          </w:tcPr>
          <w:p w14:paraId="7B709FB0"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AB2431"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8" w:type="pct"/>
            <w:tcBorders>
              <w:top w:val="single" w:sz="4" w:space="0" w:color="auto"/>
              <w:left w:val="nil"/>
              <w:bottom w:val="single" w:sz="4" w:space="0" w:color="auto"/>
              <w:right w:val="single" w:sz="4" w:space="0" w:color="auto"/>
            </w:tcBorders>
            <w:shd w:val="clear" w:color="auto" w:fill="auto"/>
            <w:noWrap/>
            <w:vAlign w:val="center"/>
            <w:hideMark/>
          </w:tcPr>
          <w:p w14:paraId="02982C05"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1" w:type="pct"/>
            <w:tcBorders>
              <w:top w:val="single" w:sz="4" w:space="0" w:color="auto"/>
              <w:left w:val="nil"/>
              <w:bottom w:val="single" w:sz="4" w:space="0" w:color="auto"/>
              <w:right w:val="single" w:sz="4" w:space="0" w:color="auto"/>
            </w:tcBorders>
            <w:shd w:val="clear" w:color="000000" w:fill="E2EFDA"/>
            <w:noWrap/>
            <w:vAlign w:val="center"/>
            <w:hideMark/>
          </w:tcPr>
          <w:p w14:paraId="22DD627B"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1" w:type="pct"/>
            <w:tcBorders>
              <w:top w:val="single" w:sz="4" w:space="0" w:color="auto"/>
              <w:left w:val="nil"/>
              <w:bottom w:val="single" w:sz="4" w:space="0" w:color="auto"/>
              <w:right w:val="single" w:sz="4" w:space="0" w:color="auto"/>
            </w:tcBorders>
            <w:shd w:val="clear" w:color="auto" w:fill="auto"/>
            <w:noWrap/>
            <w:vAlign w:val="center"/>
            <w:hideMark/>
          </w:tcPr>
          <w:p w14:paraId="2217D80A"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1" w:type="pct"/>
            <w:tcBorders>
              <w:top w:val="single" w:sz="4" w:space="0" w:color="auto"/>
              <w:left w:val="nil"/>
              <w:bottom w:val="single" w:sz="4" w:space="0" w:color="auto"/>
              <w:right w:val="single" w:sz="4" w:space="0" w:color="auto"/>
            </w:tcBorders>
            <w:shd w:val="clear" w:color="auto" w:fill="auto"/>
            <w:noWrap/>
            <w:vAlign w:val="center"/>
            <w:hideMark/>
          </w:tcPr>
          <w:p w14:paraId="07C7A977"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59" w:type="pct"/>
            <w:tcBorders>
              <w:top w:val="single" w:sz="4" w:space="0" w:color="auto"/>
              <w:left w:val="nil"/>
              <w:bottom w:val="single" w:sz="4" w:space="0" w:color="auto"/>
              <w:right w:val="single" w:sz="4" w:space="0" w:color="auto"/>
            </w:tcBorders>
            <w:shd w:val="clear" w:color="auto" w:fill="auto"/>
            <w:noWrap/>
            <w:vAlign w:val="center"/>
            <w:hideMark/>
          </w:tcPr>
          <w:p w14:paraId="11BCE5B1"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5" w:type="pct"/>
            <w:tcBorders>
              <w:top w:val="single" w:sz="4" w:space="0" w:color="auto"/>
              <w:left w:val="nil"/>
              <w:bottom w:val="single" w:sz="4" w:space="0" w:color="auto"/>
              <w:right w:val="single" w:sz="4" w:space="0" w:color="auto"/>
            </w:tcBorders>
            <w:shd w:val="clear" w:color="000000" w:fill="E2EFDA"/>
            <w:noWrap/>
            <w:vAlign w:val="center"/>
            <w:hideMark/>
          </w:tcPr>
          <w:p w14:paraId="16C47844"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5" w:type="pct"/>
            <w:tcBorders>
              <w:top w:val="single" w:sz="4" w:space="0" w:color="auto"/>
              <w:left w:val="nil"/>
              <w:bottom w:val="single" w:sz="4" w:space="0" w:color="auto"/>
              <w:right w:val="single" w:sz="4" w:space="0" w:color="auto"/>
            </w:tcBorders>
            <w:shd w:val="clear" w:color="auto" w:fill="auto"/>
            <w:noWrap/>
            <w:vAlign w:val="center"/>
            <w:hideMark/>
          </w:tcPr>
          <w:p w14:paraId="0A468EB1"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5" w:type="pct"/>
            <w:tcBorders>
              <w:top w:val="single" w:sz="4" w:space="0" w:color="auto"/>
              <w:left w:val="nil"/>
              <w:bottom w:val="single" w:sz="4" w:space="0" w:color="auto"/>
              <w:right w:val="single" w:sz="4" w:space="0" w:color="auto"/>
            </w:tcBorders>
            <w:shd w:val="clear" w:color="auto" w:fill="auto"/>
            <w:noWrap/>
            <w:vAlign w:val="center"/>
            <w:hideMark/>
          </w:tcPr>
          <w:p w14:paraId="4FDCC270"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6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31C2DFC"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r>
      <w:tr w:rsidR="009C7C34" w:rsidRPr="009C7C34" w14:paraId="557F95F9" w14:textId="77777777" w:rsidTr="00C2376E">
        <w:trPr>
          <w:trHeight w:val="450"/>
        </w:trPr>
        <w:tc>
          <w:tcPr>
            <w:tcW w:w="258" w:type="pct"/>
            <w:tcBorders>
              <w:left w:val="single" w:sz="4" w:space="0" w:color="auto"/>
              <w:bottom w:val="single" w:sz="4" w:space="0" w:color="auto"/>
              <w:right w:val="single" w:sz="4" w:space="0" w:color="auto"/>
            </w:tcBorders>
            <w:shd w:val="clear" w:color="auto" w:fill="auto"/>
            <w:noWrap/>
            <w:vAlign w:val="center"/>
            <w:hideMark/>
          </w:tcPr>
          <w:p w14:paraId="31C5FE65"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2.2</w:t>
            </w:r>
          </w:p>
        </w:tc>
        <w:tc>
          <w:tcPr>
            <w:tcW w:w="1191" w:type="pct"/>
            <w:tcBorders>
              <w:left w:val="nil"/>
              <w:bottom w:val="single" w:sz="4" w:space="0" w:color="auto"/>
              <w:right w:val="single" w:sz="4" w:space="0" w:color="auto"/>
            </w:tcBorders>
            <w:shd w:val="clear" w:color="auto" w:fill="auto"/>
            <w:vAlign w:val="center"/>
            <w:hideMark/>
          </w:tcPr>
          <w:p w14:paraId="13BD417C"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Identificación de requerimientos presupuestarios adicionales para la ejecución del POA vigente</w:t>
            </w:r>
          </w:p>
        </w:tc>
        <w:tc>
          <w:tcPr>
            <w:tcW w:w="600" w:type="pct"/>
            <w:vMerge/>
            <w:tcBorders>
              <w:left w:val="single" w:sz="4" w:space="0" w:color="auto"/>
              <w:bottom w:val="single" w:sz="4" w:space="0" w:color="000000"/>
              <w:right w:val="single" w:sz="4" w:space="0" w:color="auto"/>
            </w:tcBorders>
            <w:vAlign w:val="center"/>
            <w:hideMark/>
          </w:tcPr>
          <w:p w14:paraId="5E85EEE3" w14:textId="77777777" w:rsidR="009C7C34" w:rsidRPr="009C7C34" w:rsidRDefault="009C7C34" w:rsidP="009C7C34">
            <w:pPr>
              <w:spacing w:before="240"/>
              <w:jc w:val="center"/>
              <w:rPr>
                <w:rFonts w:ascii="Arial" w:hAnsi="Arial" w:cs="Arial"/>
                <w:b/>
                <w:sz w:val="18"/>
                <w:szCs w:val="18"/>
                <w:lang w:val="es-PY"/>
              </w:rPr>
            </w:pPr>
          </w:p>
        </w:tc>
        <w:tc>
          <w:tcPr>
            <w:tcW w:w="199" w:type="pct"/>
            <w:tcBorders>
              <w:top w:val="nil"/>
              <w:left w:val="nil"/>
              <w:bottom w:val="single" w:sz="4" w:space="0" w:color="auto"/>
              <w:right w:val="single" w:sz="4" w:space="0" w:color="auto"/>
            </w:tcBorders>
            <w:shd w:val="clear" w:color="000000" w:fill="E2EFDA"/>
            <w:noWrap/>
            <w:vAlign w:val="center"/>
            <w:hideMark/>
          </w:tcPr>
          <w:p w14:paraId="532A672F"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37" w:type="pct"/>
            <w:tcBorders>
              <w:top w:val="nil"/>
              <w:left w:val="nil"/>
              <w:bottom w:val="single" w:sz="4" w:space="0" w:color="auto"/>
              <w:right w:val="single" w:sz="4" w:space="0" w:color="auto"/>
            </w:tcBorders>
            <w:shd w:val="clear" w:color="auto" w:fill="auto"/>
            <w:noWrap/>
            <w:vAlign w:val="center"/>
            <w:hideMark/>
          </w:tcPr>
          <w:p w14:paraId="1CC5656C"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39" w:type="pct"/>
            <w:tcBorders>
              <w:top w:val="nil"/>
              <w:left w:val="nil"/>
              <w:bottom w:val="single" w:sz="4" w:space="0" w:color="auto"/>
              <w:right w:val="single" w:sz="4" w:space="0" w:color="auto"/>
            </w:tcBorders>
            <w:shd w:val="clear" w:color="000000" w:fill="E2EFDA"/>
            <w:noWrap/>
            <w:vAlign w:val="center"/>
            <w:hideMark/>
          </w:tcPr>
          <w:p w14:paraId="5BD09090"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1" w:type="pct"/>
            <w:gridSpan w:val="2"/>
            <w:tcBorders>
              <w:top w:val="nil"/>
              <w:left w:val="nil"/>
              <w:bottom w:val="single" w:sz="4" w:space="0" w:color="auto"/>
              <w:right w:val="single" w:sz="4" w:space="0" w:color="auto"/>
            </w:tcBorders>
            <w:shd w:val="clear" w:color="auto" w:fill="auto"/>
            <w:noWrap/>
            <w:vAlign w:val="center"/>
            <w:hideMark/>
          </w:tcPr>
          <w:p w14:paraId="6B46C438"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0" w:type="pct"/>
            <w:tcBorders>
              <w:top w:val="nil"/>
              <w:left w:val="nil"/>
              <w:bottom w:val="single" w:sz="4" w:space="0" w:color="auto"/>
              <w:right w:val="single" w:sz="4" w:space="0" w:color="auto"/>
            </w:tcBorders>
            <w:shd w:val="clear" w:color="000000" w:fill="E2EFDA"/>
            <w:noWrap/>
            <w:vAlign w:val="center"/>
            <w:hideMark/>
          </w:tcPr>
          <w:p w14:paraId="14E2855E"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0" w:type="pct"/>
            <w:tcBorders>
              <w:top w:val="nil"/>
              <w:left w:val="nil"/>
              <w:bottom w:val="single" w:sz="4" w:space="0" w:color="auto"/>
              <w:right w:val="single" w:sz="4" w:space="0" w:color="auto"/>
            </w:tcBorders>
            <w:shd w:val="clear" w:color="auto" w:fill="auto"/>
            <w:noWrap/>
            <w:vAlign w:val="center"/>
            <w:hideMark/>
          </w:tcPr>
          <w:p w14:paraId="512325B6"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0" w:type="pct"/>
            <w:tcBorders>
              <w:top w:val="nil"/>
              <w:left w:val="nil"/>
              <w:bottom w:val="single" w:sz="4" w:space="0" w:color="auto"/>
              <w:right w:val="single" w:sz="4" w:space="0" w:color="auto"/>
            </w:tcBorders>
            <w:shd w:val="clear" w:color="000000" w:fill="E2EFDA"/>
            <w:noWrap/>
            <w:vAlign w:val="center"/>
            <w:hideMark/>
          </w:tcPr>
          <w:p w14:paraId="4C6AAAA8"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53" w:type="pct"/>
            <w:tcBorders>
              <w:top w:val="nil"/>
              <w:left w:val="nil"/>
              <w:bottom w:val="single" w:sz="4" w:space="0" w:color="auto"/>
              <w:right w:val="single" w:sz="4" w:space="0" w:color="auto"/>
            </w:tcBorders>
            <w:shd w:val="clear" w:color="auto" w:fill="auto"/>
            <w:noWrap/>
            <w:vAlign w:val="center"/>
            <w:hideMark/>
          </w:tcPr>
          <w:p w14:paraId="3321CC51"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8" w:type="pct"/>
            <w:tcBorders>
              <w:top w:val="nil"/>
              <w:left w:val="nil"/>
              <w:bottom w:val="single" w:sz="4" w:space="0" w:color="auto"/>
              <w:right w:val="single" w:sz="4" w:space="0" w:color="auto"/>
            </w:tcBorders>
            <w:shd w:val="clear" w:color="000000" w:fill="E2EFDA"/>
            <w:noWrap/>
            <w:vAlign w:val="center"/>
            <w:hideMark/>
          </w:tcPr>
          <w:p w14:paraId="32A81EBC"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5" w:type="pct"/>
            <w:tcBorders>
              <w:top w:val="nil"/>
              <w:left w:val="nil"/>
              <w:bottom w:val="single" w:sz="4" w:space="0" w:color="auto"/>
              <w:right w:val="single" w:sz="4" w:space="0" w:color="auto"/>
            </w:tcBorders>
            <w:shd w:val="clear" w:color="auto" w:fill="auto"/>
            <w:noWrap/>
            <w:vAlign w:val="center"/>
            <w:hideMark/>
          </w:tcPr>
          <w:p w14:paraId="76AFEDEE"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0" w:type="pct"/>
            <w:tcBorders>
              <w:top w:val="nil"/>
              <w:left w:val="nil"/>
              <w:bottom w:val="single" w:sz="4" w:space="0" w:color="auto"/>
              <w:right w:val="single" w:sz="4" w:space="0" w:color="auto"/>
            </w:tcBorders>
            <w:shd w:val="clear" w:color="000000" w:fill="E2EFDA"/>
            <w:noWrap/>
            <w:vAlign w:val="center"/>
            <w:hideMark/>
          </w:tcPr>
          <w:p w14:paraId="5647C948"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8" w:type="pct"/>
            <w:tcBorders>
              <w:top w:val="nil"/>
              <w:left w:val="nil"/>
              <w:bottom w:val="single" w:sz="4" w:space="0" w:color="auto"/>
              <w:right w:val="single" w:sz="4" w:space="0" w:color="auto"/>
            </w:tcBorders>
            <w:shd w:val="clear" w:color="auto" w:fill="auto"/>
            <w:noWrap/>
            <w:vAlign w:val="center"/>
            <w:hideMark/>
          </w:tcPr>
          <w:p w14:paraId="1B01B8E2"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1" w:type="pct"/>
            <w:tcBorders>
              <w:top w:val="nil"/>
              <w:left w:val="nil"/>
              <w:bottom w:val="single" w:sz="4" w:space="0" w:color="auto"/>
              <w:right w:val="single" w:sz="4" w:space="0" w:color="auto"/>
            </w:tcBorders>
            <w:shd w:val="clear" w:color="000000" w:fill="E2EFDA"/>
            <w:noWrap/>
            <w:vAlign w:val="center"/>
            <w:hideMark/>
          </w:tcPr>
          <w:p w14:paraId="2C1E74E5"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1" w:type="pct"/>
            <w:tcBorders>
              <w:top w:val="nil"/>
              <w:left w:val="nil"/>
              <w:bottom w:val="single" w:sz="4" w:space="0" w:color="auto"/>
              <w:right w:val="single" w:sz="4" w:space="0" w:color="auto"/>
            </w:tcBorders>
            <w:shd w:val="clear" w:color="auto" w:fill="auto"/>
            <w:noWrap/>
            <w:vAlign w:val="center"/>
            <w:hideMark/>
          </w:tcPr>
          <w:p w14:paraId="277730E9"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1" w:type="pct"/>
            <w:tcBorders>
              <w:top w:val="nil"/>
              <w:left w:val="nil"/>
              <w:bottom w:val="single" w:sz="4" w:space="0" w:color="auto"/>
              <w:right w:val="single" w:sz="4" w:space="0" w:color="auto"/>
            </w:tcBorders>
            <w:shd w:val="clear" w:color="000000" w:fill="E2EFDA"/>
            <w:noWrap/>
            <w:vAlign w:val="center"/>
            <w:hideMark/>
          </w:tcPr>
          <w:p w14:paraId="229C2B92"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59" w:type="pct"/>
            <w:tcBorders>
              <w:top w:val="nil"/>
              <w:left w:val="nil"/>
              <w:bottom w:val="single" w:sz="4" w:space="0" w:color="auto"/>
              <w:right w:val="single" w:sz="4" w:space="0" w:color="auto"/>
            </w:tcBorders>
            <w:shd w:val="clear" w:color="auto" w:fill="auto"/>
            <w:noWrap/>
            <w:vAlign w:val="center"/>
            <w:hideMark/>
          </w:tcPr>
          <w:p w14:paraId="5C403A1B"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5" w:type="pct"/>
            <w:tcBorders>
              <w:top w:val="nil"/>
              <w:left w:val="nil"/>
              <w:bottom w:val="single" w:sz="4" w:space="0" w:color="auto"/>
              <w:right w:val="single" w:sz="4" w:space="0" w:color="auto"/>
            </w:tcBorders>
            <w:shd w:val="clear" w:color="000000" w:fill="E2EFDA"/>
            <w:noWrap/>
            <w:vAlign w:val="center"/>
            <w:hideMark/>
          </w:tcPr>
          <w:p w14:paraId="2702153F"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5" w:type="pct"/>
            <w:tcBorders>
              <w:top w:val="nil"/>
              <w:left w:val="nil"/>
              <w:bottom w:val="single" w:sz="4" w:space="0" w:color="auto"/>
              <w:right w:val="single" w:sz="4" w:space="0" w:color="auto"/>
            </w:tcBorders>
            <w:shd w:val="clear" w:color="auto" w:fill="auto"/>
            <w:noWrap/>
            <w:vAlign w:val="center"/>
            <w:hideMark/>
          </w:tcPr>
          <w:p w14:paraId="15F5D9E5"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5" w:type="pct"/>
            <w:tcBorders>
              <w:top w:val="nil"/>
              <w:left w:val="nil"/>
              <w:bottom w:val="single" w:sz="4" w:space="0" w:color="auto"/>
              <w:right w:val="single" w:sz="4" w:space="0" w:color="auto"/>
            </w:tcBorders>
            <w:shd w:val="clear" w:color="000000" w:fill="E2EFDA"/>
            <w:noWrap/>
            <w:vAlign w:val="center"/>
            <w:hideMark/>
          </w:tcPr>
          <w:p w14:paraId="13B4EF06"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64" w:type="pct"/>
            <w:gridSpan w:val="2"/>
            <w:tcBorders>
              <w:top w:val="nil"/>
              <w:left w:val="nil"/>
              <w:bottom w:val="single" w:sz="4" w:space="0" w:color="auto"/>
              <w:right w:val="single" w:sz="4" w:space="0" w:color="auto"/>
            </w:tcBorders>
            <w:shd w:val="clear" w:color="auto" w:fill="auto"/>
            <w:noWrap/>
            <w:vAlign w:val="center"/>
            <w:hideMark/>
          </w:tcPr>
          <w:p w14:paraId="1F4281F0"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r>
      <w:tr w:rsidR="009C7C34" w:rsidRPr="00387315" w14:paraId="62B588A6" w14:textId="77777777" w:rsidTr="00C2376E">
        <w:trPr>
          <w:trHeight w:val="300"/>
        </w:trPr>
        <w:tc>
          <w:tcPr>
            <w:tcW w:w="258" w:type="pct"/>
            <w:tcBorders>
              <w:top w:val="nil"/>
              <w:left w:val="single" w:sz="4" w:space="0" w:color="auto"/>
              <w:bottom w:val="single" w:sz="4" w:space="0" w:color="auto"/>
              <w:right w:val="single" w:sz="4" w:space="0" w:color="auto"/>
            </w:tcBorders>
            <w:shd w:val="clear" w:color="000000" w:fill="002060"/>
            <w:noWrap/>
            <w:vAlign w:val="center"/>
            <w:hideMark/>
          </w:tcPr>
          <w:p w14:paraId="1AA95DBB" w14:textId="77777777" w:rsidR="009C7C34" w:rsidRPr="009C7C34" w:rsidRDefault="009C7C34" w:rsidP="00851785">
            <w:pPr>
              <w:keepNext/>
              <w:keepLines/>
              <w:spacing w:before="240"/>
              <w:jc w:val="center"/>
              <w:rPr>
                <w:rFonts w:ascii="Arial" w:hAnsi="Arial" w:cs="Arial"/>
                <w:b/>
                <w:sz w:val="18"/>
                <w:szCs w:val="18"/>
                <w:lang w:val="es-PY"/>
              </w:rPr>
            </w:pPr>
            <w:r w:rsidRPr="009C7C34">
              <w:rPr>
                <w:rFonts w:ascii="Arial" w:hAnsi="Arial" w:cs="Arial"/>
                <w:b/>
                <w:sz w:val="18"/>
                <w:szCs w:val="18"/>
                <w:lang w:val="es-PY"/>
              </w:rPr>
              <w:lastRenderedPageBreak/>
              <w:t>3</w:t>
            </w:r>
          </w:p>
        </w:tc>
        <w:tc>
          <w:tcPr>
            <w:tcW w:w="4742" w:type="pct"/>
            <w:gridSpan w:val="24"/>
            <w:tcBorders>
              <w:top w:val="single" w:sz="4" w:space="0" w:color="auto"/>
              <w:left w:val="nil"/>
              <w:bottom w:val="single" w:sz="4" w:space="0" w:color="auto"/>
              <w:right w:val="single" w:sz="4" w:space="0" w:color="auto"/>
            </w:tcBorders>
            <w:shd w:val="clear" w:color="000000" w:fill="002060"/>
            <w:vAlign w:val="center"/>
            <w:hideMark/>
          </w:tcPr>
          <w:p w14:paraId="6E7D9477" w14:textId="77777777" w:rsidR="009C7C34" w:rsidRPr="009C7C34" w:rsidRDefault="009C7C34" w:rsidP="00851785">
            <w:pPr>
              <w:keepNext/>
              <w:keepLines/>
              <w:spacing w:before="240"/>
              <w:jc w:val="center"/>
              <w:rPr>
                <w:rFonts w:ascii="Arial" w:hAnsi="Arial" w:cs="Arial"/>
                <w:b/>
                <w:sz w:val="18"/>
                <w:szCs w:val="18"/>
                <w:lang w:val="es-PY"/>
              </w:rPr>
            </w:pPr>
            <w:r w:rsidRPr="009C7C34">
              <w:rPr>
                <w:rFonts w:ascii="Arial" w:hAnsi="Arial" w:cs="Arial"/>
                <w:b/>
                <w:sz w:val="18"/>
                <w:szCs w:val="18"/>
                <w:lang w:val="es-PY"/>
              </w:rPr>
              <w:t>Monitoreo y Gestión de Cambios de los Instrumentos P&amp;M</w:t>
            </w:r>
          </w:p>
        </w:tc>
      </w:tr>
      <w:tr w:rsidR="009C7C34" w:rsidRPr="009C7C34" w14:paraId="1216697C" w14:textId="77777777" w:rsidTr="00C2376E">
        <w:trPr>
          <w:trHeight w:val="45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14:paraId="6948260A" w14:textId="77777777" w:rsidR="009C7C34" w:rsidRPr="009C7C34" w:rsidRDefault="009C7C34" w:rsidP="00851785">
            <w:pPr>
              <w:keepNext/>
              <w:keepLines/>
              <w:spacing w:before="240"/>
              <w:jc w:val="center"/>
              <w:rPr>
                <w:rFonts w:ascii="Arial" w:hAnsi="Arial" w:cs="Arial"/>
                <w:b/>
                <w:sz w:val="18"/>
                <w:szCs w:val="18"/>
                <w:lang w:val="es-PY"/>
              </w:rPr>
            </w:pPr>
            <w:r w:rsidRPr="009C7C34">
              <w:rPr>
                <w:rFonts w:ascii="Arial" w:hAnsi="Arial" w:cs="Arial"/>
                <w:b/>
                <w:sz w:val="18"/>
                <w:szCs w:val="18"/>
                <w:lang w:val="es-PY"/>
              </w:rPr>
              <w:t>3.1</w:t>
            </w:r>
          </w:p>
        </w:tc>
        <w:tc>
          <w:tcPr>
            <w:tcW w:w="1191" w:type="pct"/>
            <w:tcBorders>
              <w:top w:val="nil"/>
              <w:left w:val="nil"/>
              <w:bottom w:val="single" w:sz="4" w:space="0" w:color="auto"/>
              <w:right w:val="single" w:sz="4" w:space="0" w:color="auto"/>
            </w:tcBorders>
            <w:shd w:val="clear" w:color="auto" w:fill="auto"/>
            <w:vAlign w:val="center"/>
            <w:hideMark/>
          </w:tcPr>
          <w:p w14:paraId="0FE83064" w14:textId="77777777" w:rsidR="009C7C34" w:rsidRPr="009C7C34" w:rsidRDefault="009C7C34" w:rsidP="00851785">
            <w:pPr>
              <w:keepNext/>
              <w:keepLines/>
              <w:spacing w:before="240"/>
              <w:jc w:val="center"/>
              <w:rPr>
                <w:rFonts w:ascii="Arial" w:hAnsi="Arial" w:cs="Arial"/>
                <w:b/>
                <w:sz w:val="18"/>
                <w:szCs w:val="18"/>
                <w:lang w:val="es-PY"/>
              </w:rPr>
            </w:pPr>
            <w:r w:rsidRPr="009C7C34">
              <w:rPr>
                <w:rFonts w:ascii="Arial" w:hAnsi="Arial" w:cs="Arial"/>
                <w:b/>
                <w:sz w:val="18"/>
                <w:szCs w:val="18"/>
                <w:lang w:val="es-PY"/>
              </w:rPr>
              <w:t>Monitoreo mensual de la ejecución de actividades del PEP/POA</w:t>
            </w:r>
          </w:p>
        </w:tc>
        <w:tc>
          <w:tcPr>
            <w:tcW w:w="600" w:type="pct"/>
            <w:vMerge w:val="restart"/>
            <w:tcBorders>
              <w:top w:val="single" w:sz="4" w:space="0" w:color="auto"/>
              <w:left w:val="single" w:sz="4" w:space="0" w:color="auto"/>
              <w:right w:val="single" w:sz="4" w:space="0" w:color="auto"/>
            </w:tcBorders>
            <w:shd w:val="clear" w:color="auto" w:fill="auto"/>
            <w:vAlign w:val="center"/>
            <w:hideMark/>
          </w:tcPr>
          <w:p w14:paraId="59952F3D" w14:textId="77777777" w:rsidR="009C7C34" w:rsidRPr="009C7C34" w:rsidRDefault="009C7C34" w:rsidP="00851785">
            <w:pPr>
              <w:keepNext/>
              <w:keepLines/>
              <w:spacing w:before="240"/>
              <w:jc w:val="center"/>
              <w:rPr>
                <w:rFonts w:ascii="Arial" w:hAnsi="Arial" w:cs="Arial"/>
                <w:b/>
                <w:sz w:val="18"/>
                <w:szCs w:val="18"/>
                <w:lang w:val="es-PY"/>
              </w:rPr>
            </w:pPr>
            <w:r w:rsidRPr="009C7C34">
              <w:rPr>
                <w:rFonts w:ascii="Arial" w:hAnsi="Arial" w:cs="Arial"/>
                <w:b/>
                <w:sz w:val="18"/>
                <w:szCs w:val="18"/>
                <w:lang w:val="es-PY"/>
              </w:rPr>
              <w:t>EP&amp;M</w:t>
            </w:r>
          </w:p>
        </w:tc>
        <w:tc>
          <w:tcPr>
            <w:tcW w:w="199" w:type="pct"/>
            <w:tcBorders>
              <w:top w:val="single" w:sz="4" w:space="0" w:color="auto"/>
              <w:left w:val="nil"/>
              <w:bottom w:val="single" w:sz="4" w:space="0" w:color="auto"/>
              <w:right w:val="single" w:sz="4" w:space="0" w:color="auto"/>
            </w:tcBorders>
            <w:shd w:val="clear" w:color="000000" w:fill="FCE4D6"/>
            <w:noWrap/>
            <w:vAlign w:val="center"/>
            <w:hideMark/>
          </w:tcPr>
          <w:p w14:paraId="4B4218DE" w14:textId="77777777" w:rsidR="009C7C34" w:rsidRPr="009C7C34" w:rsidRDefault="009C7C34" w:rsidP="00851785">
            <w:pPr>
              <w:keepNext/>
              <w:keepLines/>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37" w:type="pct"/>
            <w:tcBorders>
              <w:top w:val="nil"/>
              <w:left w:val="nil"/>
              <w:bottom w:val="single" w:sz="4" w:space="0" w:color="auto"/>
              <w:right w:val="single" w:sz="4" w:space="0" w:color="auto"/>
            </w:tcBorders>
            <w:shd w:val="clear" w:color="000000" w:fill="FCE4D6"/>
            <w:noWrap/>
            <w:vAlign w:val="center"/>
            <w:hideMark/>
          </w:tcPr>
          <w:p w14:paraId="41C0D118" w14:textId="77777777" w:rsidR="009C7C34" w:rsidRPr="009C7C34" w:rsidRDefault="009C7C34" w:rsidP="00851785">
            <w:pPr>
              <w:keepNext/>
              <w:keepLines/>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39" w:type="pct"/>
            <w:tcBorders>
              <w:top w:val="nil"/>
              <w:left w:val="nil"/>
              <w:bottom w:val="single" w:sz="4" w:space="0" w:color="auto"/>
              <w:right w:val="single" w:sz="4" w:space="0" w:color="auto"/>
            </w:tcBorders>
            <w:shd w:val="clear" w:color="000000" w:fill="FCE4D6"/>
            <w:noWrap/>
            <w:vAlign w:val="center"/>
            <w:hideMark/>
          </w:tcPr>
          <w:p w14:paraId="1D225465" w14:textId="77777777" w:rsidR="009C7C34" w:rsidRPr="009C7C34" w:rsidRDefault="009C7C34" w:rsidP="00851785">
            <w:pPr>
              <w:keepNext/>
              <w:keepLines/>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1" w:type="pct"/>
            <w:gridSpan w:val="2"/>
            <w:tcBorders>
              <w:top w:val="nil"/>
              <w:left w:val="nil"/>
              <w:bottom w:val="single" w:sz="4" w:space="0" w:color="auto"/>
              <w:right w:val="single" w:sz="4" w:space="0" w:color="auto"/>
            </w:tcBorders>
            <w:shd w:val="clear" w:color="000000" w:fill="FCE4D6"/>
            <w:noWrap/>
            <w:vAlign w:val="center"/>
            <w:hideMark/>
          </w:tcPr>
          <w:p w14:paraId="490C75E4" w14:textId="77777777" w:rsidR="009C7C34" w:rsidRPr="009C7C34" w:rsidRDefault="009C7C34" w:rsidP="00851785">
            <w:pPr>
              <w:keepNext/>
              <w:keepLines/>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0" w:type="pct"/>
            <w:tcBorders>
              <w:top w:val="nil"/>
              <w:left w:val="nil"/>
              <w:bottom w:val="single" w:sz="4" w:space="0" w:color="auto"/>
              <w:right w:val="single" w:sz="4" w:space="0" w:color="auto"/>
            </w:tcBorders>
            <w:shd w:val="clear" w:color="000000" w:fill="FCE4D6"/>
            <w:noWrap/>
            <w:vAlign w:val="center"/>
            <w:hideMark/>
          </w:tcPr>
          <w:p w14:paraId="7E138570" w14:textId="77777777" w:rsidR="009C7C34" w:rsidRPr="009C7C34" w:rsidRDefault="009C7C34" w:rsidP="00851785">
            <w:pPr>
              <w:keepNext/>
              <w:keepLines/>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0" w:type="pct"/>
            <w:tcBorders>
              <w:top w:val="nil"/>
              <w:left w:val="nil"/>
              <w:bottom w:val="single" w:sz="4" w:space="0" w:color="auto"/>
              <w:right w:val="single" w:sz="4" w:space="0" w:color="auto"/>
            </w:tcBorders>
            <w:shd w:val="clear" w:color="000000" w:fill="FCE4D6"/>
            <w:noWrap/>
            <w:vAlign w:val="center"/>
            <w:hideMark/>
          </w:tcPr>
          <w:p w14:paraId="4DF3232E" w14:textId="77777777" w:rsidR="009C7C34" w:rsidRPr="009C7C34" w:rsidRDefault="009C7C34" w:rsidP="00851785">
            <w:pPr>
              <w:keepNext/>
              <w:keepLines/>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0" w:type="pct"/>
            <w:tcBorders>
              <w:top w:val="nil"/>
              <w:left w:val="nil"/>
              <w:bottom w:val="single" w:sz="4" w:space="0" w:color="auto"/>
              <w:right w:val="single" w:sz="4" w:space="0" w:color="auto"/>
            </w:tcBorders>
            <w:shd w:val="clear" w:color="000000" w:fill="FCE4D6"/>
            <w:noWrap/>
            <w:vAlign w:val="center"/>
            <w:hideMark/>
          </w:tcPr>
          <w:p w14:paraId="0399818B" w14:textId="77777777" w:rsidR="009C7C34" w:rsidRPr="009C7C34" w:rsidRDefault="009C7C34" w:rsidP="00851785">
            <w:pPr>
              <w:keepNext/>
              <w:keepLines/>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53" w:type="pct"/>
            <w:tcBorders>
              <w:top w:val="nil"/>
              <w:left w:val="nil"/>
              <w:bottom w:val="single" w:sz="4" w:space="0" w:color="auto"/>
              <w:right w:val="single" w:sz="4" w:space="0" w:color="auto"/>
            </w:tcBorders>
            <w:shd w:val="clear" w:color="000000" w:fill="FCE4D6"/>
            <w:noWrap/>
            <w:vAlign w:val="center"/>
            <w:hideMark/>
          </w:tcPr>
          <w:p w14:paraId="330B5F34" w14:textId="77777777" w:rsidR="009C7C34" w:rsidRPr="009C7C34" w:rsidRDefault="009C7C34" w:rsidP="00851785">
            <w:pPr>
              <w:keepNext/>
              <w:keepLines/>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8" w:type="pct"/>
            <w:tcBorders>
              <w:top w:val="nil"/>
              <w:left w:val="nil"/>
              <w:bottom w:val="single" w:sz="4" w:space="0" w:color="auto"/>
              <w:right w:val="single" w:sz="4" w:space="0" w:color="auto"/>
            </w:tcBorders>
            <w:shd w:val="clear" w:color="000000" w:fill="FCE4D6"/>
            <w:noWrap/>
            <w:vAlign w:val="center"/>
            <w:hideMark/>
          </w:tcPr>
          <w:p w14:paraId="56502016" w14:textId="77777777" w:rsidR="009C7C34" w:rsidRPr="009C7C34" w:rsidRDefault="009C7C34" w:rsidP="00851785">
            <w:pPr>
              <w:keepNext/>
              <w:keepLines/>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5" w:type="pct"/>
            <w:tcBorders>
              <w:top w:val="nil"/>
              <w:left w:val="nil"/>
              <w:bottom w:val="single" w:sz="4" w:space="0" w:color="auto"/>
              <w:right w:val="single" w:sz="4" w:space="0" w:color="auto"/>
            </w:tcBorders>
            <w:shd w:val="clear" w:color="000000" w:fill="FCE4D6"/>
            <w:noWrap/>
            <w:vAlign w:val="center"/>
            <w:hideMark/>
          </w:tcPr>
          <w:p w14:paraId="5AEBCFCC" w14:textId="77777777" w:rsidR="009C7C34" w:rsidRPr="009C7C34" w:rsidRDefault="009C7C34" w:rsidP="00851785">
            <w:pPr>
              <w:keepNext/>
              <w:keepLines/>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0" w:type="pct"/>
            <w:tcBorders>
              <w:top w:val="nil"/>
              <w:left w:val="nil"/>
              <w:bottom w:val="single" w:sz="4" w:space="0" w:color="auto"/>
              <w:right w:val="single" w:sz="4" w:space="0" w:color="auto"/>
            </w:tcBorders>
            <w:shd w:val="clear" w:color="000000" w:fill="FCE4D6"/>
            <w:noWrap/>
            <w:vAlign w:val="center"/>
            <w:hideMark/>
          </w:tcPr>
          <w:p w14:paraId="238F9CDA" w14:textId="77777777" w:rsidR="009C7C34" w:rsidRPr="009C7C34" w:rsidRDefault="009C7C34" w:rsidP="00851785">
            <w:pPr>
              <w:keepNext/>
              <w:keepLines/>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8" w:type="pct"/>
            <w:tcBorders>
              <w:top w:val="nil"/>
              <w:left w:val="nil"/>
              <w:bottom w:val="single" w:sz="4" w:space="0" w:color="auto"/>
              <w:right w:val="single" w:sz="4" w:space="0" w:color="auto"/>
            </w:tcBorders>
            <w:shd w:val="clear" w:color="000000" w:fill="FCE4D6"/>
            <w:noWrap/>
            <w:vAlign w:val="center"/>
            <w:hideMark/>
          </w:tcPr>
          <w:p w14:paraId="57812592" w14:textId="77777777" w:rsidR="009C7C34" w:rsidRPr="009C7C34" w:rsidRDefault="009C7C34" w:rsidP="00851785">
            <w:pPr>
              <w:keepNext/>
              <w:keepLines/>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1" w:type="pct"/>
            <w:tcBorders>
              <w:top w:val="nil"/>
              <w:left w:val="nil"/>
              <w:bottom w:val="single" w:sz="4" w:space="0" w:color="auto"/>
              <w:right w:val="single" w:sz="4" w:space="0" w:color="auto"/>
            </w:tcBorders>
            <w:shd w:val="clear" w:color="000000" w:fill="FCE4D6"/>
            <w:noWrap/>
            <w:vAlign w:val="center"/>
            <w:hideMark/>
          </w:tcPr>
          <w:p w14:paraId="108B2BBB" w14:textId="77777777" w:rsidR="009C7C34" w:rsidRPr="009C7C34" w:rsidRDefault="009C7C34" w:rsidP="00851785">
            <w:pPr>
              <w:keepNext/>
              <w:keepLines/>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1" w:type="pct"/>
            <w:tcBorders>
              <w:top w:val="nil"/>
              <w:left w:val="nil"/>
              <w:bottom w:val="single" w:sz="4" w:space="0" w:color="auto"/>
              <w:right w:val="single" w:sz="4" w:space="0" w:color="auto"/>
            </w:tcBorders>
            <w:shd w:val="clear" w:color="000000" w:fill="FCE4D6"/>
            <w:noWrap/>
            <w:vAlign w:val="center"/>
            <w:hideMark/>
          </w:tcPr>
          <w:p w14:paraId="461968AB" w14:textId="77777777" w:rsidR="009C7C34" w:rsidRPr="009C7C34" w:rsidRDefault="009C7C34" w:rsidP="00851785">
            <w:pPr>
              <w:keepNext/>
              <w:keepLines/>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1" w:type="pct"/>
            <w:tcBorders>
              <w:top w:val="nil"/>
              <w:left w:val="nil"/>
              <w:bottom w:val="single" w:sz="4" w:space="0" w:color="auto"/>
              <w:right w:val="single" w:sz="4" w:space="0" w:color="auto"/>
            </w:tcBorders>
            <w:shd w:val="clear" w:color="000000" w:fill="FCE4D6"/>
            <w:noWrap/>
            <w:vAlign w:val="center"/>
            <w:hideMark/>
          </w:tcPr>
          <w:p w14:paraId="57D149C0" w14:textId="77777777" w:rsidR="009C7C34" w:rsidRPr="009C7C34" w:rsidRDefault="009C7C34" w:rsidP="00851785">
            <w:pPr>
              <w:keepNext/>
              <w:keepLines/>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59" w:type="pct"/>
            <w:tcBorders>
              <w:top w:val="nil"/>
              <w:left w:val="nil"/>
              <w:bottom w:val="single" w:sz="4" w:space="0" w:color="auto"/>
              <w:right w:val="single" w:sz="4" w:space="0" w:color="auto"/>
            </w:tcBorders>
            <w:shd w:val="clear" w:color="000000" w:fill="FCE4D6"/>
            <w:noWrap/>
            <w:vAlign w:val="center"/>
            <w:hideMark/>
          </w:tcPr>
          <w:p w14:paraId="13073E98" w14:textId="77777777" w:rsidR="009C7C34" w:rsidRPr="009C7C34" w:rsidRDefault="009C7C34" w:rsidP="00851785">
            <w:pPr>
              <w:keepNext/>
              <w:keepLines/>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5" w:type="pct"/>
            <w:tcBorders>
              <w:top w:val="nil"/>
              <w:left w:val="nil"/>
              <w:bottom w:val="single" w:sz="4" w:space="0" w:color="auto"/>
              <w:right w:val="single" w:sz="4" w:space="0" w:color="auto"/>
            </w:tcBorders>
            <w:shd w:val="clear" w:color="000000" w:fill="FCE4D6"/>
            <w:noWrap/>
            <w:vAlign w:val="center"/>
            <w:hideMark/>
          </w:tcPr>
          <w:p w14:paraId="17F8F9A7" w14:textId="77777777" w:rsidR="009C7C34" w:rsidRPr="009C7C34" w:rsidRDefault="009C7C34" w:rsidP="00851785">
            <w:pPr>
              <w:keepNext/>
              <w:keepLines/>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5" w:type="pct"/>
            <w:tcBorders>
              <w:top w:val="nil"/>
              <w:left w:val="nil"/>
              <w:bottom w:val="single" w:sz="4" w:space="0" w:color="auto"/>
              <w:right w:val="single" w:sz="4" w:space="0" w:color="auto"/>
            </w:tcBorders>
            <w:shd w:val="clear" w:color="000000" w:fill="FCE4D6"/>
            <w:noWrap/>
            <w:vAlign w:val="center"/>
            <w:hideMark/>
          </w:tcPr>
          <w:p w14:paraId="458E4A7E" w14:textId="77777777" w:rsidR="009C7C34" w:rsidRPr="009C7C34" w:rsidRDefault="009C7C34" w:rsidP="00851785">
            <w:pPr>
              <w:keepNext/>
              <w:keepLines/>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5" w:type="pct"/>
            <w:tcBorders>
              <w:top w:val="nil"/>
              <w:left w:val="nil"/>
              <w:bottom w:val="single" w:sz="4" w:space="0" w:color="auto"/>
              <w:right w:val="single" w:sz="4" w:space="0" w:color="auto"/>
            </w:tcBorders>
            <w:shd w:val="clear" w:color="000000" w:fill="FCE4D6"/>
            <w:noWrap/>
            <w:vAlign w:val="center"/>
            <w:hideMark/>
          </w:tcPr>
          <w:p w14:paraId="7ECCA0E8" w14:textId="77777777" w:rsidR="009C7C34" w:rsidRPr="009C7C34" w:rsidRDefault="009C7C34" w:rsidP="00851785">
            <w:pPr>
              <w:keepNext/>
              <w:keepLines/>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64" w:type="pct"/>
            <w:gridSpan w:val="2"/>
            <w:tcBorders>
              <w:top w:val="nil"/>
              <w:left w:val="nil"/>
              <w:bottom w:val="single" w:sz="4" w:space="0" w:color="auto"/>
              <w:right w:val="single" w:sz="4" w:space="0" w:color="auto"/>
            </w:tcBorders>
            <w:shd w:val="clear" w:color="000000" w:fill="FCE4D6"/>
            <w:noWrap/>
            <w:vAlign w:val="center"/>
            <w:hideMark/>
          </w:tcPr>
          <w:p w14:paraId="0B45DC05" w14:textId="77777777" w:rsidR="009C7C34" w:rsidRPr="009C7C34" w:rsidRDefault="009C7C34" w:rsidP="00851785">
            <w:pPr>
              <w:keepNext/>
              <w:keepLines/>
              <w:spacing w:before="240"/>
              <w:jc w:val="center"/>
              <w:rPr>
                <w:rFonts w:ascii="Arial" w:hAnsi="Arial" w:cs="Arial"/>
                <w:b/>
                <w:sz w:val="18"/>
                <w:szCs w:val="18"/>
                <w:lang w:val="es-PY"/>
              </w:rPr>
            </w:pPr>
            <w:r w:rsidRPr="009C7C34">
              <w:rPr>
                <w:rFonts w:ascii="Arial" w:hAnsi="Arial" w:cs="Arial"/>
                <w:b/>
                <w:sz w:val="18"/>
                <w:szCs w:val="18"/>
                <w:lang w:val="es-PY"/>
              </w:rPr>
              <w:t>X</w:t>
            </w:r>
          </w:p>
        </w:tc>
      </w:tr>
      <w:tr w:rsidR="009C7C34" w:rsidRPr="009C7C34" w14:paraId="664C579B" w14:textId="77777777" w:rsidTr="00C2376E">
        <w:trPr>
          <w:trHeight w:val="45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14:paraId="00D98055"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3.2</w:t>
            </w:r>
          </w:p>
        </w:tc>
        <w:tc>
          <w:tcPr>
            <w:tcW w:w="1191" w:type="pct"/>
            <w:tcBorders>
              <w:top w:val="nil"/>
              <w:left w:val="nil"/>
              <w:bottom w:val="single" w:sz="4" w:space="0" w:color="auto"/>
              <w:right w:val="single" w:sz="4" w:space="0" w:color="auto"/>
            </w:tcBorders>
            <w:shd w:val="clear" w:color="auto" w:fill="auto"/>
            <w:vAlign w:val="center"/>
            <w:hideMark/>
          </w:tcPr>
          <w:p w14:paraId="331CFEE4"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Actualización mensual de los Instrumentos P&amp;M (MdR/PEP/POA/PA/PD) con base al monitoreo</w:t>
            </w:r>
          </w:p>
        </w:tc>
        <w:tc>
          <w:tcPr>
            <w:tcW w:w="600" w:type="pct"/>
            <w:vMerge/>
            <w:tcBorders>
              <w:left w:val="single" w:sz="4" w:space="0" w:color="auto"/>
              <w:bottom w:val="single" w:sz="4" w:space="0" w:color="auto"/>
              <w:right w:val="single" w:sz="4" w:space="0" w:color="auto"/>
            </w:tcBorders>
            <w:vAlign w:val="center"/>
            <w:hideMark/>
          </w:tcPr>
          <w:p w14:paraId="7A6B4BA4" w14:textId="77777777" w:rsidR="009C7C34" w:rsidRPr="009C7C34" w:rsidRDefault="009C7C34" w:rsidP="009C7C34">
            <w:pPr>
              <w:spacing w:before="240"/>
              <w:jc w:val="center"/>
              <w:rPr>
                <w:rFonts w:ascii="Arial" w:hAnsi="Arial" w:cs="Arial"/>
                <w:b/>
                <w:sz w:val="18"/>
                <w:szCs w:val="18"/>
                <w:lang w:val="es-PY"/>
              </w:rPr>
            </w:pPr>
          </w:p>
        </w:tc>
        <w:tc>
          <w:tcPr>
            <w:tcW w:w="199" w:type="pct"/>
            <w:tcBorders>
              <w:top w:val="nil"/>
              <w:left w:val="nil"/>
              <w:bottom w:val="single" w:sz="4" w:space="0" w:color="auto"/>
              <w:right w:val="single" w:sz="4" w:space="0" w:color="auto"/>
            </w:tcBorders>
            <w:shd w:val="clear" w:color="000000" w:fill="FCE4D6"/>
            <w:noWrap/>
            <w:vAlign w:val="center"/>
            <w:hideMark/>
          </w:tcPr>
          <w:p w14:paraId="0141BD9E"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37" w:type="pct"/>
            <w:tcBorders>
              <w:top w:val="nil"/>
              <w:left w:val="nil"/>
              <w:bottom w:val="single" w:sz="4" w:space="0" w:color="auto"/>
              <w:right w:val="single" w:sz="4" w:space="0" w:color="auto"/>
            </w:tcBorders>
            <w:shd w:val="clear" w:color="000000" w:fill="FCE4D6"/>
            <w:noWrap/>
            <w:vAlign w:val="center"/>
            <w:hideMark/>
          </w:tcPr>
          <w:p w14:paraId="521408F9"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39" w:type="pct"/>
            <w:tcBorders>
              <w:top w:val="nil"/>
              <w:left w:val="nil"/>
              <w:bottom w:val="single" w:sz="4" w:space="0" w:color="auto"/>
              <w:right w:val="single" w:sz="4" w:space="0" w:color="auto"/>
            </w:tcBorders>
            <w:shd w:val="clear" w:color="000000" w:fill="FCE4D6"/>
            <w:noWrap/>
            <w:vAlign w:val="center"/>
            <w:hideMark/>
          </w:tcPr>
          <w:p w14:paraId="65A92999"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1" w:type="pct"/>
            <w:gridSpan w:val="2"/>
            <w:tcBorders>
              <w:top w:val="nil"/>
              <w:left w:val="nil"/>
              <w:bottom w:val="single" w:sz="4" w:space="0" w:color="auto"/>
              <w:right w:val="single" w:sz="4" w:space="0" w:color="auto"/>
            </w:tcBorders>
            <w:shd w:val="clear" w:color="000000" w:fill="FCE4D6"/>
            <w:noWrap/>
            <w:vAlign w:val="center"/>
            <w:hideMark/>
          </w:tcPr>
          <w:p w14:paraId="25ADC287"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0" w:type="pct"/>
            <w:tcBorders>
              <w:top w:val="nil"/>
              <w:left w:val="nil"/>
              <w:bottom w:val="single" w:sz="4" w:space="0" w:color="auto"/>
              <w:right w:val="single" w:sz="4" w:space="0" w:color="auto"/>
            </w:tcBorders>
            <w:shd w:val="clear" w:color="000000" w:fill="FCE4D6"/>
            <w:noWrap/>
            <w:vAlign w:val="center"/>
            <w:hideMark/>
          </w:tcPr>
          <w:p w14:paraId="160C76C2"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0" w:type="pct"/>
            <w:tcBorders>
              <w:top w:val="nil"/>
              <w:left w:val="nil"/>
              <w:bottom w:val="single" w:sz="4" w:space="0" w:color="auto"/>
              <w:right w:val="single" w:sz="4" w:space="0" w:color="auto"/>
            </w:tcBorders>
            <w:shd w:val="clear" w:color="000000" w:fill="FCE4D6"/>
            <w:noWrap/>
            <w:vAlign w:val="center"/>
            <w:hideMark/>
          </w:tcPr>
          <w:p w14:paraId="7734AF6A"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0" w:type="pct"/>
            <w:tcBorders>
              <w:top w:val="nil"/>
              <w:left w:val="nil"/>
              <w:bottom w:val="single" w:sz="4" w:space="0" w:color="auto"/>
              <w:right w:val="single" w:sz="4" w:space="0" w:color="auto"/>
            </w:tcBorders>
            <w:shd w:val="clear" w:color="000000" w:fill="FCE4D6"/>
            <w:noWrap/>
            <w:vAlign w:val="center"/>
            <w:hideMark/>
          </w:tcPr>
          <w:p w14:paraId="3B3A6587"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53" w:type="pct"/>
            <w:tcBorders>
              <w:top w:val="nil"/>
              <w:left w:val="nil"/>
              <w:bottom w:val="single" w:sz="4" w:space="0" w:color="auto"/>
              <w:right w:val="single" w:sz="4" w:space="0" w:color="auto"/>
            </w:tcBorders>
            <w:shd w:val="clear" w:color="000000" w:fill="FCE4D6"/>
            <w:noWrap/>
            <w:vAlign w:val="center"/>
            <w:hideMark/>
          </w:tcPr>
          <w:p w14:paraId="4A55B4CC"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8" w:type="pct"/>
            <w:tcBorders>
              <w:top w:val="nil"/>
              <w:left w:val="nil"/>
              <w:bottom w:val="single" w:sz="4" w:space="0" w:color="auto"/>
              <w:right w:val="single" w:sz="4" w:space="0" w:color="auto"/>
            </w:tcBorders>
            <w:shd w:val="clear" w:color="000000" w:fill="FCE4D6"/>
            <w:noWrap/>
            <w:vAlign w:val="center"/>
            <w:hideMark/>
          </w:tcPr>
          <w:p w14:paraId="5505DE42"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5" w:type="pct"/>
            <w:tcBorders>
              <w:top w:val="nil"/>
              <w:left w:val="nil"/>
              <w:bottom w:val="single" w:sz="4" w:space="0" w:color="auto"/>
              <w:right w:val="single" w:sz="4" w:space="0" w:color="auto"/>
            </w:tcBorders>
            <w:shd w:val="clear" w:color="000000" w:fill="FCE4D6"/>
            <w:noWrap/>
            <w:vAlign w:val="center"/>
            <w:hideMark/>
          </w:tcPr>
          <w:p w14:paraId="5D2C763F"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0" w:type="pct"/>
            <w:tcBorders>
              <w:top w:val="nil"/>
              <w:left w:val="nil"/>
              <w:bottom w:val="single" w:sz="4" w:space="0" w:color="auto"/>
              <w:right w:val="single" w:sz="4" w:space="0" w:color="auto"/>
            </w:tcBorders>
            <w:shd w:val="clear" w:color="000000" w:fill="FCE4D6"/>
            <w:noWrap/>
            <w:vAlign w:val="center"/>
            <w:hideMark/>
          </w:tcPr>
          <w:p w14:paraId="0DC13AC9"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8" w:type="pct"/>
            <w:tcBorders>
              <w:top w:val="nil"/>
              <w:left w:val="nil"/>
              <w:bottom w:val="single" w:sz="4" w:space="0" w:color="auto"/>
              <w:right w:val="single" w:sz="4" w:space="0" w:color="auto"/>
            </w:tcBorders>
            <w:shd w:val="clear" w:color="000000" w:fill="FCE4D6"/>
            <w:noWrap/>
            <w:vAlign w:val="center"/>
            <w:hideMark/>
          </w:tcPr>
          <w:p w14:paraId="48F8FA13"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1" w:type="pct"/>
            <w:tcBorders>
              <w:top w:val="nil"/>
              <w:left w:val="nil"/>
              <w:bottom w:val="single" w:sz="4" w:space="0" w:color="auto"/>
              <w:right w:val="single" w:sz="4" w:space="0" w:color="auto"/>
            </w:tcBorders>
            <w:shd w:val="clear" w:color="000000" w:fill="FCE4D6"/>
            <w:noWrap/>
            <w:vAlign w:val="center"/>
            <w:hideMark/>
          </w:tcPr>
          <w:p w14:paraId="129E8891"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1" w:type="pct"/>
            <w:tcBorders>
              <w:top w:val="nil"/>
              <w:left w:val="nil"/>
              <w:bottom w:val="single" w:sz="4" w:space="0" w:color="auto"/>
              <w:right w:val="single" w:sz="4" w:space="0" w:color="auto"/>
            </w:tcBorders>
            <w:shd w:val="clear" w:color="000000" w:fill="FCE4D6"/>
            <w:noWrap/>
            <w:vAlign w:val="center"/>
            <w:hideMark/>
          </w:tcPr>
          <w:p w14:paraId="66E9D819"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1" w:type="pct"/>
            <w:tcBorders>
              <w:top w:val="nil"/>
              <w:left w:val="nil"/>
              <w:bottom w:val="single" w:sz="4" w:space="0" w:color="auto"/>
              <w:right w:val="single" w:sz="4" w:space="0" w:color="auto"/>
            </w:tcBorders>
            <w:shd w:val="clear" w:color="000000" w:fill="FCE4D6"/>
            <w:noWrap/>
            <w:vAlign w:val="center"/>
            <w:hideMark/>
          </w:tcPr>
          <w:p w14:paraId="3414247A"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59" w:type="pct"/>
            <w:tcBorders>
              <w:top w:val="nil"/>
              <w:left w:val="nil"/>
              <w:bottom w:val="single" w:sz="4" w:space="0" w:color="auto"/>
              <w:right w:val="single" w:sz="4" w:space="0" w:color="auto"/>
            </w:tcBorders>
            <w:shd w:val="clear" w:color="000000" w:fill="FCE4D6"/>
            <w:noWrap/>
            <w:vAlign w:val="center"/>
            <w:hideMark/>
          </w:tcPr>
          <w:p w14:paraId="03C83DA8"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5" w:type="pct"/>
            <w:tcBorders>
              <w:top w:val="nil"/>
              <w:left w:val="nil"/>
              <w:bottom w:val="single" w:sz="4" w:space="0" w:color="auto"/>
              <w:right w:val="single" w:sz="4" w:space="0" w:color="auto"/>
            </w:tcBorders>
            <w:shd w:val="clear" w:color="000000" w:fill="FCE4D6"/>
            <w:noWrap/>
            <w:vAlign w:val="center"/>
            <w:hideMark/>
          </w:tcPr>
          <w:p w14:paraId="33F207A3"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5" w:type="pct"/>
            <w:tcBorders>
              <w:top w:val="nil"/>
              <w:left w:val="nil"/>
              <w:bottom w:val="single" w:sz="4" w:space="0" w:color="auto"/>
              <w:right w:val="single" w:sz="4" w:space="0" w:color="auto"/>
            </w:tcBorders>
            <w:shd w:val="clear" w:color="000000" w:fill="FCE4D6"/>
            <w:noWrap/>
            <w:vAlign w:val="center"/>
            <w:hideMark/>
          </w:tcPr>
          <w:p w14:paraId="671BB521"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5" w:type="pct"/>
            <w:tcBorders>
              <w:top w:val="nil"/>
              <w:left w:val="nil"/>
              <w:bottom w:val="single" w:sz="4" w:space="0" w:color="auto"/>
              <w:right w:val="single" w:sz="4" w:space="0" w:color="auto"/>
            </w:tcBorders>
            <w:shd w:val="clear" w:color="000000" w:fill="FCE4D6"/>
            <w:noWrap/>
            <w:vAlign w:val="center"/>
            <w:hideMark/>
          </w:tcPr>
          <w:p w14:paraId="2D00A6AE"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64" w:type="pct"/>
            <w:gridSpan w:val="2"/>
            <w:tcBorders>
              <w:top w:val="nil"/>
              <w:left w:val="nil"/>
              <w:bottom w:val="single" w:sz="4" w:space="0" w:color="auto"/>
              <w:right w:val="single" w:sz="4" w:space="0" w:color="auto"/>
            </w:tcBorders>
            <w:shd w:val="clear" w:color="000000" w:fill="FCE4D6"/>
            <w:noWrap/>
            <w:vAlign w:val="center"/>
            <w:hideMark/>
          </w:tcPr>
          <w:p w14:paraId="0D072613"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r>
      <w:tr w:rsidR="009C7C34" w:rsidRPr="009C7C34" w14:paraId="491B6FE0" w14:textId="77777777" w:rsidTr="00C2376E">
        <w:trPr>
          <w:trHeight w:val="30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14:paraId="19C9B1B3"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3.3</w:t>
            </w:r>
          </w:p>
        </w:tc>
        <w:tc>
          <w:tcPr>
            <w:tcW w:w="1191" w:type="pct"/>
            <w:tcBorders>
              <w:top w:val="nil"/>
              <w:left w:val="nil"/>
              <w:bottom w:val="single" w:sz="4" w:space="0" w:color="auto"/>
              <w:right w:val="single" w:sz="4" w:space="0" w:color="auto"/>
            </w:tcBorders>
            <w:shd w:val="clear" w:color="auto" w:fill="auto"/>
            <w:vAlign w:val="center"/>
            <w:hideMark/>
          </w:tcPr>
          <w:p w14:paraId="69B2D214"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Actualización de la Gestión de Riesgos del Proyecto</w:t>
            </w:r>
          </w:p>
        </w:tc>
        <w:tc>
          <w:tcPr>
            <w:tcW w:w="600" w:type="pct"/>
            <w:vMerge/>
            <w:tcBorders>
              <w:top w:val="single" w:sz="4" w:space="0" w:color="auto"/>
              <w:left w:val="single" w:sz="4" w:space="0" w:color="auto"/>
              <w:right w:val="single" w:sz="4" w:space="0" w:color="auto"/>
            </w:tcBorders>
            <w:vAlign w:val="center"/>
            <w:hideMark/>
          </w:tcPr>
          <w:p w14:paraId="0C322FFF" w14:textId="77777777" w:rsidR="009C7C34" w:rsidRPr="009C7C34" w:rsidRDefault="009C7C34" w:rsidP="009C7C34">
            <w:pPr>
              <w:spacing w:before="240"/>
              <w:jc w:val="center"/>
              <w:rPr>
                <w:rFonts w:ascii="Arial" w:hAnsi="Arial" w:cs="Arial"/>
                <w:b/>
                <w:sz w:val="18"/>
                <w:szCs w:val="18"/>
                <w:lang w:val="es-PY"/>
              </w:rPr>
            </w:pPr>
          </w:p>
        </w:tc>
        <w:tc>
          <w:tcPr>
            <w:tcW w:w="199" w:type="pct"/>
            <w:tcBorders>
              <w:top w:val="single" w:sz="4" w:space="0" w:color="auto"/>
              <w:left w:val="nil"/>
              <w:bottom w:val="single" w:sz="4" w:space="0" w:color="auto"/>
              <w:right w:val="single" w:sz="4" w:space="0" w:color="auto"/>
            </w:tcBorders>
            <w:shd w:val="clear" w:color="auto" w:fill="auto"/>
            <w:noWrap/>
            <w:vAlign w:val="center"/>
            <w:hideMark/>
          </w:tcPr>
          <w:p w14:paraId="7C67FE3C"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37" w:type="pct"/>
            <w:tcBorders>
              <w:top w:val="nil"/>
              <w:left w:val="nil"/>
              <w:bottom w:val="single" w:sz="4" w:space="0" w:color="auto"/>
              <w:right w:val="single" w:sz="4" w:space="0" w:color="auto"/>
            </w:tcBorders>
            <w:shd w:val="clear" w:color="auto" w:fill="auto"/>
            <w:noWrap/>
            <w:vAlign w:val="center"/>
            <w:hideMark/>
          </w:tcPr>
          <w:p w14:paraId="3C913145"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39" w:type="pct"/>
            <w:tcBorders>
              <w:top w:val="nil"/>
              <w:left w:val="nil"/>
              <w:bottom w:val="single" w:sz="4" w:space="0" w:color="auto"/>
              <w:right w:val="single" w:sz="4" w:space="0" w:color="auto"/>
            </w:tcBorders>
            <w:shd w:val="clear" w:color="000000" w:fill="FCE4D6"/>
            <w:noWrap/>
            <w:vAlign w:val="center"/>
            <w:hideMark/>
          </w:tcPr>
          <w:p w14:paraId="291BE614"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1" w:type="pct"/>
            <w:gridSpan w:val="2"/>
            <w:tcBorders>
              <w:top w:val="nil"/>
              <w:left w:val="nil"/>
              <w:bottom w:val="single" w:sz="4" w:space="0" w:color="auto"/>
              <w:right w:val="single" w:sz="4" w:space="0" w:color="auto"/>
            </w:tcBorders>
            <w:shd w:val="clear" w:color="auto" w:fill="auto"/>
            <w:noWrap/>
            <w:vAlign w:val="center"/>
            <w:hideMark/>
          </w:tcPr>
          <w:p w14:paraId="2E566815"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0" w:type="pct"/>
            <w:tcBorders>
              <w:top w:val="nil"/>
              <w:left w:val="nil"/>
              <w:bottom w:val="single" w:sz="4" w:space="0" w:color="auto"/>
              <w:right w:val="single" w:sz="4" w:space="0" w:color="auto"/>
            </w:tcBorders>
            <w:shd w:val="clear" w:color="000000" w:fill="FCE4D6"/>
            <w:noWrap/>
            <w:vAlign w:val="center"/>
            <w:hideMark/>
          </w:tcPr>
          <w:p w14:paraId="43E3A6CD"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0" w:type="pct"/>
            <w:tcBorders>
              <w:top w:val="nil"/>
              <w:left w:val="nil"/>
              <w:bottom w:val="single" w:sz="4" w:space="0" w:color="auto"/>
              <w:right w:val="single" w:sz="4" w:space="0" w:color="auto"/>
            </w:tcBorders>
            <w:shd w:val="clear" w:color="auto" w:fill="auto"/>
            <w:noWrap/>
            <w:vAlign w:val="center"/>
            <w:hideMark/>
          </w:tcPr>
          <w:p w14:paraId="0F82D0A8"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0" w:type="pct"/>
            <w:tcBorders>
              <w:top w:val="nil"/>
              <w:left w:val="nil"/>
              <w:bottom w:val="single" w:sz="4" w:space="0" w:color="auto"/>
              <w:right w:val="single" w:sz="4" w:space="0" w:color="auto"/>
            </w:tcBorders>
            <w:shd w:val="clear" w:color="000000" w:fill="FCE4D6"/>
            <w:noWrap/>
            <w:vAlign w:val="center"/>
            <w:hideMark/>
          </w:tcPr>
          <w:p w14:paraId="288B69C4"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53" w:type="pct"/>
            <w:tcBorders>
              <w:top w:val="nil"/>
              <w:left w:val="nil"/>
              <w:bottom w:val="single" w:sz="4" w:space="0" w:color="auto"/>
              <w:right w:val="single" w:sz="4" w:space="0" w:color="auto"/>
            </w:tcBorders>
            <w:shd w:val="clear" w:color="auto" w:fill="auto"/>
            <w:noWrap/>
            <w:vAlign w:val="center"/>
            <w:hideMark/>
          </w:tcPr>
          <w:p w14:paraId="0765488B"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8" w:type="pct"/>
            <w:tcBorders>
              <w:top w:val="nil"/>
              <w:left w:val="nil"/>
              <w:bottom w:val="single" w:sz="4" w:space="0" w:color="auto"/>
              <w:right w:val="single" w:sz="4" w:space="0" w:color="auto"/>
            </w:tcBorders>
            <w:shd w:val="clear" w:color="000000" w:fill="FCE4D6"/>
            <w:noWrap/>
            <w:vAlign w:val="center"/>
            <w:hideMark/>
          </w:tcPr>
          <w:p w14:paraId="539CA2C9"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5" w:type="pct"/>
            <w:tcBorders>
              <w:top w:val="nil"/>
              <w:left w:val="nil"/>
              <w:bottom w:val="single" w:sz="4" w:space="0" w:color="auto"/>
              <w:right w:val="single" w:sz="4" w:space="0" w:color="auto"/>
            </w:tcBorders>
            <w:shd w:val="clear" w:color="auto" w:fill="auto"/>
            <w:noWrap/>
            <w:vAlign w:val="center"/>
            <w:hideMark/>
          </w:tcPr>
          <w:p w14:paraId="3B1DCBE4"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0" w:type="pct"/>
            <w:tcBorders>
              <w:top w:val="nil"/>
              <w:left w:val="nil"/>
              <w:bottom w:val="single" w:sz="4" w:space="0" w:color="auto"/>
              <w:right w:val="single" w:sz="4" w:space="0" w:color="auto"/>
            </w:tcBorders>
            <w:shd w:val="clear" w:color="000000" w:fill="FCE4D6"/>
            <w:noWrap/>
            <w:vAlign w:val="center"/>
            <w:hideMark/>
          </w:tcPr>
          <w:p w14:paraId="0123BFA0"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8" w:type="pct"/>
            <w:tcBorders>
              <w:top w:val="nil"/>
              <w:left w:val="nil"/>
              <w:bottom w:val="single" w:sz="4" w:space="0" w:color="auto"/>
              <w:right w:val="single" w:sz="4" w:space="0" w:color="auto"/>
            </w:tcBorders>
            <w:shd w:val="clear" w:color="auto" w:fill="auto"/>
            <w:noWrap/>
            <w:vAlign w:val="center"/>
            <w:hideMark/>
          </w:tcPr>
          <w:p w14:paraId="537B0FC7"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1" w:type="pct"/>
            <w:tcBorders>
              <w:top w:val="nil"/>
              <w:left w:val="nil"/>
              <w:bottom w:val="single" w:sz="4" w:space="0" w:color="auto"/>
              <w:right w:val="single" w:sz="4" w:space="0" w:color="auto"/>
            </w:tcBorders>
            <w:shd w:val="clear" w:color="000000" w:fill="FCE4D6"/>
            <w:noWrap/>
            <w:vAlign w:val="center"/>
            <w:hideMark/>
          </w:tcPr>
          <w:p w14:paraId="3319170B"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1" w:type="pct"/>
            <w:tcBorders>
              <w:top w:val="nil"/>
              <w:left w:val="nil"/>
              <w:bottom w:val="single" w:sz="4" w:space="0" w:color="auto"/>
              <w:right w:val="single" w:sz="4" w:space="0" w:color="auto"/>
            </w:tcBorders>
            <w:shd w:val="clear" w:color="auto" w:fill="auto"/>
            <w:noWrap/>
            <w:vAlign w:val="center"/>
            <w:hideMark/>
          </w:tcPr>
          <w:p w14:paraId="6495C674"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1" w:type="pct"/>
            <w:tcBorders>
              <w:top w:val="nil"/>
              <w:left w:val="nil"/>
              <w:bottom w:val="single" w:sz="4" w:space="0" w:color="auto"/>
              <w:right w:val="single" w:sz="4" w:space="0" w:color="auto"/>
            </w:tcBorders>
            <w:shd w:val="clear" w:color="000000" w:fill="FCE4D6"/>
            <w:noWrap/>
            <w:vAlign w:val="center"/>
            <w:hideMark/>
          </w:tcPr>
          <w:p w14:paraId="60EB3897"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59" w:type="pct"/>
            <w:tcBorders>
              <w:top w:val="nil"/>
              <w:left w:val="nil"/>
              <w:bottom w:val="single" w:sz="4" w:space="0" w:color="auto"/>
              <w:right w:val="single" w:sz="4" w:space="0" w:color="auto"/>
            </w:tcBorders>
            <w:shd w:val="clear" w:color="auto" w:fill="auto"/>
            <w:noWrap/>
            <w:vAlign w:val="center"/>
            <w:hideMark/>
          </w:tcPr>
          <w:p w14:paraId="3AE6DAA3"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5" w:type="pct"/>
            <w:tcBorders>
              <w:top w:val="nil"/>
              <w:left w:val="nil"/>
              <w:bottom w:val="single" w:sz="4" w:space="0" w:color="auto"/>
              <w:right w:val="single" w:sz="4" w:space="0" w:color="auto"/>
            </w:tcBorders>
            <w:shd w:val="clear" w:color="000000" w:fill="FCE4D6"/>
            <w:noWrap/>
            <w:vAlign w:val="center"/>
            <w:hideMark/>
          </w:tcPr>
          <w:p w14:paraId="455E7AA1"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5" w:type="pct"/>
            <w:tcBorders>
              <w:top w:val="nil"/>
              <w:left w:val="nil"/>
              <w:bottom w:val="single" w:sz="4" w:space="0" w:color="auto"/>
              <w:right w:val="single" w:sz="4" w:space="0" w:color="auto"/>
            </w:tcBorders>
            <w:shd w:val="clear" w:color="auto" w:fill="auto"/>
            <w:noWrap/>
            <w:vAlign w:val="center"/>
            <w:hideMark/>
          </w:tcPr>
          <w:p w14:paraId="54933D0A"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5" w:type="pct"/>
            <w:tcBorders>
              <w:top w:val="nil"/>
              <w:left w:val="nil"/>
              <w:bottom w:val="single" w:sz="4" w:space="0" w:color="auto"/>
              <w:right w:val="single" w:sz="4" w:space="0" w:color="auto"/>
            </w:tcBorders>
            <w:shd w:val="clear" w:color="000000" w:fill="FCE4D6"/>
            <w:noWrap/>
            <w:vAlign w:val="center"/>
            <w:hideMark/>
          </w:tcPr>
          <w:p w14:paraId="2F999E92"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64" w:type="pct"/>
            <w:gridSpan w:val="2"/>
            <w:tcBorders>
              <w:top w:val="nil"/>
              <w:left w:val="nil"/>
              <w:bottom w:val="single" w:sz="4" w:space="0" w:color="auto"/>
              <w:right w:val="single" w:sz="4" w:space="0" w:color="auto"/>
            </w:tcBorders>
            <w:shd w:val="clear" w:color="auto" w:fill="auto"/>
            <w:noWrap/>
            <w:vAlign w:val="center"/>
            <w:hideMark/>
          </w:tcPr>
          <w:p w14:paraId="33651D22"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r>
      <w:tr w:rsidR="009C7C34" w:rsidRPr="009C7C34" w14:paraId="4D703B5D" w14:textId="77777777" w:rsidTr="00C2376E">
        <w:trPr>
          <w:trHeight w:val="45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14:paraId="3C9FCC00"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3.4</w:t>
            </w:r>
          </w:p>
        </w:tc>
        <w:tc>
          <w:tcPr>
            <w:tcW w:w="1191" w:type="pct"/>
            <w:tcBorders>
              <w:top w:val="nil"/>
              <w:left w:val="nil"/>
              <w:bottom w:val="single" w:sz="4" w:space="0" w:color="auto"/>
              <w:right w:val="single" w:sz="4" w:space="0" w:color="auto"/>
            </w:tcBorders>
            <w:shd w:val="clear" w:color="auto" w:fill="auto"/>
            <w:vAlign w:val="center"/>
            <w:hideMark/>
          </w:tcPr>
          <w:p w14:paraId="5961FDDB"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Recopilación de Información y Elaboración de Informes Semestrales de Avance</w:t>
            </w:r>
          </w:p>
        </w:tc>
        <w:tc>
          <w:tcPr>
            <w:tcW w:w="600" w:type="pct"/>
            <w:vMerge/>
            <w:tcBorders>
              <w:left w:val="single" w:sz="4" w:space="0" w:color="auto"/>
              <w:bottom w:val="single" w:sz="4" w:space="0" w:color="000000"/>
              <w:right w:val="single" w:sz="4" w:space="0" w:color="auto"/>
            </w:tcBorders>
            <w:vAlign w:val="center"/>
            <w:hideMark/>
          </w:tcPr>
          <w:p w14:paraId="1F549CF1" w14:textId="77777777" w:rsidR="009C7C34" w:rsidRPr="009C7C34" w:rsidRDefault="009C7C34" w:rsidP="009C7C34">
            <w:pPr>
              <w:spacing w:before="240"/>
              <w:jc w:val="center"/>
              <w:rPr>
                <w:rFonts w:ascii="Arial" w:hAnsi="Arial" w:cs="Arial"/>
                <w:b/>
                <w:sz w:val="18"/>
                <w:szCs w:val="18"/>
                <w:lang w:val="es-PY"/>
              </w:rPr>
            </w:pPr>
          </w:p>
        </w:tc>
        <w:tc>
          <w:tcPr>
            <w:tcW w:w="199" w:type="pct"/>
            <w:tcBorders>
              <w:top w:val="nil"/>
              <w:left w:val="nil"/>
              <w:bottom w:val="single" w:sz="4" w:space="0" w:color="auto"/>
              <w:right w:val="single" w:sz="4" w:space="0" w:color="auto"/>
            </w:tcBorders>
            <w:shd w:val="clear" w:color="auto" w:fill="auto"/>
            <w:noWrap/>
            <w:vAlign w:val="center"/>
            <w:hideMark/>
          </w:tcPr>
          <w:p w14:paraId="0C158FFD"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37" w:type="pct"/>
            <w:tcBorders>
              <w:top w:val="nil"/>
              <w:left w:val="nil"/>
              <w:bottom w:val="single" w:sz="4" w:space="0" w:color="auto"/>
              <w:right w:val="single" w:sz="4" w:space="0" w:color="auto"/>
            </w:tcBorders>
            <w:shd w:val="clear" w:color="auto" w:fill="auto"/>
            <w:noWrap/>
            <w:vAlign w:val="center"/>
            <w:hideMark/>
          </w:tcPr>
          <w:p w14:paraId="3241867F"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39" w:type="pct"/>
            <w:tcBorders>
              <w:top w:val="nil"/>
              <w:left w:val="nil"/>
              <w:bottom w:val="single" w:sz="4" w:space="0" w:color="auto"/>
              <w:right w:val="single" w:sz="4" w:space="0" w:color="auto"/>
            </w:tcBorders>
            <w:shd w:val="clear" w:color="000000" w:fill="FCE4D6"/>
            <w:noWrap/>
            <w:vAlign w:val="center"/>
            <w:hideMark/>
          </w:tcPr>
          <w:p w14:paraId="16D188B6"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1" w:type="pct"/>
            <w:gridSpan w:val="2"/>
            <w:tcBorders>
              <w:top w:val="nil"/>
              <w:left w:val="nil"/>
              <w:bottom w:val="single" w:sz="4" w:space="0" w:color="auto"/>
              <w:right w:val="single" w:sz="4" w:space="0" w:color="auto"/>
            </w:tcBorders>
            <w:shd w:val="clear" w:color="auto" w:fill="auto"/>
            <w:noWrap/>
            <w:vAlign w:val="center"/>
            <w:hideMark/>
          </w:tcPr>
          <w:p w14:paraId="7F766809"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0" w:type="pct"/>
            <w:tcBorders>
              <w:top w:val="nil"/>
              <w:left w:val="nil"/>
              <w:bottom w:val="single" w:sz="4" w:space="0" w:color="auto"/>
              <w:right w:val="single" w:sz="4" w:space="0" w:color="auto"/>
            </w:tcBorders>
            <w:shd w:val="clear" w:color="000000" w:fill="FCE4D6"/>
            <w:noWrap/>
            <w:vAlign w:val="center"/>
            <w:hideMark/>
          </w:tcPr>
          <w:p w14:paraId="7C820AC4"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0" w:type="pct"/>
            <w:tcBorders>
              <w:top w:val="nil"/>
              <w:left w:val="nil"/>
              <w:bottom w:val="single" w:sz="4" w:space="0" w:color="auto"/>
              <w:right w:val="single" w:sz="4" w:space="0" w:color="auto"/>
            </w:tcBorders>
            <w:shd w:val="clear" w:color="auto" w:fill="auto"/>
            <w:noWrap/>
            <w:vAlign w:val="center"/>
            <w:hideMark/>
          </w:tcPr>
          <w:p w14:paraId="23E3F7D1"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0" w:type="pct"/>
            <w:tcBorders>
              <w:top w:val="nil"/>
              <w:left w:val="nil"/>
              <w:bottom w:val="single" w:sz="4" w:space="0" w:color="auto"/>
              <w:right w:val="single" w:sz="4" w:space="0" w:color="auto"/>
            </w:tcBorders>
            <w:shd w:val="clear" w:color="000000" w:fill="FCE4D6"/>
            <w:noWrap/>
            <w:vAlign w:val="center"/>
            <w:hideMark/>
          </w:tcPr>
          <w:p w14:paraId="7BA6D514"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53" w:type="pct"/>
            <w:tcBorders>
              <w:top w:val="nil"/>
              <w:left w:val="nil"/>
              <w:bottom w:val="single" w:sz="4" w:space="0" w:color="auto"/>
              <w:right w:val="single" w:sz="4" w:space="0" w:color="auto"/>
            </w:tcBorders>
            <w:shd w:val="clear" w:color="auto" w:fill="auto"/>
            <w:noWrap/>
            <w:vAlign w:val="center"/>
            <w:hideMark/>
          </w:tcPr>
          <w:p w14:paraId="4A495D65"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8" w:type="pct"/>
            <w:tcBorders>
              <w:top w:val="nil"/>
              <w:left w:val="nil"/>
              <w:bottom w:val="single" w:sz="4" w:space="0" w:color="auto"/>
              <w:right w:val="single" w:sz="4" w:space="0" w:color="auto"/>
            </w:tcBorders>
            <w:shd w:val="clear" w:color="000000" w:fill="FCE4D6"/>
            <w:noWrap/>
            <w:vAlign w:val="center"/>
            <w:hideMark/>
          </w:tcPr>
          <w:p w14:paraId="7B90D2B7"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5" w:type="pct"/>
            <w:tcBorders>
              <w:top w:val="nil"/>
              <w:left w:val="nil"/>
              <w:bottom w:val="single" w:sz="4" w:space="0" w:color="auto"/>
              <w:right w:val="single" w:sz="4" w:space="0" w:color="auto"/>
            </w:tcBorders>
            <w:shd w:val="clear" w:color="auto" w:fill="auto"/>
            <w:noWrap/>
            <w:vAlign w:val="center"/>
            <w:hideMark/>
          </w:tcPr>
          <w:p w14:paraId="7DF0AD50"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0" w:type="pct"/>
            <w:tcBorders>
              <w:top w:val="nil"/>
              <w:left w:val="nil"/>
              <w:bottom w:val="single" w:sz="4" w:space="0" w:color="auto"/>
              <w:right w:val="single" w:sz="4" w:space="0" w:color="auto"/>
            </w:tcBorders>
            <w:shd w:val="clear" w:color="000000" w:fill="FCE4D6"/>
            <w:noWrap/>
            <w:vAlign w:val="center"/>
            <w:hideMark/>
          </w:tcPr>
          <w:p w14:paraId="1535D991"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8" w:type="pct"/>
            <w:tcBorders>
              <w:top w:val="nil"/>
              <w:left w:val="nil"/>
              <w:bottom w:val="single" w:sz="4" w:space="0" w:color="auto"/>
              <w:right w:val="single" w:sz="4" w:space="0" w:color="auto"/>
            </w:tcBorders>
            <w:shd w:val="clear" w:color="auto" w:fill="auto"/>
            <w:noWrap/>
            <w:vAlign w:val="center"/>
            <w:hideMark/>
          </w:tcPr>
          <w:p w14:paraId="4DE83AC2"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1" w:type="pct"/>
            <w:tcBorders>
              <w:top w:val="nil"/>
              <w:left w:val="nil"/>
              <w:bottom w:val="single" w:sz="4" w:space="0" w:color="auto"/>
              <w:right w:val="single" w:sz="4" w:space="0" w:color="auto"/>
            </w:tcBorders>
            <w:shd w:val="clear" w:color="000000" w:fill="FCE4D6"/>
            <w:noWrap/>
            <w:vAlign w:val="center"/>
            <w:hideMark/>
          </w:tcPr>
          <w:p w14:paraId="61230F53"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1" w:type="pct"/>
            <w:tcBorders>
              <w:top w:val="nil"/>
              <w:left w:val="nil"/>
              <w:bottom w:val="single" w:sz="4" w:space="0" w:color="auto"/>
              <w:right w:val="single" w:sz="4" w:space="0" w:color="auto"/>
            </w:tcBorders>
            <w:shd w:val="clear" w:color="auto" w:fill="auto"/>
            <w:noWrap/>
            <w:vAlign w:val="center"/>
            <w:hideMark/>
          </w:tcPr>
          <w:p w14:paraId="190FBDBE"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1" w:type="pct"/>
            <w:tcBorders>
              <w:top w:val="nil"/>
              <w:left w:val="nil"/>
              <w:bottom w:val="single" w:sz="4" w:space="0" w:color="auto"/>
              <w:right w:val="single" w:sz="4" w:space="0" w:color="auto"/>
            </w:tcBorders>
            <w:shd w:val="clear" w:color="000000" w:fill="FCE4D6"/>
            <w:noWrap/>
            <w:vAlign w:val="center"/>
            <w:hideMark/>
          </w:tcPr>
          <w:p w14:paraId="0BEEECA8"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59" w:type="pct"/>
            <w:tcBorders>
              <w:top w:val="nil"/>
              <w:left w:val="nil"/>
              <w:bottom w:val="single" w:sz="4" w:space="0" w:color="auto"/>
              <w:right w:val="single" w:sz="4" w:space="0" w:color="auto"/>
            </w:tcBorders>
            <w:shd w:val="clear" w:color="auto" w:fill="auto"/>
            <w:noWrap/>
            <w:vAlign w:val="center"/>
            <w:hideMark/>
          </w:tcPr>
          <w:p w14:paraId="67F99935"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5" w:type="pct"/>
            <w:tcBorders>
              <w:top w:val="nil"/>
              <w:left w:val="nil"/>
              <w:bottom w:val="single" w:sz="4" w:space="0" w:color="auto"/>
              <w:right w:val="single" w:sz="4" w:space="0" w:color="auto"/>
            </w:tcBorders>
            <w:shd w:val="clear" w:color="000000" w:fill="FCE4D6"/>
            <w:noWrap/>
            <w:vAlign w:val="center"/>
            <w:hideMark/>
          </w:tcPr>
          <w:p w14:paraId="6D777E96"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5" w:type="pct"/>
            <w:tcBorders>
              <w:top w:val="nil"/>
              <w:left w:val="nil"/>
              <w:bottom w:val="single" w:sz="4" w:space="0" w:color="auto"/>
              <w:right w:val="single" w:sz="4" w:space="0" w:color="auto"/>
            </w:tcBorders>
            <w:shd w:val="clear" w:color="auto" w:fill="auto"/>
            <w:noWrap/>
            <w:vAlign w:val="center"/>
            <w:hideMark/>
          </w:tcPr>
          <w:p w14:paraId="1C4035C2"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5" w:type="pct"/>
            <w:tcBorders>
              <w:top w:val="nil"/>
              <w:left w:val="nil"/>
              <w:bottom w:val="single" w:sz="4" w:space="0" w:color="auto"/>
              <w:right w:val="single" w:sz="4" w:space="0" w:color="auto"/>
            </w:tcBorders>
            <w:shd w:val="clear" w:color="000000" w:fill="FCE4D6"/>
            <w:noWrap/>
            <w:vAlign w:val="center"/>
            <w:hideMark/>
          </w:tcPr>
          <w:p w14:paraId="665B114A"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64" w:type="pct"/>
            <w:gridSpan w:val="2"/>
            <w:tcBorders>
              <w:top w:val="nil"/>
              <w:left w:val="nil"/>
              <w:bottom w:val="single" w:sz="4" w:space="0" w:color="auto"/>
              <w:right w:val="single" w:sz="4" w:space="0" w:color="auto"/>
            </w:tcBorders>
            <w:shd w:val="clear" w:color="auto" w:fill="auto"/>
            <w:noWrap/>
            <w:vAlign w:val="center"/>
            <w:hideMark/>
          </w:tcPr>
          <w:p w14:paraId="4EB33E77"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r>
      <w:tr w:rsidR="009C7C34" w:rsidRPr="009C7C34" w14:paraId="150821D6" w14:textId="77777777" w:rsidTr="00C2376E">
        <w:trPr>
          <w:trHeight w:val="45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14:paraId="65A23A58"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3.5</w:t>
            </w:r>
          </w:p>
        </w:tc>
        <w:tc>
          <w:tcPr>
            <w:tcW w:w="1191" w:type="pct"/>
            <w:tcBorders>
              <w:top w:val="nil"/>
              <w:left w:val="nil"/>
              <w:bottom w:val="single" w:sz="4" w:space="0" w:color="auto"/>
              <w:right w:val="single" w:sz="4" w:space="0" w:color="auto"/>
            </w:tcBorders>
            <w:shd w:val="clear" w:color="auto" w:fill="auto"/>
            <w:vAlign w:val="center"/>
            <w:hideMark/>
          </w:tcPr>
          <w:p w14:paraId="1BA540D3"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Reunión periódica de Revisión de Avances entre el BID, OE y OSE</w:t>
            </w:r>
          </w:p>
        </w:tc>
        <w:tc>
          <w:tcPr>
            <w:tcW w:w="600" w:type="pct"/>
            <w:tcBorders>
              <w:top w:val="nil"/>
              <w:left w:val="nil"/>
              <w:bottom w:val="single" w:sz="4" w:space="0" w:color="auto"/>
              <w:right w:val="single" w:sz="4" w:space="0" w:color="auto"/>
            </w:tcBorders>
            <w:shd w:val="clear" w:color="auto" w:fill="auto"/>
            <w:vAlign w:val="center"/>
            <w:hideMark/>
          </w:tcPr>
          <w:p w14:paraId="2DB4A5FC"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n-BZ"/>
              </w:rPr>
              <w:t>EP&amp;M / Coordinador / BID</w:t>
            </w:r>
          </w:p>
        </w:tc>
        <w:tc>
          <w:tcPr>
            <w:tcW w:w="199" w:type="pct"/>
            <w:tcBorders>
              <w:top w:val="nil"/>
              <w:left w:val="nil"/>
              <w:bottom w:val="single" w:sz="4" w:space="0" w:color="auto"/>
              <w:right w:val="single" w:sz="4" w:space="0" w:color="auto"/>
            </w:tcBorders>
            <w:shd w:val="clear" w:color="auto" w:fill="auto"/>
            <w:noWrap/>
            <w:vAlign w:val="center"/>
            <w:hideMark/>
          </w:tcPr>
          <w:p w14:paraId="06508B65"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37" w:type="pct"/>
            <w:tcBorders>
              <w:top w:val="nil"/>
              <w:left w:val="nil"/>
              <w:bottom w:val="single" w:sz="4" w:space="0" w:color="auto"/>
              <w:right w:val="single" w:sz="4" w:space="0" w:color="auto"/>
            </w:tcBorders>
            <w:shd w:val="clear" w:color="auto" w:fill="auto"/>
            <w:noWrap/>
            <w:vAlign w:val="center"/>
            <w:hideMark/>
          </w:tcPr>
          <w:p w14:paraId="5B0042CF"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39" w:type="pct"/>
            <w:tcBorders>
              <w:top w:val="nil"/>
              <w:left w:val="nil"/>
              <w:bottom w:val="single" w:sz="4" w:space="0" w:color="auto"/>
              <w:right w:val="single" w:sz="4" w:space="0" w:color="auto"/>
            </w:tcBorders>
            <w:shd w:val="clear" w:color="000000" w:fill="FCE4D6"/>
            <w:noWrap/>
            <w:vAlign w:val="center"/>
            <w:hideMark/>
          </w:tcPr>
          <w:p w14:paraId="340FE3FB"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1" w:type="pct"/>
            <w:gridSpan w:val="2"/>
            <w:tcBorders>
              <w:top w:val="nil"/>
              <w:left w:val="nil"/>
              <w:bottom w:val="single" w:sz="4" w:space="0" w:color="auto"/>
              <w:right w:val="single" w:sz="4" w:space="0" w:color="auto"/>
            </w:tcBorders>
            <w:shd w:val="clear" w:color="auto" w:fill="auto"/>
            <w:noWrap/>
            <w:vAlign w:val="center"/>
            <w:hideMark/>
          </w:tcPr>
          <w:p w14:paraId="60A9D36C"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0" w:type="pct"/>
            <w:tcBorders>
              <w:top w:val="nil"/>
              <w:left w:val="nil"/>
              <w:bottom w:val="single" w:sz="4" w:space="0" w:color="auto"/>
              <w:right w:val="single" w:sz="4" w:space="0" w:color="auto"/>
            </w:tcBorders>
            <w:shd w:val="clear" w:color="000000" w:fill="FCE4D6"/>
            <w:noWrap/>
            <w:vAlign w:val="center"/>
            <w:hideMark/>
          </w:tcPr>
          <w:p w14:paraId="6E20BBC2"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0" w:type="pct"/>
            <w:tcBorders>
              <w:top w:val="nil"/>
              <w:left w:val="nil"/>
              <w:bottom w:val="single" w:sz="4" w:space="0" w:color="auto"/>
              <w:right w:val="single" w:sz="4" w:space="0" w:color="auto"/>
            </w:tcBorders>
            <w:shd w:val="clear" w:color="auto" w:fill="auto"/>
            <w:noWrap/>
            <w:vAlign w:val="center"/>
            <w:hideMark/>
          </w:tcPr>
          <w:p w14:paraId="78D00665"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0" w:type="pct"/>
            <w:tcBorders>
              <w:top w:val="nil"/>
              <w:left w:val="nil"/>
              <w:bottom w:val="single" w:sz="4" w:space="0" w:color="auto"/>
              <w:right w:val="single" w:sz="4" w:space="0" w:color="auto"/>
            </w:tcBorders>
            <w:shd w:val="clear" w:color="auto" w:fill="auto"/>
            <w:noWrap/>
            <w:vAlign w:val="center"/>
            <w:hideMark/>
          </w:tcPr>
          <w:p w14:paraId="5F9259E2"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53" w:type="pct"/>
            <w:tcBorders>
              <w:top w:val="nil"/>
              <w:left w:val="nil"/>
              <w:bottom w:val="single" w:sz="4" w:space="0" w:color="auto"/>
              <w:right w:val="single" w:sz="4" w:space="0" w:color="auto"/>
            </w:tcBorders>
            <w:shd w:val="clear" w:color="auto" w:fill="auto"/>
            <w:noWrap/>
            <w:vAlign w:val="center"/>
            <w:hideMark/>
          </w:tcPr>
          <w:p w14:paraId="0C8F236C"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8" w:type="pct"/>
            <w:tcBorders>
              <w:top w:val="nil"/>
              <w:left w:val="nil"/>
              <w:bottom w:val="single" w:sz="4" w:space="0" w:color="auto"/>
              <w:right w:val="single" w:sz="4" w:space="0" w:color="auto"/>
            </w:tcBorders>
            <w:shd w:val="clear" w:color="000000" w:fill="FCE4D6"/>
            <w:noWrap/>
            <w:vAlign w:val="center"/>
            <w:hideMark/>
          </w:tcPr>
          <w:p w14:paraId="6A4EA46C"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5" w:type="pct"/>
            <w:tcBorders>
              <w:top w:val="nil"/>
              <w:left w:val="nil"/>
              <w:bottom w:val="single" w:sz="4" w:space="0" w:color="auto"/>
              <w:right w:val="single" w:sz="4" w:space="0" w:color="auto"/>
            </w:tcBorders>
            <w:shd w:val="clear" w:color="auto" w:fill="auto"/>
            <w:noWrap/>
            <w:vAlign w:val="center"/>
            <w:hideMark/>
          </w:tcPr>
          <w:p w14:paraId="6606BA4B"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0" w:type="pct"/>
            <w:tcBorders>
              <w:top w:val="nil"/>
              <w:left w:val="nil"/>
              <w:bottom w:val="single" w:sz="4" w:space="0" w:color="auto"/>
              <w:right w:val="single" w:sz="4" w:space="0" w:color="auto"/>
            </w:tcBorders>
            <w:shd w:val="clear" w:color="auto" w:fill="auto"/>
            <w:noWrap/>
            <w:vAlign w:val="center"/>
            <w:hideMark/>
          </w:tcPr>
          <w:p w14:paraId="2B25C124"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8" w:type="pct"/>
            <w:tcBorders>
              <w:top w:val="nil"/>
              <w:left w:val="nil"/>
              <w:bottom w:val="single" w:sz="4" w:space="0" w:color="auto"/>
              <w:right w:val="single" w:sz="4" w:space="0" w:color="auto"/>
            </w:tcBorders>
            <w:shd w:val="clear" w:color="auto" w:fill="auto"/>
            <w:noWrap/>
            <w:vAlign w:val="center"/>
            <w:hideMark/>
          </w:tcPr>
          <w:p w14:paraId="626F3926"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1" w:type="pct"/>
            <w:tcBorders>
              <w:top w:val="nil"/>
              <w:left w:val="nil"/>
              <w:bottom w:val="single" w:sz="4" w:space="0" w:color="auto"/>
              <w:right w:val="single" w:sz="4" w:space="0" w:color="auto"/>
            </w:tcBorders>
            <w:shd w:val="clear" w:color="000000" w:fill="FCE4D6"/>
            <w:noWrap/>
            <w:vAlign w:val="center"/>
            <w:hideMark/>
          </w:tcPr>
          <w:p w14:paraId="5FF0540C"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1" w:type="pct"/>
            <w:tcBorders>
              <w:top w:val="nil"/>
              <w:left w:val="nil"/>
              <w:bottom w:val="single" w:sz="4" w:space="0" w:color="auto"/>
              <w:right w:val="single" w:sz="4" w:space="0" w:color="auto"/>
            </w:tcBorders>
            <w:shd w:val="clear" w:color="auto" w:fill="auto"/>
            <w:noWrap/>
            <w:vAlign w:val="center"/>
            <w:hideMark/>
          </w:tcPr>
          <w:p w14:paraId="21D54A1F"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1" w:type="pct"/>
            <w:tcBorders>
              <w:top w:val="nil"/>
              <w:left w:val="nil"/>
              <w:bottom w:val="single" w:sz="4" w:space="0" w:color="auto"/>
              <w:right w:val="single" w:sz="4" w:space="0" w:color="auto"/>
            </w:tcBorders>
            <w:shd w:val="clear" w:color="auto" w:fill="auto"/>
            <w:noWrap/>
            <w:vAlign w:val="center"/>
            <w:hideMark/>
          </w:tcPr>
          <w:p w14:paraId="0E89411C"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59" w:type="pct"/>
            <w:tcBorders>
              <w:top w:val="nil"/>
              <w:left w:val="nil"/>
              <w:bottom w:val="single" w:sz="4" w:space="0" w:color="auto"/>
              <w:right w:val="single" w:sz="4" w:space="0" w:color="auto"/>
            </w:tcBorders>
            <w:shd w:val="clear" w:color="auto" w:fill="auto"/>
            <w:noWrap/>
            <w:vAlign w:val="center"/>
            <w:hideMark/>
          </w:tcPr>
          <w:p w14:paraId="42938B57"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5" w:type="pct"/>
            <w:tcBorders>
              <w:top w:val="nil"/>
              <w:left w:val="nil"/>
              <w:bottom w:val="single" w:sz="4" w:space="0" w:color="auto"/>
              <w:right w:val="single" w:sz="4" w:space="0" w:color="auto"/>
            </w:tcBorders>
            <w:shd w:val="clear" w:color="000000" w:fill="FCE4D6"/>
            <w:noWrap/>
            <w:vAlign w:val="center"/>
            <w:hideMark/>
          </w:tcPr>
          <w:p w14:paraId="31555CFA"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5" w:type="pct"/>
            <w:tcBorders>
              <w:top w:val="nil"/>
              <w:left w:val="nil"/>
              <w:bottom w:val="single" w:sz="4" w:space="0" w:color="auto"/>
              <w:right w:val="single" w:sz="4" w:space="0" w:color="auto"/>
            </w:tcBorders>
            <w:shd w:val="clear" w:color="auto" w:fill="auto"/>
            <w:noWrap/>
            <w:vAlign w:val="center"/>
            <w:hideMark/>
          </w:tcPr>
          <w:p w14:paraId="32DCAA87"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5" w:type="pct"/>
            <w:tcBorders>
              <w:top w:val="nil"/>
              <w:left w:val="nil"/>
              <w:bottom w:val="single" w:sz="4" w:space="0" w:color="auto"/>
              <w:right w:val="single" w:sz="4" w:space="0" w:color="auto"/>
            </w:tcBorders>
            <w:shd w:val="clear" w:color="auto" w:fill="auto"/>
            <w:noWrap/>
            <w:vAlign w:val="center"/>
            <w:hideMark/>
          </w:tcPr>
          <w:p w14:paraId="5686D05D"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64" w:type="pct"/>
            <w:gridSpan w:val="2"/>
            <w:tcBorders>
              <w:top w:val="nil"/>
              <w:left w:val="nil"/>
              <w:bottom w:val="single" w:sz="4" w:space="0" w:color="auto"/>
              <w:right w:val="single" w:sz="4" w:space="0" w:color="auto"/>
            </w:tcBorders>
            <w:shd w:val="clear" w:color="auto" w:fill="auto"/>
            <w:noWrap/>
            <w:vAlign w:val="center"/>
            <w:hideMark/>
          </w:tcPr>
          <w:p w14:paraId="0CF45907"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r>
      <w:tr w:rsidR="009C7C34" w:rsidRPr="009C7C34" w14:paraId="52DA1F5F" w14:textId="77777777" w:rsidTr="00C2376E">
        <w:trPr>
          <w:trHeight w:val="300"/>
        </w:trPr>
        <w:tc>
          <w:tcPr>
            <w:tcW w:w="258" w:type="pct"/>
            <w:tcBorders>
              <w:top w:val="nil"/>
              <w:left w:val="single" w:sz="4" w:space="0" w:color="auto"/>
              <w:bottom w:val="single" w:sz="4" w:space="0" w:color="auto"/>
              <w:right w:val="single" w:sz="4" w:space="0" w:color="auto"/>
            </w:tcBorders>
            <w:shd w:val="clear" w:color="000000" w:fill="002060"/>
            <w:noWrap/>
            <w:vAlign w:val="center"/>
            <w:hideMark/>
          </w:tcPr>
          <w:p w14:paraId="7406BC5F"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3</w:t>
            </w:r>
          </w:p>
        </w:tc>
        <w:tc>
          <w:tcPr>
            <w:tcW w:w="4742" w:type="pct"/>
            <w:gridSpan w:val="24"/>
            <w:tcBorders>
              <w:top w:val="single" w:sz="4" w:space="0" w:color="auto"/>
              <w:left w:val="nil"/>
              <w:bottom w:val="single" w:sz="4" w:space="0" w:color="auto"/>
              <w:right w:val="single" w:sz="4" w:space="0" w:color="auto"/>
            </w:tcBorders>
            <w:shd w:val="clear" w:color="000000" w:fill="002060"/>
            <w:vAlign w:val="center"/>
            <w:hideMark/>
          </w:tcPr>
          <w:p w14:paraId="41757A1A"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Supervisión de la ejecución</w:t>
            </w:r>
          </w:p>
        </w:tc>
      </w:tr>
      <w:tr w:rsidR="009C7C34" w:rsidRPr="009C7C34" w14:paraId="2A4ED821" w14:textId="77777777" w:rsidTr="00C2376E">
        <w:trPr>
          <w:trHeight w:val="225"/>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14:paraId="14F256E2"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3.1</w:t>
            </w:r>
          </w:p>
        </w:tc>
        <w:tc>
          <w:tcPr>
            <w:tcW w:w="1191" w:type="pct"/>
            <w:tcBorders>
              <w:top w:val="nil"/>
              <w:left w:val="nil"/>
              <w:bottom w:val="single" w:sz="4" w:space="0" w:color="auto"/>
              <w:right w:val="single" w:sz="4" w:space="0" w:color="auto"/>
            </w:tcBorders>
            <w:shd w:val="clear" w:color="auto" w:fill="auto"/>
            <w:vAlign w:val="center"/>
            <w:hideMark/>
          </w:tcPr>
          <w:p w14:paraId="2FFBC7A3"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Visitas de Inspección Técnica y Fiduciaria</w:t>
            </w:r>
          </w:p>
        </w:tc>
        <w:tc>
          <w:tcPr>
            <w:tcW w:w="600" w:type="pct"/>
            <w:vMerge w:val="restart"/>
            <w:tcBorders>
              <w:top w:val="nil"/>
              <w:left w:val="single" w:sz="4" w:space="0" w:color="auto"/>
              <w:right w:val="single" w:sz="4" w:space="0" w:color="auto"/>
            </w:tcBorders>
            <w:shd w:val="clear" w:color="auto" w:fill="auto"/>
            <w:noWrap/>
            <w:vAlign w:val="center"/>
            <w:hideMark/>
          </w:tcPr>
          <w:p w14:paraId="69268025"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BID</w:t>
            </w:r>
          </w:p>
        </w:tc>
        <w:tc>
          <w:tcPr>
            <w:tcW w:w="199" w:type="pct"/>
            <w:tcBorders>
              <w:top w:val="nil"/>
              <w:left w:val="nil"/>
              <w:bottom w:val="single" w:sz="4" w:space="0" w:color="auto"/>
              <w:right w:val="single" w:sz="4" w:space="0" w:color="auto"/>
            </w:tcBorders>
            <w:shd w:val="clear" w:color="auto" w:fill="auto"/>
            <w:noWrap/>
            <w:vAlign w:val="center"/>
            <w:hideMark/>
          </w:tcPr>
          <w:p w14:paraId="050EF3AC"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37" w:type="pct"/>
            <w:tcBorders>
              <w:top w:val="nil"/>
              <w:left w:val="nil"/>
              <w:bottom w:val="single" w:sz="4" w:space="0" w:color="auto"/>
              <w:right w:val="single" w:sz="4" w:space="0" w:color="auto"/>
            </w:tcBorders>
            <w:shd w:val="clear" w:color="000000" w:fill="FFFFCC"/>
            <w:noWrap/>
            <w:vAlign w:val="center"/>
            <w:hideMark/>
          </w:tcPr>
          <w:p w14:paraId="29A6B400"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39" w:type="pct"/>
            <w:tcBorders>
              <w:top w:val="nil"/>
              <w:left w:val="nil"/>
              <w:bottom w:val="single" w:sz="4" w:space="0" w:color="auto"/>
              <w:right w:val="single" w:sz="4" w:space="0" w:color="auto"/>
            </w:tcBorders>
            <w:shd w:val="clear" w:color="auto" w:fill="auto"/>
            <w:noWrap/>
            <w:vAlign w:val="center"/>
            <w:hideMark/>
          </w:tcPr>
          <w:p w14:paraId="7B542569"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1" w:type="pct"/>
            <w:gridSpan w:val="2"/>
            <w:tcBorders>
              <w:top w:val="nil"/>
              <w:left w:val="nil"/>
              <w:bottom w:val="single" w:sz="4" w:space="0" w:color="auto"/>
              <w:right w:val="single" w:sz="4" w:space="0" w:color="auto"/>
            </w:tcBorders>
            <w:shd w:val="clear" w:color="000000" w:fill="FFFFCC"/>
            <w:noWrap/>
            <w:vAlign w:val="center"/>
            <w:hideMark/>
          </w:tcPr>
          <w:p w14:paraId="662C1CEF"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0" w:type="pct"/>
            <w:tcBorders>
              <w:top w:val="nil"/>
              <w:left w:val="nil"/>
              <w:bottom w:val="single" w:sz="4" w:space="0" w:color="auto"/>
              <w:right w:val="single" w:sz="4" w:space="0" w:color="auto"/>
            </w:tcBorders>
            <w:shd w:val="clear" w:color="auto" w:fill="auto"/>
            <w:noWrap/>
            <w:vAlign w:val="center"/>
            <w:hideMark/>
          </w:tcPr>
          <w:p w14:paraId="455EFD54"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0" w:type="pct"/>
            <w:tcBorders>
              <w:top w:val="nil"/>
              <w:left w:val="nil"/>
              <w:bottom w:val="single" w:sz="4" w:space="0" w:color="auto"/>
              <w:right w:val="single" w:sz="4" w:space="0" w:color="auto"/>
            </w:tcBorders>
            <w:shd w:val="clear" w:color="000000" w:fill="FFFFCC"/>
            <w:noWrap/>
            <w:vAlign w:val="center"/>
            <w:hideMark/>
          </w:tcPr>
          <w:p w14:paraId="682946B2"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0" w:type="pct"/>
            <w:tcBorders>
              <w:top w:val="nil"/>
              <w:left w:val="nil"/>
              <w:bottom w:val="single" w:sz="4" w:space="0" w:color="auto"/>
              <w:right w:val="single" w:sz="4" w:space="0" w:color="auto"/>
            </w:tcBorders>
            <w:shd w:val="clear" w:color="auto" w:fill="auto"/>
            <w:noWrap/>
            <w:vAlign w:val="center"/>
            <w:hideMark/>
          </w:tcPr>
          <w:p w14:paraId="128A09F0"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53" w:type="pct"/>
            <w:tcBorders>
              <w:top w:val="nil"/>
              <w:left w:val="nil"/>
              <w:bottom w:val="single" w:sz="4" w:space="0" w:color="auto"/>
              <w:right w:val="single" w:sz="4" w:space="0" w:color="auto"/>
            </w:tcBorders>
            <w:shd w:val="clear" w:color="000000" w:fill="FFFFCC"/>
            <w:noWrap/>
            <w:vAlign w:val="center"/>
            <w:hideMark/>
          </w:tcPr>
          <w:p w14:paraId="54ABE58C"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8" w:type="pct"/>
            <w:tcBorders>
              <w:top w:val="nil"/>
              <w:left w:val="nil"/>
              <w:bottom w:val="single" w:sz="4" w:space="0" w:color="auto"/>
              <w:right w:val="single" w:sz="4" w:space="0" w:color="auto"/>
            </w:tcBorders>
            <w:shd w:val="clear" w:color="auto" w:fill="auto"/>
            <w:noWrap/>
            <w:vAlign w:val="center"/>
            <w:hideMark/>
          </w:tcPr>
          <w:p w14:paraId="61920FE3"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5" w:type="pct"/>
            <w:tcBorders>
              <w:top w:val="nil"/>
              <w:left w:val="nil"/>
              <w:bottom w:val="single" w:sz="4" w:space="0" w:color="auto"/>
              <w:right w:val="single" w:sz="4" w:space="0" w:color="auto"/>
            </w:tcBorders>
            <w:shd w:val="clear" w:color="000000" w:fill="FFFFCC"/>
            <w:noWrap/>
            <w:vAlign w:val="center"/>
            <w:hideMark/>
          </w:tcPr>
          <w:p w14:paraId="3B78641D"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0" w:type="pct"/>
            <w:tcBorders>
              <w:top w:val="nil"/>
              <w:left w:val="nil"/>
              <w:bottom w:val="single" w:sz="4" w:space="0" w:color="auto"/>
              <w:right w:val="single" w:sz="4" w:space="0" w:color="auto"/>
            </w:tcBorders>
            <w:shd w:val="clear" w:color="auto" w:fill="auto"/>
            <w:noWrap/>
            <w:vAlign w:val="center"/>
            <w:hideMark/>
          </w:tcPr>
          <w:p w14:paraId="14A56E8D"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8" w:type="pct"/>
            <w:tcBorders>
              <w:top w:val="nil"/>
              <w:left w:val="nil"/>
              <w:bottom w:val="single" w:sz="4" w:space="0" w:color="auto"/>
              <w:right w:val="single" w:sz="4" w:space="0" w:color="auto"/>
            </w:tcBorders>
            <w:shd w:val="clear" w:color="000000" w:fill="FFFFCC"/>
            <w:noWrap/>
            <w:vAlign w:val="center"/>
            <w:hideMark/>
          </w:tcPr>
          <w:p w14:paraId="298ECBAD"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1" w:type="pct"/>
            <w:tcBorders>
              <w:top w:val="nil"/>
              <w:left w:val="nil"/>
              <w:bottom w:val="single" w:sz="4" w:space="0" w:color="auto"/>
              <w:right w:val="single" w:sz="4" w:space="0" w:color="auto"/>
            </w:tcBorders>
            <w:shd w:val="clear" w:color="auto" w:fill="auto"/>
            <w:noWrap/>
            <w:vAlign w:val="center"/>
            <w:hideMark/>
          </w:tcPr>
          <w:p w14:paraId="66286504"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1" w:type="pct"/>
            <w:tcBorders>
              <w:top w:val="nil"/>
              <w:left w:val="nil"/>
              <w:bottom w:val="single" w:sz="4" w:space="0" w:color="auto"/>
              <w:right w:val="single" w:sz="4" w:space="0" w:color="auto"/>
            </w:tcBorders>
            <w:shd w:val="clear" w:color="000000" w:fill="FFFFCC"/>
            <w:noWrap/>
            <w:vAlign w:val="center"/>
            <w:hideMark/>
          </w:tcPr>
          <w:p w14:paraId="36B83AFF"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1" w:type="pct"/>
            <w:tcBorders>
              <w:top w:val="nil"/>
              <w:left w:val="nil"/>
              <w:bottom w:val="single" w:sz="4" w:space="0" w:color="auto"/>
              <w:right w:val="single" w:sz="4" w:space="0" w:color="auto"/>
            </w:tcBorders>
            <w:shd w:val="clear" w:color="auto" w:fill="auto"/>
            <w:noWrap/>
            <w:vAlign w:val="center"/>
            <w:hideMark/>
          </w:tcPr>
          <w:p w14:paraId="54BC1BBB"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59" w:type="pct"/>
            <w:tcBorders>
              <w:top w:val="nil"/>
              <w:left w:val="nil"/>
              <w:bottom w:val="single" w:sz="4" w:space="0" w:color="auto"/>
              <w:right w:val="single" w:sz="4" w:space="0" w:color="auto"/>
            </w:tcBorders>
            <w:shd w:val="clear" w:color="000000" w:fill="FFFFCC"/>
            <w:noWrap/>
            <w:vAlign w:val="center"/>
            <w:hideMark/>
          </w:tcPr>
          <w:p w14:paraId="4F80BFA1"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5" w:type="pct"/>
            <w:tcBorders>
              <w:top w:val="nil"/>
              <w:left w:val="nil"/>
              <w:bottom w:val="single" w:sz="4" w:space="0" w:color="auto"/>
              <w:right w:val="single" w:sz="4" w:space="0" w:color="auto"/>
            </w:tcBorders>
            <w:shd w:val="clear" w:color="auto" w:fill="auto"/>
            <w:noWrap/>
            <w:vAlign w:val="center"/>
            <w:hideMark/>
          </w:tcPr>
          <w:p w14:paraId="19447682"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5" w:type="pct"/>
            <w:tcBorders>
              <w:top w:val="nil"/>
              <w:left w:val="nil"/>
              <w:bottom w:val="single" w:sz="4" w:space="0" w:color="auto"/>
              <w:right w:val="single" w:sz="4" w:space="0" w:color="auto"/>
            </w:tcBorders>
            <w:shd w:val="clear" w:color="000000" w:fill="FFFFCC"/>
            <w:noWrap/>
            <w:vAlign w:val="center"/>
            <w:hideMark/>
          </w:tcPr>
          <w:p w14:paraId="728305BB"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5" w:type="pct"/>
            <w:tcBorders>
              <w:top w:val="nil"/>
              <w:left w:val="nil"/>
              <w:bottom w:val="single" w:sz="4" w:space="0" w:color="auto"/>
              <w:right w:val="single" w:sz="4" w:space="0" w:color="auto"/>
            </w:tcBorders>
            <w:shd w:val="clear" w:color="auto" w:fill="auto"/>
            <w:noWrap/>
            <w:vAlign w:val="center"/>
            <w:hideMark/>
          </w:tcPr>
          <w:p w14:paraId="277FD317"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64" w:type="pct"/>
            <w:gridSpan w:val="2"/>
            <w:tcBorders>
              <w:top w:val="nil"/>
              <w:left w:val="nil"/>
              <w:bottom w:val="single" w:sz="4" w:space="0" w:color="auto"/>
              <w:right w:val="single" w:sz="4" w:space="0" w:color="auto"/>
            </w:tcBorders>
            <w:shd w:val="clear" w:color="auto" w:fill="auto"/>
            <w:noWrap/>
            <w:vAlign w:val="center"/>
            <w:hideMark/>
          </w:tcPr>
          <w:p w14:paraId="6DD1F271"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r>
      <w:tr w:rsidR="009C7C34" w:rsidRPr="009C7C34" w14:paraId="4A59B743" w14:textId="77777777" w:rsidTr="00C2376E">
        <w:trPr>
          <w:trHeight w:val="30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14:paraId="2DC6463A"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3.2</w:t>
            </w:r>
          </w:p>
        </w:tc>
        <w:tc>
          <w:tcPr>
            <w:tcW w:w="1191" w:type="pct"/>
            <w:tcBorders>
              <w:top w:val="nil"/>
              <w:left w:val="nil"/>
              <w:bottom w:val="single" w:sz="4" w:space="0" w:color="auto"/>
              <w:right w:val="single" w:sz="4" w:space="0" w:color="auto"/>
            </w:tcBorders>
            <w:shd w:val="clear" w:color="auto" w:fill="auto"/>
            <w:vAlign w:val="center"/>
            <w:hideMark/>
          </w:tcPr>
          <w:p w14:paraId="2A80E98D"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Misiones de Administración</w:t>
            </w:r>
          </w:p>
        </w:tc>
        <w:tc>
          <w:tcPr>
            <w:tcW w:w="600" w:type="pct"/>
            <w:vMerge/>
            <w:tcBorders>
              <w:left w:val="single" w:sz="4" w:space="0" w:color="auto"/>
              <w:bottom w:val="single" w:sz="4" w:space="0" w:color="000000"/>
              <w:right w:val="single" w:sz="4" w:space="0" w:color="auto"/>
            </w:tcBorders>
            <w:vAlign w:val="center"/>
            <w:hideMark/>
          </w:tcPr>
          <w:p w14:paraId="2E8C8ED4" w14:textId="77777777" w:rsidR="009C7C34" w:rsidRPr="009C7C34" w:rsidRDefault="009C7C34" w:rsidP="009C7C34">
            <w:pPr>
              <w:spacing w:before="240"/>
              <w:jc w:val="center"/>
              <w:rPr>
                <w:rFonts w:ascii="Arial" w:hAnsi="Arial" w:cs="Arial"/>
                <w:b/>
                <w:sz w:val="18"/>
                <w:szCs w:val="18"/>
                <w:lang w:val="es-PY"/>
              </w:rPr>
            </w:pPr>
          </w:p>
        </w:tc>
        <w:tc>
          <w:tcPr>
            <w:tcW w:w="199" w:type="pct"/>
            <w:tcBorders>
              <w:top w:val="nil"/>
              <w:left w:val="nil"/>
              <w:bottom w:val="single" w:sz="4" w:space="0" w:color="auto"/>
              <w:right w:val="single" w:sz="4" w:space="0" w:color="auto"/>
            </w:tcBorders>
            <w:shd w:val="clear" w:color="auto" w:fill="auto"/>
            <w:noWrap/>
            <w:vAlign w:val="center"/>
            <w:hideMark/>
          </w:tcPr>
          <w:p w14:paraId="6150353A"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37" w:type="pct"/>
            <w:tcBorders>
              <w:top w:val="nil"/>
              <w:left w:val="nil"/>
              <w:bottom w:val="single" w:sz="4" w:space="0" w:color="auto"/>
              <w:right w:val="single" w:sz="4" w:space="0" w:color="auto"/>
            </w:tcBorders>
            <w:shd w:val="clear" w:color="auto" w:fill="auto"/>
            <w:noWrap/>
            <w:vAlign w:val="center"/>
            <w:hideMark/>
          </w:tcPr>
          <w:p w14:paraId="5D16E695"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39" w:type="pct"/>
            <w:tcBorders>
              <w:top w:val="nil"/>
              <w:left w:val="nil"/>
              <w:bottom w:val="single" w:sz="4" w:space="0" w:color="auto"/>
              <w:right w:val="single" w:sz="4" w:space="0" w:color="auto"/>
            </w:tcBorders>
            <w:shd w:val="clear" w:color="auto" w:fill="auto"/>
            <w:noWrap/>
            <w:vAlign w:val="center"/>
            <w:hideMark/>
          </w:tcPr>
          <w:p w14:paraId="5298CD47"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1" w:type="pct"/>
            <w:gridSpan w:val="2"/>
            <w:tcBorders>
              <w:top w:val="nil"/>
              <w:left w:val="nil"/>
              <w:bottom w:val="single" w:sz="4" w:space="0" w:color="auto"/>
              <w:right w:val="single" w:sz="4" w:space="0" w:color="auto"/>
            </w:tcBorders>
            <w:shd w:val="clear" w:color="auto" w:fill="FDFFD1"/>
            <w:noWrap/>
            <w:vAlign w:val="center"/>
            <w:hideMark/>
          </w:tcPr>
          <w:p w14:paraId="4B07ECE4"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 </w:t>
            </w:r>
          </w:p>
        </w:tc>
        <w:tc>
          <w:tcPr>
            <w:tcW w:w="140" w:type="pct"/>
            <w:tcBorders>
              <w:top w:val="nil"/>
              <w:left w:val="nil"/>
              <w:bottom w:val="single" w:sz="4" w:space="0" w:color="auto"/>
              <w:right w:val="single" w:sz="4" w:space="0" w:color="auto"/>
            </w:tcBorders>
            <w:shd w:val="clear" w:color="auto" w:fill="auto"/>
            <w:noWrap/>
            <w:vAlign w:val="center"/>
            <w:hideMark/>
          </w:tcPr>
          <w:p w14:paraId="0A17C757"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0" w:type="pct"/>
            <w:tcBorders>
              <w:top w:val="nil"/>
              <w:left w:val="nil"/>
              <w:bottom w:val="single" w:sz="4" w:space="0" w:color="auto"/>
              <w:right w:val="single" w:sz="4" w:space="0" w:color="auto"/>
            </w:tcBorders>
            <w:shd w:val="clear" w:color="auto" w:fill="auto"/>
            <w:noWrap/>
            <w:vAlign w:val="center"/>
            <w:hideMark/>
          </w:tcPr>
          <w:p w14:paraId="4D470648"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0" w:type="pct"/>
            <w:tcBorders>
              <w:top w:val="nil"/>
              <w:left w:val="nil"/>
              <w:bottom w:val="single" w:sz="4" w:space="0" w:color="auto"/>
              <w:right w:val="single" w:sz="4" w:space="0" w:color="auto"/>
            </w:tcBorders>
            <w:shd w:val="clear" w:color="auto" w:fill="FDFFD1"/>
            <w:noWrap/>
            <w:vAlign w:val="center"/>
            <w:hideMark/>
          </w:tcPr>
          <w:p w14:paraId="38C8E268"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x</w:t>
            </w:r>
          </w:p>
        </w:tc>
        <w:tc>
          <w:tcPr>
            <w:tcW w:w="153" w:type="pct"/>
            <w:tcBorders>
              <w:top w:val="nil"/>
              <w:left w:val="nil"/>
              <w:bottom w:val="single" w:sz="4" w:space="0" w:color="auto"/>
              <w:right w:val="single" w:sz="4" w:space="0" w:color="auto"/>
            </w:tcBorders>
            <w:shd w:val="clear" w:color="auto" w:fill="auto"/>
            <w:noWrap/>
            <w:vAlign w:val="center"/>
            <w:hideMark/>
          </w:tcPr>
          <w:p w14:paraId="0DA278FD"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8" w:type="pct"/>
            <w:tcBorders>
              <w:top w:val="nil"/>
              <w:left w:val="nil"/>
              <w:bottom w:val="single" w:sz="4" w:space="0" w:color="auto"/>
              <w:right w:val="single" w:sz="4" w:space="0" w:color="auto"/>
            </w:tcBorders>
            <w:shd w:val="clear" w:color="auto" w:fill="auto"/>
            <w:noWrap/>
            <w:vAlign w:val="center"/>
            <w:hideMark/>
          </w:tcPr>
          <w:p w14:paraId="2D084725"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5" w:type="pct"/>
            <w:tcBorders>
              <w:top w:val="nil"/>
              <w:left w:val="nil"/>
              <w:bottom w:val="single" w:sz="4" w:space="0" w:color="auto"/>
              <w:right w:val="single" w:sz="4" w:space="0" w:color="auto"/>
            </w:tcBorders>
            <w:shd w:val="clear" w:color="auto" w:fill="auto"/>
            <w:noWrap/>
            <w:vAlign w:val="center"/>
            <w:hideMark/>
          </w:tcPr>
          <w:p w14:paraId="319E29FD"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0" w:type="pct"/>
            <w:tcBorders>
              <w:top w:val="nil"/>
              <w:left w:val="nil"/>
              <w:bottom w:val="single" w:sz="4" w:space="0" w:color="auto"/>
              <w:right w:val="single" w:sz="4" w:space="0" w:color="auto"/>
            </w:tcBorders>
            <w:shd w:val="clear" w:color="000000" w:fill="FFFFCC"/>
            <w:noWrap/>
            <w:vAlign w:val="center"/>
            <w:hideMark/>
          </w:tcPr>
          <w:p w14:paraId="1BBD96B2"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8" w:type="pct"/>
            <w:tcBorders>
              <w:top w:val="nil"/>
              <w:left w:val="nil"/>
              <w:bottom w:val="single" w:sz="4" w:space="0" w:color="auto"/>
              <w:right w:val="single" w:sz="4" w:space="0" w:color="auto"/>
            </w:tcBorders>
            <w:shd w:val="clear" w:color="auto" w:fill="auto"/>
            <w:noWrap/>
            <w:vAlign w:val="center"/>
            <w:hideMark/>
          </w:tcPr>
          <w:p w14:paraId="534ADE97"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1" w:type="pct"/>
            <w:tcBorders>
              <w:top w:val="nil"/>
              <w:left w:val="nil"/>
              <w:bottom w:val="single" w:sz="4" w:space="0" w:color="auto"/>
              <w:right w:val="single" w:sz="4" w:space="0" w:color="auto"/>
            </w:tcBorders>
            <w:shd w:val="clear" w:color="auto" w:fill="auto"/>
            <w:noWrap/>
            <w:vAlign w:val="center"/>
            <w:hideMark/>
          </w:tcPr>
          <w:p w14:paraId="7A4A1BF9"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1" w:type="pct"/>
            <w:tcBorders>
              <w:top w:val="nil"/>
              <w:left w:val="nil"/>
              <w:bottom w:val="single" w:sz="4" w:space="0" w:color="auto"/>
              <w:right w:val="single" w:sz="4" w:space="0" w:color="auto"/>
            </w:tcBorders>
            <w:shd w:val="clear" w:color="auto" w:fill="auto"/>
            <w:noWrap/>
            <w:vAlign w:val="center"/>
            <w:hideMark/>
          </w:tcPr>
          <w:p w14:paraId="0820067D"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1" w:type="pct"/>
            <w:tcBorders>
              <w:top w:val="nil"/>
              <w:left w:val="nil"/>
              <w:bottom w:val="single" w:sz="4" w:space="0" w:color="auto"/>
              <w:right w:val="single" w:sz="4" w:space="0" w:color="auto"/>
            </w:tcBorders>
            <w:shd w:val="clear" w:color="auto" w:fill="FDFFD1"/>
            <w:noWrap/>
            <w:vAlign w:val="center"/>
            <w:hideMark/>
          </w:tcPr>
          <w:p w14:paraId="4FA59398"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x</w:t>
            </w:r>
          </w:p>
        </w:tc>
        <w:tc>
          <w:tcPr>
            <w:tcW w:w="159" w:type="pct"/>
            <w:tcBorders>
              <w:top w:val="nil"/>
              <w:left w:val="nil"/>
              <w:bottom w:val="single" w:sz="4" w:space="0" w:color="auto"/>
              <w:right w:val="single" w:sz="4" w:space="0" w:color="auto"/>
            </w:tcBorders>
            <w:shd w:val="clear" w:color="auto" w:fill="auto"/>
            <w:noWrap/>
            <w:vAlign w:val="center"/>
            <w:hideMark/>
          </w:tcPr>
          <w:p w14:paraId="1E1C122D"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5" w:type="pct"/>
            <w:tcBorders>
              <w:top w:val="nil"/>
              <w:left w:val="nil"/>
              <w:bottom w:val="single" w:sz="4" w:space="0" w:color="auto"/>
              <w:right w:val="single" w:sz="4" w:space="0" w:color="auto"/>
            </w:tcBorders>
            <w:shd w:val="clear" w:color="auto" w:fill="auto"/>
            <w:noWrap/>
            <w:vAlign w:val="center"/>
            <w:hideMark/>
          </w:tcPr>
          <w:p w14:paraId="35F207AA"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5" w:type="pct"/>
            <w:tcBorders>
              <w:top w:val="nil"/>
              <w:left w:val="nil"/>
              <w:bottom w:val="single" w:sz="4" w:space="0" w:color="auto"/>
              <w:right w:val="single" w:sz="4" w:space="0" w:color="auto"/>
            </w:tcBorders>
            <w:shd w:val="clear" w:color="auto" w:fill="auto"/>
            <w:noWrap/>
            <w:vAlign w:val="center"/>
            <w:hideMark/>
          </w:tcPr>
          <w:p w14:paraId="211CCAE5"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5" w:type="pct"/>
            <w:tcBorders>
              <w:top w:val="nil"/>
              <w:left w:val="nil"/>
              <w:bottom w:val="single" w:sz="4" w:space="0" w:color="auto"/>
              <w:right w:val="single" w:sz="4" w:space="0" w:color="auto"/>
            </w:tcBorders>
            <w:shd w:val="clear" w:color="auto" w:fill="FDFFD1"/>
            <w:noWrap/>
            <w:vAlign w:val="center"/>
            <w:hideMark/>
          </w:tcPr>
          <w:p w14:paraId="68A06744"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x</w:t>
            </w:r>
          </w:p>
        </w:tc>
        <w:tc>
          <w:tcPr>
            <w:tcW w:w="164" w:type="pct"/>
            <w:gridSpan w:val="2"/>
            <w:tcBorders>
              <w:top w:val="nil"/>
              <w:left w:val="nil"/>
              <w:bottom w:val="single" w:sz="4" w:space="0" w:color="auto"/>
              <w:right w:val="single" w:sz="4" w:space="0" w:color="auto"/>
            </w:tcBorders>
            <w:shd w:val="clear" w:color="auto" w:fill="auto"/>
            <w:noWrap/>
            <w:vAlign w:val="center"/>
            <w:hideMark/>
          </w:tcPr>
          <w:p w14:paraId="6CA67EC2"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r>
      <w:tr w:rsidR="009C7C34" w:rsidRPr="009C7C34" w14:paraId="69F31674" w14:textId="77777777" w:rsidTr="00C2376E">
        <w:trPr>
          <w:trHeight w:val="300"/>
        </w:trPr>
        <w:tc>
          <w:tcPr>
            <w:tcW w:w="258" w:type="pct"/>
            <w:tcBorders>
              <w:top w:val="nil"/>
              <w:left w:val="single" w:sz="4" w:space="0" w:color="auto"/>
              <w:bottom w:val="single" w:sz="4" w:space="0" w:color="auto"/>
              <w:right w:val="single" w:sz="4" w:space="0" w:color="auto"/>
            </w:tcBorders>
            <w:shd w:val="clear" w:color="auto" w:fill="44546A" w:themeFill="text2"/>
            <w:noWrap/>
            <w:vAlign w:val="center"/>
          </w:tcPr>
          <w:p w14:paraId="6ED856A2" w14:textId="77777777" w:rsidR="009C7C34" w:rsidRPr="009C7C34" w:rsidRDefault="009C7C34" w:rsidP="00851785">
            <w:pPr>
              <w:keepNext/>
              <w:keepLines/>
              <w:spacing w:before="240"/>
              <w:jc w:val="center"/>
              <w:rPr>
                <w:rFonts w:ascii="Arial" w:hAnsi="Arial" w:cs="Arial"/>
                <w:b/>
                <w:sz w:val="18"/>
                <w:szCs w:val="18"/>
                <w:lang w:val="es-PY"/>
              </w:rPr>
            </w:pPr>
            <w:r w:rsidRPr="009C7C34">
              <w:rPr>
                <w:rFonts w:ascii="Arial" w:hAnsi="Arial" w:cs="Arial"/>
                <w:b/>
                <w:sz w:val="18"/>
                <w:szCs w:val="18"/>
                <w:lang w:val="es-PY"/>
              </w:rPr>
              <w:lastRenderedPageBreak/>
              <w:t>4</w:t>
            </w:r>
          </w:p>
        </w:tc>
        <w:tc>
          <w:tcPr>
            <w:tcW w:w="4742" w:type="pct"/>
            <w:gridSpan w:val="24"/>
            <w:tcBorders>
              <w:top w:val="nil"/>
              <w:left w:val="nil"/>
              <w:bottom w:val="single" w:sz="4" w:space="0" w:color="auto"/>
              <w:right w:val="single" w:sz="4" w:space="0" w:color="auto"/>
            </w:tcBorders>
            <w:shd w:val="clear" w:color="auto" w:fill="44546A" w:themeFill="text2"/>
            <w:vAlign w:val="center"/>
          </w:tcPr>
          <w:p w14:paraId="7C80881F" w14:textId="77777777" w:rsidR="009C7C34" w:rsidRPr="009C7C34" w:rsidRDefault="009C7C34" w:rsidP="00851785">
            <w:pPr>
              <w:keepNext/>
              <w:keepLines/>
              <w:spacing w:before="240"/>
              <w:jc w:val="center"/>
              <w:rPr>
                <w:rFonts w:ascii="Arial" w:hAnsi="Arial" w:cs="Arial"/>
                <w:b/>
                <w:sz w:val="18"/>
                <w:szCs w:val="18"/>
                <w:lang w:val="es-PY"/>
              </w:rPr>
            </w:pPr>
            <w:r w:rsidRPr="009C7C34">
              <w:rPr>
                <w:rFonts w:ascii="Arial" w:hAnsi="Arial" w:cs="Arial"/>
                <w:b/>
                <w:sz w:val="18"/>
                <w:szCs w:val="18"/>
                <w:lang w:val="es-PY"/>
              </w:rPr>
              <w:t>Auditorías</w:t>
            </w:r>
          </w:p>
        </w:tc>
      </w:tr>
      <w:tr w:rsidR="009C7C34" w:rsidRPr="009C7C34" w14:paraId="7C0DDB95" w14:textId="77777777" w:rsidTr="00C2376E">
        <w:trPr>
          <w:trHeight w:val="1043"/>
        </w:trPr>
        <w:tc>
          <w:tcPr>
            <w:tcW w:w="258" w:type="pct"/>
            <w:tcBorders>
              <w:left w:val="single" w:sz="4" w:space="0" w:color="auto"/>
              <w:bottom w:val="single" w:sz="4" w:space="0" w:color="auto"/>
              <w:right w:val="single" w:sz="4" w:space="0" w:color="auto"/>
            </w:tcBorders>
            <w:shd w:val="clear" w:color="auto" w:fill="auto"/>
            <w:noWrap/>
            <w:vAlign w:val="center"/>
          </w:tcPr>
          <w:p w14:paraId="2DB15076" w14:textId="77777777" w:rsidR="009C7C34" w:rsidRPr="009C7C34" w:rsidRDefault="009C7C34" w:rsidP="00851785">
            <w:pPr>
              <w:keepNext/>
              <w:keepLines/>
              <w:spacing w:before="240"/>
              <w:jc w:val="center"/>
              <w:rPr>
                <w:rFonts w:ascii="Arial" w:hAnsi="Arial" w:cs="Arial"/>
                <w:b/>
                <w:sz w:val="18"/>
                <w:szCs w:val="18"/>
                <w:lang w:val="es-PY"/>
              </w:rPr>
            </w:pPr>
            <w:r w:rsidRPr="009C7C34">
              <w:rPr>
                <w:rFonts w:ascii="Arial" w:hAnsi="Arial" w:cs="Arial"/>
                <w:b/>
                <w:sz w:val="18"/>
                <w:szCs w:val="18"/>
                <w:lang w:val="es-PY"/>
              </w:rPr>
              <w:t>4.1</w:t>
            </w:r>
          </w:p>
        </w:tc>
        <w:tc>
          <w:tcPr>
            <w:tcW w:w="1191" w:type="pct"/>
            <w:tcBorders>
              <w:top w:val="single" w:sz="4" w:space="0" w:color="auto"/>
              <w:left w:val="nil"/>
              <w:bottom w:val="single" w:sz="4" w:space="0" w:color="auto"/>
              <w:right w:val="single" w:sz="4" w:space="0" w:color="auto"/>
            </w:tcBorders>
            <w:shd w:val="clear" w:color="auto" w:fill="auto"/>
            <w:vAlign w:val="center"/>
          </w:tcPr>
          <w:p w14:paraId="06687D10" w14:textId="77777777" w:rsidR="009C7C34" w:rsidRPr="009C7C34" w:rsidRDefault="009C7C34" w:rsidP="00851785">
            <w:pPr>
              <w:keepNext/>
              <w:keepLines/>
              <w:spacing w:before="240"/>
              <w:jc w:val="center"/>
              <w:rPr>
                <w:rFonts w:ascii="Arial" w:hAnsi="Arial" w:cs="Arial"/>
                <w:b/>
                <w:sz w:val="18"/>
                <w:szCs w:val="18"/>
                <w:lang w:val="es-PY"/>
              </w:rPr>
            </w:pPr>
            <w:r w:rsidRPr="009C7C34">
              <w:rPr>
                <w:rFonts w:ascii="Arial" w:hAnsi="Arial" w:cs="Arial"/>
                <w:b/>
                <w:sz w:val="18"/>
                <w:szCs w:val="18"/>
                <w:lang w:val="es-PY"/>
              </w:rPr>
              <w:t>Trabajo de Campo para Auditoría Externa del Proyecto</w:t>
            </w:r>
          </w:p>
        </w:tc>
        <w:tc>
          <w:tcPr>
            <w:tcW w:w="600" w:type="pct"/>
            <w:vMerge w:val="restart"/>
            <w:tcBorders>
              <w:top w:val="single" w:sz="4" w:space="0" w:color="auto"/>
              <w:left w:val="single" w:sz="4" w:space="0" w:color="auto"/>
              <w:right w:val="single" w:sz="4" w:space="0" w:color="auto"/>
            </w:tcBorders>
            <w:vAlign w:val="center"/>
          </w:tcPr>
          <w:p w14:paraId="71927925" w14:textId="77777777" w:rsidR="009C7C34" w:rsidRPr="009C7C34" w:rsidRDefault="009C7C34" w:rsidP="00851785">
            <w:pPr>
              <w:keepNext/>
              <w:keepLines/>
              <w:spacing w:before="240"/>
              <w:jc w:val="center"/>
              <w:rPr>
                <w:rFonts w:ascii="Arial" w:hAnsi="Arial" w:cs="Arial"/>
                <w:b/>
                <w:sz w:val="18"/>
                <w:szCs w:val="18"/>
                <w:lang w:val="es-PY"/>
              </w:rPr>
            </w:pPr>
            <w:r w:rsidRPr="009C7C34">
              <w:rPr>
                <w:rFonts w:ascii="Arial" w:hAnsi="Arial" w:cs="Arial"/>
                <w:b/>
                <w:sz w:val="18"/>
                <w:szCs w:val="18"/>
                <w:lang w:val="es-PY"/>
              </w:rPr>
              <w:t>Firma Independiente de Auditoría</w:t>
            </w:r>
          </w:p>
          <w:p w14:paraId="1B3E7256" w14:textId="77777777" w:rsidR="009C7C34" w:rsidRPr="009C7C34" w:rsidRDefault="009C7C34" w:rsidP="00851785">
            <w:pPr>
              <w:keepNext/>
              <w:keepLines/>
              <w:spacing w:before="240"/>
              <w:jc w:val="center"/>
              <w:rPr>
                <w:rFonts w:ascii="Arial" w:hAnsi="Arial" w:cs="Arial"/>
                <w:b/>
                <w:sz w:val="18"/>
                <w:szCs w:val="18"/>
                <w:lang w:val="es-PY"/>
              </w:rPr>
            </w:pPr>
            <w:r w:rsidRPr="009C7C34">
              <w:rPr>
                <w:rFonts w:ascii="Arial" w:hAnsi="Arial" w:cs="Arial"/>
                <w:b/>
                <w:sz w:val="18"/>
                <w:szCs w:val="18"/>
                <w:lang w:val="es-PY"/>
              </w:rPr>
              <w:t> </w:t>
            </w:r>
          </w:p>
          <w:p w14:paraId="45B50451" w14:textId="77777777" w:rsidR="009C7C34" w:rsidRPr="009C7C34" w:rsidRDefault="009C7C34" w:rsidP="00851785">
            <w:pPr>
              <w:keepNext/>
              <w:keepLines/>
              <w:spacing w:before="240"/>
              <w:jc w:val="center"/>
              <w:rPr>
                <w:rFonts w:ascii="Arial" w:hAnsi="Arial" w:cs="Arial"/>
                <w:b/>
                <w:sz w:val="18"/>
                <w:szCs w:val="18"/>
                <w:lang w:val="es-PY"/>
              </w:rPr>
            </w:pPr>
          </w:p>
          <w:p w14:paraId="4C735E4F" w14:textId="77777777" w:rsidR="009C7C34" w:rsidRPr="009C7C34" w:rsidRDefault="009C7C34" w:rsidP="00851785">
            <w:pPr>
              <w:keepNext/>
              <w:keepLines/>
              <w:spacing w:before="240"/>
              <w:jc w:val="center"/>
              <w:rPr>
                <w:rFonts w:ascii="Arial" w:hAnsi="Arial" w:cs="Arial"/>
                <w:b/>
                <w:sz w:val="18"/>
                <w:szCs w:val="18"/>
                <w:lang w:val="es-PY"/>
              </w:rPr>
            </w:pPr>
            <w:r w:rsidRPr="009C7C34">
              <w:rPr>
                <w:rFonts w:ascii="Arial" w:hAnsi="Arial" w:cs="Arial"/>
                <w:b/>
                <w:sz w:val="18"/>
                <w:szCs w:val="18"/>
                <w:lang w:val="es-PY"/>
              </w:rPr>
              <w:t>Coordinador</w:t>
            </w:r>
          </w:p>
          <w:p w14:paraId="00F5D019" w14:textId="77777777" w:rsidR="009C7C34" w:rsidRPr="009C7C34" w:rsidRDefault="009C7C34" w:rsidP="00851785">
            <w:pPr>
              <w:keepNext/>
              <w:keepLines/>
              <w:spacing w:before="240"/>
              <w:jc w:val="center"/>
              <w:rPr>
                <w:rFonts w:ascii="Arial" w:hAnsi="Arial" w:cs="Arial"/>
                <w:b/>
                <w:sz w:val="18"/>
                <w:szCs w:val="18"/>
                <w:lang w:val="es-PY"/>
              </w:rPr>
            </w:pPr>
          </w:p>
          <w:p w14:paraId="713D08ED" w14:textId="77777777" w:rsidR="009C7C34" w:rsidRPr="009C7C34" w:rsidRDefault="009C7C34" w:rsidP="00851785">
            <w:pPr>
              <w:keepNext/>
              <w:keepLines/>
              <w:spacing w:before="240"/>
              <w:jc w:val="center"/>
              <w:rPr>
                <w:rFonts w:ascii="Arial" w:hAnsi="Arial" w:cs="Arial"/>
                <w:b/>
                <w:sz w:val="18"/>
                <w:szCs w:val="18"/>
                <w:lang w:val="es-PY"/>
              </w:rPr>
            </w:pPr>
            <w:r w:rsidRPr="009C7C34">
              <w:rPr>
                <w:rFonts w:ascii="Arial" w:hAnsi="Arial" w:cs="Arial"/>
                <w:b/>
                <w:sz w:val="18"/>
                <w:szCs w:val="18"/>
                <w:lang w:val="es-PY"/>
              </w:rPr>
              <w:t>FIA / Coordinador</w:t>
            </w:r>
          </w:p>
          <w:p w14:paraId="4D8C4EA1" w14:textId="77777777" w:rsidR="009C7C34" w:rsidRPr="009C7C34" w:rsidRDefault="009C7C34" w:rsidP="00851785">
            <w:pPr>
              <w:keepNext/>
              <w:keepLines/>
              <w:spacing w:before="240"/>
              <w:jc w:val="center"/>
              <w:rPr>
                <w:rFonts w:ascii="Arial" w:hAnsi="Arial" w:cs="Arial"/>
                <w:b/>
                <w:sz w:val="18"/>
                <w:szCs w:val="18"/>
                <w:lang w:val="es-PY"/>
              </w:rPr>
            </w:pPr>
          </w:p>
        </w:tc>
        <w:tc>
          <w:tcPr>
            <w:tcW w:w="199" w:type="pct"/>
            <w:tcBorders>
              <w:top w:val="single" w:sz="4" w:space="0" w:color="auto"/>
              <w:left w:val="nil"/>
              <w:bottom w:val="single" w:sz="4" w:space="0" w:color="auto"/>
              <w:right w:val="single" w:sz="4" w:space="0" w:color="auto"/>
            </w:tcBorders>
            <w:shd w:val="clear" w:color="auto" w:fill="auto"/>
            <w:noWrap/>
            <w:vAlign w:val="center"/>
          </w:tcPr>
          <w:p w14:paraId="1AB15679" w14:textId="77777777" w:rsidR="009C7C34" w:rsidRPr="009C7C34" w:rsidRDefault="009C7C34" w:rsidP="00851785">
            <w:pPr>
              <w:keepNext/>
              <w:keepLines/>
              <w:spacing w:before="240"/>
              <w:jc w:val="center"/>
              <w:rPr>
                <w:rFonts w:ascii="Arial" w:hAnsi="Arial" w:cs="Arial"/>
                <w:b/>
                <w:sz w:val="18"/>
                <w:szCs w:val="18"/>
                <w:lang w:val="es-PY"/>
              </w:rPr>
            </w:pPr>
          </w:p>
        </w:tc>
        <w:tc>
          <w:tcPr>
            <w:tcW w:w="137" w:type="pct"/>
            <w:tcBorders>
              <w:top w:val="single" w:sz="4" w:space="0" w:color="auto"/>
              <w:left w:val="nil"/>
              <w:bottom w:val="single" w:sz="4" w:space="0" w:color="auto"/>
              <w:right w:val="single" w:sz="4" w:space="0" w:color="auto"/>
            </w:tcBorders>
            <w:shd w:val="clear" w:color="auto" w:fill="auto"/>
            <w:noWrap/>
            <w:vAlign w:val="center"/>
          </w:tcPr>
          <w:p w14:paraId="204F2D96" w14:textId="77777777" w:rsidR="009C7C34" w:rsidRPr="009C7C34" w:rsidRDefault="009C7C34" w:rsidP="00851785">
            <w:pPr>
              <w:keepNext/>
              <w:keepLines/>
              <w:spacing w:before="240"/>
              <w:jc w:val="center"/>
              <w:rPr>
                <w:rFonts w:ascii="Arial" w:hAnsi="Arial" w:cs="Arial"/>
                <w:b/>
                <w:sz w:val="18"/>
                <w:szCs w:val="18"/>
                <w:lang w:val="es-PY"/>
              </w:rPr>
            </w:pPr>
          </w:p>
        </w:tc>
        <w:tc>
          <w:tcPr>
            <w:tcW w:w="139" w:type="pct"/>
            <w:tcBorders>
              <w:top w:val="single" w:sz="4" w:space="0" w:color="auto"/>
              <w:left w:val="nil"/>
              <w:bottom w:val="single" w:sz="4" w:space="0" w:color="auto"/>
              <w:right w:val="single" w:sz="4" w:space="0" w:color="auto"/>
            </w:tcBorders>
            <w:shd w:val="clear" w:color="auto" w:fill="auto"/>
            <w:noWrap/>
            <w:vAlign w:val="center"/>
          </w:tcPr>
          <w:p w14:paraId="18948DDD" w14:textId="77777777" w:rsidR="009C7C34" w:rsidRPr="009C7C34" w:rsidRDefault="009C7C34" w:rsidP="00851785">
            <w:pPr>
              <w:keepNext/>
              <w:keepLines/>
              <w:spacing w:before="240"/>
              <w:jc w:val="center"/>
              <w:rPr>
                <w:rFonts w:ascii="Arial" w:hAnsi="Arial" w:cs="Arial"/>
                <w:b/>
                <w:sz w:val="18"/>
                <w:szCs w:val="18"/>
                <w:lang w:val="es-PY"/>
              </w:rPr>
            </w:pPr>
          </w:p>
        </w:tc>
        <w:tc>
          <w:tcPr>
            <w:tcW w:w="141" w:type="pct"/>
            <w:gridSpan w:val="2"/>
            <w:tcBorders>
              <w:top w:val="single" w:sz="4" w:space="0" w:color="auto"/>
              <w:left w:val="nil"/>
              <w:bottom w:val="single" w:sz="4" w:space="0" w:color="auto"/>
              <w:right w:val="single" w:sz="4" w:space="0" w:color="auto"/>
            </w:tcBorders>
            <w:shd w:val="clear" w:color="auto" w:fill="CEF4FE"/>
            <w:noWrap/>
            <w:vAlign w:val="center"/>
          </w:tcPr>
          <w:p w14:paraId="16131DDF" w14:textId="77777777" w:rsidR="009C7C34" w:rsidRPr="009C7C34" w:rsidRDefault="009C7C34" w:rsidP="00851785">
            <w:pPr>
              <w:keepNext/>
              <w:keepLines/>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0" w:type="pct"/>
            <w:tcBorders>
              <w:top w:val="single" w:sz="4" w:space="0" w:color="auto"/>
              <w:left w:val="nil"/>
              <w:bottom w:val="single" w:sz="4" w:space="0" w:color="auto"/>
              <w:right w:val="single" w:sz="4" w:space="0" w:color="auto"/>
            </w:tcBorders>
            <w:shd w:val="clear" w:color="auto" w:fill="auto"/>
            <w:noWrap/>
            <w:vAlign w:val="center"/>
          </w:tcPr>
          <w:p w14:paraId="766DAB88" w14:textId="77777777" w:rsidR="009C7C34" w:rsidRPr="009C7C34" w:rsidRDefault="009C7C34" w:rsidP="00851785">
            <w:pPr>
              <w:keepNext/>
              <w:keepLines/>
              <w:spacing w:before="240"/>
              <w:jc w:val="center"/>
              <w:rPr>
                <w:rFonts w:ascii="Arial" w:hAnsi="Arial" w:cs="Arial"/>
                <w:b/>
                <w:sz w:val="18"/>
                <w:szCs w:val="18"/>
                <w:lang w:val="es-PY"/>
              </w:rPr>
            </w:pPr>
          </w:p>
        </w:tc>
        <w:tc>
          <w:tcPr>
            <w:tcW w:w="140" w:type="pct"/>
            <w:tcBorders>
              <w:top w:val="single" w:sz="4" w:space="0" w:color="auto"/>
              <w:left w:val="nil"/>
              <w:bottom w:val="single" w:sz="4" w:space="0" w:color="auto"/>
              <w:right w:val="single" w:sz="4" w:space="0" w:color="auto"/>
            </w:tcBorders>
            <w:shd w:val="clear" w:color="auto" w:fill="auto"/>
            <w:noWrap/>
            <w:vAlign w:val="center"/>
          </w:tcPr>
          <w:p w14:paraId="685A7119" w14:textId="77777777" w:rsidR="009C7C34" w:rsidRPr="009C7C34" w:rsidRDefault="009C7C34" w:rsidP="00851785">
            <w:pPr>
              <w:keepNext/>
              <w:keepLines/>
              <w:spacing w:before="240"/>
              <w:jc w:val="center"/>
              <w:rPr>
                <w:rFonts w:ascii="Arial" w:hAnsi="Arial" w:cs="Arial"/>
                <w:b/>
                <w:sz w:val="18"/>
                <w:szCs w:val="18"/>
                <w:lang w:val="es-PY"/>
              </w:rPr>
            </w:pPr>
          </w:p>
        </w:tc>
        <w:tc>
          <w:tcPr>
            <w:tcW w:w="140" w:type="pct"/>
            <w:tcBorders>
              <w:top w:val="single" w:sz="4" w:space="0" w:color="auto"/>
              <w:left w:val="nil"/>
              <w:bottom w:val="single" w:sz="4" w:space="0" w:color="auto"/>
              <w:right w:val="single" w:sz="4" w:space="0" w:color="auto"/>
            </w:tcBorders>
            <w:shd w:val="clear" w:color="auto" w:fill="auto"/>
            <w:noWrap/>
            <w:vAlign w:val="center"/>
          </w:tcPr>
          <w:p w14:paraId="70B1AD1D" w14:textId="77777777" w:rsidR="009C7C34" w:rsidRPr="009C7C34" w:rsidRDefault="009C7C34" w:rsidP="00851785">
            <w:pPr>
              <w:keepNext/>
              <w:keepLines/>
              <w:spacing w:before="240"/>
              <w:jc w:val="center"/>
              <w:rPr>
                <w:rFonts w:ascii="Arial" w:hAnsi="Arial" w:cs="Arial"/>
                <w:b/>
                <w:sz w:val="18"/>
                <w:szCs w:val="18"/>
                <w:lang w:val="es-PY"/>
              </w:rPr>
            </w:pPr>
          </w:p>
        </w:tc>
        <w:tc>
          <w:tcPr>
            <w:tcW w:w="153" w:type="pct"/>
            <w:tcBorders>
              <w:top w:val="single" w:sz="4" w:space="0" w:color="auto"/>
              <w:left w:val="nil"/>
              <w:bottom w:val="single" w:sz="4" w:space="0" w:color="auto"/>
              <w:right w:val="single" w:sz="4" w:space="0" w:color="auto"/>
            </w:tcBorders>
            <w:shd w:val="clear" w:color="auto" w:fill="CEF4FE"/>
            <w:noWrap/>
            <w:vAlign w:val="center"/>
          </w:tcPr>
          <w:p w14:paraId="6B4B13FD" w14:textId="77777777" w:rsidR="009C7C34" w:rsidRPr="009C7C34" w:rsidRDefault="009C7C34" w:rsidP="00851785">
            <w:pPr>
              <w:keepNext/>
              <w:keepLines/>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8" w:type="pct"/>
            <w:tcBorders>
              <w:top w:val="single" w:sz="4" w:space="0" w:color="auto"/>
              <w:left w:val="nil"/>
              <w:bottom w:val="single" w:sz="4" w:space="0" w:color="auto"/>
              <w:right w:val="single" w:sz="4" w:space="0" w:color="auto"/>
            </w:tcBorders>
            <w:shd w:val="clear" w:color="auto" w:fill="auto"/>
            <w:noWrap/>
            <w:vAlign w:val="center"/>
          </w:tcPr>
          <w:p w14:paraId="3A4AC4D3" w14:textId="77777777" w:rsidR="009C7C34" w:rsidRPr="009C7C34" w:rsidRDefault="009C7C34" w:rsidP="00851785">
            <w:pPr>
              <w:keepNext/>
              <w:keepLines/>
              <w:spacing w:before="240"/>
              <w:jc w:val="center"/>
              <w:rPr>
                <w:rFonts w:ascii="Arial" w:hAnsi="Arial" w:cs="Arial"/>
                <w:b/>
                <w:sz w:val="18"/>
                <w:szCs w:val="18"/>
                <w:lang w:val="es-PY"/>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14:paraId="616DAC7D" w14:textId="77777777" w:rsidR="009C7C34" w:rsidRPr="009C7C34" w:rsidRDefault="009C7C34" w:rsidP="00851785">
            <w:pPr>
              <w:keepNext/>
              <w:keepLines/>
              <w:spacing w:before="240"/>
              <w:jc w:val="center"/>
              <w:rPr>
                <w:rFonts w:ascii="Arial" w:hAnsi="Arial" w:cs="Arial"/>
                <w:b/>
                <w:sz w:val="18"/>
                <w:szCs w:val="18"/>
                <w:lang w:val="es-PY"/>
              </w:rPr>
            </w:pPr>
          </w:p>
        </w:tc>
        <w:tc>
          <w:tcPr>
            <w:tcW w:w="140" w:type="pct"/>
            <w:tcBorders>
              <w:top w:val="single" w:sz="4" w:space="0" w:color="auto"/>
              <w:left w:val="nil"/>
              <w:bottom w:val="single" w:sz="4" w:space="0" w:color="auto"/>
              <w:right w:val="single" w:sz="4" w:space="0" w:color="auto"/>
            </w:tcBorders>
            <w:shd w:val="clear" w:color="auto" w:fill="FFFFFF" w:themeFill="background1"/>
            <w:noWrap/>
            <w:vAlign w:val="center"/>
          </w:tcPr>
          <w:p w14:paraId="477F2F72" w14:textId="77777777" w:rsidR="009C7C34" w:rsidRPr="009C7C34" w:rsidRDefault="009C7C34" w:rsidP="00851785">
            <w:pPr>
              <w:keepNext/>
              <w:keepLines/>
              <w:spacing w:before="240"/>
              <w:jc w:val="center"/>
              <w:rPr>
                <w:rFonts w:ascii="Arial" w:hAnsi="Arial" w:cs="Arial"/>
                <w:b/>
                <w:sz w:val="18"/>
                <w:szCs w:val="18"/>
                <w:lang w:val="es-PY"/>
              </w:rPr>
            </w:pPr>
          </w:p>
        </w:tc>
        <w:tc>
          <w:tcPr>
            <w:tcW w:w="148" w:type="pct"/>
            <w:tcBorders>
              <w:top w:val="single" w:sz="4" w:space="0" w:color="auto"/>
              <w:left w:val="nil"/>
              <w:bottom w:val="single" w:sz="4" w:space="0" w:color="auto"/>
              <w:right w:val="single" w:sz="4" w:space="0" w:color="auto"/>
            </w:tcBorders>
            <w:shd w:val="clear" w:color="auto" w:fill="CEF4FE"/>
            <w:noWrap/>
            <w:vAlign w:val="center"/>
          </w:tcPr>
          <w:p w14:paraId="754C01CD" w14:textId="77777777" w:rsidR="009C7C34" w:rsidRPr="009C7C34" w:rsidRDefault="009C7C34" w:rsidP="00851785">
            <w:pPr>
              <w:keepNext/>
              <w:keepLines/>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1" w:type="pct"/>
            <w:tcBorders>
              <w:top w:val="single" w:sz="4" w:space="0" w:color="auto"/>
              <w:left w:val="nil"/>
              <w:bottom w:val="single" w:sz="4" w:space="0" w:color="auto"/>
              <w:right w:val="single" w:sz="4" w:space="0" w:color="auto"/>
            </w:tcBorders>
            <w:shd w:val="clear" w:color="auto" w:fill="auto"/>
            <w:noWrap/>
            <w:vAlign w:val="center"/>
          </w:tcPr>
          <w:p w14:paraId="7FEE0A0F" w14:textId="77777777" w:rsidR="009C7C34" w:rsidRPr="009C7C34" w:rsidRDefault="009C7C34" w:rsidP="00851785">
            <w:pPr>
              <w:keepNext/>
              <w:keepLines/>
              <w:spacing w:before="240"/>
              <w:jc w:val="center"/>
              <w:rPr>
                <w:rFonts w:ascii="Arial" w:hAnsi="Arial" w:cs="Arial"/>
                <w:b/>
                <w:sz w:val="18"/>
                <w:szCs w:val="18"/>
                <w:lang w:val="es-PY"/>
              </w:rPr>
            </w:pPr>
          </w:p>
        </w:tc>
        <w:tc>
          <w:tcPr>
            <w:tcW w:w="141" w:type="pct"/>
            <w:tcBorders>
              <w:top w:val="single" w:sz="4" w:space="0" w:color="auto"/>
              <w:left w:val="nil"/>
              <w:bottom w:val="single" w:sz="4" w:space="0" w:color="auto"/>
              <w:right w:val="single" w:sz="4" w:space="0" w:color="auto"/>
            </w:tcBorders>
            <w:shd w:val="clear" w:color="auto" w:fill="auto"/>
            <w:noWrap/>
            <w:vAlign w:val="center"/>
          </w:tcPr>
          <w:p w14:paraId="6A04D390" w14:textId="77777777" w:rsidR="009C7C34" w:rsidRPr="009C7C34" w:rsidRDefault="009C7C34" w:rsidP="00851785">
            <w:pPr>
              <w:keepNext/>
              <w:keepLines/>
              <w:spacing w:before="240"/>
              <w:jc w:val="center"/>
              <w:rPr>
                <w:rFonts w:ascii="Arial" w:hAnsi="Arial" w:cs="Arial"/>
                <w:b/>
                <w:sz w:val="18"/>
                <w:szCs w:val="18"/>
                <w:lang w:val="es-PY"/>
              </w:rPr>
            </w:pPr>
          </w:p>
        </w:tc>
        <w:tc>
          <w:tcPr>
            <w:tcW w:w="141" w:type="pct"/>
            <w:tcBorders>
              <w:top w:val="single" w:sz="4" w:space="0" w:color="auto"/>
              <w:left w:val="nil"/>
              <w:bottom w:val="single" w:sz="4" w:space="0" w:color="auto"/>
              <w:right w:val="single" w:sz="4" w:space="0" w:color="auto"/>
            </w:tcBorders>
            <w:shd w:val="clear" w:color="auto" w:fill="auto"/>
            <w:noWrap/>
            <w:vAlign w:val="center"/>
          </w:tcPr>
          <w:p w14:paraId="56352DBA" w14:textId="77777777" w:rsidR="009C7C34" w:rsidRPr="009C7C34" w:rsidRDefault="009C7C34" w:rsidP="00851785">
            <w:pPr>
              <w:keepNext/>
              <w:keepLines/>
              <w:spacing w:before="240"/>
              <w:jc w:val="center"/>
              <w:rPr>
                <w:rFonts w:ascii="Arial" w:hAnsi="Arial" w:cs="Arial"/>
                <w:b/>
                <w:sz w:val="18"/>
                <w:szCs w:val="18"/>
                <w:lang w:val="es-PY"/>
              </w:rPr>
            </w:pPr>
          </w:p>
        </w:tc>
        <w:tc>
          <w:tcPr>
            <w:tcW w:w="159" w:type="pct"/>
            <w:tcBorders>
              <w:top w:val="single" w:sz="4" w:space="0" w:color="auto"/>
              <w:left w:val="nil"/>
              <w:bottom w:val="single" w:sz="4" w:space="0" w:color="auto"/>
              <w:right w:val="single" w:sz="4" w:space="0" w:color="auto"/>
            </w:tcBorders>
            <w:shd w:val="clear" w:color="auto" w:fill="CEF4FE"/>
            <w:noWrap/>
            <w:vAlign w:val="center"/>
          </w:tcPr>
          <w:p w14:paraId="5128206C" w14:textId="77777777" w:rsidR="009C7C34" w:rsidRPr="009C7C34" w:rsidRDefault="009C7C34" w:rsidP="00851785">
            <w:pPr>
              <w:keepNext/>
              <w:keepLines/>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5" w:type="pct"/>
            <w:tcBorders>
              <w:top w:val="single" w:sz="4" w:space="0" w:color="auto"/>
              <w:left w:val="nil"/>
              <w:bottom w:val="single" w:sz="4" w:space="0" w:color="auto"/>
              <w:right w:val="single" w:sz="4" w:space="0" w:color="auto"/>
            </w:tcBorders>
            <w:shd w:val="clear" w:color="auto" w:fill="auto"/>
            <w:noWrap/>
            <w:vAlign w:val="center"/>
          </w:tcPr>
          <w:p w14:paraId="0B709FA3" w14:textId="77777777" w:rsidR="009C7C34" w:rsidRPr="009C7C34" w:rsidRDefault="009C7C34" w:rsidP="00851785">
            <w:pPr>
              <w:keepNext/>
              <w:keepLines/>
              <w:spacing w:before="240"/>
              <w:jc w:val="center"/>
              <w:rPr>
                <w:rFonts w:ascii="Arial" w:hAnsi="Arial" w:cs="Arial"/>
                <w:b/>
                <w:sz w:val="18"/>
                <w:szCs w:val="18"/>
                <w:lang w:val="es-PY"/>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14:paraId="7AA8DFDE" w14:textId="77777777" w:rsidR="009C7C34" w:rsidRPr="009C7C34" w:rsidRDefault="009C7C34" w:rsidP="00851785">
            <w:pPr>
              <w:keepNext/>
              <w:keepLines/>
              <w:spacing w:before="240"/>
              <w:jc w:val="center"/>
              <w:rPr>
                <w:rFonts w:ascii="Arial" w:hAnsi="Arial" w:cs="Arial"/>
                <w:b/>
                <w:sz w:val="18"/>
                <w:szCs w:val="18"/>
                <w:lang w:val="es-PY"/>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14:paraId="3BA13592" w14:textId="77777777" w:rsidR="009C7C34" w:rsidRPr="009C7C34" w:rsidRDefault="009C7C34" w:rsidP="00851785">
            <w:pPr>
              <w:keepNext/>
              <w:keepLines/>
              <w:spacing w:before="240"/>
              <w:jc w:val="center"/>
              <w:rPr>
                <w:rFonts w:ascii="Arial" w:hAnsi="Arial" w:cs="Arial"/>
                <w:b/>
                <w:sz w:val="18"/>
                <w:szCs w:val="18"/>
                <w:lang w:val="es-PY"/>
              </w:rPr>
            </w:pPr>
          </w:p>
        </w:tc>
        <w:tc>
          <w:tcPr>
            <w:tcW w:w="164" w:type="pct"/>
            <w:gridSpan w:val="2"/>
            <w:tcBorders>
              <w:top w:val="single" w:sz="4" w:space="0" w:color="auto"/>
              <w:left w:val="nil"/>
              <w:bottom w:val="single" w:sz="4" w:space="0" w:color="auto"/>
              <w:right w:val="single" w:sz="4" w:space="0" w:color="auto"/>
            </w:tcBorders>
            <w:shd w:val="clear" w:color="auto" w:fill="CEF4FE"/>
            <w:noWrap/>
            <w:vAlign w:val="center"/>
          </w:tcPr>
          <w:p w14:paraId="3290E780" w14:textId="77777777" w:rsidR="009C7C34" w:rsidRPr="009C7C34" w:rsidRDefault="009C7C34" w:rsidP="00851785">
            <w:pPr>
              <w:keepNext/>
              <w:keepLines/>
              <w:spacing w:before="240"/>
              <w:jc w:val="center"/>
              <w:rPr>
                <w:rFonts w:ascii="Arial" w:hAnsi="Arial" w:cs="Arial"/>
                <w:b/>
                <w:sz w:val="18"/>
                <w:szCs w:val="18"/>
                <w:lang w:val="es-PY"/>
              </w:rPr>
            </w:pPr>
            <w:r w:rsidRPr="009C7C34">
              <w:rPr>
                <w:rFonts w:ascii="Arial" w:hAnsi="Arial" w:cs="Arial"/>
                <w:b/>
                <w:sz w:val="18"/>
                <w:szCs w:val="18"/>
                <w:lang w:val="es-PY"/>
              </w:rPr>
              <w:t>X</w:t>
            </w:r>
          </w:p>
        </w:tc>
      </w:tr>
      <w:tr w:rsidR="009C7C34" w:rsidRPr="009C7C34" w14:paraId="6719C3E5" w14:textId="77777777" w:rsidTr="00C2376E">
        <w:trPr>
          <w:trHeight w:val="300"/>
        </w:trPr>
        <w:tc>
          <w:tcPr>
            <w:tcW w:w="258" w:type="pct"/>
            <w:tcBorders>
              <w:top w:val="nil"/>
              <w:left w:val="single" w:sz="4" w:space="0" w:color="auto"/>
              <w:bottom w:val="single" w:sz="4" w:space="0" w:color="auto"/>
              <w:right w:val="single" w:sz="4" w:space="0" w:color="auto"/>
            </w:tcBorders>
            <w:shd w:val="clear" w:color="auto" w:fill="auto"/>
            <w:noWrap/>
            <w:vAlign w:val="center"/>
          </w:tcPr>
          <w:p w14:paraId="3AADEB46" w14:textId="77777777" w:rsidR="009C7C34" w:rsidRPr="009C7C34" w:rsidRDefault="009C7C34" w:rsidP="00851785">
            <w:pPr>
              <w:keepNext/>
              <w:keepLines/>
              <w:spacing w:before="240"/>
              <w:jc w:val="center"/>
              <w:rPr>
                <w:rFonts w:ascii="Arial" w:hAnsi="Arial" w:cs="Arial"/>
                <w:b/>
                <w:sz w:val="18"/>
                <w:szCs w:val="18"/>
                <w:lang w:val="es-PY"/>
              </w:rPr>
            </w:pPr>
            <w:r w:rsidRPr="009C7C34">
              <w:rPr>
                <w:rFonts w:ascii="Arial" w:hAnsi="Arial" w:cs="Arial"/>
                <w:b/>
                <w:sz w:val="18"/>
                <w:szCs w:val="18"/>
                <w:lang w:val="es-PY"/>
              </w:rPr>
              <w:t>4.2</w:t>
            </w:r>
          </w:p>
        </w:tc>
        <w:tc>
          <w:tcPr>
            <w:tcW w:w="1191" w:type="pct"/>
            <w:tcBorders>
              <w:top w:val="nil"/>
              <w:left w:val="nil"/>
              <w:bottom w:val="single" w:sz="4" w:space="0" w:color="auto"/>
              <w:right w:val="single" w:sz="4" w:space="0" w:color="auto"/>
            </w:tcBorders>
            <w:shd w:val="clear" w:color="auto" w:fill="auto"/>
            <w:vAlign w:val="center"/>
          </w:tcPr>
          <w:p w14:paraId="3D27B7EB" w14:textId="77777777" w:rsidR="009C7C34" w:rsidRPr="009C7C34" w:rsidRDefault="009C7C34" w:rsidP="00851785">
            <w:pPr>
              <w:keepNext/>
              <w:keepLines/>
              <w:spacing w:before="240"/>
              <w:jc w:val="center"/>
              <w:rPr>
                <w:rFonts w:ascii="Arial" w:hAnsi="Arial" w:cs="Arial"/>
                <w:b/>
                <w:sz w:val="18"/>
                <w:szCs w:val="18"/>
                <w:lang w:val="es-PY"/>
              </w:rPr>
            </w:pPr>
            <w:r w:rsidRPr="009C7C34">
              <w:rPr>
                <w:rFonts w:ascii="Arial" w:hAnsi="Arial" w:cs="Arial"/>
                <w:b/>
                <w:sz w:val="18"/>
                <w:szCs w:val="18"/>
                <w:lang w:val="es-PY"/>
              </w:rPr>
              <w:t>Presentación de Informe de EFA</w:t>
            </w:r>
          </w:p>
        </w:tc>
        <w:tc>
          <w:tcPr>
            <w:tcW w:w="600" w:type="pct"/>
            <w:vMerge/>
            <w:tcBorders>
              <w:left w:val="single" w:sz="4" w:space="0" w:color="auto"/>
              <w:bottom w:val="single" w:sz="4" w:space="0" w:color="auto"/>
              <w:right w:val="single" w:sz="4" w:space="0" w:color="auto"/>
            </w:tcBorders>
            <w:vAlign w:val="center"/>
          </w:tcPr>
          <w:p w14:paraId="37C783E5" w14:textId="77777777" w:rsidR="009C7C34" w:rsidRPr="009C7C34" w:rsidRDefault="009C7C34" w:rsidP="00851785">
            <w:pPr>
              <w:keepNext/>
              <w:keepLines/>
              <w:spacing w:before="240"/>
              <w:jc w:val="center"/>
              <w:rPr>
                <w:rFonts w:ascii="Arial" w:hAnsi="Arial" w:cs="Arial"/>
                <w:b/>
                <w:sz w:val="18"/>
                <w:szCs w:val="18"/>
                <w:lang w:val="es-PY"/>
              </w:rPr>
            </w:pPr>
          </w:p>
        </w:tc>
        <w:tc>
          <w:tcPr>
            <w:tcW w:w="199" w:type="pct"/>
            <w:tcBorders>
              <w:top w:val="nil"/>
              <w:left w:val="nil"/>
              <w:bottom w:val="single" w:sz="4" w:space="0" w:color="auto"/>
              <w:right w:val="single" w:sz="4" w:space="0" w:color="auto"/>
            </w:tcBorders>
            <w:shd w:val="clear" w:color="auto" w:fill="auto"/>
            <w:noWrap/>
            <w:vAlign w:val="center"/>
          </w:tcPr>
          <w:p w14:paraId="7C1BB3A4" w14:textId="77777777" w:rsidR="009C7C34" w:rsidRPr="009C7C34" w:rsidRDefault="009C7C34" w:rsidP="00851785">
            <w:pPr>
              <w:keepNext/>
              <w:keepLines/>
              <w:spacing w:before="240"/>
              <w:jc w:val="center"/>
              <w:rPr>
                <w:rFonts w:ascii="Arial" w:hAnsi="Arial" w:cs="Arial"/>
                <w:b/>
                <w:sz w:val="18"/>
                <w:szCs w:val="18"/>
                <w:lang w:val="es-PY"/>
              </w:rPr>
            </w:pPr>
          </w:p>
        </w:tc>
        <w:tc>
          <w:tcPr>
            <w:tcW w:w="137" w:type="pct"/>
            <w:tcBorders>
              <w:top w:val="nil"/>
              <w:left w:val="nil"/>
              <w:bottom w:val="single" w:sz="4" w:space="0" w:color="auto"/>
              <w:right w:val="single" w:sz="4" w:space="0" w:color="auto"/>
            </w:tcBorders>
            <w:shd w:val="clear" w:color="auto" w:fill="auto"/>
            <w:noWrap/>
            <w:vAlign w:val="center"/>
          </w:tcPr>
          <w:p w14:paraId="4DC79768" w14:textId="77777777" w:rsidR="009C7C34" w:rsidRPr="009C7C34" w:rsidRDefault="009C7C34" w:rsidP="00851785">
            <w:pPr>
              <w:keepNext/>
              <w:keepLines/>
              <w:spacing w:before="240"/>
              <w:jc w:val="center"/>
              <w:rPr>
                <w:rFonts w:ascii="Arial" w:hAnsi="Arial" w:cs="Arial"/>
                <w:b/>
                <w:sz w:val="18"/>
                <w:szCs w:val="18"/>
                <w:lang w:val="es-PY"/>
              </w:rPr>
            </w:pPr>
          </w:p>
        </w:tc>
        <w:tc>
          <w:tcPr>
            <w:tcW w:w="139" w:type="pct"/>
            <w:tcBorders>
              <w:top w:val="nil"/>
              <w:left w:val="nil"/>
              <w:bottom w:val="single" w:sz="4" w:space="0" w:color="auto"/>
              <w:right w:val="single" w:sz="4" w:space="0" w:color="auto"/>
            </w:tcBorders>
            <w:shd w:val="clear" w:color="auto" w:fill="auto"/>
            <w:noWrap/>
            <w:vAlign w:val="center"/>
          </w:tcPr>
          <w:p w14:paraId="7D08624B" w14:textId="77777777" w:rsidR="009C7C34" w:rsidRPr="009C7C34" w:rsidRDefault="009C7C34" w:rsidP="00851785">
            <w:pPr>
              <w:keepNext/>
              <w:keepLines/>
              <w:spacing w:before="240"/>
              <w:jc w:val="center"/>
              <w:rPr>
                <w:rFonts w:ascii="Arial" w:hAnsi="Arial" w:cs="Arial"/>
                <w:b/>
                <w:sz w:val="18"/>
                <w:szCs w:val="18"/>
                <w:lang w:val="es-PY"/>
              </w:rPr>
            </w:pPr>
          </w:p>
        </w:tc>
        <w:tc>
          <w:tcPr>
            <w:tcW w:w="141" w:type="pct"/>
            <w:gridSpan w:val="2"/>
            <w:tcBorders>
              <w:top w:val="nil"/>
              <w:left w:val="nil"/>
              <w:bottom w:val="single" w:sz="4" w:space="0" w:color="auto"/>
              <w:right w:val="single" w:sz="4" w:space="0" w:color="auto"/>
            </w:tcBorders>
            <w:shd w:val="clear" w:color="auto" w:fill="auto"/>
            <w:noWrap/>
            <w:vAlign w:val="center"/>
          </w:tcPr>
          <w:p w14:paraId="45AFDE91" w14:textId="77777777" w:rsidR="009C7C34" w:rsidRPr="009C7C34" w:rsidRDefault="009C7C34" w:rsidP="00851785">
            <w:pPr>
              <w:keepNext/>
              <w:keepLines/>
              <w:spacing w:before="240"/>
              <w:jc w:val="center"/>
              <w:rPr>
                <w:rFonts w:ascii="Arial" w:hAnsi="Arial" w:cs="Arial"/>
                <w:b/>
                <w:sz w:val="18"/>
                <w:szCs w:val="18"/>
                <w:lang w:val="es-PY"/>
              </w:rPr>
            </w:pPr>
          </w:p>
        </w:tc>
        <w:tc>
          <w:tcPr>
            <w:tcW w:w="140" w:type="pct"/>
            <w:tcBorders>
              <w:top w:val="nil"/>
              <w:left w:val="nil"/>
              <w:bottom w:val="single" w:sz="4" w:space="0" w:color="auto"/>
              <w:right w:val="single" w:sz="4" w:space="0" w:color="auto"/>
            </w:tcBorders>
            <w:shd w:val="clear" w:color="auto" w:fill="CEF4FE"/>
            <w:noWrap/>
            <w:vAlign w:val="center"/>
          </w:tcPr>
          <w:p w14:paraId="06FA3C51" w14:textId="77777777" w:rsidR="009C7C34" w:rsidRPr="009C7C34" w:rsidRDefault="009C7C34" w:rsidP="00851785">
            <w:pPr>
              <w:keepNext/>
              <w:keepLines/>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0" w:type="pct"/>
            <w:tcBorders>
              <w:top w:val="nil"/>
              <w:left w:val="nil"/>
              <w:bottom w:val="single" w:sz="4" w:space="0" w:color="auto"/>
              <w:right w:val="single" w:sz="4" w:space="0" w:color="auto"/>
            </w:tcBorders>
            <w:shd w:val="clear" w:color="auto" w:fill="auto"/>
            <w:noWrap/>
            <w:vAlign w:val="center"/>
          </w:tcPr>
          <w:p w14:paraId="48E8A885" w14:textId="77777777" w:rsidR="009C7C34" w:rsidRPr="009C7C34" w:rsidRDefault="009C7C34" w:rsidP="00851785">
            <w:pPr>
              <w:keepNext/>
              <w:keepLines/>
              <w:spacing w:before="240"/>
              <w:jc w:val="center"/>
              <w:rPr>
                <w:rFonts w:ascii="Arial" w:hAnsi="Arial" w:cs="Arial"/>
                <w:b/>
                <w:sz w:val="18"/>
                <w:szCs w:val="18"/>
                <w:lang w:val="es-PY"/>
              </w:rPr>
            </w:pPr>
          </w:p>
        </w:tc>
        <w:tc>
          <w:tcPr>
            <w:tcW w:w="140" w:type="pct"/>
            <w:tcBorders>
              <w:top w:val="nil"/>
              <w:left w:val="nil"/>
              <w:bottom w:val="single" w:sz="4" w:space="0" w:color="auto"/>
              <w:right w:val="single" w:sz="4" w:space="0" w:color="auto"/>
            </w:tcBorders>
            <w:shd w:val="clear" w:color="auto" w:fill="auto"/>
            <w:noWrap/>
            <w:vAlign w:val="center"/>
          </w:tcPr>
          <w:p w14:paraId="2095DFE5" w14:textId="77777777" w:rsidR="009C7C34" w:rsidRPr="009C7C34" w:rsidRDefault="009C7C34" w:rsidP="00851785">
            <w:pPr>
              <w:keepNext/>
              <w:keepLines/>
              <w:spacing w:before="240"/>
              <w:jc w:val="center"/>
              <w:rPr>
                <w:rFonts w:ascii="Arial" w:hAnsi="Arial" w:cs="Arial"/>
                <w:b/>
                <w:sz w:val="18"/>
                <w:szCs w:val="18"/>
                <w:lang w:val="es-PY"/>
              </w:rPr>
            </w:pPr>
          </w:p>
        </w:tc>
        <w:tc>
          <w:tcPr>
            <w:tcW w:w="153" w:type="pct"/>
            <w:tcBorders>
              <w:top w:val="nil"/>
              <w:left w:val="nil"/>
              <w:bottom w:val="single" w:sz="4" w:space="0" w:color="auto"/>
              <w:right w:val="single" w:sz="4" w:space="0" w:color="auto"/>
            </w:tcBorders>
            <w:shd w:val="clear" w:color="auto" w:fill="auto"/>
            <w:noWrap/>
            <w:vAlign w:val="center"/>
          </w:tcPr>
          <w:p w14:paraId="30BB050C" w14:textId="77777777" w:rsidR="009C7C34" w:rsidRPr="009C7C34" w:rsidRDefault="009C7C34" w:rsidP="00851785">
            <w:pPr>
              <w:keepNext/>
              <w:keepLines/>
              <w:spacing w:before="240"/>
              <w:jc w:val="center"/>
              <w:rPr>
                <w:rFonts w:ascii="Arial" w:hAnsi="Arial" w:cs="Arial"/>
                <w:b/>
                <w:sz w:val="18"/>
                <w:szCs w:val="18"/>
                <w:lang w:val="es-PY"/>
              </w:rPr>
            </w:pPr>
          </w:p>
        </w:tc>
        <w:tc>
          <w:tcPr>
            <w:tcW w:w="148" w:type="pct"/>
            <w:tcBorders>
              <w:top w:val="nil"/>
              <w:left w:val="nil"/>
              <w:bottom w:val="single" w:sz="4" w:space="0" w:color="auto"/>
              <w:right w:val="single" w:sz="4" w:space="0" w:color="auto"/>
            </w:tcBorders>
            <w:shd w:val="clear" w:color="auto" w:fill="CEF4FE"/>
            <w:noWrap/>
            <w:vAlign w:val="center"/>
          </w:tcPr>
          <w:p w14:paraId="11BD6153" w14:textId="77777777" w:rsidR="009C7C34" w:rsidRPr="009C7C34" w:rsidRDefault="009C7C34" w:rsidP="00851785">
            <w:pPr>
              <w:keepNext/>
              <w:keepLines/>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5" w:type="pct"/>
            <w:tcBorders>
              <w:top w:val="nil"/>
              <w:left w:val="nil"/>
              <w:bottom w:val="single" w:sz="4" w:space="0" w:color="auto"/>
              <w:right w:val="single" w:sz="4" w:space="0" w:color="auto"/>
            </w:tcBorders>
            <w:shd w:val="clear" w:color="auto" w:fill="auto"/>
            <w:noWrap/>
            <w:vAlign w:val="center"/>
          </w:tcPr>
          <w:p w14:paraId="294B56F7" w14:textId="77777777" w:rsidR="009C7C34" w:rsidRPr="009C7C34" w:rsidRDefault="009C7C34" w:rsidP="00851785">
            <w:pPr>
              <w:keepNext/>
              <w:keepLines/>
              <w:spacing w:before="240"/>
              <w:jc w:val="center"/>
              <w:rPr>
                <w:rFonts w:ascii="Arial" w:hAnsi="Arial" w:cs="Arial"/>
                <w:b/>
                <w:sz w:val="18"/>
                <w:szCs w:val="18"/>
                <w:lang w:val="es-PY"/>
              </w:rPr>
            </w:pPr>
          </w:p>
        </w:tc>
        <w:tc>
          <w:tcPr>
            <w:tcW w:w="140" w:type="pct"/>
            <w:tcBorders>
              <w:top w:val="nil"/>
              <w:left w:val="nil"/>
              <w:bottom w:val="single" w:sz="4" w:space="0" w:color="auto"/>
              <w:right w:val="single" w:sz="4" w:space="0" w:color="auto"/>
            </w:tcBorders>
            <w:shd w:val="clear" w:color="auto" w:fill="FFFFFF" w:themeFill="background1"/>
            <w:noWrap/>
            <w:vAlign w:val="center"/>
          </w:tcPr>
          <w:p w14:paraId="4A5402D8" w14:textId="77777777" w:rsidR="009C7C34" w:rsidRPr="009C7C34" w:rsidRDefault="009C7C34" w:rsidP="00851785">
            <w:pPr>
              <w:keepNext/>
              <w:keepLines/>
              <w:spacing w:before="240"/>
              <w:jc w:val="center"/>
              <w:rPr>
                <w:rFonts w:ascii="Arial" w:hAnsi="Arial" w:cs="Arial"/>
                <w:b/>
                <w:sz w:val="18"/>
                <w:szCs w:val="18"/>
                <w:lang w:val="es-PY"/>
              </w:rPr>
            </w:pPr>
          </w:p>
        </w:tc>
        <w:tc>
          <w:tcPr>
            <w:tcW w:w="148" w:type="pct"/>
            <w:tcBorders>
              <w:top w:val="nil"/>
              <w:left w:val="nil"/>
              <w:bottom w:val="single" w:sz="4" w:space="0" w:color="auto"/>
              <w:right w:val="single" w:sz="4" w:space="0" w:color="auto"/>
            </w:tcBorders>
            <w:shd w:val="clear" w:color="auto" w:fill="auto"/>
            <w:noWrap/>
            <w:vAlign w:val="center"/>
          </w:tcPr>
          <w:p w14:paraId="13FDEC64" w14:textId="77777777" w:rsidR="009C7C34" w:rsidRPr="009C7C34" w:rsidRDefault="009C7C34" w:rsidP="00851785">
            <w:pPr>
              <w:keepNext/>
              <w:keepLines/>
              <w:spacing w:before="240"/>
              <w:jc w:val="center"/>
              <w:rPr>
                <w:rFonts w:ascii="Arial" w:hAnsi="Arial" w:cs="Arial"/>
                <w:b/>
                <w:sz w:val="18"/>
                <w:szCs w:val="18"/>
                <w:lang w:val="es-PY"/>
              </w:rPr>
            </w:pPr>
          </w:p>
        </w:tc>
        <w:tc>
          <w:tcPr>
            <w:tcW w:w="141" w:type="pct"/>
            <w:tcBorders>
              <w:top w:val="nil"/>
              <w:left w:val="nil"/>
              <w:bottom w:val="single" w:sz="4" w:space="0" w:color="auto"/>
              <w:right w:val="single" w:sz="4" w:space="0" w:color="auto"/>
            </w:tcBorders>
            <w:shd w:val="clear" w:color="auto" w:fill="CEF4FE"/>
            <w:noWrap/>
            <w:vAlign w:val="center"/>
          </w:tcPr>
          <w:p w14:paraId="0F627C97" w14:textId="77777777" w:rsidR="009C7C34" w:rsidRPr="009C7C34" w:rsidRDefault="009C7C34" w:rsidP="00851785">
            <w:pPr>
              <w:keepNext/>
              <w:keepLines/>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1" w:type="pct"/>
            <w:tcBorders>
              <w:top w:val="nil"/>
              <w:left w:val="nil"/>
              <w:bottom w:val="single" w:sz="4" w:space="0" w:color="auto"/>
              <w:right w:val="single" w:sz="4" w:space="0" w:color="auto"/>
            </w:tcBorders>
            <w:shd w:val="clear" w:color="auto" w:fill="auto"/>
            <w:noWrap/>
            <w:vAlign w:val="center"/>
          </w:tcPr>
          <w:p w14:paraId="5052728A" w14:textId="77777777" w:rsidR="009C7C34" w:rsidRPr="009C7C34" w:rsidRDefault="009C7C34" w:rsidP="00851785">
            <w:pPr>
              <w:keepNext/>
              <w:keepLines/>
              <w:spacing w:before="240"/>
              <w:jc w:val="center"/>
              <w:rPr>
                <w:rFonts w:ascii="Arial" w:hAnsi="Arial" w:cs="Arial"/>
                <w:b/>
                <w:sz w:val="18"/>
                <w:szCs w:val="18"/>
                <w:lang w:val="es-PY"/>
              </w:rPr>
            </w:pPr>
          </w:p>
        </w:tc>
        <w:tc>
          <w:tcPr>
            <w:tcW w:w="141" w:type="pct"/>
            <w:tcBorders>
              <w:top w:val="nil"/>
              <w:left w:val="nil"/>
              <w:bottom w:val="single" w:sz="4" w:space="0" w:color="auto"/>
              <w:right w:val="single" w:sz="4" w:space="0" w:color="auto"/>
            </w:tcBorders>
            <w:shd w:val="clear" w:color="auto" w:fill="auto"/>
            <w:noWrap/>
            <w:vAlign w:val="center"/>
          </w:tcPr>
          <w:p w14:paraId="0600EF21" w14:textId="77777777" w:rsidR="009C7C34" w:rsidRPr="009C7C34" w:rsidRDefault="009C7C34" w:rsidP="00851785">
            <w:pPr>
              <w:keepNext/>
              <w:keepLines/>
              <w:spacing w:before="240"/>
              <w:jc w:val="center"/>
              <w:rPr>
                <w:rFonts w:ascii="Arial" w:hAnsi="Arial" w:cs="Arial"/>
                <w:b/>
                <w:sz w:val="18"/>
                <w:szCs w:val="18"/>
                <w:lang w:val="es-PY"/>
              </w:rPr>
            </w:pPr>
          </w:p>
        </w:tc>
        <w:tc>
          <w:tcPr>
            <w:tcW w:w="159" w:type="pct"/>
            <w:tcBorders>
              <w:top w:val="nil"/>
              <w:left w:val="nil"/>
              <w:bottom w:val="single" w:sz="4" w:space="0" w:color="auto"/>
              <w:right w:val="single" w:sz="4" w:space="0" w:color="auto"/>
            </w:tcBorders>
            <w:shd w:val="clear" w:color="auto" w:fill="auto"/>
            <w:noWrap/>
            <w:vAlign w:val="center"/>
          </w:tcPr>
          <w:p w14:paraId="6CE2740A" w14:textId="77777777" w:rsidR="009C7C34" w:rsidRPr="009C7C34" w:rsidRDefault="009C7C34" w:rsidP="00851785">
            <w:pPr>
              <w:keepNext/>
              <w:keepLines/>
              <w:spacing w:before="240"/>
              <w:jc w:val="center"/>
              <w:rPr>
                <w:rFonts w:ascii="Arial" w:hAnsi="Arial" w:cs="Arial"/>
                <w:b/>
                <w:sz w:val="18"/>
                <w:szCs w:val="18"/>
                <w:lang w:val="es-PY"/>
              </w:rPr>
            </w:pPr>
          </w:p>
        </w:tc>
        <w:tc>
          <w:tcPr>
            <w:tcW w:w="145" w:type="pct"/>
            <w:tcBorders>
              <w:top w:val="nil"/>
              <w:left w:val="nil"/>
              <w:bottom w:val="single" w:sz="4" w:space="0" w:color="auto"/>
              <w:right w:val="single" w:sz="4" w:space="0" w:color="auto"/>
            </w:tcBorders>
            <w:shd w:val="clear" w:color="auto" w:fill="CEF4FE"/>
            <w:noWrap/>
            <w:vAlign w:val="center"/>
          </w:tcPr>
          <w:p w14:paraId="468AA688" w14:textId="77777777" w:rsidR="009C7C34" w:rsidRPr="009C7C34" w:rsidRDefault="009C7C34" w:rsidP="00851785">
            <w:pPr>
              <w:keepNext/>
              <w:keepLines/>
              <w:spacing w:before="240"/>
              <w:jc w:val="center"/>
              <w:rPr>
                <w:rFonts w:ascii="Arial" w:hAnsi="Arial" w:cs="Arial"/>
                <w:b/>
                <w:sz w:val="18"/>
                <w:szCs w:val="18"/>
                <w:lang w:val="es-PY"/>
              </w:rPr>
            </w:pPr>
            <w:r w:rsidRPr="009C7C34">
              <w:rPr>
                <w:rFonts w:ascii="Arial" w:hAnsi="Arial" w:cs="Arial"/>
                <w:b/>
                <w:sz w:val="18"/>
                <w:szCs w:val="18"/>
                <w:lang w:val="es-PY"/>
              </w:rPr>
              <w:t>x</w:t>
            </w:r>
          </w:p>
        </w:tc>
        <w:tc>
          <w:tcPr>
            <w:tcW w:w="145" w:type="pct"/>
            <w:tcBorders>
              <w:top w:val="nil"/>
              <w:left w:val="nil"/>
              <w:bottom w:val="single" w:sz="4" w:space="0" w:color="auto"/>
              <w:right w:val="single" w:sz="4" w:space="0" w:color="auto"/>
            </w:tcBorders>
            <w:shd w:val="clear" w:color="auto" w:fill="auto"/>
            <w:noWrap/>
            <w:vAlign w:val="center"/>
          </w:tcPr>
          <w:p w14:paraId="502395D5" w14:textId="77777777" w:rsidR="009C7C34" w:rsidRPr="009C7C34" w:rsidRDefault="009C7C34" w:rsidP="00851785">
            <w:pPr>
              <w:keepNext/>
              <w:keepLines/>
              <w:spacing w:before="240"/>
              <w:jc w:val="center"/>
              <w:rPr>
                <w:rFonts w:ascii="Arial" w:hAnsi="Arial" w:cs="Arial"/>
                <w:b/>
                <w:sz w:val="18"/>
                <w:szCs w:val="18"/>
                <w:lang w:val="es-PY"/>
              </w:rPr>
            </w:pPr>
          </w:p>
        </w:tc>
        <w:tc>
          <w:tcPr>
            <w:tcW w:w="145" w:type="pct"/>
            <w:tcBorders>
              <w:top w:val="nil"/>
              <w:left w:val="nil"/>
              <w:bottom w:val="single" w:sz="4" w:space="0" w:color="auto"/>
              <w:right w:val="single" w:sz="4" w:space="0" w:color="auto"/>
            </w:tcBorders>
            <w:shd w:val="clear" w:color="auto" w:fill="auto"/>
            <w:noWrap/>
            <w:vAlign w:val="center"/>
          </w:tcPr>
          <w:p w14:paraId="0037F1D6" w14:textId="77777777" w:rsidR="009C7C34" w:rsidRPr="009C7C34" w:rsidRDefault="009C7C34" w:rsidP="00851785">
            <w:pPr>
              <w:keepNext/>
              <w:keepLines/>
              <w:spacing w:before="240"/>
              <w:jc w:val="center"/>
              <w:rPr>
                <w:rFonts w:ascii="Arial" w:hAnsi="Arial" w:cs="Arial"/>
                <w:b/>
                <w:sz w:val="18"/>
                <w:szCs w:val="18"/>
                <w:lang w:val="es-PY"/>
              </w:rPr>
            </w:pPr>
          </w:p>
        </w:tc>
        <w:tc>
          <w:tcPr>
            <w:tcW w:w="164" w:type="pct"/>
            <w:gridSpan w:val="2"/>
            <w:tcBorders>
              <w:top w:val="nil"/>
              <w:left w:val="nil"/>
              <w:bottom w:val="single" w:sz="4" w:space="0" w:color="auto"/>
              <w:right w:val="single" w:sz="4" w:space="0" w:color="auto"/>
            </w:tcBorders>
            <w:shd w:val="clear" w:color="auto" w:fill="auto"/>
            <w:noWrap/>
            <w:vAlign w:val="center"/>
          </w:tcPr>
          <w:p w14:paraId="7D454FF7" w14:textId="77777777" w:rsidR="009C7C34" w:rsidRPr="009C7C34" w:rsidRDefault="009C7C34" w:rsidP="00851785">
            <w:pPr>
              <w:keepNext/>
              <w:keepLines/>
              <w:spacing w:before="240"/>
              <w:jc w:val="center"/>
              <w:rPr>
                <w:rFonts w:ascii="Arial" w:hAnsi="Arial" w:cs="Arial"/>
                <w:b/>
                <w:sz w:val="18"/>
                <w:szCs w:val="18"/>
                <w:lang w:val="es-PY"/>
              </w:rPr>
            </w:pPr>
          </w:p>
        </w:tc>
      </w:tr>
      <w:tr w:rsidR="009C7C34" w:rsidRPr="009C7C34" w14:paraId="3082A730" w14:textId="77777777" w:rsidTr="00C2376E">
        <w:trPr>
          <w:trHeight w:val="1412"/>
        </w:trPr>
        <w:tc>
          <w:tcPr>
            <w:tcW w:w="258" w:type="pct"/>
            <w:tcBorders>
              <w:top w:val="nil"/>
              <w:left w:val="single" w:sz="4" w:space="0" w:color="auto"/>
              <w:bottom w:val="single" w:sz="4" w:space="0" w:color="auto"/>
              <w:right w:val="single" w:sz="4" w:space="0" w:color="auto"/>
            </w:tcBorders>
            <w:shd w:val="clear" w:color="auto" w:fill="auto"/>
            <w:noWrap/>
            <w:vAlign w:val="center"/>
          </w:tcPr>
          <w:p w14:paraId="627D1882"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4.3</w:t>
            </w:r>
          </w:p>
        </w:tc>
        <w:tc>
          <w:tcPr>
            <w:tcW w:w="1191" w:type="pct"/>
            <w:tcBorders>
              <w:top w:val="nil"/>
              <w:left w:val="nil"/>
              <w:bottom w:val="single" w:sz="4" w:space="0" w:color="auto"/>
              <w:right w:val="single" w:sz="4" w:space="0" w:color="auto"/>
            </w:tcBorders>
            <w:shd w:val="clear" w:color="auto" w:fill="auto"/>
            <w:vAlign w:val="center"/>
          </w:tcPr>
          <w:p w14:paraId="742217C7"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Elaboración y presentación del Informe EFA final</w:t>
            </w:r>
          </w:p>
        </w:tc>
        <w:tc>
          <w:tcPr>
            <w:tcW w:w="600" w:type="pct"/>
            <w:vMerge/>
            <w:tcBorders>
              <w:top w:val="single" w:sz="4" w:space="0" w:color="auto"/>
              <w:left w:val="single" w:sz="4" w:space="0" w:color="auto"/>
              <w:bottom w:val="single" w:sz="4" w:space="0" w:color="000000"/>
              <w:right w:val="single" w:sz="4" w:space="0" w:color="auto"/>
            </w:tcBorders>
            <w:vAlign w:val="center"/>
          </w:tcPr>
          <w:p w14:paraId="5AF7245A" w14:textId="77777777" w:rsidR="009C7C34" w:rsidRPr="009C7C34" w:rsidRDefault="009C7C34" w:rsidP="009C7C34">
            <w:pPr>
              <w:spacing w:before="240"/>
              <w:jc w:val="center"/>
              <w:rPr>
                <w:rFonts w:ascii="Arial" w:hAnsi="Arial" w:cs="Arial"/>
                <w:b/>
                <w:sz w:val="18"/>
                <w:szCs w:val="18"/>
                <w:lang w:val="es-PY"/>
              </w:rPr>
            </w:pPr>
          </w:p>
        </w:tc>
        <w:tc>
          <w:tcPr>
            <w:tcW w:w="199" w:type="pct"/>
            <w:tcBorders>
              <w:top w:val="single" w:sz="4" w:space="0" w:color="auto"/>
              <w:left w:val="nil"/>
              <w:bottom w:val="single" w:sz="4" w:space="0" w:color="auto"/>
              <w:right w:val="single" w:sz="4" w:space="0" w:color="auto"/>
            </w:tcBorders>
            <w:shd w:val="clear" w:color="auto" w:fill="auto"/>
            <w:noWrap/>
            <w:vAlign w:val="center"/>
          </w:tcPr>
          <w:p w14:paraId="563A82A9" w14:textId="77777777" w:rsidR="009C7C34" w:rsidRPr="009C7C34" w:rsidRDefault="009C7C34" w:rsidP="009C7C34">
            <w:pPr>
              <w:spacing w:before="240"/>
              <w:jc w:val="center"/>
              <w:rPr>
                <w:rFonts w:ascii="Arial" w:hAnsi="Arial" w:cs="Arial"/>
                <w:b/>
                <w:sz w:val="18"/>
                <w:szCs w:val="18"/>
                <w:lang w:val="es-PY"/>
              </w:rPr>
            </w:pPr>
          </w:p>
        </w:tc>
        <w:tc>
          <w:tcPr>
            <w:tcW w:w="137" w:type="pct"/>
            <w:tcBorders>
              <w:top w:val="single" w:sz="4" w:space="0" w:color="auto"/>
              <w:left w:val="nil"/>
              <w:bottom w:val="single" w:sz="4" w:space="0" w:color="auto"/>
              <w:right w:val="single" w:sz="4" w:space="0" w:color="auto"/>
            </w:tcBorders>
            <w:shd w:val="clear" w:color="auto" w:fill="auto"/>
            <w:noWrap/>
            <w:vAlign w:val="center"/>
          </w:tcPr>
          <w:p w14:paraId="1DB371CD" w14:textId="77777777" w:rsidR="009C7C34" w:rsidRPr="009C7C34" w:rsidRDefault="009C7C34" w:rsidP="009C7C34">
            <w:pPr>
              <w:spacing w:before="240"/>
              <w:jc w:val="center"/>
              <w:rPr>
                <w:rFonts w:ascii="Arial" w:hAnsi="Arial" w:cs="Arial"/>
                <w:b/>
                <w:sz w:val="18"/>
                <w:szCs w:val="18"/>
                <w:lang w:val="es-PY"/>
              </w:rPr>
            </w:pPr>
          </w:p>
        </w:tc>
        <w:tc>
          <w:tcPr>
            <w:tcW w:w="139" w:type="pct"/>
            <w:tcBorders>
              <w:top w:val="single" w:sz="4" w:space="0" w:color="auto"/>
              <w:left w:val="nil"/>
              <w:bottom w:val="single" w:sz="4" w:space="0" w:color="auto"/>
              <w:right w:val="single" w:sz="4" w:space="0" w:color="auto"/>
            </w:tcBorders>
            <w:shd w:val="clear" w:color="auto" w:fill="auto"/>
            <w:noWrap/>
            <w:vAlign w:val="center"/>
          </w:tcPr>
          <w:p w14:paraId="0821883D" w14:textId="77777777" w:rsidR="009C7C34" w:rsidRPr="009C7C34" w:rsidRDefault="009C7C34" w:rsidP="009C7C34">
            <w:pPr>
              <w:spacing w:before="240"/>
              <w:jc w:val="center"/>
              <w:rPr>
                <w:rFonts w:ascii="Arial" w:hAnsi="Arial" w:cs="Arial"/>
                <w:b/>
                <w:sz w:val="18"/>
                <w:szCs w:val="18"/>
                <w:lang w:val="es-PY"/>
              </w:rPr>
            </w:pPr>
          </w:p>
        </w:tc>
        <w:tc>
          <w:tcPr>
            <w:tcW w:w="141" w:type="pct"/>
            <w:gridSpan w:val="2"/>
            <w:tcBorders>
              <w:top w:val="single" w:sz="4" w:space="0" w:color="auto"/>
              <w:left w:val="nil"/>
              <w:bottom w:val="single" w:sz="4" w:space="0" w:color="auto"/>
              <w:right w:val="single" w:sz="4" w:space="0" w:color="auto"/>
            </w:tcBorders>
            <w:shd w:val="clear" w:color="auto" w:fill="auto"/>
            <w:noWrap/>
            <w:vAlign w:val="center"/>
          </w:tcPr>
          <w:p w14:paraId="09743992" w14:textId="77777777" w:rsidR="009C7C34" w:rsidRPr="009C7C34" w:rsidRDefault="009C7C34" w:rsidP="009C7C34">
            <w:pPr>
              <w:spacing w:before="240"/>
              <w:jc w:val="center"/>
              <w:rPr>
                <w:rFonts w:ascii="Arial" w:hAnsi="Arial" w:cs="Arial"/>
                <w:b/>
                <w:sz w:val="18"/>
                <w:szCs w:val="18"/>
                <w:lang w:val="es-PY"/>
              </w:rPr>
            </w:pPr>
          </w:p>
        </w:tc>
        <w:tc>
          <w:tcPr>
            <w:tcW w:w="140" w:type="pct"/>
            <w:tcBorders>
              <w:top w:val="single" w:sz="4" w:space="0" w:color="auto"/>
              <w:left w:val="nil"/>
              <w:bottom w:val="single" w:sz="4" w:space="0" w:color="auto"/>
              <w:right w:val="single" w:sz="4" w:space="0" w:color="auto"/>
            </w:tcBorders>
            <w:shd w:val="clear" w:color="auto" w:fill="auto"/>
            <w:noWrap/>
            <w:vAlign w:val="center"/>
          </w:tcPr>
          <w:p w14:paraId="4AD14C5D" w14:textId="77777777" w:rsidR="009C7C34" w:rsidRPr="009C7C34" w:rsidRDefault="009C7C34" w:rsidP="009C7C34">
            <w:pPr>
              <w:spacing w:before="240"/>
              <w:jc w:val="center"/>
              <w:rPr>
                <w:rFonts w:ascii="Arial" w:hAnsi="Arial" w:cs="Arial"/>
                <w:b/>
                <w:sz w:val="18"/>
                <w:szCs w:val="18"/>
                <w:lang w:val="es-PY"/>
              </w:rPr>
            </w:pPr>
          </w:p>
        </w:tc>
        <w:tc>
          <w:tcPr>
            <w:tcW w:w="140" w:type="pct"/>
            <w:tcBorders>
              <w:top w:val="single" w:sz="4" w:space="0" w:color="auto"/>
              <w:left w:val="nil"/>
              <w:bottom w:val="single" w:sz="4" w:space="0" w:color="auto"/>
              <w:right w:val="single" w:sz="4" w:space="0" w:color="auto"/>
            </w:tcBorders>
            <w:shd w:val="clear" w:color="auto" w:fill="auto"/>
            <w:noWrap/>
            <w:vAlign w:val="center"/>
          </w:tcPr>
          <w:p w14:paraId="5A6B59B6" w14:textId="77777777" w:rsidR="009C7C34" w:rsidRPr="009C7C34" w:rsidRDefault="009C7C34" w:rsidP="009C7C34">
            <w:pPr>
              <w:spacing w:before="240"/>
              <w:jc w:val="center"/>
              <w:rPr>
                <w:rFonts w:ascii="Arial" w:hAnsi="Arial" w:cs="Arial"/>
                <w:b/>
                <w:sz w:val="18"/>
                <w:szCs w:val="18"/>
                <w:lang w:val="es-PY"/>
              </w:rPr>
            </w:pPr>
          </w:p>
        </w:tc>
        <w:tc>
          <w:tcPr>
            <w:tcW w:w="140" w:type="pct"/>
            <w:tcBorders>
              <w:top w:val="single" w:sz="4" w:space="0" w:color="auto"/>
              <w:left w:val="nil"/>
              <w:bottom w:val="single" w:sz="4" w:space="0" w:color="auto"/>
              <w:right w:val="single" w:sz="4" w:space="0" w:color="auto"/>
            </w:tcBorders>
            <w:shd w:val="clear" w:color="auto" w:fill="auto"/>
            <w:noWrap/>
            <w:vAlign w:val="center"/>
          </w:tcPr>
          <w:p w14:paraId="635D715C" w14:textId="77777777" w:rsidR="009C7C34" w:rsidRPr="009C7C34" w:rsidRDefault="009C7C34" w:rsidP="009C7C34">
            <w:pPr>
              <w:spacing w:before="240"/>
              <w:jc w:val="center"/>
              <w:rPr>
                <w:rFonts w:ascii="Arial" w:hAnsi="Arial" w:cs="Arial"/>
                <w:b/>
                <w:sz w:val="18"/>
                <w:szCs w:val="18"/>
                <w:lang w:val="es-PY"/>
              </w:rPr>
            </w:pPr>
          </w:p>
        </w:tc>
        <w:tc>
          <w:tcPr>
            <w:tcW w:w="153" w:type="pct"/>
            <w:tcBorders>
              <w:top w:val="single" w:sz="4" w:space="0" w:color="auto"/>
              <w:left w:val="nil"/>
              <w:bottom w:val="single" w:sz="4" w:space="0" w:color="auto"/>
              <w:right w:val="single" w:sz="4" w:space="0" w:color="auto"/>
            </w:tcBorders>
            <w:shd w:val="clear" w:color="auto" w:fill="auto"/>
            <w:noWrap/>
            <w:vAlign w:val="center"/>
          </w:tcPr>
          <w:p w14:paraId="12D2B2E3" w14:textId="77777777" w:rsidR="009C7C34" w:rsidRPr="009C7C34" w:rsidRDefault="009C7C34" w:rsidP="009C7C34">
            <w:pPr>
              <w:spacing w:before="240"/>
              <w:jc w:val="center"/>
              <w:rPr>
                <w:rFonts w:ascii="Arial" w:hAnsi="Arial" w:cs="Arial"/>
                <w:b/>
                <w:sz w:val="18"/>
                <w:szCs w:val="18"/>
                <w:lang w:val="es-PY"/>
              </w:rPr>
            </w:pPr>
          </w:p>
        </w:tc>
        <w:tc>
          <w:tcPr>
            <w:tcW w:w="148" w:type="pct"/>
            <w:tcBorders>
              <w:top w:val="single" w:sz="4" w:space="0" w:color="auto"/>
              <w:left w:val="nil"/>
              <w:bottom w:val="single" w:sz="4" w:space="0" w:color="auto"/>
              <w:right w:val="single" w:sz="4" w:space="0" w:color="auto"/>
            </w:tcBorders>
            <w:shd w:val="clear" w:color="auto" w:fill="auto"/>
            <w:noWrap/>
            <w:vAlign w:val="center"/>
          </w:tcPr>
          <w:p w14:paraId="3825677C" w14:textId="77777777" w:rsidR="009C7C34" w:rsidRPr="009C7C34" w:rsidRDefault="009C7C34" w:rsidP="009C7C34">
            <w:pPr>
              <w:spacing w:before="240"/>
              <w:jc w:val="center"/>
              <w:rPr>
                <w:rFonts w:ascii="Arial" w:hAnsi="Arial" w:cs="Arial"/>
                <w:b/>
                <w:sz w:val="18"/>
                <w:szCs w:val="18"/>
                <w:lang w:val="es-PY"/>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14:paraId="0DFFE2A8" w14:textId="77777777" w:rsidR="009C7C34" w:rsidRPr="009C7C34" w:rsidRDefault="009C7C34" w:rsidP="009C7C34">
            <w:pPr>
              <w:spacing w:before="240"/>
              <w:jc w:val="center"/>
              <w:rPr>
                <w:rFonts w:ascii="Arial" w:hAnsi="Arial" w:cs="Arial"/>
                <w:b/>
                <w:sz w:val="18"/>
                <w:szCs w:val="18"/>
                <w:lang w:val="es-PY"/>
              </w:rPr>
            </w:pPr>
          </w:p>
        </w:tc>
        <w:tc>
          <w:tcPr>
            <w:tcW w:w="140" w:type="pct"/>
            <w:tcBorders>
              <w:top w:val="single" w:sz="4" w:space="0" w:color="auto"/>
              <w:left w:val="nil"/>
              <w:bottom w:val="single" w:sz="4" w:space="0" w:color="auto"/>
              <w:right w:val="single" w:sz="4" w:space="0" w:color="auto"/>
            </w:tcBorders>
            <w:shd w:val="clear" w:color="auto" w:fill="FFFFFF" w:themeFill="background1"/>
            <w:noWrap/>
            <w:vAlign w:val="center"/>
          </w:tcPr>
          <w:p w14:paraId="2CA6FC02" w14:textId="77777777" w:rsidR="009C7C34" w:rsidRPr="009C7C34" w:rsidRDefault="009C7C34" w:rsidP="009C7C34">
            <w:pPr>
              <w:spacing w:before="240"/>
              <w:jc w:val="center"/>
              <w:rPr>
                <w:rFonts w:ascii="Arial" w:hAnsi="Arial" w:cs="Arial"/>
                <w:b/>
                <w:sz w:val="18"/>
                <w:szCs w:val="18"/>
                <w:lang w:val="es-PY"/>
              </w:rPr>
            </w:pPr>
          </w:p>
        </w:tc>
        <w:tc>
          <w:tcPr>
            <w:tcW w:w="148" w:type="pct"/>
            <w:tcBorders>
              <w:top w:val="single" w:sz="4" w:space="0" w:color="auto"/>
              <w:left w:val="nil"/>
              <w:bottom w:val="single" w:sz="4" w:space="0" w:color="auto"/>
              <w:right w:val="single" w:sz="4" w:space="0" w:color="auto"/>
            </w:tcBorders>
            <w:shd w:val="clear" w:color="auto" w:fill="auto"/>
            <w:noWrap/>
            <w:vAlign w:val="center"/>
          </w:tcPr>
          <w:p w14:paraId="1D1E9C50" w14:textId="77777777" w:rsidR="009C7C34" w:rsidRPr="009C7C34" w:rsidRDefault="009C7C34" w:rsidP="009C7C34">
            <w:pPr>
              <w:spacing w:before="240"/>
              <w:jc w:val="center"/>
              <w:rPr>
                <w:rFonts w:ascii="Arial" w:hAnsi="Arial" w:cs="Arial"/>
                <w:b/>
                <w:sz w:val="18"/>
                <w:szCs w:val="18"/>
                <w:lang w:val="es-PY"/>
              </w:rPr>
            </w:pPr>
          </w:p>
        </w:tc>
        <w:tc>
          <w:tcPr>
            <w:tcW w:w="141" w:type="pct"/>
            <w:tcBorders>
              <w:top w:val="single" w:sz="4" w:space="0" w:color="auto"/>
              <w:left w:val="nil"/>
              <w:bottom w:val="single" w:sz="4" w:space="0" w:color="auto"/>
              <w:right w:val="single" w:sz="4" w:space="0" w:color="auto"/>
            </w:tcBorders>
            <w:shd w:val="clear" w:color="auto" w:fill="auto"/>
            <w:noWrap/>
            <w:vAlign w:val="center"/>
          </w:tcPr>
          <w:p w14:paraId="3A5F7CC2" w14:textId="77777777" w:rsidR="009C7C34" w:rsidRPr="009C7C34" w:rsidRDefault="009C7C34" w:rsidP="009C7C34">
            <w:pPr>
              <w:spacing w:before="240"/>
              <w:jc w:val="center"/>
              <w:rPr>
                <w:rFonts w:ascii="Arial" w:hAnsi="Arial" w:cs="Arial"/>
                <w:b/>
                <w:sz w:val="18"/>
                <w:szCs w:val="18"/>
                <w:lang w:val="es-PY"/>
              </w:rPr>
            </w:pPr>
          </w:p>
        </w:tc>
        <w:tc>
          <w:tcPr>
            <w:tcW w:w="141" w:type="pct"/>
            <w:tcBorders>
              <w:top w:val="single" w:sz="4" w:space="0" w:color="auto"/>
              <w:left w:val="nil"/>
              <w:bottom w:val="single" w:sz="4" w:space="0" w:color="auto"/>
              <w:right w:val="single" w:sz="4" w:space="0" w:color="auto"/>
            </w:tcBorders>
            <w:shd w:val="clear" w:color="auto" w:fill="auto"/>
            <w:noWrap/>
            <w:vAlign w:val="center"/>
          </w:tcPr>
          <w:p w14:paraId="7C41F431" w14:textId="77777777" w:rsidR="009C7C34" w:rsidRPr="009C7C34" w:rsidRDefault="009C7C34" w:rsidP="009C7C34">
            <w:pPr>
              <w:spacing w:before="240"/>
              <w:jc w:val="center"/>
              <w:rPr>
                <w:rFonts w:ascii="Arial" w:hAnsi="Arial" w:cs="Arial"/>
                <w:b/>
                <w:sz w:val="18"/>
                <w:szCs w:val="18"/>
                <w:lang w:val="es-PY"/>
              </w:rPr>
            </w:pPr>
          </w:p>
        </w:tc>
        <w:tc>
          <w:tcPr>
            <w:tcW w:w="141" w:type="pct"/>
            <w:tcBorders>
              <w:top w:val="single" w:sz="4" w:space="0" w:color="auto"/>
              <w:left w:val="nil"/>
              <w:bottom w:val="single" w:sz="4" w:space="0" w:color="auto"/>
              <w:right w:val="single" w:sz="4" w:space="0" w:color="auto"/>
            </w:tcBorders>
            <w:shd w:val="clear" w:color="auto" w:fill="auto"/>
            <w:noWrap/>
            <w:vAlign w:val="center"/>
          </w:tcPr>
          <w:p w14:paraId="0941F437" w14:textId="77777777" w:rsidR="009C7C34" w:rsidRPr="009C7C34" w:rsidRDefault="009C7C34" w:rsidP="009C7C34">
            <w:pPr>
              <w:spacing w:before="240"/>
              <w:jc w:val="center"/>
              <w:rPr>
                <w:rFonts w:ascii="Arial" w:hAnsi="Arial" w:cs="Arial"/>
                <w:b/>
                <w:sz w:val="18"/>
                <w:szCs w:val="18"/>
                <w:lang w:val="es-PY"/>
              </w:rPr>
            </w:pPr>
          </w:p>
        </w:tc>
        <w:tc>
          <w:tcPr>
            <w:tcW w:w="159" w:type="pct"/>
            <w:tcBorders>
              <w:top w:val="single" w:sz="4" w:space="0" w:color="auto"/>
              <w:left w:val="nil"/>
              <w:bottom w:val="single" w:sz="4" w:space="0" w:color="auto"/>
              <w:right w:val="single" w:sz="4" w:space="0" w:color="auto"/>
            </w:tcBorders>
            <w:shd w:val="clear" w:color="auto" w:fill="auto"/>
            <w:noWrap/>
            <w:vAlign w:val="center"/>
          </w:tcPr>
          <w:p w14:paraId="4242918F" w14:textId="77777777" w:rsidR="009C7C34" w:rsidRPr="009C7C34" w:rsidRDefault="009C7C34" w:rsidP="009C7C34">
            <w:pPr>
              <w:spacing w:before="240"/>
              <w:jc w:val="center"/>
              <w:rPr>
                <w:rFonts w:ascii="Arial" w:hAnsi="Arial" w:cs="Arial"/>
                <w:b/>
                <w:sz w:val="18"/>
                <w:szCs w:val="18"/>
                <w:lang w:val="es-PY"/>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14:paraId="0ED701E7" w14:textId="77777777" w:rsidR="009C7C34" w:rsidRPr="009C7C34" w:rsidRDefault="009C7C34" w:rsidP="009C7C34">
            <w:pPr>
              <w:spacing w:before="240"/>
              <w:jc w:val="center"/>
              <w:rPr>
                <w:rFonts w:ascii="Arial" w:hAnsi="Arial" w:cs="Arial"/>
                <w:b/>
                <w:sz w:val="18"/>
                <w:szCs w:val="18"/>
                <w:lang w:val="es-PY"/>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14:paraId="6970C46C" w14:textId="77777777" w:rsidR="009C7C34" w:rsidRPr="009C7C34" w:rsidRDefault="009C7C34" w:rsidP="009C7C34">
            <w:pPr>
              <w:spacing w:before="240"/>
              <w:jc w:val="center"/>
              <w:rPr>
                <w:rFonts w:ascii="Arial" w:hAnsi="Arial" w:cs="Arial"/>
                <w:b/>
                <w:sz w:val="18"/>
                <w:szCs w:val="18"/>
                <w:lang w:val="es-PY"/>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14:paraId="262C4458" w14:textId="77777777" w:rsidR="009C7C34" w:rsidRPr="009C7C34" w:rsidRDefault="009C7C34" w:rsidP="009C7C34">
            <w:pPr>
              <w:spacing w:before="240"/>
              <w:jc w:val="center"/>
              <w:rPr>
                <w:rFonts w:ascii="Arial" w:hAnsi="Arial" w:cs="Arial"/>
                <w:b/>
                <w:sz w:val="18"/>
                <w:szCs w:val="18"/>
                <w:lang w:val="es-PY"/>
              </w:rPr>
            </w:pPr>
          </w:p>
        </w:tc>
        <w:tc>
          <w:tcPr>
            <w:tcW w:w="164" w:type="pct"/>
            <w:gridSpan w:val="2"/>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0B46A708"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r>
      <w:tr w:rsidR="009C7C34" w:rsidRPr="00387315" w14:paraId="75D3CD84" w14:textId="77777777" w:rsidTr="00C2376E">
        <w:trPr>
          <w:trHeight w:val="300"/>
        </w:trPr>
        <w:tc>
          <w:tcPr>
            <w:tcW w:w="258" w:type="pct"/>
            <w:tcBorders>
              <w:top w:val="nil"/>
              <w:left w:val="single" w:sz="4" w:space="0" w:color="auto"/>
              <w:bottom w:val="single" w:sz="4" w:space="0" w:color="auto"/>
              <w:right w:val="single" w:sz="4" w:space="0" w:color="auto"/>
            </w:tcBorders>
            <w:shd w:val="clear" w:color="000000" w:fill="002060"/>
            <w:noWrap/>
            <w:vAlign w:val="center"/>
            <w:hideMark/>
          </w:tcPr>
          <w:p w14:paraId="1F54A8A4"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5</w:t>
            </w:r>
          </w:p>
        </w:tc>
        <w:tc>
          <w:tcPr>
            <w:tcW w:w="4742" w:type="pct"/>
            <w:gridSpan w:val="24"/>
            <w:tcBorders>
              <w:top w:val="single" w:sz="4" w:space="0" w:color="auto"/>
              <w:left w:val="nil"/>
              <w:bottom w:val="single" w:sz="4" w:space="0" w:color="auto"/>
              <w:right w:val="single" w:sz="4" w:space="0" w:color="auto"/>
            </w:tcBorders>
            <w:shd w:val="clear" w:color="000000" w:fill="002060"/>
            <w:vAlign w:val="center"/>
            <w:hideMark/>
          </w:tcPr>
          <w:p w14:paraId="0DD66B01"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Informes de Cierre del Programa</w:t>
            </w:r>
          </w:p>
        </w:tc>
      </w:tr>
      <w:tr w:rsidR="009C7C34" w:rsidRPr="009C7C34" w14:paraId="62EAEF9D" w14:textId="77777777" w:rsidTr="00C2376E">
        <w:trPr>
          <w:trHeight w:val="450"/>
        </w:trPr>
        <w:tc>
          <w:tcPr>
            <w:tcW w:w="258" w:type="pct"/>
            <w:tcBorders>
              <w:top w:val="nil"/>
              <w:left w:val="single" w:sz="4" w:space="0" w:color="auto"/>
              <w:bottom w:val="nil"/>
              <w:right w:val="single" w:sz="4" w:space="0" w:color="auto"/>
            </w:tcBorders>
            <w:shd w:val="clear" w:color="auto" w:fill="auto"/>
            <w:noWrap/>
            <w:vAlign w:val="center"/>
            <w:hideMark/>
          </w:tcPr>
          <w:p w14:paraId="59803E15"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5.1</w:t>
            </w:r>
          </w:p>
        </w:tc>
        <w:tc>
          <w:tcPr>
            <w:tcW w:w="1191" w:type="pct"/>
            <w:tcBorders>
              <w:top w:val="nil"/>
              <w:left w:val="nil"/>
              <w:bottom w:val="nil"/>
              <w:right w:val="single" w:sz="4" w:space="0" w:color="auto"/>
            </w:tcBorders>
            <w:shd w:val="clear" w:color="auto" w:fill="auto"/>
            <w:vAlign w:val="center"/>
            <w:hideMark/>
          </w:tcPr>
          <w:p w14:paraId="27DA92A8"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Elaboración del Informe Final del Programa por parte del OE</w:t>
            </w:r>
          </w:p>
        </w:tc>
        <w:tc>
          <w:tcPr>
            <w:tcW w:w="600" w:type="pct"/>
            <w:tcBorders>
              <w:top w:val="nil"/>
              <w:left w:val="nil"/>
              <w:bottom w:val="nil"/>
              <w:right w:val="single" w:sz="4" w:space="0" w:color="auto"/>
            </w:tcBorders>
            <w:shd w:val="clear" w:color="auto" w:fill="auto"/>
            <w:vAlign w:val="center"/>
            <w:hideMark/>
          </w:tcPr>
          <w:p w14:paraId="07390782" w14:textId="77777777" w:rsidR="009C7C34" w:rsidRPr="009C7C34" w:rsidRDefault="009C7C34" w:rsidP="009C7C34">
            <w:pPr>
              <w:spacing w:before="240"/>
              <w:jc w:val="center"/>
              <w:rPr>
                <w:rFonts w:ascii="Arial" w:hAnsi="Arial" w:cs="Arial"/>
                <w:b/>
                <w:sz w:val="18"/>
                <w:szCs w:val="18"/>
                <w:lang w:val="es-PY"/>
              </w:rPr>
            </w:pPr>
          </w:p>
          <w:p w14:paraId="31E1BCDA"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EP&amp;M</w:t>
            </w:r>
          </w:p>
        </w:tc>
        <w:tc>
          <w:tcPr>
            <w:tcW w:w="199" w:type="pct"/>
            <w:tcBorders>
              <w:top w:val="nil"/>
              <w:left w:val="nil"/>
              <w:bottom w:val="nil"/>
              <w:right w:val="single" w:sz="4" w:space="0" w:color="auto"/>
            </w:tcBorders>
            <w:shd w:val="clear" w:color="auto" w:fill="auto"/>
            <w:noWrap/>
            <w:vAlign w:val="center"/>
            <w:hideMark/>
          </w:tcPr>
          <w:p w14:paraId="3C16BAA2"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37" w:type="pct"/>
            <w:tcBorders>
              <w:top w:val="nil"/>
              <w:left w:val="nil"/>
              <w:bottom w:val="nil"/>
              <w:right w:val="single" w:sz="4" w:space="0" w:color="auto"/>
            </w:tcBorders>
            <w:shd w:val="clear" w:color="auto" w:fill="auto"/>
            <w:noWrap/>
            <w:vAlign w:val="center"/>
            <w:hideMark/>
          </w:tcPr>
          <w:p w14:paraId="4F029E9C"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39" w:type="pct"/>
            <w:tcBorders>
              <w:top w:val="nil"/>
              <w:left w:val="nil"/>
              <w:bottom w:val="nil"/>
              <w:right w:val="single" w:sz="4" w:space="0" w:color="auto"/>
            </w:tcBorders>
            <w:shd w:val="clear" w:color="auto" w:fill="auto"/>
            <w:noWrap/>
            <w:vAlign w:val="center"/>
            <w:hideMark/>
          </w:tcPr>
          <w:p w14:paraId="328BA4A2"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1" w:type="pct"/>
            <w:gridSpan w:val="2"/>
            <w:tcBorders>
              <w:top w:val="nil"/>
              <w:left w:val="nil"/>
              <w:bottom w:val="nil"/>
              <w:right w:val="single" w:sz="4" w:space="0" w:color="auto"/>
            </w:tcBorders>
            <w:shd w:val="clear" w:color="auto" w:fill="auto"/>
            <w:noWrap/>
            <w:vAlign w:val="center"/>
            <w:hideMark/>
          </w:tcPr>
          <w:p w14:paraId="3237AC26"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0" w:type="pct"/>
            <w:tcBorders>
              <w:top w:val="nil"/>
              <w:left w:val="nil"/>
              <w:bottom w:val="nil"/>
              <w:right w:val="single" w:sz="4" w:space="0" w:color="auto"/>
            </w:tcBorders>
            <w:shd w:val="clear" w:color="auto" w:fill="auto"/>
            <w:noWrap/>
            <w:vAlign w:val="center"/>
            <w:hideMark/>
          </w:tcPr>
          <w:p w14:paraId="1CD40AB8"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0" w:type="pct"/>
            <w:tcBorders>
              <w:top w:val="nil"/>
              <w:left w:val="nil"/>
              <w:bottom w:val="nil"/>
              <w:right w:val="single" w:sz="4" w:space="0" w:color="auto"/>
            </w:tcBorders>
            <w:shd w:val="clear" w:color="auto" w:fill="auto"/>
            <w:noWrap/>
            <w:vAlign w:val="center"/>
            <w:hideMark/>
          </w:tcPr>
          <w:p w14:paraId="0DABF150"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0" w:type="pct"/>
            <w:tcBorders>
              <w:top w:val="nil"/>
              <w:left w:val="nil"/>
              <w:bottom w:val="nil"/>
              <w:right w:val="single" w:sz="4" w:space="0" w:color="auto"/>
            </w:tcBorders>
            <w:shd w:val="clear" w:color="auto" w:fill="auto"/>
            <w:noWrap/>
            <w:vAlign w:val="center"/>
            <w:hideMark/>
          </w:tcPr>
          <w:p w14:paraId="185553F2"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53" w:type="pct"/>
            <w:tcBorders>
              <w:top w:val="nil"/>
              <w:left w:val="nil"/>
              <w:bottom w:val="nil"/>
              <w:right w:val="single" w:sz="4" w:space="0" w:color="auto"/>
            </w:tcBorders>
            <w:shd w:val="clear" w:color="auto" w:fill="auto"/>
            <w:noWrap/>
            <w:vAlign w:val="center"/>
            <w:hideMark/>
          </w:tcPr>
          <w:p w14:paraId="1C822224"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8" w:type="pct"/>
            <w:tcBorders>
              <w:top w:val="nil"/>
              <w:left w:val="nil"/>
              <w:bottom w:val="nil"/>
              <w:right w:val="single" w:sz="4" w:space="0" w:color="auto"/>
            </w:tcBorders>
            <w:shd w:val="clear" w:color="auto" w:fill="auto"/>
            <w:noWrap/>
            <w:vAlign w:val="center"/>
            <w:hideMark/>
          </w:tcPr>
          <w:p w14:paraId="47646D89"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5" w:type="pct"/>
            <w:tcBorders>
              <w:top w:val="nil"/>
              <w:left w:val="nil"/>
              <w:bottom w:val="nil"/>
              <w:right w:val="single" w:sz="4" w:space="0" w:color="auto"/>
            </w:tcBorders>
            <w:shd w:val="clear" w:color="auto" w:fill="auto"/>
            <w:noWrap/>
            <w:vAlign w:val="center"/>
            <w:hideMark/>
          </w:tcPr>
          <w:p w14:paraId="72CAEBEB"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0" w:type="pct"/>
            <w:tcBorders>
              <w:top w:val="nil"/>
              <w:left w:val="nil"/>
              <w:bottom w:val="nil"/>
              <w:right w:val="single" w:sz="4" w:space="0" w:color="auto"/>
            </w:tcBorders>
            <w:shd w:val="clear" w:color="auto" w:fill="auto"/>
            <w:noWrap/>
            <w:vAlign w:val="center"/>
            <w:hideMark/>
          </w:tcPr>
          <w:p w14:paraId="6DC99DB0"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8" w:type="pct"/>
            <w:tcBorders>
              <w:top w:val="nil"/>
              <w:left w:val="nil"/>
              <w:bottom w:val="nil"/>
              <w:right w:val="single" w:sz="4" w:space="0" w:color="auto"/>
            </w:tcBorders>
            <w:shd w:val="clear" w:color="auto" w:fill="auto"/>
            <w:noWrap/>
            <w:vAlign w:val="center"/>
            <w:hideMark/>
          </w:tcPr>
          <w:p w14:paraId="6AB36AF0"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1" w:type="pct"/>
            <w:tcBorders>
              <w:top w:val="nil"/>
              <w:left w:val="nil"/>
              <w:bottom w:val="nil"/>
              <w:right w:val="single" w:sz="4" w:space="0" w:color="auto"/>
            </w:tcBorders>
            <w:shd w:val="clear" w:color="auto" w:fill="auto"/>
            <w:noWrap/>
            <w:vAlign w:val="center"/>
            <w:hideMark/>
          </w:tcPr>
          <w:p w14:paraId="001A58BA"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1" w:type="pct"/>
            <w:tcBorders>
              <w:top w:val="nil"/>
              <w:left w:val="nil"/>
              <w:bottom w:val="nil"/>
              <w:right w:val="single" w:sz="4" w:space="0" w:color="auto"/>
            </w:tcBorders>
            <w:shd w:val="clear" w:color="auto" w:fill="auto"/>
            <w:noWrap/>
            <w:vAlign w:val="center"/>
            <w:hideMark/>
          </w:tcPr>
          <w:p w14:paraId="0DCA7B64"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1" w:type="pct"/>
            <w:tcBorders>
              <w:top w:val="nil"/>
              <w:left w:val="nil"/>
              <w:bottom w:val="nil"/>
              <w:right w:val="single" w:sz="4" w:space="0" w:color="auto"/>
            </w:tcBorders>
            <w:shd w:val="clear" w:color="auto" w:fill="auto"/>
            <w:noWrap/>
            <w:vAlign w:val="center"/>
            <w:hideMark/>
          </w:tcPr>
          <w:p w14:paraId="2BEC5810"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59" w:type="pct"/>
            <w:tcBorders>
              <w:top w:val="nil"/>
              <w:left w:val="nil"/>
              <w:bottom w:val="nil"/>
              <w:right w:val="single" w:sz="4" w:space="0" w:color="auto"/>
            </w:tcBorders>
            <w:shd w:val="clear" w:color="auto" w:fill="auto"/>
            <w:noWrap/>
            <w:vAlign w:val="center"/>
            <w:hideMark/>
          </w:tcPr>
          <w:p w14:paraId="24FB3084"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5" w:type="pct"/>
            <w:tcBorders>
              <w:top w:val="nil"/>
              <w:left w:val="nil"/>
              <w:bottom w:val="nil"/>
              <w:right w:val="single" w:sz="4" w:space="0" w:color="auto"/>
            </w:tcBorders>
            <w:shd w:val="clear" w:color="auto" w:fill="auto"/>
            <w:noWrap/>
            <w:vAlign w:val="center"/>
            <w:hideMark/>
          </w:tcPr>
          <w:p w14:paraId="538107AD"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5" w:type="pct"/>
            <w:tcBorders>
              <w:top w:val="nil"/>
              <w:left w:val="nil"/>
              <w:bottom w:val="nil"/>
              <w:right w:val="single" w:sz="4" w:space="0" w:color="auto"/>
            </w:tcBorders>
            <w:shd w:val="clear" w:color="auto" w:fill="auto"/>
            <w:noWrap/>
            <w:vAlign w:val="center"/>
            <w:hideMark/>
          </w:tcPr>
          <w:p w14:paraId="18105BE1"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45" w:type="pct"/>
            <w:tcBorders>
              <w:top w:val="nil"/>
              <w:left w:val="nil"/>
              <w:bottom w:val="nil"/>
              <w:right w:val="single" w:sz="4" w:space="0" w:color="auto"/>
            </w:tcBorders>
            <w:shd w:val="clear" w:color="auto" w:fill="auto"/>
            <w:noWrap/>
            <w:vAlign w:val="center"/>
            <w:hideMark/>
          </w:tcPr>
          <w:p w14:paraId="46A18D05"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 </w:t>
            </w:r>
          </w:p>
        </w:tc>
        <w:tc>
          <w:tcPr>
            <w:tcW w:w="164" w:type="pct"/>
            <w:gridSpan w:val="2"/>
            <w:tcBorders>
              <w:top w:val="nil"/>
              <w:left w:val="nil"/>
              <w:bottom w:val="nil"/>
              <w:right w:val="single" w:sz="4" w:space="0" w:color="auto"/>
            </w:tcBorders>
            <w:shd w:val="clear" w:color="auto" w:fill="F7CAAC" w:themeFill="accent2" w:themeFillTint="66"/>
            <w:noWrap/>
            <w:vAlign w:val="center"/>
            <w:hideMark/>
          </w:tcPr>
          <w:p w14:paraId="3EABE131"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r>
      <w:tr w:rsidR="009C7C34" w:rsidRPr="009C7C34" w14:paraId="6408349F" w14:textId="77777777" w:rsidTr="00C2376E">
        <w:trPr>
          <w:trHeight w:val="450"/>
        </w:trPr>
        <w:tc>
          <w:tcPr>
            <w:tcW w:w="258" w:type="pct"/>
            <w:tcBorders>
              <w:top w:val="nil"/>
              <w:left w:val="single" w:sz="4" w:space="0" w:color="auto"/>
              <w:bottom w:val="single" w:sz="4" w:space="0" w:color="auto"/>
              <w:right w:val="single" w:sz="4" w:space="0" w:color="auto"/>
            </w:tcBorders>
            <w:shd w:val="clear" w:color="auto" w:fill="auto"/>
            <w:noWrap/>
            <w:vAlign w:val="center"/>
          </w:tcPr>
          <w:p w14:paraId="69F73991" w14:textId="71F99A3B" w:rsidR="009C7C34" w:rsidRPr="009C7C34" w:rsidRDefault="003B736A" w:rsidP="009C7C34">
            <w:pPr>
              <w:spacing w:before="240"/>
              <w:jc w:val="center"/>
              <w:rPr>
                <w:rFonts w:ascii="Arial" w:hAnsi="Arial" w:cs="Arial"/>
                <w:b/>
                <w:sz w:val="18"/>
                <w:szCs w:val="18"/>
                <w:lang w:val="es-PY"/>
              </w:rPr>
            </w:pPr>
            <w:r>
              <w:rPr>
                <w:rFonts w:ascii="Arial" w:hAnsi="Arial" w:cs="Arial"/>
                <w:b/>
                <w:sz w:val="18"/>
                <w:szCs w:val="18"/>
                <w:lang w:val="es-PY"/>
              </w:rPr>
              <w:t>5.2</w:t>
            </w:r>
          </w:p>
        </w:tc>
        <w:tc>
          <w:tcPr>
            <w:tcW w:w="1191" w:type="pct"/>
            <w:tcBorders>
              <w:top w:val="nil"/>
              <w:left w:val="nil"/>
              <w:bottom w:val="single" w:sz="4" w:space="0" w:color="auto"/>
              <w:right w:val="single" w:sz="4" w:space="0" w:color="auto"/>
            </w:tcBorders>
            <w:shd w:val="clear" w:color="auto" w:fill="auto"/>
            <w:vAlign w:val="center"/>
          </w:tcPr>
          <w:p w14:paraId="4C686038"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Elaboración del Informe de Terminación del Programa (PCR)</w:t>
            </w:r>
          </w:p>
        </w:tc>
        <w:tc>
          <w:tcPr>
            <w:tcW w:w="600" w:type="pct"/>
            <w:tcBorders>
              <w:top w:val="nil"/>
              <w:left w:val="nil"/>
              <w:bottom w:val="single" w:sz="4" w:space="0" w:color="auto"/>
              <w:right w:val="single" w:sz="4" w:space="0" w:color="auto"/>
            </w:tcBorders>
            <w:shd w:val="clear" w:color="auto" w:fill="auto"/>
            <w:vAlign w:val="center"/>
          </w:tcPr>
          <w:p w14:paraId="5B401770"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Banco</w:t>
            </w:r>
          </w:p>
        </w:tc>
        <w:tc>
          <w:tcPr>
            <w:tcW w:w="199" w:type="pct"/>
            <w:tcBorders>
              <w:top w:val="nil"/>
              <w:left w:val="nil"/>
              <w:bottom w:val="single" w:sz="4" w:space="0" w:color="auto"/>
              <w:right w:val="single" w:sz="4" w:space="0" w:color="auto"/>
            </w:tcBorders>
            <w:shd w:val="clear" w:color="auto" w:fill="auto"/>
            <w:noWrap/>
            <w:vAlign w:val="center"/>
          </w:tcPr>
          <w:p w14:paraId="44D00E63" w14:textId="77777777" w:rsidR="009C7C34" w:rsidRPr="009C7C34" w:rsidRDefault="009C7C34" w:rsidP="009C7C34">
            <w:pPr>
              <w:spacing w:before="240"/>
              <w:jc w:val="center"/>
              <w:rPr>
                <w:rFonts w:ascii="Arial" w:hAnsi="Arial" w:cs="Arial"/>
                <w:b/>
                <w:sz w:val="18"/>
                <w:szCs w:val="18"/>
                <w:lang w:val="es-PY"/>
              </w:rPr>
            </w:pPr>
          </w:p>
        </w:tc>
        <w:tc>
          <w:tcPr>
            <w:tcW w:w="137" w:type="pct"/>
            <w:tcBorders>
              <w:top w:val="nil"/>
              <w:left w:val="nil"/>
              <w:bottom w:val="single" w:sz="4" w:space="0" w:color="auto"/>
              <w:right w:val="single" w:sz="4" w:space="0" w:color="auto"/>
            </w:tcBorders>
            <w:shd w:val="clear" w:color="auto" w:fill="auto"/>
            <w:noWrap/>
            <w:vAlign w:val="center"/>
          </w:tcPr>
          <w:p w14:paraId="7CC4B89D" w14:textId="77777777" w:rsidR="009C7C34" w:rsidRPr="009C7C34" w:rsidRDefault="009C7C34" w:rsidP="009C7C34">
            <w:pPr>
              <w:spacing w:before="240"/>
              <w:jc w:val="center"/>
              <w:rPr>
                <w:rFonts w:ascii="Arial" w:hAnsi="Arial" w:cs="Arial"/>
                <w:b/>
                <w:sz w:val="18"/>
                <w:szCs w:val="18"/>
                <w:lang w:val="es-PY"/>
              </w:rPr>
            </w:pPr>
          </w:p>
        </w:tc>
        <w:tc>
          <w:tcPr>
            <w:tcW w:w="139" w:type="pct"/>
            <w:tcBorders>
              <w:top w:val="nil"/>
              <w:left w:val="nil"/>
              <w:bottom w:val="single" w:sz="4" w:space="0" w:color="auto"/>
              <w:right w:val="single" w:sz="4" w:space="0" w:color="auto"/>
            </w:tcBorders>
            <w:shd w:val="clear" w:color="auto" w:fill="auto"/>
            <w:noWrap/>
            <w:vAlign w:val="center"/>
          </w:tcPr>
          <w:p w14:paraId="21EB5845" w14:textId="77777777" w:rsidR="009C7C34" w:rsidRPr="009C7C34" w:rsidRDefault="009C7C34" w:rsidP="009C7C34">
            <w:pPr>
              <w:spacing w:before="240"/>
              <w:jc w:val="center"/>
              <w:rPr>
                <w:rFonts w:ascii="Arial" w:hAnsi="Arial" w:cs="Arial"/>
                <w:b/>
                <w:sz w:val="18"/>
                <w:szCs w:val="18"/>
                <w:lang w:val="es-PY"/>
              </w:rPr>
            </w:pPr>
          </w:p>
        </w:tc>
        <w:tc>
          <w:tcPr>
            <w:tcW w:w="141" w:type="pct"/>
            <w:gridSpan w:val="2"/>
            <w:tcBorders>
              <w:top w:val="nil"/>
              <w:left w:val="nil"/>
              <w:bottom w:val="single" w:sz="4" w:space="0" w:color="auto"/>
              <w:right w:val="single" w:sz="4" w:space="0" w:color="auto"/>
            </w:tcBorders>
            <w:shd w:val="clear" w:color="auto" w:fill="auto"/>
            <w:noWrap/>
            <w:vAlign w:val="center"/>
          </w:tcPr>
          <w:p w14:paraId="5CA62502" w14:textId="77777777" w:rsidR="009C7C34" w:rsidRPr="009C7C34" w:rsidRDefault="009C7C34" w:rsidP="009C7C34">
            <w:pPr>
              <w:spacing w:before="240"/>
              <w:jc w:val="center"/>
              <w:rPr>
                <w:rFonts w:ascii="Arial" w:hAnsi="Arial" w:cs="Arial"/>
                <w:b/>
                <w:sz w:val="18"/>
                <w:szCs w:val="18"/>
                <w:lang w:val="es-PY"/>
              </w:rPr>
            </w:pPr>
          </w:p>
        </w:tc>
        <w:tc>
          <w:tcPr>
            <w:tcW w:w="140" w:type="pct"/>
            <w:tcBorders>
              <w:top w:val="nil"/>
              <w:left w:val="nil"/>
              <w:bottom w:val="single" w:sz="4" w:space="0" w:color="auto"/>
              <w:right w:val="single" w:sz="4" w:space="0" w:color="auto"/>
            </w:tcBorders>
            <w:shd w:val="clear" w:color="auto" w:fill="auto"/>
            <w:noWrap/>
            <w:vAlign w:val="center"/>
          </w:tcPr>
          <w:p w14:paraId="6CE6A4AD" w14:textId="77777777" w:rsidR="009C7C34" w:rsidRPr="009C7C34" w:rsidRDefault="009C7C34" w:rsidP="009C7C34">
            <w:pPr>
              <w:spacing w:before="240"/>
              <w:jc w:val="center"/>
              <w:rPr>
                <w:rFonts w:ascii="Arial" w:hAnsi="Arial" w:cs="Arial"/>
                <w:b/>
                <w:sz w:val="18"/>
                <w:szCs w:val="18"/>
                <w:lang w:val="es-PY"/>
              </w:rPr>
            </w:pPr>
          </w:p>
        </w:tc>
        <w:tc>
          <w:tcPr>
            <w:tcW w:w="140" w:type="pct"/>
            <w:tcBorders>
              <w:top w:val="nil"/>
              <w:left w:val="nil"/>
              <w:bottom w:val="single" w:sz="4" w:space="0" w:color="auto"/>
              <w:right w:val="single" w:sz="4" w:space="0" w:color="auto"/>
            </w:tcBorders>
            <w:shd w:val="clear" w:color="auto" w:fill="auto"/>
            <w:noWrap/>
            <w:vAlign w:val="center"/>
          </w:tcPr>
          <w:p w14:paraId="674870B7" w14:textId="77777777" w:rsidR="009C7C34" w:rsidRPr="009C7C34" w:rsidRDefault="009C7C34" w:rsidP="009C7C34">
            <w:pPr>
              <w:spacing w:before="240"/>
              <w:jc w:val="center"/>
              <w:rPr>
                <w:rFonts w:ascii="Arial" w:hAnsi="Arial" w:cs="Arial"/>
                <w:b/>
                <w:sz w:val="18"/>
                <w:szCs w:val="18"/>
                <w:lang w:val="es-PY"/>
              </w:rPr>
            </w:pPr>
          </w:p>
        </w:tc>
        <w:tc>
          <w:tcPr>
            <w:tcW w:w="140" w:type="pct"/>
            <w:tcBorders>
              <w:top w:val="nil"/>
              <w:left w:val="nil"/>
              <w:bottom w:val="single" w:sz="4" w:space="0" w:color="auto"/>
              <w:right w:val="single" w:sz="4" w:space="0" w:color="auto"/>
            </w:tcBorders>
            <w:shd w:val="clear" w:color="auto" w:fill="auto"/>
            <w:noWrap/>
            <w:vAlign w:val="center"/>
          </w:tcPr>
          <w:p w14:paraId="6118FDA9" w14:textId="77777777" w:rsidR="009C7C34" w:rsidRPr="009C7C34" w:rsidRDefault="009C7C34" w:rsidP="009C7C34">
            <w:pPr>
              <w:spacing w:before="240"/>
              <w:jc w:val="center"/>
              <w:rPr>
                <w:rFonts w:ascii="Arial" w:hAnsi="Arial" w:cs="Arial"/>
                <w:b/>
                <w:sz w:val="18"/>
                <w:szCs w:val="18"/>
                <w:lang w:val="es-PY"/>
              </w:rPr>
            </w:pPr>
          </w:p>
        </w:tc>
        <w:tc>
          <w:tcPr>
            <w:tcW w:w="153" w:type="pct"/>
            <w:tcBorders>
              <w:top w:val="nil"/>
              <w:left w:val="nil"/>
              <w:bottom w:val="single" w:sz="4" w:space="0" w:color="auto"/>
              <w:right w:val="single" w:sz="4" w:space="0" w:color="auto"/>
            </w:tcBorders>
            <w:shd w:val="clear" w:color="auto" w:fill="auto"/>
            <w:noWrap/>
            <w:vAlign w:val="center"/>
          </w:tcPr>
          <w:p w14:paraId="16C82CCA" w14:textId="77777777" w:rsidR="009C7C34" w:rsidRPr="009C7C34" w:rsidRDefault="009C7C34" w:rsidP="009C7C34">
            <w:pPr>
              <w:spacing w:before="240"/>
              <w:jc w:val="center"/>
              <w:rPr>
                <w:rFonts w:ascii="Arial" w:hAnsi="Arial" w:cs="Arial"/>
                <w:b/>
                <w:sz w:val="18"/>
                <w:szCs w:val="18"/>
                <w:lang w:val="es-PY"/>
              </w:rPr>
            </w:pPr>
          </w:p>
        </w:tc>
        <w:tc>
          <w:tcPr>
            <w:tcW w:w="148" w:type="pct"/>
            <w:tcBorders>
              <w:top w:val="nil"/>
              <w:left w:val="nil"/>
              <w:bottom w:val="single" w:sz="4" w:space="0" w:color="auto"/>
              <w:right w:val="single" w:sz="4" w:space="0" w:color="auto"/>
            </w:tcBorders>
            <w:shd w:val="clear" w:color="auto" w:fill="auto"/>
            <w:noWrap/>
            <w:vAlign w:val="center"/>
          </w:tcPr>
          <w:p w14:paraId="186B068B" w14:textId="77777777" w:rsidR="009C7C34" w:rsidRPr="009C7C34" w:rsidRDefault="009C7C34" w:rsidP="009C7C34">
            <w:pPr>
              <w:spacing w:before="240"/>
              <w:jc w:val="center"/>
              <w:rPr>
                <w:rFonts w:ascii="Arial" w:hAnsi="Arial" w:cs="Arial"/>
                <w:b/>
                <w:sz w:val="18"/>
                <w:szCs w:val="18"/>
                <w:lang w:val="es-PY"/>
              </w:rPr>
            </w:pPr>
          </w:p>
        </w:tc>
        <w:tc>
          <w:tcPr>
            <w:tcW w:w="145" w:type="pct"/>
            <w:tcBorders>
              <w:top w:val="nil"/>
              <w:left w:val="nil"/>
              <w:bottom w:val="single" w:sz="4" w:space="0" w:color="auto"/>
              <w:right w:val="single" w:sz="4" w:space="0" w:color="auto"/>
            </w:tcBorders>
            <w:shd w:val="clear" w:color="auto" w:fill="auto"/>
            <w:noWrap/>
            <w:vAlign w:val="center"/>
          </w:tcPr>
          <w:p w14:paraId="5CE6CF12" w14:textId="77777777" w:rsidR="009C7C34" w:rsidRPr="009C7C34" w:rsidRDefault="009C7C34" w:rsidP="009C7C34">
            <w:pPr>
              <w:spacing w:before="240"/>
              <w:jc w:val="center"/>
              <w:rPr>
                <w:rFonts w:ascii="Arial" w:hAnsi="Arial" w:cs="Arial"/>
                <w:b/>
                <w:sz w:val="18"/>
                <w:szCs w:val="18"/>
                <w:lang w:val="es-PY"/>
              </w:rPr>
            </w:pPr>
          </w:p>
        </w:tc>
        <w:tc>
          <w:tcPr>
            <w:tcW w:w="140" w:type="pct"/>
            <w:tcBorders>
              <w:top w:val="nil"/>
              <w:left w:val="nil"/>
              <w:bottom w:val="single" w:sz="4" w:space="0" w:color="auto"/>
              <w:right w:val="single" w:sz="4" w:space="0" w:color="auto"/>
            </w:tcBorders>
            <w:shd w:val="clear" w:color="auto" w:fill="auto"/>
            <w:noWrap/>
            <w:vAlign w:val="center"/>
          </w:tcPr>
          <w:p w14:paraId="1DA2D7CF" w14:textId="77777777" w:rsidR="009C7C34" w:rsidRPr="009C7C34" w:rsidRDefault="009C7C34" w:rsidP="009C7C34">
            <w:pPr>
              <w:spacing w:before="240"/>
              <w:jc w:val="center"/>
              <w:rPr>
                <w:rFonts w:ascii="Arial" w:hAnsi="Arial" w:cs="Arial"/>
                <w:b/>
                <w:sz w:val="18"/>
                <w:szCs w:val="18"/>
                <w:lang w:val="es-PY"/>
              </w:rPr>
            </w:pPr>
          </w:p>
        </w:tc>
        <w:tc>
          <w:tcPr>
            <w:tcW w:w="148" w:type="pct"/>
            <w:tcBorders>
              <w:top w:val="nil"/>
              <w:left w:val="nil"/>
              <w:bottom w:val="single" w:sz="4" w:space="0" w:color="auto"/>
              <w:right w:val="single" w:sz="4" w:space="0" w:color="auto"/>
            </w:tcBorders>
            <w:shd w:val="clear" w:color="auto" w:fill="auto"/>
            <w:noWrap/>
            <w:vAlign w:val="center"/>
          </w:tcPr>
          <w:p w14:paraId="0B3DD3C1" w14:textId="77777777" w:rsidR="009C7C34" w:rsidRPr="009C7C34" w:rsidRDefault="009C7C34" w:rsidP="009C7C34">
            <w:pPr>
              <w:spacing w:before="240"/>
              <w:jc w:val="center"/>
              <w:rPr>
                <w:rFonts w:ascii="Arial" w:hAnsi="Arial" w:cs="Arial"/>
                <w:b/>
                <w:sz w:val="18"/>
                <w:szCs w:val="18"/>
                <w:lang w:val="es-PY"/>
              </w:rPr>
            </w:pPr>
          </w:p>
        </w:tc>
        <w:tc>
          <w:tcPr>
            <w:tcW w:w="141" w:type="pct"/>
            <w:tcBorders>
              <w:top w:val="nil"/>
              <w:left w:val="nil"/>
              <w:bottom w:val="single" w:sz="4" w:space="0" w:color="auto"/>
              <w:right w:val="single" w:sz="4" w:space="0" w:color="auto"/>
            </w:tcBorders>
            <w:shd w:val="clear" w:color="auto" w:fill="auto"/>
            <w:noWrap/>
            <w:vAlign w:val="center"/>
          </w:tcPr>
          <w:p w14:paraId="5DF14563" w14:textId="77777777" w:rsidR="009C7C34" w:rsidRPr="009C7C34" w:rsidRDefault="009C7C34" w:rsidP="009C7C34">
            <w:pPr>
              <w:spacing w:before="240"/>
              <w:jc w:val="center"/>
              <w:rPr>
                <w:rFonts w:ascii="Arial" w:hAnsi="Arial" w:cs="Arial"/>
                <w:b/>
                <w:sz w:val="18"/>
                <w:szCs w:val="18"/>
                <w:lang w:val="es-PY"/>
              </w:rPr>
            </w:pPr>
          </w:p>
        </w:tc>
        <w:tc>
          <w:tcPr>
            <w:tcW w:w="141" w:type="pct"/>
            <w:tcBorders>
              <w:top w:val="nil"/>
              <w:left w:val="nil"/>
              <w:bottom w:val="single" w:sz="4" w:space="0" w:color="auto"/>
              <w:right w:val="single" w:sz="4" w:space="0" w:color="auto"/>
            </w:tcBorders>
            <w:shd w:val="clear" w:color="auto" w:fill="auto"/>
            <w:noWrap/>
            <w:vAlign w:val="center"/>
          </w:tcPr>
          <w:p w14:paraId="0BFFE29A" w14:textId="77777777" w:rsidR="009C7C34" w:rsidRPr="009C7C34" w:rsidRDefault="009C7C34" w:rsidP="009C7C34">
            <w:pPr>
              <w:spacing w:before="240"/>
              <w:jc w:val="center"/>
              <w:rPr>
                <w:rFonts w:ascii="Arial" w:hAnsi="Arial" w:cs="Arial"/>
                <w:b/>
                <w:sz w:val="18"/>
                <w:szCs w:val="18"/>
                <w:lang w:val="es-PY"/>
              </w:rPr>
            </w:pPr>
          </w:p>
        </w:tc>
        <w:tc>
          <w:tcPr>
            <w:tcW w:w="141" w:type="pct"/>
            <w:tcBorders>
              <w:top w:val="nil"/>
              <w:left w:val="nil"/>
              <w:bottom w:val="single" w:sz="4" w:space="0" w:color="auto"/>
              <w:right w:val="single" w:sz="4" w:space="0" w:color="auto"/>
            </w:tcBorders>
            <w:shd w:val="clear" w:color="auto" w:fill="auto"/>
            <w:noWrap/>
            <w:vAlign w:val="center"/>
          </w:tcPr>
          <w:p w14:paraId="72A4D62E" w14:textId="77777777" w:rsidR="009C7C34" w:rsidRPr="009C7C34" w:rsidRDefault="009C7C34" w:rsidP="009C7C34">
            <w:pPr>
              <w:spacing w:before="240"/>
              <w:jc w:val="center"/>
              <w:rPr>
                <w:rFonts w:ascii="Arial" w:hAnsi="Arial" w:cs="Arial"/>
                <w:b/>
                <w:sz w:val="18"/>
                <w:szCs w:val="18"/>
                <w:lang w:val="es-PY"/>
              </w:rPr>
            </w:pPr>
          </w:p>
        </w:tc>
        <w:tc>
          <w:tcPr>
            <w:tcW w:w="159" w:type="pct"/>
            <w:tcBorders>
              <w:top w:val="nil"/>
              <w:left w:val="nil"/>
              <w:bottom w:val="single" w:sz="4" w:space="0" w:color="auto"/>
              <w:right w:val="single" w:sz="4" w:space="0" w:color="auto"/>
            </w:tcBorders>
            <w:shd w:val="clear" w:color="auto" w:fill="auto"/>
            <w:noWrap/>
            <w:vAlign w:val="center"/>
          </w:tcPr>
          <w:p w14:paraId="38B9914E" w14:textId="77777777" w:rsidR="009C7C34" w:rsidRPr="009C7C34" w:rsidRDefault="009C7C34" w:rsidP="009C7C34">
            <w:pPr>
              <w:spacing w:before="240"/>
              <w:jc w:val="center"/>
              <w:rPr>
                <w:rFonts w:ascii="Arial" w:hAnsi="Arial" w:cs="Arial"/>
                <w:b/>
                <w:sz w:val="18"/>
                <w:szCs w:val="18"/>
                <w:lang w:val="es-PY"/>
              </w:rPr>
            </w:pPr>
          </w:p>
        </w:tc>
        <w:tc>
          <w:tcPr>
            <w:tcW w:w="145" w:type="pct"/>
            <w:tcBorders>
              <w:top w:val="nil"/>
              <w:left w:val="nil"/>
              <w:bottom w:val="single" w:sz="4" w:space="0" w:color="auto"/>
              <w:right w:val="single" w:sz="4" w:space="0" w:color="auto"/>
            </w:tcBorders>
            <w:shd w:val="clear" w:color="auto" w:fill="auto"/>
            <w:noWrap/>
            <w:vAlign w:val="center"/>
          </w:tcPr>
          <w:p w14:paraId="42083B12" w14:textId="77777777" w:rsidR="009C7C34" w:rsidRPr="009C7C34" w:rsidRDefault="009C7C34" w:rsidP="009C7C34">
            <w:pPr>
              <w:spacing w:before="240"/>
              <w:jc w:val="center"/>
              <w:rPr>
                <w:rFonts w:ascii="Arial" w:hAnsi="Arial" w:cs="Arial"/>
                <w:b/>
                <w:sz w:val="18"/>
                <w:szCs w:val="18"/>
                <w:lang w:val="es-PY"/>
              </w:rPr>
            </w:pPr>
          </w:p>
        </w:tc>
        <w:tc>
          <w:tcPr>
            <w:tcW w:w="145" w:type="pct"/>
            <w:tcBorders>
              <w:top w:val="nil"/>
              <w:left w:val="nil"/>
              <w:bottom w:val="single" w:sz="4" w:space="0" w:color="auto"/>
              <w:right w:val="single" w:sz="4" w:space="0" w:color="auto"/>
            </w:tcBorders>
            <w:shd w:val="clear" w:color="auto" w:fill="auto"/>
            <w:noWrap/>
            <w:vAlign w:val="center"/>
          </w:tcPr>
          <w:p w14:paraId="50CF044B" w14:textId="77777777" w:rsidR="009C7C34" w:rsidRPr="009C7C34" w:rsidRDefault="009C7C34" w:rsidP="009C7C34">
            <w:pPr>
              <w:spacing w:before="240"/>
              <w:jc w:val="center"/>
              <w:rPr>
                <w:rFonts w:ascii="Arial" w:hAnsi="Arial" w:cs="Arial"/>
                <w:b/>
                <w:sz w:val="18"/>
                <w:szCs w:val="18"/>
                <w:lang w:val="es-PY"/>
              </w:rPr>
            </w:pPr>
          </w:p>
        </w:tc>
        <w:tc>
          <w:tcPr>
            <w:tcW w:w="145" w:type="pct"/>
            <w:tcBorders>
              <w:top w:val="nil"/>
              <w:left w:val="nil"/>
              <w:bottom w:val="single" w:sz="4" w:space="0" w:color="auto"/>
              <w:right w:val="single" w:sz="4" w:space="0" w:color="auto"/>
            </w:tcBorders>
            <w:shd w:val="clear" w:color="auto" w:fill="auto"/>
            <w:noWrap/>
            <w:vAlign w:val="center"/>
          </w:tcPr>
          <w:p w14:paraId="30E49A86" w14:textId="77777777" w:rsidR="009C7C34" w:rsidRPr="009C7C34" w:rsidRDefault="009C7C34" w:rsidP="009C7C34">
            <w:pPr>
              <w:spacing w:before="240"/>
              <w:jc w:val="center"/>
              <w:rPr>
                <w:rFonts w:ascii="Arial" w:hAnsi="Arial" w:cs="Arial"/>
                <w:b/>
                <w:sz w:val="18"/>
                <w:szCs w:val="18"/>
                <w:lang w:val="es-PY"/>
              </w:rPr>
            </w:pPr>
          </w:p>
        </w:tc>
        <w:tc>
          <w:tcPr>
            <w:tcW w:w="164" w:type="pct"/>
            <w:gridSpan w:val="2"/>
            <w:tcBorders>
              <w:top w:val="nil"/>
              <w:left w:val="nil"/>
              <w:bottom w:val="single" w:sz="4" w:space="0" w:color="auto"/>
              <w:right w:val="single" w:sz="4" w:space="0" w:color="auto"/>
            </w:tcBorders>
            <w:shd w:val="clear" w:color="auto" w:fill="F7CAAC" w:themeFill="accent2" w:themeFillTint="66"/>
            <w:noWrap/>
            <w:vAlign w:val="center"/>
          </w:tcPr>
          <w:p w14:paraId="4D08C206" w14:textId="77777777" w:rsidR="009C7C34" w:rsidRPr="009C7C34" w:rsidRDefault="009C7C34" w:rsidP="009C7C34">
            <w:pPr>
              <w:spacing w:before="240"/>
              <w:jc w:val="center"/>
              <w:rPr>
                <w:rFonts w:ascii="Arial" w:hAnsi="Arial" w:cs="Arial"/>
                <w:b/>
                <w:sz w:val="18"/>
                <w:szCs w:val="18"/>
                <w:lang w:val="es-PY"/>
              </w:rPr>
            </w:pPr>
            <w:r w:rsidRPr="009C7C34">
              <w:rPr>
                <w:rFonts w:ascii="Arial" w:hAnsi="Arial" w:cs="Arial"/>
                <w:b/>
                <w:sz w:val="18"/>
                <w:szCs w:val="18"/>
                <w:lang w:val="es-PY"/>
              </w:rPr>
              <w:t>X</w:t>
            </w:r>
          </w:p>
        </w:tc>
      </w:tr>
    </w:tbl>
    <w:p w14:paraId="594C76D4" w14:textId="0DBA1415" w:rsidR="00E50AB3" w:rsidRPr="00727955" w:rsidRDefault="009B2335" w:rsidP="009D1AD8">
      <w:pPr>
        <w:spacing w:before="240"/>
        <w:jc w:val="center"/>
        <w:rPr>
          <w:rFonts w:ascii="Arial" w:hAnsi="Arial" w:cs="Arial"/>
          <w:b/>
          <w:sz w:val="18"/>
          <w:szCs w:val="18"/>
          <w:lang w:val="es-PA"/>
        </w:rPr>
      </w:pPr>
      <w:r w:rsidRPr="009B2335">
        <w:rPr>
          <w:rFonts w:ascii="Arial" w:hAnsi="Arial" w:cs="Arial"/>
          <w:b/>
          <w:sz w:val="18"/>
          <w:szCs w:val="18"/>
          <w:lang w:val="es-PA"/>
        </w:rPr>
        <w:br w:type="page"/>
      </w:r>
      <w:r w:rsidR="009D1AD8">
        <w:rPr>
          <w:rFonts w:ascii="Arial" w:hAnsi="Arial" w:cs="Arial"/>
          <w:b/>
          <w:sz w:val="18"/>
          <w:szCs w:val="18"/>
          <w:lang w:val="es-PA"/>
        </w:rPr>
        <w:lastRenderedPageBreak/>
        <w:t>C</w:t>
      </w:r>
      <w:r w:rsidR="003951CE" w:rsidRPr="00727955">
        <w:rPr>
          <w:rFonts w:ascii="Arial" w:hAnsi="Arial" w:cs="Arial"/>
          <w:b/>
          <w:sz w:val="18"/>
          <w:szCs w:val="18"/>
          <w:lang w:val="es-PA"/>
        </w:rPr>
        <w:t xml:space="preserve">uadro </w:t>
      </w:r>
      <w:r w:rsidR="00025E6A" w:rsidRPr="00727955">
        <w:rPr>
          <w:rFonts w:ascii="Arial" w:hAnsi="Arial" w:cs="Arial"/>
          <w:b/>
          <w:sz w:val="18"/>
          <w:szCs w:val="18"/>
          <w:lang w:val="es-PA"/>
        </w:rPr>
        <w:t>5</w:t>
      </w:r>
      <w:r w:rsidR="00E73062" w:rsidRPr="00727955">
        <w:rPr>
          <w:rFonts w:ascii="Arial" w:hAnsi="Arial" w:cs="Arial"/>
          <w:b/>
          <w:sz w:val="18"/>
          <w:szCs w:val="18"/>
          <w:lang w:val="es-PA"/>
        </w:rPr>
        <w:t>.</w:t>
      </w:r>
      <w:r w:rsidR="003951CE" w:rsidRPr="00727955">
        <w:rPr>
          <w:rFonts w:ascii="Arial" w:hAnsi="Arial" w:cs="Arial"/>
          <w:b/>
          <w:sz w:val="18"/>
          <w:szCs w:val="18"/>
          <w:lang w:val="es-PA"/>
        </w:rPr>
        <w:t xml:space="preserve"> Presupuestos para el Monitoreo del Proyecto </w:t>
      </w:r>
    </w:p>
    <w:tbl>
      <w:tblPr>
        <w:tblpPr w:leftFromText="180" w:rightFromText="180" w:vertAnchor="text" w:horzAnchor="margin" w:tblpXSpec="center" w:tblpY="95"/>
        <w:tblW w:w="7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5"/>
        <w:gridCol w:w="3155"/>
        <w:gridCol w:w="1754"/>
        <w:gridCol w:w="2520"/>
      </w:tblGrid>
      <w:tr w:rsidR="003D4E25" w:rsidRPr="00727955" w14:paraId="02298613" w14:textId="77777777" w:rsidTr="003D4E25">
        <w:trPr>
          <w:trHeight w:val="240"/>
        </w:trPr>
        <w:tc>
          <w:tcPr>
            <w:tcW w:w="535" w:type="dxa"/>
            <w:shd w:val="clear" w:color="000000" w:fill="002060"/>
          </w:tcPr>
          <w:p w14:paraId="6577955B" w14:textId="77777777" w:rsidR="003D4E25" w:rsidRPr="00727955" w:rsidRDefault="003D4E25" w:rsidP="003D4E25">
            <w:pPr>
              <w:spacing w:after="0" w:line="240" w:lineRule="auto"/>
              <w:jc w:val="center"/>
              <w:rPr>
                <w:rFonts w:ascii="Arial" w:eastAsia="Times New Roman" w:hAnsi="Arial" w:cs="Arial"/>
                <w:b/>
                <w:bCs/>
                <w:color w:val="FFFFFF"/>
                <w:sz w:val="18"/>
                <w:szCs w:val="18"/>
                <w:lang w:val="es-PY" w:eastAsia="es-PY"/>
              </w:rPr>
            </w:pPr>
          </w:p>
        </w:tc>
        <w:tc>
          <w:tcPr>
            <w:tcW w:w="7429" w:type="dxa"/>
            <w:gridSpan w:val="3"/>
            <w:shd w:val="clear" w:color="000000" w:fill="002060"/>
            <w:noWrap/>
            <w:vAlign w:val="center"/>
            <w:hideMark/>
          </w:tcPr>
          <w:p w14:paraId="37A9A4F1" w14:textId="75BA2DEE" w:rsidR="003D4E25" w:rsidRPr="00727955" w:rsidRDefault="00F30557" w:rsidP="003D4E25">
            <w:pPr>
              <w:spacing w:after="0" w:line="240" w:lineRule="auto"/>
              <w:jc w:val="center"/>
              <w:rPr>
                <w:rFonts w:ascii="Arial" w:eastAsia="Times New Roman" w:hAnsi="Arial" w:cs="Arial"/>
                <w:b/>
                <w:bCs/>
                <w:color w:val="FFFFFF"/>
                <w:sz w:val="18"/>
                <w:szCs w:val="18"/>
                <w:lang w:val="es-PY" w:eastAsia="es-PY"/>
              </w:rPr>
            </w:pPr>
            <w:r>
              <w:rPr>
                <w:rFonts w:ascii="Arial" w:eastAsia="Times New Roman" w:hAnsi="Arial" w:cs="Arial"/>
                <w:b/>
                <w:bCs/>
                <w:color w:val="FFFFFF"/>
                <w:sz w:val="18"/>
                <w:szCs w:val="18"/>
                <w:lang w:val="es-PY" w:eastAsia="es-PY"/>
              </w:rPr>
              <w:t>EDG</w:t>
            </w:r>
          </w:p>
        </w:tc>
      </w:tr>
      <w:tr w:rsidR="003D4E25" w:rsidRPr="00727955" w14:paraId="2C3BDEBC" w14:textId="77777777" w:rsidTr="003D4E25">
        <w:trPr>
          <w:trHeight w:val="240"/>
        </w:trPr>
        <w:tc>
          <w:tcPr>
            <w:tcW w:w="535" w:type="dxa"/>
            <w:shd w:val="clear" w:color="000000" w:fill="002060"/>
          </w:tcPr>
          <w:p w14:paraId="0E09362F" w14:textId="77777777" w:rsidR="003D4E25" w:rsidRPr="00727955" w:rsidRDefault="003D4E25" w:rsidP="003D4E25">
            <w:pPr>
              <w:spacing w:after="0" w:line="240" w:lineRule="auto"/>
              <w:rPr>
                <w:rFonts w:ascii="Arial" w:eastAsia="Times New Roman" w:hAnsi="Arial" w:cs="Arial"/>
                <w:b/>
                <w:bCs/>
                <w:color w:val="FFFFFF" w:themeColor="background1"/>
                <w:sz w:val="18"/>
                <w:szCs w:val="18"/>
                <w:lang w:val="es-PY" w:eastAsia="es-PY"/>
              </w:rPr>
            </w:pPr>
            <w:r w:rsidRPr="00727955">
              <w:rPr>
                <w:rFonts w:ascii="Arial" w:eastAsia="Times New Roman" w:hAnsi="Arial" w:cs="Arial"/>
                <w:b/>
                <w:bCs/>
                <w:color w:val="FFFFFF"/>
                <w:sz w:val="18"/>
                <w:szCs w:val="18"/>
                <w:lang w:val="es-PY" w:eastAsia="es-PY"/>
              </w:rPr>
              <w:t>#</w:t>
            </w:r>
          </w:p>
        </w:tc>
        <w:tc>
          <w:tcPr>
            <w:tcW w:w="3155" w:type="dxa"/>
            <w:shd w:val="clear" w:color="000000" w:fill="002060"/>
            <w:vAlign w:val="center"/>
            <w:hideMark/>
          </w:tcPr>
          <w:p w14:paraId="12707428" w14:textId="77777777" w:rsidR="003D4E25" w:rsidRPr="00727955" w:rsidRDefault="003D4E25" w:rsidP="003D4E25">
            <w:pPr>
              <w:spacing w:after="0" w:line="240" w:lineRule="auto"/>
              <w:jc w:val="center"/>
              <w:rPr>
                <w:rFonts w:ascii="Arial" w:eastAsia="Times New Roman" w:hAnsi="Arial" w:cs="Arial"/>
                <w:b/>
                <w:bCs/>
                <w:color w:val="FFFFFF"/>
                <w:sz w:val="18"/>
                <w:szCs w:val="18"/>
                <w:lang w:val="es-PY" w:eastAsia="es-PY"/>
              </w:rPr>
            </w:pPr>
            <w:r w:rsidRPr="00727955">
              <w:rPr>
                <w:rFonts w:ascii="Arial" w:eastAsia="Times New Roman" w:hAnsi="Arial" w:cs="Arial"/>
                <w:b/>
                <w:bCs/>
                <w:color w:val="FFFFFF"/>
                <w:sz w:val="18"/>
                <w:szCs w:val="18"/>
                <w:lang w:val="es-PY" w:eastAsia="es-PY"/>
              </w:rPr>
              <w:t>Recursos</w:t>
            </w:r>
          </w:p>
        </w:tc>
        <w:tc>
          <w:tcPr>
            <w:tcW w:w="1754" w:type="dxa"/>
            <w:shd w:val="clear" w:color="000000" w:fill="002060"/>
            <w:noWrap/>
            <w:vAlign w:val="center"/>
            <w:hideMark/>
          </w:tcPr>
          <w:p w14:paraId="7F24ED28" w14:textId="5D717061" w:rsidR="003D4E25" w:rsidRPr="00727955" w:rsidRDefault="003D4E25" w:rsidP="003D4E25">
            <w:pPr>
              <w:spacing w:after="0" w:line="240" w:lineRule="auto"/>
              <w:jc w:val="center"/>
              <w:rPr>
                <w:rFonts w:ascii="Arial" w:eastAsia="Times New Roman" w:hAnsi="Arial" w:cs="Arial"/>
                <w:b/>
                <w:bCs/>
                <w:color w:val="FFFFFF"/>
                <w:sz w:val="18"/>
                <w:szCs w:val="18"/>
                <w:lang w:val="es-PY" w:eastAsia="es-PY"/>
              </w:rPr>
            </w:pPr>
            <w:r w:rsidRPr="00727955">
              <w:rPr>
                <w:rFonts w:ascii="Arial" w:eastAsia="Times New Roman" w:hAnsi="Arial" w:cs="Arial"/>
                <w:b/>
                <w:bCs/>
                <w:color w:val="FFFFFF"/>
                <w:sz w:val="18"/>
                <w:szCs w:val="18"/>
                <w:lang w:val="es-PY" w:eastAsia="es-PY"/>
              </w:rPr>
              <w:t>Costo (US</w:t>
            </w:r>
            <w:r w:rsidR="00F903E2">
              <w:rPr>
                <w:rFonts w:ascii="Arial" w:eastAsia="Times New Roman" w:hAnsi="Arial" w:cs="Arial"/>
                <w:b/>
                <w:bCs/>
                <w:color w:val="FFFFFF"/>
                <w:sz w:val="18"/>
                <w:szCs w:val="18"/>
                <w:lang w:val="es-PY" w:eastAsia="es-PY"/>
              </w:rPr>
              <w:t>$</w:t>
            </w:r>
            <w:r w:rsidRPr="00727955">
              <w:rPr>
                <w:rFonts w:ascii="Arial" w:eastAsia="Times New Roman" w:hAnsi="Arial" w:cs="Arial"/>
                <w:b/>
                <w:bCs/>
                <w:color w:val="FFFFFF"/>
                <w:sz w:val="18"/>
                <w:szCs w:val="18"/>
                <w:lang w:val="es-PY" w:eastAsia="es-PY"/>
              </w:rPr>
              <w:t>)</w:t>
            </w:r>
          </w:p>
        </w:tc>
        <w:tc>
          <w:tcPr>
            <w:tcW w:w="2520" w:type="dxa"/>
            <w:shd w:val="clear" w:color="000000" w:fill="002060"/>
            <w:noWrap/>
            <w:vAlign w:val="center"/>
            <w:hideMark/>
          </w:tcPr>
          <w:p w14:paraId="46AB1470" w14:textId="77777777" w:rsidR="003D4E25" w:rsidRPr="00727955" w:rsidRDefault="003D4E25" w:rsidP="003D4E25">
            <w:pPr>
              <w:spacing w:after="0" w:line="240" w:lineRule="auto"/>
              <w:jc w:val="center"/>
              <w:rPr>
                <w:rFonts w:ascii="Arial" w:eastAsia="Times New Roman" w:hAnsi="Arial" w:cs="Arial"/>
                <w:b/>
                <w:bCs/>
                <w:color w:val="FFFFFF"/>
                <w:sz w:val="18"/>
                <w:szCs w:val="18"/>
                <w:lang w:val="es-PY" w:eastAsia="es-PY"/>
              </w:rPr>
            </w:pPr>
            <w:r w:rsidRPr="00727955">
              <w:rPr>
                <w:rFonts w:ascii="Arial" w:eastAsia="Times New Roman" w:hAnsi="Arial" w:cs="Arial"/>
                <w:b/>
                <w:bCs/>
                <w:color w:val="FFFFFF"/>
                <w:sz w:val="18"/>
                <w:szCs w:val="18"/>
                <w:lang w:val="es-PY" w:eastAsia="es-PY"/>
              </w:rPr>
              <w:t>Financiamiento</w:t>
            </w:r>
          </w:p>
        </w:tc>
      </w:tr>
      <w:tr w:rsidR="003D4E25" w:rsidRPr="00727955" w14:paraId="5B5255CA" w14:textId="77777777" w:rsidTr="003D4E25">
        <w:trPr>
          <w:trHeight w:val="480"/>
        </w:trPr>
        <w:tc>
          <w:tcPr>
            <w:tcW w:w="535" w:type="dxa"/>
          </w:tcPr>
          <w:p w14:paraId="0FDCA82B" w14:textId="77777777" w:rsidR="003D4E25" w:rsidRPr="00727955" w:rsidRDefault="003D4E25" w:rsidP="003D4E25">
            <w:pPr>
              <w:spacing w:after="0" w:line="240" w:lineRule="auto"/>
              <w:rPr>
                <w:rFonts w:ascii="Arial" w:eastAsia="Times New Roman" w:hAnsi="Arial" w:cs="Arial"/>
                <w:color w:val="000000"/>
                <w:sz w:val="18"/>
                <w:szCs w:val="18"/>
                <w:lang w:val="es-PY" w:eastAsia="es-PY"/>
              </w:rPr>
            </w:pPr>
            <w:r w:rsidRPr="00727955">
              <w:rPr>
                <w:rFonts w:ascii="Arial" w:eastAsia="Times New Roman" w:hAnsi="Arial" w:cs="Arial"/>
                <w:color w:val="000000"/>
                <w:sz w:val="18"/>
                <w:szCs w:val="18"/>
                <w:lang w:val="es-PY" w:eastAsia="es-PY"/>
              </w:rPr>
              <w:t>1</w:t>
            </w:r>
          </w:p>
        </w:tc>
        <w:tc>
          <w:tcPr>
            <w:tcW w:w="3155" w:type="dxa"/>
            <w:shd w:val="clear" w:color="auto" w:fill="auto"/>
            <w:vAlign w:val="center"/>
            <w:hideMark/>
          </w:tcPr>
          <w:p w14:paraId="1F2C333E" w14:textId="70ACC280" w:rsidR="003D4E25" w:rsidRPr="00727955" w:rsidRDefault="003D4E25" w:rsidP="003D4E25">
            <w:pPr>
              <w:spacing w:after="0" w:line="240" w:lineRule="auto"/>
              <w:rPr>
                <w:rFonts w:ascii="Arial" w:eastAsia="Times New Roman" w:hAnsi="Arial" w:cs="Arial"/>
                <w:color w:val="000000"/>
                <w:sz w:val="18"/>
                <w:szCs w:val="18"/>
                <w:lang w:val="es-PY" w:eastAsia="es-PY"/>
              </w:rPr>
            </w:pPr>
            <w:r w:rsidRPr="00727955">
              <w:rPr>
                <w:rFonts w:ascii="Arial" w:eastAsia="Times New Roman" w:hAnsi="Arial" w:cs="Arial"/>
                <w:color w:val="000000"/>
                <w:sz w:val="18"/>
                <w:szCs w:val="18"/>
                <w:lang w:val="es-PY" w:eastAsia="es-PY"/>
              </w:rPr>
              <w:t>Especialista</w:t>
            </w:r>
            <w:r w:rsidR="009E0327" w:rsidRPr="00727955">
              <w:rPr>
                <w:rFonts w:ascii="Arial" w:eastAsia="Times New Roman" w:hAnsi="Arial" w:cs="Arial"/>
                <w:color w:val="000000"/>
                <w:sz w:val="18"/>
                <w:szCs w:val="18"/>
                <w:lang w:val="es-PY" w:eastAsia="es-PY"/>
              </w:rPr>
              <w:t>s</w:t>
            </w:r>
            <w:r w:rsidRPr="00727955">
              <w:rPr>
                <w:rFonts w:ascii="Arial" w:eastAsia="Times New Roman" w:hAnsi="Arial" w:cs="Arial"/>
                <w:color w:val="000000"/>
                <w:sz w:val="18"/>
                <w:szCs w:val="18"/>
                <w:lang w:val="es-PY" w:eastAsia="es-PY"/>
              </w:rPr>
              <w:t xml:space="preserve"> en P&amp;M</w:t>
            </w:r>
            <w:r w:rsidR="00D469AC">
              <w:rPr>
                <w:rStyle w:val="FootnoteReference"/>
                <w:rFonts w:ascii="Arial" w:eastAsia="Times New Roman" w:hAnsi="Arial" w:cs="Arial"/>
                <w:color w:val="000000"/>
                <w:sz w:val="18"/>
                <w:szCs w:val="18"/>
                <w:lang w:val="es-PY" w:eastAsia="es-PY"/>
              </w:rPr>
              <w:footnoteReference w:id="7"/>
            </w:r>
          </w:p>
        </w:tc>
        <w:tc>
          <w:tcPr>
            <w:tcW w:w="1754" w:type="dxa"/>
            <w:shd w:val="clear" w:color="auto" w:fill="auto"/>
            <w:noWrap/>
            <w:vAlign w:val="center"/>
            <w:hideMark/>
          </w:tcPr>
          <w:p w14:paraId="7DB69F25" w14:textId="3289D709" w:rsidR="003D4E25" w:rsidRPr="00727955" w:rsidRDefault="00F30557" w:rsidP="00F30557">
            <w:pPr>
              <w:spacing w:after="0" w:line="240" w:lineRule="auto"/>
              <w:jc w:val="center"/>
              <w:rPr>
                <w:rFonts w:ascii="Arial" w:eastAsia="Times New Roman" w:hAnsi="Arial" w:cs="Arial"/>
                <w:color w:val="000000"/>
                <w:sz w:val="18"/>
                <w:szCs w:val="18"/>
                <w:lang w:val="es-PY" w:eastAsia="es-PY"/>
              </w:rPr>
            </w:pPr>
            <w:r>
              <w:rPr>
                <w:rFonts w:ascii="Arial" w:eastAsia="Times New Roman" w:hAnsi="Arial" w:cs="Arial"/>
                <w:color w:val="000000"/>
                <w:sz w:val="18"/>
                <w:szCs w:val="18"/>
                <w:lang w:val="es-PY" w:eastAsia="es-PY"/>
              </w:rPr>
              <w:t>1</w:t>
            </w:r>
            <w:r w:rsidR="00F903E2">
              <w:rPr>
                <w:rFonts w:ascii="Arial" w:eastAsia="Times New Roman" w:hAnsi="Arial" w:cs="Arial"/>
                <w:color w:val="000000"/>
                <w:sz w:val="18"/>
                <w:szCs w:val="18"/>
                <w:lang w:val="es-PY" w:eastAsia="es-PY"/>
              </w:rPr>
              <w:t>.</w:t>
            </w:r>
            <w:r>
              <w:rPr>
                <w:rFonts w:ascii="Arial" w:eastAsia="Times New Roman" w:hAnsi="Arial" w:cs="Arial"/>
                <w:color w:val="000000"/>
                <w:sz w:val="18"/>
                <w:szCs w:val="18"/>
                <w:lang w:val="es-PY" w:eastAsia="es-PY"/>
              </w:rPr>
              <w:t>072</w:t>
            </w:r>
            <w:r w:rsidR="00F903E2">
              <w:rPr>
                <w:rFonts w:ascii="Arial" w:eastAsia="Times New Roman" w:hAnsi="Arial" w:cs="Arial"/>
                <w:color w:val="000000"/>
                <w:sz w:val="18"/>
                <w:szCs w:val="18"/>
                <w:lang w:val="es-PY" w:eastAsia="es-PY"/>
              </w:rPr>
              <w:t>.</w:t>
            </w:r>
            <w:r>
              <w:rPr>
                <w:rFonts w:ascii="Arial" w:eastAsia="Times New Roman" w:hAnsi="Arial" w:cs="Arial"/>
                <w:color w:val="000000"/>
                <w:sz w:val="18"/>
                <w:szCs w:val="18"/>
                <w:lang w:val="es-PY" w:eastAsia="es-PY"/>
              </w:rPr>
              <w:t>000</w:t>
            </w:r>
          </w:p>
        </w:tc>
        <w:tc>
          <w:tcPr>
            <w:tcW w:w="2520" w:type="dxa"/>
            <w:shd w:val="clear" w:color="auto" w:fill="auto"/>
            <w:noWrap/>
            <w:vAlign w:val="center"/>
            <w:hideMark/>
          </w:tcPr>
          <w:p w14:paraId="62045589" w14:textId="7B061D5F" w:rsidR="003D4E25" w:rsidRPr="00727955" w:rsidRDefault="00C66157" w:rsidP="003D4E25">
            <w:pPr>
              <w:spacing w:after="0" w:line="240" w:lineRule="auto"/>
              <w:jc w:val="center"/>
              <w:rPr>
                <w:rFonts w:ascii="Arial" w:eastAsia="Times New Roman" w:hAnsi="Arial" w:cs="Arial"/>
                <w:color w:val="000000"/>
                <w:sz w:val="18"/>
                <w:szCs w:val="18"/>
                <w:lang w:val="es-PY" w:eastAsia="es-PY"/>
              </w:rPr>
            </w:pPr>
            <w:r w:rsidRPr="00727955">
              <w:rPr>
                <w:rFonts w:ascii="Arial" w:eastAsia="Times New Roman" w:hAnsi="Arial" w:cs="Arial"/>
                <w:color w:val="000000"/>
                <w:sz w:val="18"/>
                <w:szCs w:val="18"/>
                <w:lang w:val="es-PY" w:eastAsia="es-PY"/>
              </w:rPr>
              <w:t>EC-L12</w:t>
            </w:r>
            <w:r w:rsidR="009D1AD8">
              <w:rPr>
                <w:rFonts w:ascii="Arial" w:eastAsia="Times New Roman" w:hAnsi="Arial" w:cs="Arial"/>
                <w:color w:val="000000"/>
                <w:sz w:val="18"/>
                <w:szCs w:val="18"/>
                <w:lang w:val="es-PY" w:eastAsia="es-PY"/>
              </w:rPr>
              <w:t>50</w:t>
            </w:r>
          </w:p>
        </w:tc>
      </w:tr>
      <w:tr w:rsidR="003D4E25" w:rsidRPr="00727955" w14:paraId="1B70E3B1" w14:textId="77777777" w:rsidTr="003D4E25">
        <w:trPr>
          <w:trHeight w:val="240"/>
        </w:trPr>
        <w:tc>
          <w:tcPr>
            <w:tcW w:w="535" w:type="dxa"/>
          </w:tcPr>
          <w:p w14:paraId="00B20B3E" w14:textId="77777777" w:rsidR="003D4E25" w:rsidRPr="00727955" w:rsidRDefault="003D4E25" w:rsidP="003D4E25">
            <w:pPr>
              <w:spacing w:after="0" w:line="240" w:lineRule="auto"/>
              <w:rPr>
                <w:rFonts w:ascii="Arial" w:eastAsia="Times New Roman" w:hAnsi="Arial" w:cs="Arial"/>
                <w:color w:val="000000"/>
                <w:sz w:val="18"/>
                <w:szCs w:val="18"/>
                <w:lang w:val="es-PY" w:eastAsia="es-PY"/>
              </w:rPr>
            </w:pPr>
            <w:r w:rsidRPr="00727955">
              <w:rPr>
                <w:rFonts w:ascii="Arial" w:eastAsia="Times New Roman" w:hAnsi="Arial" w:cs="Arial"/>
                <w:color w:val="000000"/>
                <w:sz w:val="18"/>
                <w:szCs w:val="18"/>
                <w:lang w:val="es-PY" w:eastAsia="es-PY"/>
              </w:rPr>
              <w:t>2</w:t>
            </w:r>
          </w:p>
        </w:tc>
        <w:tc>
          <w:tcPr>
            <w:tcW w:w="3155" w:type="dxa"/>
            <w:shd w:val="clear" w:color="auto" w:fill="auto"/>
            <w:vAlign w:val="center"/>
            <w:hideMark/>
          </w:tcPr>
          <w:p w14:paraId="4965E95E" w14:textId="77777777" w:rsidR="003D4E25" w:rsidRPr="00727955" w:rsidRDefault="003D4E25" w:rsidP="003D4E25">
            <w:pPr>
              <w:spacing w:after="0" w:line="240" w:lineRule="auto"/>
              <w:rPr>
                <w:rFonts w:ascii="Arial" w:eastAsia="Times New Roman" w:hAnsi="Arial" w:cs="Arial"/>
                <w:color w:val="000000"/>
                <w:sz w:val="18"/>
                <w:szCs w:val="18"/>
                <w:lang w:val="es-PY" w:eastAsia="es-PY"/>
              </w:rPr>
            </w:pPr>
            <w:r w:rsidRPr="00727955">
              <w:rPr>
                <w:rFonts w:ascii="Arial" w:eastAsia="Times New Roman" w:hAnsi="Arial" w:cs="Arial"/>
                <w:color w:val="000000"/>
                <w:sz w:val="18"/>
                <w:szCs w:val="18"/>
                <w:lang w:val="es-PY" w:eastAsia="es-PY"/>
              </w:rPr>
              <w:t>Auditoría Externa</w:t>
            </w:r>
          </w:p>
        </w:tc>
        <w:tc>
          <w:tcPr>
            <w:tcW w:w="1754" w:type="dxa"/>
            <w:shd w:val="clear" w:color="auto" w:fill="auto"/>
            <w:noWrap/>
            <w:vAlign w:val="center"/>
            <w:hideMark/>
          </w:tcPr>
          <w:p w14:paraId="65B69C8E" w14:textId="6D0B30CF" w:rsidR="003D4E25" w:rsidRPr="00727955" w:rsidRDefault="003D4E25" w:rsidP="003D4E25">
            <w:pPr>
              <w:spacing w:after="0" w:line="240" w:lineRule="auto"/>
              <w:rPr>
                <w:rFonts w:ascii="Arial" w:eastAsia="Times New Roman" w:hAnsi="Arial" w:cs="Arial"/>
                <w:color w:val="000000"/>
                <w:sz w:val="18"/>
                <w:szCs w:val="18"/>
                <w:lang w:val="es-PY" w:eastAsia="es-PY"/>
              </w:rPr>
            </w:pPr>
            <w:r w:rsidRPr="00727955">
              <w:rPr>
                <w:rFonts w:ascii="Arial" w:eastAsia="Times New Roman" w:hAnsi="Arial" w:cs="Arial"/>
                <w:color w:val="000000"/>
                <w:sz w:val="18"/>
                <w:szCs w:val="18"/>
                <w:lang w:val="es-PY" w:eastAsia="es-PY"/>
              </w:rPr>
              <w:t xml:space="preserve">           </w:t>
            </w:r>
            <w:r w:rsidR="009D1AD8">
              <w:rPr>
                <w:rFonts w:ascii="Arial" w:eastAsia="Times New Roman" w:hAnsi="Arial" w:cs="Arial"/>
                <w:color w:val="000000"/>
                <w:sz w:val="18"/>
                <w:szCs w:val="18"/>
                <w:lang w:val="es-PY" w:eastAsia="es-PY"/>
              </w:rPr>
              <w:t>336</w:t>
            </w:r>
            <w:r w:rsidR="00F903E2">
              <w:rPr>
                <w:rFonts w:ascii="Arial" w:eastAsia="Times New Roman" w:hAnsi="Arial" w:cs="Arial"/>
                <w:color w:val="000000"/>
                <w:sz w:val="18"/>
                <w:szCs w:val="18"/>
                <w:lang w:val="es-PY" w:eastAsia="es-PY"/>
              </w:rPr>
              <w:t>.</w:t>
            </w:r>
            <w:r w:rsidRPr="00727955">
              <w:rPr>
                <w:rFonts w:ascii="Arial" w:eastAsia="Times New Roman" w:hAnsi="Arial" w:cs="Arial"/>
                <w:color w:val="000000"/>
                <w:sz w:val="18"/>
                <w:szCs w:val="18"/>
                <w:lang w:val="es-PY" w:eastAsia="es-PY"/>
              </w:rPr>
              <w:t xml:space="preserve">000 </w:t>
            </w:r>
          </w:p>
        </w:tc>
        <w:tc>
          <w:tcPr>
            <w:tcW w:w="2520" w:type="dxa"/>
            <w:shd w:val="clear" w:color="auto" w:fill="auto"/>
            <w:noWrap/>
            <w:vAlign w:val="center"/>
            <w:hideMark/>
          </w:tcPr>
          <w:p w14:paraId="29A0DDFC" w14:textId="6A016503" w:rsidR="003D4E25" w:rsidRPr="00727955" w:rsidRDefault="00C66157" w:rsidP="003D4E25">
            <w:pPr>
              <w:spacing w:after="0" w:line="240" w:lineRule="auto"/>
              <w:jc w:val="center"/>
              <w:rPr>
                <w:rFonts w:ascii="Arial" w:eastAsia="Times New Roman" w:hAnsi="Arial" w:cs="Arial"/>
                <w:color w:val="000000"/>
                <w:sz w:val="18"/>
                <w:szCs w:val="18"/>
                <w:lang w:val="es-PY" w:eastAsia="es-PY"/>
              </w:rPr>
            </w:pPr>
            <w:r w:rsidRPr="00727955">
              <w:rPr>
                <w:rFonts w:ascii="Arial" w:eastAsia="Times New Roman" w:hAnsi="Arial" w:cs="Arial"/>
                <w:color w:val="000000"/>
                <w:sz w:val="18"/>
                <w:szCs w:val="18"/>
                <w:lang w:val="es-PY" w:eastAsia="es-PY"/>
              </w:rPr>
              <w:t>EC-L12</w:t>
            </w:r>
            <w:r w:rsidR="009D1AD8">
              <w:rPr>
                <w:rFonts w:ascii="Arial" w:eastAsia="Times New Roman" w:hAnsi="Arial" w:cs="Arial"/>
                <w:color w:val="000000"/>
                <w:sz w:val="18"/>
                <w:szCs w:val="18"/>
                <w:lang w:val="es-PY" w:eastAsia="es-PY"/>
              </w:rPr>
              <w:t>50</w:t>
            </w:r>
          </w:p>
        </w:tc>
      </w:tr>
      <w:tr w:rsidR="003D4E25" w:rsidRPr="00727955" w14:paraId="39FA8A07" w14:textId="77777777" w:rsidTr="003D4E25">
        <w:trPr>
          <w:trHeight w:val="240"/>
        </w:trPr>
        <w:tc>
          <w:tcPr>
            <w:tcW w:w="535" w:type="dxa"/>
            <w:shd w:val="clear" w:color="000000" w:fill="F2F2F2"/>
          </w:tcPr>
          <w:p w14:paraId="54DBBA4B" w14:textId="77777777" w:rsidR="003D4E25" w:rsidRPr="00727955" w:rsidRDefault="003D4E25" w:rsidP="002A1748">
            <w:pPr>
              <w:spacing w:after="0" w:line="240" w:lineRule="auto"/>
              <w:jc w:val="right"/>
              <w:rPr>
                <w:rFonts w:ascii="Arial" w:eastAsia="Times New Roman" w:hAnsi="Arial" w:cs="Arial"/>
                <w:b/>
                <w:bCs/>
                <w:color w:val="000000"/>
                <w:sz w:val="18"/>
                <w:szCs w:val="18"/>
                <w:lang w:val="es-PY" w:eastAsia="es-PY"/>
              </w:rPr>
            </w:pPr>
          </w:p>
        </w:tc>
        <w:tc>
          <w:tcPr>
            <w:tcW w:w="3155" w:type="dxa"/>
            <w:shd w:val="clear" w:color="000000" w:fill="F2F2F2"/>
            <w:vAlign w:val="center"/>
            <w:hideMark/>
          </w:tcPr>
          <w:p w14:paraId="0C86A38B" w14:textId="77777777" w:rsidR="003D4E25" w:rsidRPr="00727955" w:rsidRDefault="003D4E25" w:rsidP="00FA12E1">
            <w:pPr>
              <w:spacing w:after="0" w:line="240" w:lineRule="auto"/>
              <w:jc w:val="right"/>
              <w:rPr>
                <w:rFonts w:ascii="Arial" w:eastAsia="Times New Roman" w:hAnsi="Arial" w:cs="Arial"/>
                <w:b/>
                <w:bCs/>
                <w:color w:val="000000"/>
                <w:sz w:val="18"/>
                <w:szCs w:val="18"/>
                <w:lang w:val="es-PY" w:eastAsia="es-PY"/>
              </w:rPr>
            </w:pPr>
            <w:r w:rsidRPr="00727955">
              <w:rPr>
                <w:rFonts w:ascii="Arial" w:eastAsia="Times New Roman" w:hAnsi="Arial" w:cs="Arial"/>
                <w:b/>
                <w:bCs/>
                <w:color w:val="000000"/>
                <w:sz w:val="18"/>
                <w:szCs w:val="18"/>
                <w:lang w:val="es-PY" w:eastAsia="es-PY"/>
              </w:rPr>
              <w:t>Total</w:t>
            </w:r>
          </w:p>
        </w:tc>
        <w:tc>
          <w:tcPr>
            <w:tcW w:w="1754" w:type="dxa"/>
            <w:shd w:val="clear" w:color="000000" w:fill="F2F2F2"/>
            <w:noWrap/>
            <w:vAlign w:val="center"/>
            <w:hideMark/>
          </w:tcPr>
          <w:p w14:paraId="243CCC3C" w14:textId="31B7D1AF" w:rsidR="003D4E25" w:rsidRPr="00727955" w:rsidRDefault="003D4E25" w:rsidP="00542496">
            <w:pPr>
              <w:spacing w:after="0" w:line="240" w:lineRule="auto"/>
              <w:rPr>
                <w:rFonts w:ascii="Arial" w:eastAsia="Times New Roman" w:hAnsi="Arial" w:cs="Arial"/>
                <w:b/>
                <w:bCs/>
                <w:color w:val="000000"/>
                <w:sz w:val="18"/>
                <w:szCs w:val="18"/>
                <w:lang w:val="es-PY" w:eastAsia="es-PY"/>
              </w:rPr>
            </w:pPr>
            <w:r w:rsidRPr="00727955">
              <w:rPr>
                <w:rFonts w:ascii="Arial" w:eastAsia="Times New Roman" w:hAnsi="Arial" w:cs="Arial"/>
                <w:b/>
                <w:bCs/>
                <w:color w:val="000000"/>
                <w:sz w:val="18"/>
                <w:szCs w:val="18"/>
                <w:lang w:val="es-PY" w:eastAsia="es-PY"/>
              </w:rPr>
              <w:t xml:space="preserve">           </w:t>
            </w:r>
            <w:r w:rsidR="00367963">
              <w:rPr>
                <w:rFonts w:ascii="Arial" w:eastAsia="Times New Roman" w:hAnsi="Arial" w:cs="Arial"/>
                <w:b/>
                <w:bCs/>
                <w:color w:val="000000"/>
                <w:sz w:val="18"/>
                <w:szCs w:val="18"/>
                <w:lang w:val="es-PY" w:eastAsia="es-PY"/>
              </w:rPr>
              <w:t>1</w:t>
            </w:r>
            <w:r w:rsidR="00F903E2">
              <w:rPr>
                <w:rFonts w:ascii="Arial" w:eastAsia="Times New Roman" w:hAnsi="Arial" w:cs="Arial"/>
                <w:b/>
                <w:bCs/>
                <w:color w:val="000000"/>
                <w:sz w:val="18"/>
                <w:szCs w:val="18"/>
                <w:lang w:val="es-PY" w:eastAsia="es-PY"/>
              </w:rPr>
              <w:t>.</w:t>
            </w:r>
            <w:r w:rsidR="00367963">
              <w:rPr>
                <w:rFonts w:ascii="Arial" w:eastAsia="Times New Roman" w:hAnsi="Arial" w:cs="Arial"/>
                <w:b/>
                <w:bCs/>
                <w:color w:val="000000"/>
                <w:sz w:val="18"/>
                <w:szCs w:val="18"/>
                <w:lang w:val="es-PY" w:eastAsia="es-PY"/>
              </w:rPr>
              <w:t>408</w:t>
            </w:r>
            <w:r w:rsidR="00F903E2">
              <w:rPr>
                <w:rFonts w:ascii="Arial" w:eastAsia="Times New Roman" w:hAnsi="Arial" w:cs="Arial"/>
                <w:b/>
                <w:bCs/>
                <w:color w:val="000000"/>
                <w:sz w:val="18"/>
                <w:szCs w:val="18"/>
                <w:lang w:val="es-PY" w:eastAsia="es-PY"/>
              </w:rPr>
              <w:t>.</w:t>
            </w:r>
            <w:r w:rsidRPr="00727955">
              <w:rPr>
                <w:rFonts w:ascii="Arial" w:eastAsia="Times New Roman" w:hAnsi="Arial" w:cs="Arial"/>
                <w:b/>
                <w:bCs/>
                <w:color w:val="000000"/>
                <w:sz w:val="18"/>
                <w:szCs w:val="18"/>
                <w:lang w:val="es-PY" w:eastAsia="es-PY"/>
              </w:rPr>
              <w:t xml:space="preserve">000 </w:t>
            </w:r>
          </w:p>
        </w:tc>
        <w:tc>
          <w:tcPr>
            <w:tcW w:w="2520" w:type="dxa"/>
            <w:shd w:val="clear" w:color="000000" w:fill="F2F2F2"/>
            <w:noWrap/>
            <w:vAlign w:val="center"/>
            <w:hideMark/>
          </w:tcPr>
          <w:p w14:paraId="4B73F13D" w14:textId="156868A0" w:rsidR="003D4E25" w:rsidRPr="00727955" w:rsidRDefault="00564D94" w:rsidP="00564D94">
            <w:pPr>
              <w:spacing w:after="0" w:line="240" w:lineRule="auto"/>
              <w:jc w:val="center"/>
              <w:rPr>
                <w:rFonts w:ascii="Arial" w:eastAsia="Times New Roman" w:hAnsi="Arial" w:cs="Arial"/>
                <w:b/>
                <w:bCs/>
                <w:color w:val="000000"/>
                <w:sz w:val="18"/>
                <w:szCs w:val="18"/>
                <w:lang w:val="es-PY" w:eastAsia="es-PY"/>
              </w:rPr>
            </w:pPr>
            <w:r w:rsidRPr="00727955">
              <w:rPr>
                <w:rFonts w:ascii="Arial" w:eastAsia="Times New Roman" w:hAnsi="Arial" w:cs="Arial"/>
                <w:b/>
                <w:bCs/>
                <w:color w:val="000000"/>
                <w:sz w:val="18"/>
                <w:szCs w:val="18"/>
                <w:lang w:val="es-PY" w:eastAsia="es-PY"/>
              </w:rPr>
              <w:t>EC-L12</w:t>
            </w:r>
            <w:r w:rsidR="009D1AD8">
              <w:rPr>
                <w:rFonts w:ascii="Arial" w:eastAsia="Times New Roman" w:hAnsi="Arial" w:cs="Arial"/>
                <w:b/>
                <w:bCs/>
                <w:color w:val="000000"/>
                <w:sz w:val="18"/>
                <w:szCs w:val="18"/>
                <w:lang w:val="es-PY" w:eastAsia="es-PY"/>
              </w:rPr>
              <w:t>50</w:t>
            </w:r>
          </w:p>
        </w:tc>
      </w:tr>
    </w:tbl>
    <w:p w14:paraId="5B8DF25A" w14:textId="77777777" w:rsidR="003951CE" w:rsidRPr="00727955" w:rsidRDefault="003951CE" w:rsidP="00542496">
      <w:pPr>
        <w:spacing w:after="0" w:line="240" w:lineRule="auto"/>
        <w:rPr>
          <w:rFonts w:ascii="Arial" w:hAnsi="Arial" w:cs="Arial"/>
          <w:b/>
          <w:sz w:val="18"/>
          <w:szCs w:val="18"/>
          <w:lang w:val="es-PA"/>
        </w:rPr>
      </w:pPr>
    </w:p>
    <w:p w14:paraId="6F974F4B" w14:textId="77777777" w:rsidR="00506D43" w:rsidRPr="00727955" w:rsidRDefault="00313A63" w:rsidP="008373D5">
      <w:pPr>
        <w:pStyle w:val="Heading1"/>
        <w:numPr>
          <w:ilvl w:val="0"/>
          <w:numId w:val="48"/>
        </w:numPr>
        <w:jc w:val="center"/>
        <w:rPr>
          <w:rFonts w:ascii="Arial" w:hAnsi="Arial" w:cs="Arial"/>
          <w:b/>
          <w:smallCaps/>
          <w:color w:val="000000" w:themeColor="text1"/>
          <w:sz w:val="24"/>
          <w:szCs w:val="24"/>
          <w:lang w:val="es-PY"/>
        </w:rPr>
      </w:pPr>
      <w:bookmarkStart w:id="16" w:name="_Toc480544128"/>
      <w:bookmarkStart w:id="17" w:name="_Toc480544356"/>
      <w:bookmarkStart w:id="18" w:name="_Toc480544392"/>
      <w:bookmarkStart w:id="19" w:name="_Toc480545028"/>
      <w:bookmarkStart w:id="20" w:name="_Toc480551720"/>
      <w:bookmarkStart w:id="21" w:name="_Toc480551748"/>
      <w:bookmarkStart w:id="22" w:name="_Toc480559459"/>
      <w:bookmarkStart w:id="23" w:name="_Toc480571188"/>
      <w:bookmarkStart w:id="24" w:name="_Toc480571198"/>
      <w:bookmarkStart w:id="25" w:name="_Toc480575485"/>
      <w:bookmarkStart w:id="26" w:name="_Toc480575537"/>
      <w:bookmarkStart w:id="27" w:name="_Toc480575827"/>
      <w:bookmarkStart w:id="28" w:name="_Toc480544129"/>
      <w:bookmarkStart w:id="29" w:name="_Toc480544357"/>
      <w:bookmarkStart w:id="30" w:name="_Toc480544393"/>
      <w:bookmarkStart w:id="31" w:name="_Toc480545029"/>
      <w:bookmarkStart w:id="32" w:name="_Toc480551721"/>
      <w:bookmarkStart w:id="33" w:name="_Toc480551749"/>
      <w:bookmarkStart w:id="34" w:name="_Toc480559460"/>
      <w:bookmarkStart w:id="35" w:name="_Toc480571189"/>
      <w:bookmarkStart w:id="36" w:name="_Toc480571199"/>
      <w:bookmarkStart w:id="37" w:name="_Toc480575486"/>
      <w:bookmarkStart w:id="38" w:name="_Toc480575538"/>
      <w:bookmarkStart w:id="39" w:name="_Toc480575828"/>
      <w:bookmarkStart w:id="40" w:name="_Toc487815089"/>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727955">
        <w:rPr>
          <w:rFonts w:ascii="Arial" w:hAnsi="Arial" w:cs="Arial"/>
          <w:b/>
          <w:smallCaps/>
          <w:color w:val="000000" w:themeColor="text1"/>
          <w:sz w:val="24"/>
          <w:szCs w:val="24"/>
          <w:lang w:val="es-PY"/>
        </w:rPr>
        <w:t>Evaluación</w:t>
      </w:r>
      <w:bookmarkEnd w:id="40"/>
    </w:p>
    <w:p w14:paraId="4DA1D9FA" w14:textId="77777777" w:rsidR="003B27DF" w:rsidRPr="00727955" w:rsidRDefault="003B27DF" w:rsidP="00C2120C">
      <w:pPr>
        <w:pStyle w:val="sub-sections"/>
        <w:numPr>
          <w:ilvl w:val="1"/>
          <w:numId w:val="10"/>
        </w:numPr>
        <w:ind w:left="720" w:hanging="720"/>
        <w:rPr>
          <w:rFonts w:ascii="Arial" w:hAnsi="Arial" w:cs="Arial"/>
        </w:rPr>
      </w:pPr>
      <w:bookmarkStart w:id="41" w:name="_Toc483238876"/>
      <w:r w:rsidRPr="00727955">
        <w:rPr>
          <w:rFonts w:ascii="Arial" w:hAnsi="Arial" w:cs="Arial"/>
        </w:rPr>
        <w:t>Introduc</w:t>
      </w:r>
      <w:bookmarkEnd w:id="41"/>
      <w:r w:rsidR="00C97E55" w:rsidRPr="00727955">
        <w:rPr>
          <w:rFonts w:ascii="Arial" w:hAnsi="Arial" w:cs="Arial"/>
        </w:rPr>
        <w:t>ci</w:t>
      </w:r>
      <w:r w:rsidR="00313A63" w:rsidRPr="00727955">
        <w:rPr>
          <w:rFonts w:ascii="Arial" w:hAnsi="Arial" w:cs="Arial"/>
        </w:rPr>
        <w:t>ó</w:t>
      </w:r>
      <w:r w:rsidR="00C97E55" w:rsidRPr="00727955">
        <w:rPr>
          <w:rFonts w:ascii="Arial" w:hAnsi="Arial" w:cs="Arial"/>
        </w:rPr>
        <w:t>n</w:t>
      </w:r>
    </w:p>
    <w:p w14:paraId="55341E17" w14:textId="77777777" w:rsidR="00F46AE1" w:rsidRPr="00727955" w:rsidRDefault="00F46AE1" w:rsidP="00F46AE1">
      <w:pPr>
        <w:pStyle w:val="sub-sections"/>
        <w:numPr>
          <w:ilvl w:val="0"/>
          <w:numId w:val="0"/>
        </w:numPr>
        <w:ind w:left="1440"/>
        <w:rPr>
          <w:rFonts w:ascii="Arial" w:hAnsi="Arial" w:cs="Arial"/>
        </w:rPr>
      </w:pPr>
    </w:p>
    <w:p w14:paraId="4818E730" w14:textId="32DB8D06" w:rsidR="00720CA9" w:rsidRPr="00811502" w:rsidRDefault="00720CA9" w:rsidP="008373D5">
      <w:pPr>
        <w:pStyle w:val="Paragraph"/>
        <w:numPr>
          <w:ilvl w:val="1"/>
          <w:numId w:val="48"/>
        </w:numPr>
        <w:tabs>
          <w:tab w:val="left" w:pos="720"/>
        </w:tabs>
        <w:ind w:left="720" w:hanging="720"/>
        <w:rPr>
          <w:rFonts w:ascii="Arial" w:hAnsi="Arial" w:cs="Arial"/>
          <w:sz w:val="22"/>
        </w:rPr>
      </w:pPr>
      <w:r w:rsidRPr="00EF19FC">
        <w:rPr>
          <w:rFonts w:ascii="Arial" w:hAnsi="Arial" w:cs="Arial"/>
          <w:bCs/>
          <w:sz w:val="22"/>
        </w:rPr>
        <w:t>Para realizar la evaluación del proyecto se utilizarán la MdR y e</w:t>
      </w:r>
      <w:r>
        <w:rPr>
          <w:rFonts w:ascii="Arial" w:hAnsi="Arial" w:cs="Arial"/>
          <w:bCs/>
          <w:sz w:val="22"/>
        </w:rPr>
        <w:t>ste</w:t>
      </w:r>
      <w:r w:rsidRPr="00EF19FC">
        <w:rPr>
          <w:rFonts w:ascii="Arial" w:hAnsi="Arial" w:cs="Arial"/>
          <w:bCs/>
          <w:sz w:val="22"/>
        </w:rPr>
        <w:t xml:space="preserve"> </w:t>
      </w:r>
      <w:r w:rsidR="00061537" w:rsidRPr="002F4727">
        <w:rPr>
          <w:rFonts w:ascii="Arial" w:hAnsi="Arial" w:cs="Arial"/>
          <w:bCs/>
          <w:sz w:val="22"/>
        </w:rPr>
        <w:t>PME</w:t>
      </w:r>
      <w:r w:rsidRPr="00720CA9">
        <w:rPr>
          <w:rStyle w:val="Hyperlink"/>
          <w:rFonts w:ascii="Arial" w:hAnsi="Arial" w:cs="Arial"/>
          <w:bCs/>
          <w:sz w:val="22"/>
        </w:rPr>
        <w:t>,</w:t>
      </w:r>
      <w:r w:rsidRPr="00EF19FC">
        <w:rPr>
          <w:rFonts w:ascii="Arial" w:hAnsi="Arial" w:cs="Arial"/>
          <w:bCs/>
          <w:sz w:val="22"/>
        </w:rPr>
        <w:t xml:space="preserve"> incluyendo la formulación del informe de terminación del programa (PCR). El proyecto tiene previsto realizar una evaluación intermedia</w:t>
      </w:r>
      <w:r w:rsidR="00DA4044">
        <w:rPr>
          <w:rFonts w:ascii="Arial" w:hAnsi="Arial" w:cs="Arial"/>
          <w:bCs/>
          <w:sz w:val="22"/>
        </w:rPr>
        <w:t>,</w:t>
      </w:r>
      <w:r w:rsidRPr="00EF19FC">
        <w:rPr>
          <w:rFonts w:ascii="Arial" w:hAnsi="Arial" w:cs="Arial"/>
          <w:bCs/>
          <w:sz w:val="22"/>
        </w:rPr>
        <w:t xml:space="preserve"> una final</w:t>
      </w:r>
      <w:r w:rsidR="00DA4044">
        <w:rPr>
          <w:rFonts w:ascii="Arial" w:hAnsi="Arial" w:cs="Arial"/>
          <w:bCs/>
          <w:sz w:val="22"/>
        </w:rPr>
        <w:t xml:space="preserve"> y una de impacto</w:t>
      </w:r>
      <w:r w:rsidRPr="00EF19FC">
        <w:rPr>
          <w:rFonts w:ascii="Arial" w:hAnsi="Arial" w:cs="Arial"/>
          <w:bCs/>
          <w:sz w:val="22"/>
        </w:rPr>
        <w:t xml:space="preserve"> que </w:t>
      </w:r>
      <w:r w:rsidRPr="00811502">
        <w:rPr>
          <w:rFonts w:ascii="Arial" w:hAnsi="Arial" w:cs="Arial"/>
          <w:sz w:val="22"/>
        </w:rPr>
        <w:t>abarquen</w:t>
      </w:r>
      <w:r w:rsidRPr="00EF19FC">
        <w:rPr>
          <w:rFonts w:ascii="Arial" w:hAnsi="Arial" w:cs="Arial"/>
          <w:bCs/>
          <w:sz w:val="22"/>
        </w:rPr>
        <w:t xml:space="preserve"> los aspectos técnicos, administrativos y financieros, así como un análisis costo-beneficio ex post. La intermedia se realizará al alcanzar por lo menos el 40% de los desembolsos de los recursos del préstamo o cuando hayan transcurrido dos años desde la entrada en vigencia del contrato de préstamo (lo que ocurra primero). La evaluación final se realizará cuando los desembolsos alcancen al menos un 90% </w:t>
      </w:r>
      <w:bookmarkStart w:id="42" w:name="_Hlk483003420"/>
      <w:r w:rsidRPr="00EF19FC">
        <w:rPr>
          <w:rFonts w:ascii="Arial" w:hAnsi="Arial" w:cs="Arial"/>
          <w:bCs/>
          <w:sz w:val="22"/>
        </w:rPr>
        <w:t>de los recursos del préstamo</w:t>
      </w:r>
      <w:bookmarkEnd w:id="42"/>
      <w:r w:rsidRPr="00EF19FC">
        <w:rPr>
          <w:rFonts w:ascii="Arial" w:hAnsi="Arial" w:cs="Arial"/>
          <w:bCs/>
          <w:sz w:val="22"/>
        </w:rPr>
        <w:t xml:space="preserve"> y su objetivo será verificar el avance en el cumplimiento de las metas previstas para cada uno de los resultados esperados y la generación de los productos por componente.</w:t>
      </w:r>
      <w:r w:rsidRPr="00811502">
        <w:rPr>
          <w:rFonts w:ascii="Arial" w:hAnsi="Arial" w:cs="Arial"/>
          <w:sz w:val="22"/>
        </w:rPr>
        <w:t xml:space="preserve"> </w:t>
      </w:r>
      <w:r w:rsidR="00DA4044">
        <w:rPr>
          <w:rFonts w:ascii="Arial" w:hAnsi="Arial" w:cs="Arial"/>
          <w:sz w:val="22"/>
        </w:rPr>
        <w:t>La evaluación de impacto se centrará en la simplificación de trámites para el cierre de empresas</w:t>
      </w:r>
      <w:r w:rsidR="00D55266">
        <w:rPr>
          <w:rFonts w:ascii="Arial" w:hAnsi="Arial" w:cs="Arial"/>
          <w:sz w:val="22"/>
        </w:rPr>
        <w:t xml:space="preserve"> </w:t>
      </w:r>
      <w:r w:rsidR="00DA4044">
        <w:rPr>
          <w:rFonts w:ascii="Arial" w:hAnsi="Arial" w:cs="Arial"/>
          <w:sz w:val="22"/>
        </w:rPr>
        <w:t>y se realizará a partir del último mes de ejecución del programa o del último desembolso. Además, s</w:t>
      </w:r>
      <w:r w:rsidRPr="00811502">
        <w:rPr>
          <w:rFonts w:ascii="Arial" w:hAnsi="Arial" w:cs="Arial"/>
          <w:sz w:val="22"/>
        </w:rPr>
        <w:t>e tiene previsto realizar una evaluación costo beneficio ex post que permita verificar el alcance de los resultados alcanzados</w:t>
      </w:r>
      <w:r w:rsidRPr="00720CA9">
        <w:rPr>
          <w:rFonts w:ascii="Arial" w:hAnsi="Arial" w:cs="Arial"/>
          <w:sz w:val="22"/>
        </w:rPr>
        <w:t xml:space="preserve"> </w:t>
      </w:r>
      <w:r w:rsidRPr="00727955">
        <w:rPr>
          <w:rFonts w:ascii="Arial" w:hAnsi="Arial" w:cs="Arial"/>
          <w:sz w:val="22"/>
        </w:rPr>
        <w:t xml:space="preserve">Todas las evaluaciones y análisis costo beneficio abarcarán las actividades bajo responsabilidad del </w:t>
      </w:r>
      <w:r w:rsidR="009D1AD8" w:rsidRPr="00727955">
        <w:rPr>
          <w:rFonts w:ascii="Arial" w:hAnsi="Arial" w:cs="Arial"/>
          <w:sz w:val="22"/>
        </w:rPr>
        <w:t>MEF,</w:t>
      </w:r>
      <w:r>
        <w:rPr>
          <w:rFonts w:ascii="Arial" w:hAnsi="Arial" w:cs="Arial"/>
          <w:sz w:val="22"/>
        </w:rPr>
        <w:t xml:space="preserve"> </w:t>
      </w:r>
      <w:r w:rsidRPr="00727955">
        <w:rPr>
          <w:rFonts w:ascii="Arial" w:hAnsi="Arial" w:cs="Arial"/>
          <w:sz w:val="22"/>
        </w:rPr>
        <w:t>así como las que están bajo la responsabilidad de la</w:t>
      </w:r>
      <w:r w:rsidRPr="00811502">
        <w:rPr>
          <w:rFonts w:ascii="Arial" w:hAnsi="Arial" w:cs="Arial"/>
          <w:sz w:val="22"/>
        </w:rPr>
        <w:t>.</w:t>
      </w:r>
      <w:r w:rsidR="009D1AD8">
        <w:rPr>
          <w:rFonts w:ascii="Arial" w:hAnsi="Arial" w:cs="Arial"/>
          <w:sz w:val="22"/>
        </w:rPr>
        <w:t xml:space="preserve"> </w:t>
      </w:r>
      <w:r>
        <w:rPr>
          <w:rFonts w:ascii="Arial" w:hAnsi="Arial" w:cs="Arial"/>
          <w:sz w:val="22"/>
        </w:rPr>
        <w:t>VPR y de la SGP.</w:t>
      </w:r>
      <w:r w:rsidR="0059610D">
        <w:rPr>
          <w:rFonts w:ascii="Arial" w:hAnsi="Arial" w:cs="Arial"/>
          <w:sz w:val="22"/>
        </w:rPr>
        <w:t xml:space="preserve"> </w:t>
      </w:r>
      <w:r w:rsidR="0059610D" w:rsidRPr="0059610D">
        <w:rPr>
          <w:rFonts w:ascii="Arial" w:hAnsi="Arial" w:cs="Arial"/>
          <w:sz w:val="22"/>
        </w:rPr>
        <w:t>De manera complementaria, se llevarán a cabo la evaluación de resultados e impactos de los instrumentos de apoyo a la innovación y emprendimiento previstos en el componente 1 (</w:t>
      </w:r>
      <w:r w:rsidR="004261F0">
        <w:rPr>
          <w:rFonts w:ascii="Arial" w:hAnsi="Arial" w:cs="Arial"/>
          <w:sz w:val="22"/>
        </w:rPr>
        <w:t xml:space="preserve">Párrafo </w:t>
      </w:r>
      <w:r w:rsidR="0059610D" w:rsidRPr="0059610D">
        <w:rPr>
          <w:rFonts w:ascii="Arial" w:hAnsi="Arial" w:cs="Arial"/>
          <w:sz w:val="22"/>
        </w:rPr>
        <w:t>1.23(iii)</w:t>
      </w:r>
      <w:r w:rsidR="004261F0">
        <w:rPr>
          <w:rFonts w:ascii="Arial" w:hAnsi="Arial" w:cs="Arial"/>
          <w:sz w:val="22"/>
        </w:rPr>
        <w:t xml:space="preserve"> de la Propuesta de Préstamo</w:t>
      </w:r>
      <w:r w:rsidR="0059610D" w:rsidRPr="0059610D">
        <w:rPr>
          <w:rFonts w:ascii="Arial" w:hAnsi="Arial" w:cs="Arial"/>
          <w:sz w:val="22"/>
        </w:rPr>
        <w:t xml:space="preserve">) </w:t>
      </w:r>
      <w:bookmarkStart w:id="43" w:name="_Hlk24029919"/>
      <w:r w:rsidR="0059610D" w:rsidRPr="0059610D">
        <w:rPr>
          <w:rFonts w:ascii="Arial" w:hAnsi="Arial" w:cs="Arial"/>
          <w:sz w:val="22"/>
        </w:rPr>
        <w:t>las cuales se detallarán en el ROP.</w:t>
      </w:r>
      <w:bookmarkEnd w:id="43"/>
      <w:r w:rsidR="0059610D">
        <w:t xml:space="preserve">  </w:t>
      </w:r>
    </w:p>
    <w:p w14:paraId="66CD5B6B" w14:textId="77777777" w:rsidR="003B27DF" w:rsidRPr="00727955" w:rsidRDefault="003B27DF" w:rsidP="00542496">
      <w:pPr>
        <w:pStyle w:val="Paragraph"/>
        <w:numPr>
          <w:ilvl w:val="0"/>
          <w:numId w:val="0"/>
        </w:numPr>
        <w:spacing w:before="0" w:after="0"/>
        <w:ind w:left="547" w:hanging="547"/>
        <w:rPr>
          <w:rFonts w:ascii="Arial" w:hAnsi="Arial" w:cs="Arial"/>
          <w:sz w:val="18"/>
          <w:szCs w:val="18"/>
        </w:rPr>
      </w:pPr>
    </w:p>
    <w:p w14:paraId="6F391466" w14:textId="77777777" w:rsidR="006509F8" w:rsidRPr="00727955" w:rsidRDefault="006509F8" w:rsidP="00C2120C">
      <w:pPr>
        <w:pStyle w:val="sub-sections"/>
        <w:numPr>
          <w:ilvl w:val="1"/>
          <w:numId w:val="10"/>
        </w:numPr>
        <w:ind w:left="720" w:hanging="720"/>
        <w:rPr>
          <w:rFonts w:ascii="Arial" w:hAnsi="Arial" w:cs="Arial"/>
          <w:b w:val="0"/>
        </w:rPr>
      </w:pPr>
      <w:bookmarkStart w:id="44" w:name="_Toc480575494"/>
      <w:bookmarkStart w:id="45" w:name="_Toc480575546"/>
      <w:bookmarkStart w:id="46" w:name="_Toc487815090"/>
      <w:bookmarkEnd w:id="44"/>
      <w:bookmarkEnd w:id="45"/>
      <w:r w:rsidRPr="00727955">
        <w:rPr>
          <w:rFonts w:ascii="Arial" w:hAnsi="Arial" w:cs="Arial"/>
        </w:rPr>
        <w:t>Evaluaci</w:t>
      </w:r>
      <w:r w:rsidR="001118E2" w:rsidRPr="00727955">
        <w:rPr>
          <w:rFonts w:ascii="Arial" w:hAnsi="Arial" w:cs="Arial"/>
        </w:rPr>
        <w:t>ó</w:t>
      </w:r>
      <w:r w:rsidRPr="00727955">
        <w:rPr>
          <w:rFonts w:ascii="Arial" w:hAnsi="Arial" w:cs="Arial"/>
        </w:rPr>
        <w:t>n Intermedia</w:t>
      </w:r>
      <w:bookmarkEnd w:id="46"/>
    </w:p>
    <w:p w14:paraId="7BD088E8" w14:textId="3CA5A3BE" w:rsidR="006509F8" w:rsidRPr="00727955" w:rsidRDefault="00102804" w:rsidP="008373D5">
      <w:pPr>
        <w:pStyle w:val="Paragraph"/>
        <w:numPr>
          <w:ilvl w:val="1"/>
          <w:numId w:val="48"/>
        </w:numPr>
        <w:ind w:left="720" w:hanging="720"/>
        <w:rPr>
          <w:rFonts w:ascii="Arial" w:hAnsi="Arial" w:cs="Arial"/>
        </w:rPr>
      </w:pPr>
      <w:r w:rsidRPr="00727955">
        <w:rPr>
          <w:rFonts w:ascii="Arial" w:hAnsi="Arial" w:cs="Arial"/>
          <w:sz w:val="22"/>
        </w:rPr>
        <w:t xml:space="preserve">La </w:t>
      </w:r>
      <w:r w:rsidR="006509F8" w:rsidRPr="00727955">
        <w:rPr>
          <w:rFonts w:ascii="Arial" w:hAnsi="Arial" w:cs="Arial"/>
          <w:sz w:val="22"/>
        </w:rPr>
        <w:t>evaluaci</w:t>
      </w:r>
      <w:r w:rsidR="001118E2" w:rsidRPr="00727955">
        <w:rPr>
          <w:rFonts w:ascii="Arial" w:hAnsi="Arial" w:cs="Arial"/>
          <w:sz w:val="22"/>
        </w:rPr>
        <w:t>ó</w:t>
      </w:r>
      <w:r w:rsidR="006509F8" w:rsidRPr="00727955">
        <w:rPr>
          <w:rFonts w:ascii="Arial" w:hAnsi="Arial" w:cs="Arial"/>
          <w:sz w:val="22"/>
        </w:rPr>
        <w:t xml:space="preserve">n </w:t>
      </w:r>
      <w:r w:rsidRPr="00727955">
        <w:rPr>
          <w:rFonts w:ascii="Arial" w:hAnsi="Arial" w:cs="Arial"/>
          <w:sz w:val="22"/>
        </w:rPr>
        <w:t xml:space="preserve">intermedia se realizará al alcanzar por lo menos el 40% de los desembolsos o hayan transcurrido </w:t>
      </w:r>
      <w:r w:rsidR="00E73C7A" w:rsidRPr="00727955">
        <w:rPr>
          <w:rFonts w:ascii="Arial" w:hAnsi="Arial" w:cs="Arial"/>
          <w:sz w:val="22"/>
        </w:rPr>
        <w:t>dos</w:t>
      </w:r>
      <w:r w:rsidR="00A450CC" w:rsidRPr="00727955">
        <w:rPr>
          <w:rFonts w:ascii="Arial" w:hAnsi="Arial" w:cs="Arial"/>
          <w:sz w:val="22"/>
        </w:rPr>
        <w:t xml:space="preserve"> años</w:t>
      </w:r>
      <w:r w:rsidRPr="00727955">
        <w:rPr>
          <w:rFonts w:ascii="Arial" w:hAnsi="Arial" w:cs="Arial"/>
          <w:sz w:val="22"/>
        </w:rPr>
        <w:t xml:space="preserve"> </w:t>
      </w:r>
      <w:r w:rsidR="00E73C7A" w:rsidRPr="00727955">
        <w:rPr>
          <w:rFonts w:ascii="Arial" w:hAnsi="Arial" w:cs="Arial"/>
          <w:sz w:val="22"/>
        </w:rPr>
        <w:t xml:space="preserve">y medio </w:t>
      </w:r>
      <w:r w:rsidRPr="00727955">
        <w:rPr>
          <w:rFonts w:ascii="Arial" w:hAnsi="Arial" w:cs="Arial"/>
          <w:sz w:val="22"/>
        </w:rPr>
        <w:t xml:space="preserve">de la ejecución (lo que ocurra primero). Esa evaluación tendrá como principales objetivos revisar el </w:t>
      </w:r>
      <w:r w:rsidR="006509F8" w:rsidRPr="00727955">
        <w:rPr>
          <w:rFonts w:ascii="Arial" w:hAnsi="Arial" w:cs="Arial"/>
          <w:sz w:val="22"/>
        </w:rPr>
        <w:t xml:space="preserve">grado de </w:t>
      </w:r>
      <w:r w:rsidRPr="00727955">
        <w:rPr>
          <w:rFonts w:ascii="Arial" w:hAnsi="Arial" w:cs="Arial"/>
          <w:sz w:val="22"/>
        </w:rPr>
        <w:t xml:space="preserve">avance </w:t>
      </w:r>
      <w:r w:rsidR="006509F8" w:rsidRPr="00727955">
        <w:rPr>
          <w:rFonts w:ascii="Arial" w:hAnsi="Arial" w:cs="Arial"/>
          <w:sz w:val="22"/>
        </w:rPr>
        <w:t>y cumplimento de los indicadores de producto incluidos en la matriz de resultados</w:t>
      </w:r>
      <w:r w:rsidRPr="00727955">
        <w:rPr>
          <w:rFonts w:ascii="Arial" w:hAnsi="Arial" w:cs="Arial"/>
          <w:sz w:val="22"/>
        </w:rPr>
        <w:t xml:space="preserve">, las posibles desviaciones ocurridas, las causas de éstas y proponer medidas correctivas a ser aplicadas, además de </w:t>
      </w:r>
      <w:r w:rsidR="006509F8" w:rsidRPr="00727955">
        <w:rPr>
          <w:rFonts w:ascii="Arial" w:hAnsi="Arial" w:cs="Arial"/>
          <w:sz w:val="22"/>
        </w:rPr>
        <w:t xml:space="preserve">presentar </w:t>
      </w:r>
      <w:r w:rsidRPr="00727955">
        <w:rPr>
          <w:rFonts w:ascii="Arial" w:hAnsi="Arial" w:cs="Arial"/>
          <w:sz w:val="22"/>
        </w:rPr>
        <w:t xml:space="preserve">la ocurrencia de los riesgos previstos en la matriz correspondiente y la aplicación de las medidas para mitigarlos. </w:t>
      </w:r>
      <w:bookmarkStart w:id="47" w:name="_Toc480575836"/>
      <w:bookmarkStart w:id="48" w:name="_Toc480575837"/>
      <w:bookmarkStart w:id="49" w:name="_Toc480575838"/>
      <w:bookmarkEnd w:id="47"/>
      <w:bookmarkEnd w:id="48"/>
      <w:bookmarkEnd w:id="49"/>
    </w:p>
    <w:p w14:paraId="0A21363A" w14:textId="77777777" w:rsidR="006509F8" w:rsidRPr="00727955" w:rsidRDefault="006509F8" w:rsidP="008373D5">
      <w:pPr>
        <w:pStyle w:val="Paragraph"/>
        <w:numPr>
          <w:ilvl w:val="1"/>
          <w:numId w:val="48"/>
        </w:numPr>
        <w:ind w:left="720" w:hanging="720"/>
        <w:rPr>
          <w:rFonts w:ascii="Arial" w:hAnsi="Arial" w:cs="Arial"/>
        </w:rPr>
      </w:pPr>
      <w:r w:rsidRPr="00727955">
        <w:rPr>
          <w:rFonts w:ascii="Arial" w:hAnsi="Arial" w:cs="Arial"/>
          <w:sz w:val="22"/>
        </w:rPr>
        <w:t xml:space="preserve">La </w:t>
      </w:r>
      <w:r w:rsidR="00926C0A" w:rsidRPr="00727955">
        <w:rPr>
          <w:rFonts w:ascii="Arial" w:hAnsi="Arial" w:cs="Arial"/>
          <w:sz w:val="22"/>
        </w:rPr>
        <w:t>evaluación</w:t>
      </w:r>
      <w:r w:rsidRPr="00727955">
        <w:rPr>
          <w:rFonts w:ascii="Arial" w:hAnsi="Arial" w:cs="Arial"/>
          <w:sz w:val="22"/>
        </w:rPr>
        <w:t xml:space="preserve"> intermedia deber</w:t>
      </w:r>
      <w:r w:rsidR="001118E2" w:rsidRPr="00727955">
        <w:rPr>
          <w:rFonts w:ascii="Arial" w:hAnsi="Arial" w:cs="Arial"/>
          <w:sz w:val="22"/>
        </w:rPr>
        <w:t>á</w:t>
      </w:r>
      <w:r w:rsidRPr="00727955">
        <w:rPr>
          <w:rFonts w:ascii="Arial" w:hAnsi="Arial" w:cs="Arial"/>
          <w:sz w:val="22"/>
        </w:rPr>
        <w:t xml:space="preserve"> incluir lo siguiente: </w:t>
      </w:r>
    </w:p>
    <w:p w14:paraId="372A11FB" w14:textId="5147351A" w:rsidR="00102804" w:rsidRPr="00727955" w:rsidRDefault="006509F8" w:rsidP="008373D5">
      <w:pPr>
        <w:pStyle w:val="Paragraph"/>
        <w:numPr>
          <w:ilvl w:val="1"/>
          <w:numId w:val="48"/>
        </w:numPr>
        <w:ind w:left="720" w:hanging="720"/>
        <w:rPr>
          <w:rFonts w:ascii="Arial" w:hAnsi="Arial" w:cs="Arial"/>
        </w:rPr>
      </w:pPr>
      <w:r w:rsidRPr="00727955">
        <w:rPr>
          <w:rFonts w:ascii="Arial" w:hAnsi="Arial" w:cs="Arial"/>
          <w:sz w:val="22"/>
        </w:rPr>
        <w:t>U</w:t>
      </w:r>
      <w:r w:rsidR="00102804" w:rsidRPr="00727955">
        <w:rPr>
          <w:rFonts w:ascii="Arial" w:hAnsi="Arial" w:cs="Arial"/>
          <w:sz w:val="22"/>
        </w:rPr>
        <w:t>na revisión de los desembols</w:t>
      </w:r>
      <w:r w:rsidR="009D4EA6" w:rsidRPr="00727955">
        <w:rPr>
          <w:rFonts w:ascii="Arial" w:hAnsi="Arial" w:cs="Arial"/>
          <w:sz w:val="22"/>
        </w:rPr>
        <w:t xml:space="preserve">os y contrataciones del </w:t>
      </w:r>
      <w:r w:rsidR="00B46047">
        <w:rPr>
          <w:rFonts w:ascii="Arial" w:hAnsi="Arial" w:cs="Arial"/>
          <w:sz w:val="22"/>
        </w:rPr>
        <w:t>p</w:t>
      </w:r>
      <w:r w:rsidR="009D4EA6" w:rsidRPr="00727955">
        <w:rPr>
          <w:rFonts w:ascii="Arial" w:hAnsi="Arial" w:cs="Arial"/>
          <w:sz w:val="22"/>
        </w:rPr>
        <w:t>royecto</w:t>
      </w:r>
      <w:r w:rsidR="00102804" w:rsidRPr="00727955">
        <w:rPr>
          <w:rFonts w:ascii="Arial" w:hAnsi="Arial" w:cs="Arial"/>
          <w:sz w:val="22"/>
        </w:rPr>
        <w:t xml:space="preserve"> con referencia a la documentación aprobada como el Plan de Ejecución Plurianual (PEP) y los Planes Operativos Anuales (POA). </w:t>
      </w:r>
      <w:r w:rsidRPr="00727955">
        <w:rPr>
          <w:rFonts w:ascii="Arial" w:hAnsi="Arial" w:cs="Arial"/>
          <w:sz w:val="22"/>
        </w:rPr>
        <w:t>I</w:t>
      </w:r>
      <w:r w:rsidR="00102804" w:rsidRPr="00727955">
        <w:rPr>
          <w:rFonts w:ascii="Arial" w:hAnsi="Arial" w:cs="Arial"/>
          <w:sz w:val="22"/>
        </w:rPr>
        <w:t xml:space="preserve">dentificar cualquier déficit o rezago y las causas de </w:t>
      </w:r>
      <w:r w:rsidR="00E73C7A" w:rsidRPr="00727955">
        <w:rPr>
          <w:rFonts w:ascii="Arial" w:hAnsi="Arial" w:cs="Arial"/>
          <w:sz w:val="22"/>
        </w:rPr>
        <w:t>estos</w:t>
      </w:r>
      <w:r w:rsidR="00102804" w:rsidRPr="00727955">
        <w:rPr>
          <w:rFonts w:ascii="Arial" w:hAnsi="Arial" w:cs="Arial"/>
          <w:sz w:val="22"/>
        </w:rPr>
        <w:t xml:space="preserve">, a fin de proponer acciones correctivas (y generar </w:t>
      </w:r>
      <w:r w:rsidR="00102804" w:rsidRPr="00727955">
        <w:rPr>
          <w:rFonts w:ascii="Arial" w:hAnsi="Arial" w:cs="Arial"/>
          <w:sz w:val="22"/>
        </w:rPr>
        <w:lastRenderedPageBreak/>
        <w:t>lecciones a</w:t>
      </w:r>
      <w:r w:rsidR="009D4EA6" w:rsidRPr="00727955">
        <w:rPr>
          <w:rFonts w:ascii="Arial" w:hAnsi="Arial" w:cs="Arial"/>
          <w:sz w:val="22"/>
        </w:rPr>
        <w:t>prendidas para futuros proyectos</w:t>
      </w:r>
      <w:r w:rsidR="00102804" w:rsidRPr="00727955">
        <w:rPr>
          <w:rFonts w:ascii="Arial" w:hAnsi="Arial" w:cs="Arial"/>
          <w:sz w:val="22"/>
        </w:rPr>
        <w:t xml:space="preserve">), así como cualquier ahorro en términos presupuestales o de tiempos. </w:t>
      </w:r>
    </w:p>
    <w:p w14:paraId="6400ABE3" w14:textId="4ED584B2" w:rsidR="00102804" w:rsidRPr="00727955" w:rsidRDefault="006509F8" w:rsidP="008373D5">
      <w:pPr>
        <w:pStyle w:val="Paragraph"/>
        <w:numPr>
          <w:ilvl w:val="1"/>
          <w:numId w:val="48"/>
        </w:numPr>
        <w:ind w:left="720" w:hanging="720"/>
        <w:rPr>
          <w:rFonts w:ascii="Arial" w:hAnsi="Arial" w:cs="Arial"/>
        </w:rPr>
      </w:pPr>
      <w:r w:rsidRPr="00727955">
        <w:rPr>
          <w:rFonts w:ascii="Arial" w:hAnsi="Arial" w:cs="Arial"/>
          <w:sz w:val="22"/>
        </w:rPr>
        <w:t>U</w:t>
      </w:r>
      <w:r w:rsidR="00102804" w:rsidRPr="00727955">
        <w:rPr>
          <w:rFonts w:ascii="Arial" w:hAnsi="Arial" w:cs="Arial"/>
          <w:sz w:val="22"/>
        </w:rPr>
        <w:t xml:space="preserve">na revisión del avance de los indicadores de la matriz de resultados, incluyendo una revisión del soporte documental o físico de los mismos. Se identificará cualquier déficit o rezago de cumplimiento y analizará las causas </w:t>
      </w:r>
      <w:r w:rsidR="00E73C7A" w:rsidRPr="00727955">
        <w:rPr>
          <w:rFonts w:ascii="Arial" w:hAnsi="Arial" w:cs="Arial"/>
          <w:sz w:val="22"/>
        </w:rPr>
        <w:t>de este</w:t>
      </w:r>
      <w:r w:rsidR="00102804" w:rsidRPr="00727955">
        <w:rPr>
          <w:rFonts w:ascii="Arial" w:hAnsi="Arial" w:cs="Arial"/>
          <w:sz w:val="22"/>
        </w:rPr>
        <w:t>, a fin de proponer acciones correctivas. Adicionalmente, se hará nota de cualquier ajuste que se haya hecho a la matriz de resultados durante la implementación del proyecto (del indicador mismo, su valor de línea de base o las metas</w:t>
      </w:r>
      <w:r w:rsidR="004C7A03" w:rsidRPr="00727955">
        <w:rPr>
          <w:rFonts w:ascii="Arial" w:hAnsi="Arial" w:cs="Arial"/>
          <w:sz w:val="22"/>
        </w:rPr>
        <w:t xml:space="preserve">) </w:t>
      </w:r>
    </w:p>
    <w:p w14:paraId="08CF1E47" w14:textId="77777777" w:rsidR="00102804" w:rsidRPr="00727955" w:rsidRDefault="00102804" w:rsidP="008373D5">
      <w:pPr>
        <w:pStyle w:val="Paragraph"/>
        <w:numPr>
          <w:ilvl w:val="1"/>
          <w:numId w:val="48"/>
        </w:numPr>
        <w:ind w:left="720" w:hanging="720"/>
        <w:rPr>
          <w:rFonts w:ascii="Arial" w:hAnsi="Arial" w:cs="Arial"/>
        </w:rPr>
      </w:pPr>
      <w:r w:rsidRPr="00727955">
        <w:rPr>
          <w:rFonts w:ascii="Arial" w:hAnsi="Arial" w:cs="Arial"/>
          <w:sz w:val="22"/>
        </w:rPr>
        <w:t>Identificar los resultados imprevistos (no incluidos en el objetivo declarado o la matriz de resultados) observados hasta la fecha y presentar evidencia de</w:t>
      </w:r>
      <w:r w:rsidR="004C7A03" w:rsidRPr="00727955">
        <w:rPr>
          <w:rFonts w:ascii="Arial" w:hAnsi="Arial" w:cs="Arial"/>
          <w:sz w:val="22"/>
        </w:rPr>
        <w:t>l efecto directo del proyecto sobre los mismos</w:t>
      </w:r>
      <w:r w:rsidRPr="00727955">
        <w:rPr>
          <w:rFonts w:ascii="Arial" w:hAnsi="Arial" w:cs="Arial"/>
          <w:sz w:val="22"/>
        </w:rPr>
        <w:t xml:space="preserve">. </w:t>
      </w:r>
    </w:p>
    <w:p w14:paraId="0CC9321C" w14:textId="33CD199C" w:rsidR="00102804" w:rsidRPr="00727955" w:rsidRDefault="004C7A03" w:rsidP="008373D5">
      <w:pPr>
        <w:pStyle w:val="Paragraph"/>
        <w:numPr>
          <w:ilvl w:val="1"/>
          <w:numId w:val="48"/>
        </w:numPr>
        <w:ind w:left="720" w:hanging="720"/>
        <w:rPr>
          <w:rFonts w:ascii="Arial" w:hAnsi="Arial" w:cs="Arial"/>
        </w:rPr>
      </w:pPr>
      <w:r w:rsidRPr="00727955">
        <w:rPr>
          <w:rFonts w:ascii="Arial" w:hAnsi="Arial" w:cs="Arial"/>
          <w:sz w:val="22"/>
        </w:rPr>
        <w:t xml:space="preserve">Sobre la base de la </w:t>
      </w:r>
      <w:r w:rsidR="009D4EA6" w:rsidRPr="00727955">
        <w:rPr>
          <w:rFonts w:ascii="Arial" w:hAnsi="Arial" w:cs="Arial"/>
          <w:sz w:val="22"/>
        </w:rPr>
        <w:t xml:space="preserve">matriz de riesgos del </w:t>
      </w:r>
      <w:r w:rsidR="00B46047">
        <w:rPr>
          <w:rFonts w:ascii="Arial" w:hAnsi="Arial" w:cs="Arial"/>
          <w:sz w:val="22"/>
        </w:rPr>
        <w:t>p</w:t>
      </w:r>
      <w:r w:rsidR="009D4EA6" w:rsidRPr="00727955">
        <w:rPr>
          <w:rFonts w:ascii="Arial" w:hAnsi="Arial" w:cs="Arial"/>
          <w:sz w:val="22"/>
        </w:rPr>
        <w:t>royecto</w:t>
      </w:r>
      <w:r w:rsidRPr="00727955">
        <w:rPr>
          <w:rFonts w:ascii="Arial" w:hAnsi="Arial" w:cs="Arial"/>
          <w:sz w:val="22"/>
        </w:rPr>
        <w:t xml:space="preserve">, </w:t>
      </w:r>
      <w:r w:rsidR="00102804" w:rsidRPr="00727955">
        <w:rPr>
          <w:rFonts w:ascii="Arial" w:hAnsi="Arial" w:cs="Arial"/>
          <w:sz w:val="22"/>
        </w:rPr>
        <w:t xml:space="preserve">analizar el grado al cual se han materializado los riesgos identificados, las medidas de mitigación que se han implementado, la efectividad de las medidas tomadas, y el grado de riesgo a futuro. Adicionalmente, con base en una revisión documental y entrevistas con informantes clave, se identificarán riesgos no contemplados en la matriz de riesgos original y recomendadas acciones de mitigación. </w:t>
      </w:r>
    </w:p>
    <w:p w14:paraId="1D940503" w14:textId="2D66E095" w:rsidR="00102804" w:rsidRPr="00727955" w:rsidRDefault="006509F8" w:rsidP="008373D5">
      <w:pPr>
        <w:pStyle w:val="Paragraph"/>
        <w:numPr>
          <w:ilvl w:val="1"/>
          <w:numId w:val="48"/>
        </w:numPr>
        <w:ind w:left="720" w:hanging="720"/>
        <w:rPr>
          <w:rFonts w:ascii="Arial" w:hAnsi="Arial" w:cs="Arial"/>
        </w:rPr>
      </w:pPr>
      <w:r w:rsidRPr="00727955">
        <w:rPr>
          <w:rFonts w:ascii="Arial" w:hAnsi="Arial" w:cs="Arial"/>
          <w:sz w:val="22"/>
        </w:rPr>
        <w:t>U</w:t>
      </w:r>
      <w:r w:rsidR="00102804" w:rsidRPr="00727955">
        <w:rPr>
          <w:rFonts w:ascii="Arial" w:hAnsi="Arial" w:cs="Arial"/>
          <w:sz w:val="22"/>
        </w:rPr>
        <w:t>na revisión de la administración del proyecto y su impacto en el éxito del proyect</w:t>
      </w:r>
      <w:r w:rsidR="009D4EA6" w:rsidRPr="00727955">
        <w:rPr>
          <w:rFonts w:ascii="Arial" w:hAnsi="Arial" w:cs="Arial"/>
          <w:sz w:val="22"/>
        </w:rPr>
        <w:t xml:space="preserve">o hasta la fecha, incluyendo: </w:t>
      </w:r>
      <w:r w:rsidR="001967D8" w:rsidRPr="00727955">
        <w:rPr>
          <w:rFonts w:ascii="Arial" w:hAnsi="Arial" w:cs="Arial"/>
          <w:sz w:val="22"/>
        </w:rPr>
        <w:t>(</w:t>
      </w:r>
      <w:r w:rsidR="009D4EA6" w:rsidRPr="00727955">
        <w:rPr>
          <w:rFonts w:ascii="Arial" w:hAnsi="Arial" w:cs="Arial"/>
          <w:sz w:val="22"/>
        </w:rPr>
        <w:t>a</w:t>
      </w:r>
      <w:r w:rsidR="00102804" w:rsidRPr="00727955">
        <w:rPr>
          <w:rFonts w:ascii="Arial" w:hAnsi="Arial" w:cs="Arial"/>
          <w:sz w:val="22"/>
        </w:rPr>
        <w:t>) los mandatos, las relaciones, las estructuras, los recursos las capacidades del organismo ejecutor</w:t>
      </w:r>
      <w:r w:rsidR="00E73C7A" w:rsidRPr="00727955">
        <w:rPr>
          <w:rFonts w:ascii="Arial" w:hAnsi="Arial" w:cs="Arial"/>
          <w:sz w:val="22"/>
        </w:rPr>
        <w:t xml:space="preserve"> y del organismo subejecutor,</w:t>
      </w:r>
      <w:r w:rsidR="00102804" w:rsidRPr="00727955">
        <w:rPr>
          <w:rFonts w:ascii="Arial" w:hAnsi="Arial" w:cs="Arial"/>
          <w:sz w:val="22"/>
        </w:rPr>
        <w:t xml:space="preserve"> y su coordinación con o</w:t>
      </w:r>
      <w:r w:rsidR="009D4EA6" w:rsidRPr="00727955">
        <w:rPr>
          <w:rFonts w:ascii="Arial" w:hAnsi="Arial" w:cs="Arial"/>
          <w:sz w:val="22"/>
        </w:rPr>
        <w:t xml:space="preserve">tras entidades involucradas; </w:t>
      </w:r>
      <w:r w:rsidR="001967D8" w:rsidRPr="00727955">
        <w:rPr>
          <w:rFonts w:ascii="Arial" w:hAnsi="Arial" w:cs="Arial"/>
          <w:sz w:val="22"/>
        </w:rPr>
        <w:t>(</w:t>
      </w:r>
      <w:r w:rsidR="009D4EA6" w:rsidRPr="00727955">
        <w:rPr>
          <w:rFonts w:ascii="Arial" w:hAnsi="Arial" w:cs="Arial"/>
          <w:sz w:val="22"/>
        </w:rPr>
        <w:t>b</w:t>
      </w:r>
      <w:r w:rsidR="00102804" w:rsidRPr="00727955">
        <w:rPr>
          <w:rFonts w:ascii="Arial" w:hAnsi="Arial" w:cs="Arial"/>
          <w:sz w:val="22"/>
        </w:rPr>
        <w:t>) la gestión fiduciaria (gestión fina</w:t>
      </w:r>
      <w:r w:rsidR="009D4EA6" w:rsidRPr="00727955">
        <w:rPr>
          <w:rFonts w:ascii="Arial" w:hAnsi="Arial" w:cs="Arial"/>
          <w:sz w:val="22"/>
        </w:rPr>
        <w:t xml:space="preserve">nciera y de adquisiciones); </w:t>
      </w:r>
      <w:r w:rsidR="001967D8" w:rsidRPr="00727955">
        <w:rPr>
          <w:rFonts w:ascii="Arial" w:hAnsi="Arial" w:cs="Arial"/>
          <w:sz w:val="22"/>
        </w:rPr>
        <w:t>(</w:t>
      </w:r>
      <w:r w:rsidR="009D4EA6" w:rsidRPr="00727955">
        <w:rPr>
          <w:rFonts w:ascii="Arial" w:hAnsi="Arial" w:cs="Arial"/>
          <w:sz w:val="22"/>
        </w:rPr>
        <w:t>c</w:t>
      </w:r>
      <w:r w:rsidR="00102804" w:rsidRPr="00727955">
        <w:rPr>
          <w:rFonts w:ascii="Arial" w:hAnsi="Arial" w:cs="Arial"/>
          <w:sz w:val="22"/>
        </w:rPr>
        <w:t>) cualquier conducta o acción de algún participante público o privado;</w:t>
      </w:r>
      <w:r w:rsidR="009D4EA6" w:rsidRPr="00727955">
        <w:rPr>
          <w:rFonts w:ascii="Arial" w:hAnsi="Arial" w:cs="Arial"/>
          <w:sz w:val="22"/>
        </w:rPr>
        <w:t xml:space="preserve"> </w:t>
      </w:r>
      <w:r w:rsidR="001967D8" w:rsidRPr="00727955">
        <w:rPr>
          <w:rFonts w:ascii="Arial" w:hAnsi="Arial" w:cs="Arial"/>
          <w:sz w:val="22"/>
        </w:rPr>
        <w:t>(</w:t>
      </w:r>
      <w:r w:rsidR="009D4EA6" w:rsidRPr="00727955">
        <w:rPr>
          <w:rFonts w:ascii="Arial" w:hAnsi="Arial" w:cs="Arial"/>
          <w:sz w:val="22"/>
        </w:rPr>
        <w:t>d</w:t>
      </w:r>
      <w:r w:rsidR="00102804" w:rsidRPr="00727955">
        <w:rPr>
          <w:rFonts w:ascii="Arial" w:hAnsi="Arial" w:cs="Arial"/>
          <w:sz w:val="22"/>
        </w:rPr>
        <w:t>) aspectos jurídicos o normat</w:t>
      </w:r>
      <w:r w:rsidR="009D4EA6" w:rsidRPr="00727955">
        <w:rPr>
          <w:rFonts w:ascii="Arial" w:hAnsi="Arial" w:cs="Arial"/>
          <w:sz w:val="22"/>
        </w:rPr>
        <w:t xml:space="preserve">ivos, del país o del Banco; y </w:t>
      </w:r>
      <w:r w:rsidR="001967D8" w:rsidRPr="00727955">
        <w:rPr>
          <w:rFonts w:ascii="Arial" w:hAnsi="Arial" w:cs="Arial"/>
          <w:sz w:val="22"/>
        </w:rPr>
        <w:t>(</w:t>
      </w:r>
      <w:r w:rsidR="009D4EA6" w:rsidRPr="00727955">
        <w:rPr>
          <w:rFonts w:ascii="Arial" w:hAnsi="Arial" w:cs="Arial"/>
          <w:sz w:val="22"/>
        </w:rPr>
        <w:t>e</w:t>
      </w:r>
      <w:r w:rsidR="00102804" w:rsidRPr="00727955">
        <w:rPr>
          <w:rFonts w:ascii="Arial" w:hAnsi="Arial" w:cs="Arial"/>
          <w:sz w:val="22"/>
        </w:rPr>
        <w:t xml:space="preserve">) </w:t>
      </w:r>
      <w:r w:rsidR="00E73C7A" w:rsidRPr="00727955">
        <w:rPr>
          <w:rFonts w:ascii="Arial" w:hAnsi="Arial" w:cs="Arial"/>
          <w:sz w:val="22"/>
        </w:rPr>
        <w:t xml:space="preserve">cualquier </w:t>
      </w:r>
      <w:r w:rsidR="00102804" w:rsidRPr="00727955">
        <w:rPr>
          <w:rFonts w:ascii="Arial" w:hAnsi="Arial" w:cs="Arial"/>
          <w:sz w:val="22"/>
        </w:rPr>
        <w:t xml:space="preserve">otro factor influyente. </w:t>
      </w:r>
    </w:p>
    <w:p w14:paraId="5290F757" w14:textId="77777777" w:rsidR="00102804" w:rsidRPr="00727955" w:rsidRDefault="00A14E52" w:rsidP="008373D5">
      <w:pPr>
        <w:pStyle w:val="Paragraph"/>
        <w:numPr>
          <w:ilvl w:val="1"/>
          <w:numId w:val="48"/>
        </w:numPr>
        <w:ind w:left="720" w:hanging="720"/>
        <w:rPr>
          <w:rFonts w:ascii="Arial" w:hAnsi="Arial" w:cs="Arial"/>
          <w:sz w:val="22"/>
        </w:rPr>
      </w:pPr>
      <w:r w:rsidRPr="00727955">
        <w:rPr>
          <w:rFonts w:ascii="Arial" w:hAnsi="Arial" w:cs="Arial"/>
          <w:sz w:val="22"/>
        </w:rPr>
        <w:t>U</w:t>
      </w:r>
      <w:r w:rsidR="00102804" w:rsidRPr="00727955">
        <w:rPr>
          <w:rFonts w:ascii="Arial" w:hAnsi="Arial" w:cs="Arial"/>
          <w:sz w:val="22"/>
        </w:rPr>
        <w:t xml:space="preserve">na sección de conclusiones y recomendaciones con base en toda la </w:t>
      </w:r>
      <w:r w:rsidR="001118E2" w:rsidRPr="00727955">
        <w:rPr>
          <w:rFonts w:ascii="Arial" w:hAnsi="Arial" w:cs="Arial"/>
          <w:sz w:val="22"/>
        </w:rPr>
        <w:t>información</w:t>
      </w:r>
      <w:r w:rsidR="00102804" w:rsidRPr="00727955">
        <w:rPr>
          <w:rFonts w:ascii="Arial" w:hAnsi="Arial" w:cs="Arial"/>
          <w:sz w:val="22"/>
        </w:rPr>
        <w:t xml:space="preserve"> recopilada. </w:t>
      </w:r>
    </w:p>
    <w:p w14:paraId="1E6DA7BD" w14:textId="77777777" w:rsidR="00C97E55" w:rsidRPr="00727955" w:rsidRDefault="00C97E55" w:rsidP="00542496">
      <w:pPr>
        <w:pStyle w:val="Paragraph"/>
        <w:numPr>
          <w:ilvl w:val="0"/>
          <w:numId w:val="0"/>
        </w:numPr>
        <w:rPr>
          <w:rFonts w:ascii="Arial" w:hAnsi="Arial" w:cs="Arial"/>
        </w:rPr>
      </w:pPr>
    </w:p>
    <w:p w14:paraId="6FC8BD0C" w14:textId="77777777" w:rsidR="007B1814" w:rsidRPr="00727955" w:rsidRDefault="001118E2" w:rsidP="00C2120C">
      <w:pPr>
        <w:pStyle w:val="sub-sections"/>
        <w:numPr>
          <w:ilvl w:val="1"/>
          <w:numId w:val="10"/>
        </w:numPr>
        <w:ind w:left="720" w:hanging="720"/>
        <w:rPr>
          <w:rFonts w:ascii="Arial" w:hAnsi="Arial" w:cs="Arial"/>
        </w:rPr>
      </w:pPr>
      <w:bookmarkStart w:id="50" w:name="_Toc487815091"/>
      <w:r w:rsidRPr="00727955">
        <w:rPr>
          <w:rFonts w:ascii="Arial" w:hAnsi="Arial" w:cs="Arial"/>
        </w:rPr>
        <w:t>Evaluación</w:t>
      </w:r>
      <w:r w:rsidR="0055488A" w:rsidRPr="00727955">
        <w:rPr>
          <w:rFonts w:ascii="Arial" w:hAnsi="Arial" w:cs="Arial"/>
        </w:rPr>
        <w:t xml:space="preserve"> Final</w:t>
      </w:r>
      <w:bookmarkEnd w:id="50"/>
    </w:p>
    <w:p w14:paraId="030968D4" w14:textId="77777777" w:rsidR="007B1814" w:rsidRPr="00727955" w:rsidRDefault="007B1814" w:rsidP="008373D5">
      <w:pPr>
        <w:pStyle w:val="Paragraph"/>
        <w:numPr>
          <w:ilvl w:val="1"/>
          <w:numId w:val="48"/>
        </w:numPr>
        <w:ind w:left="720" w:hanging="720"/>
        <w:rPr>
          <w:rFonts w:ascii="Arial" w:hAnsi="Arial" w:cs="Arial"/>
        </w:rPr>
      </w:pPr>
      <w:r w:rsidRPr="00727955">
        <w:rPr>
          <w:rFonts w:ascii="Arial" w:hAnsi="Arial" w:cs="Arial"/>
          <w:sz w:val="22"/>
        </w:rPr>
        <w:t>La evaluación final incluirá una versión actualizada de las actividades enumeradas para la evaluación intermedia, así como las siguientes actividades, consistentes con las directrices del Banco:</w:t>
      </w:r>
    </w:p>
    <w:p w14:paraId="1B073D0C" w14:textId="77777777" w:rsidR="007B1814" w:rsidRPr="00727955" w:rsidRDefault="007B1814" w:rsidP="008373D5">
      <w:pPr>
        <w:pStyle w:val="Paragraph"/>
        <w:numPr>
          <w:ilvl w:val="1"/>
          <w:numId w:val="48"/>
        </w:numPr>
        <w:ind w:left="720" w:hanging="720"/>
        <w:rPr>
          <w:rFonts w:ascii="Arial" w:hAnsi="Arial" w:cs="Arial"/>
        </w:rPr>
      </w:pPr>
      <w:r w:rsidRPr="00727955">
        <w:rPr>
          <w:rFonts w:ascii="Arial" w:hAnsi="Arial" w:cs="Arial"/>
          <w:sz w:val="22"/>
        </w:rPr>
        <w:t>Análisis de la lógica vertical: la evaluación final de la validez del vínculo entre los productos, los resultados esperados y el resultado deseado (cadena de resultados). La evaluación evaluará el alcance de los resultados según lo desarrollado.</w:t>
      </w:r>
    </w:p>
    <w:p w14:paraId="15A200C1" w14:textId="0303B52C" w:rsidR="0056198A" w:rsidRPr="00727955" w:rsidRDefault="007B1814" w:rsidP="008373D5">
      <w:pPr>
        <w:pStyle w:val="Paragraph"/>
        <w:numPr>
          <w:ilvl w:val="1"/>
          <w:numId w:val="48"/>
        </w:numPr>
        <w:ind w:left="720" w:hanging="720"/>
        <w:rPr>
          <w:rFonts w:ascii="Arial" w:hAnsi="Arial" w:cs="Arial"/>
        </w:rPr>
      </w:pPr>
      <w:r w:rsidRPr="00727955">
        <w:rPr>
          <w:rFonts w:ascii="Arial" w:hAnsi="Arial" w:cs="Arial"/>
          <w:sz w:val="22"/>
        </w:rPr>
        <w:t xml:space="preserve">Análisis de atribución de resultados: en relación con el punto anterior sobre el análisis de la lógica vertical, la evaluación también evaluará el alcance de los cambios observados en los resultados o los resultados del proyecto. </w:t>
      </w:r>
    </w:p>
    <w:p w14:paraId="2C7E45D6" w14:textId="3A315FA7" w:rsidR="007B1814" w:rsidRPr="00727955" w:rsidRDefault="007B1814" w:rsidP="008373D5">
      <w:pPr>
        <w:pStyle w:val="Paragraph"/>
        <w:numPr>
          <w:ilvl w:val="1"/>
          <w:numId w:val="48"/>
        </w:numPr>
        <w:ind w:left="720" w:hanging="720"/>
        <w:rPr>
          <w:rFonts w:ascii="Arial" w:hAnsi="Arial" w:cs="Arial"/>
        </w:rPr>
      </w:pPr>
      <w:r w:rsidRPr="00727955">
        <w:rPr>
          <w:rFonts w:ascii="Arial" w:hAnsi="Arial" w:cs="Arial"/>
          <w:sz w:val="22"/>
        </w:rPr>
        <w:t xml:space="preserve"> </w:t>
      </w:r>
      <w:r w:rsidRPr="00727955">
        <w:rPr>
          <w:rFonts w:ascii="Arial" w:hAnsi="Arial" w:cs="Arial"/>
          <w:b/>
          <w:sz w:val="22"/>
        </w:rPr>
        <w:t>Análisis de relevancia</w:t>
      </w:r>
      <w:r w:rsidR="005474A4" w:rsidRPr="005474A4">
        <w:rPr>
          <w:rFonts w:ascii="Arial" w:hAnsi="Arial" w:cs="Arial"/>
          <w:b/>
          <w:bCs/>
          <w:sz w:val="22"/>
        </w:rPr>
        <w:t>.</w:t>
      </w:r>
      <w:r w:rsidRPr="00727955">
        <w:rPr>
          <w:rFonts w:ascii="Arial" w:hAnsi="Arial" w:cs="Arial"/>
          <w:sz w:val="22"/>
        </w:rPr>
        <w:t xml:space="preserve"> "Relevancia" en este contexto se refiere a la conexión entre los objetivos del proyecto y las necesidades del beneficiario, las prioridades y los objetivos estratégicos de desarrollo del país, la estrategia entre el Banco y el país y </w:t>
      </w:r>
      <w:r w:rsidR="00D4123A" w:rsidRPr="00727955">
        <w:rPr>
          <w:rFonts w:ascii="Arial" w:hAnsi="Arial" w:cs="Arial"/>
          <w:sz w:val="22"/>
        </w:rPr>
        <w:t xml:space="preserve">los objetivos institucionales del </w:t>
      </w:r>
      <w:r w:rsidR="0056198A" w:rsidRPr="00727955">
        <w:rPr>
          <w:rFonts w:ascii="Arial" w:hAnsi="Arial" w:cs="Arial"/>
          <w:sz w:val="22"/>
        </w:rPr>
        <w:t>B</w:t>
      </w:r>
      <w:r w:rsidR="00D4123A" w:rsidRPr="00727955">
        <w:rPr>
          <w:rFonts w:ascii="Arial" w:hAnsi="Arial" w:cs="Arial"/>
          <w:sz w:val="22"/>
        </w:rPr>
        <w:t xml:space="preserve">anco. </w:t>
      </w:r>
      <w:r w:rsidRPr="00727955">
        <w:rPr>
          <w:rFonts w:ascii="Arial" w:hAnsi="Arial" w:cs="Arial"/>
          <w:sz w:val="22"/>
        </w:rPr>
        <w:t>La relevancia se evalúa a través de un análisis de las circunstancias durante el diseño del proyecto, y debe responder la siguiente pregunta: ¿Han cambiado las condiciones que determinaron la relevancia presentada durante el diseño desde la aprobación del proyecto?</w:t>
      </w:r>
    </w:p>
    <w:p w14:paraId="0349FD2F" w14:textId="1AA4D3F0" w:rsidR="007B1814" w:rsidRPr="00727955" w:rsidRDefault="007B1814" w:rsidP="008373D5">
      <w:pPr>
        <w:pStyle w:val="Paragraph"/>
        <w:numPr>
          <w:ilvl w:val="1"/>
          <w:numId w:val="48"/>
        </w:numPr>
        <w:ind w:left="720" w:hanging="720"/>
        <w:rPr>
          <w:rFonts w:ascii="Arial" w:hAnsi="Arial" w:cs="Arial"/>
        </w:rPr>
      </w:pPr>
      <w:r w:rsidRPr="00727955">
        <w:rPr>
          <w:rFonts w:ascii="Arial" w:hAnsi="Arial" w:cs="Arial"/>
          <w:b/>
          <w:sz w:val="22"/>
        </w:rPr>
        <w:lastRenderedPageBreak/>
        <w:t>Análisis de sostenibilida</w:t>
      </w:r>
      <w:r w:rsidRPr="005474A4">
        <w:rPr>
          <w:rFonts w:ascii="Arial" w:hAnsi="Arial" w:cs="Arial"/>
          <w:b/>
          <w:sz w:val="22"/>
        </w:rPr>
        <w:t>d</w:t>
      </w:r>
      <w:r w:rsidR="005474A4" w:rsidRPr="005474A4">
        <w:rPr>
          <w:rFonts w:ascii="Arial" w:hAnsi="Arial" w:cs="Arial"/>
          <w:b/>
          <w:sz w:val="22"/>
        </w:rPr>
        <w:t>.</w:t>
      </w:r>
      <w:r w:rsidRPr="00727955">
        <w:rPr>
          <w:rFonts w:ascii="Arial" w:hAnsi="Arial" w:cs="Arial"/>
          <w:sz w:val="22"/>
        </w:rPr>
        <w:t xml:space="preserve"> Tomando en consideración (a) los resultados logrados por el proyecto</w:t>
      </w:r>
      <w:r w:rsidR="00476639" w:rsidRPr="00727955">
        <w:rPr>
          <w:rFonts w:ascii="Arial" w:hAnsi="Arial" w:cs="Arial"/>
          <w:sz w:val="22"/>
        </w:rPr>
        <w:t>;</w:t>
      </w:r>
      <w:r w:rsidRPr="00727955">
        <w:rPr>
          <w:rFonts w:ascii="Arial" w:hAnsi="Arial" w:cs="Arial"/>
          <w:sz w:val="22"/>
        </w:rPr>
        <w:t xml:space="preserve"> y (b) la relevancia del proyecto, el análisis de sostenibilidad se enfoca en el examen de los factores que podrían afectar la continuidad de los resultados logrados y el logro futuro de los proyectos. </w:t>
      </w:r>
      <w:r w:rsidR="00163847" w:rsidRPr="00727955">
        <w:rPr>
          <w:rFonts w:ascii="Arial" w:hAnsi="Arial" w:cs="Arial"/>
          <w:sz w:val="22"/>
        </w:rPr>
        <w:t>L</w:t>
      </w:r>
      <w:r w:rsidRPr="00727955">
        <w:rPr>
          <w:rFonts w:ascii="Arial" w:hAnsi="Arial" w:cs="Arial"/>
          <w:sz w:val="22"/>
        </w:rPr>
        <w:t xml:space="preserve">os resultados previstos o </w:t>
      </w:r>
      <w:r w:rsidR="00476639" w:rsidRPr="00727955">
        <w:rPr>
          <w:rFonts w:ascii="Arial" w:hAnsi="Arial" w:cs="Arial"/>
          <w:sz w:val="22"/>
        </w:rPr>
        <w:t>e</w:t>
      </w:r>
      <w:r w:rsidRPr="00727955">
        <w:rPr>
          <w:rFonts w:ascii="Arial" w:hAnsi="Arial" w:cs="Arial"/>
          <w:sz w:val="22"/>
        </w:rPr>
        <w:t xml:space="preserve">l análisis de sostenibilidad </w:t>
      </w:r>
      <w:r w:rsidR="00DA7B65" w:rsidRPr="00727955">
        <w:rPr>
          <w:rFonts w:ascii="Arial" w:hAnsi="Arial" w:cs="Arial"/>
          <w:sz w:val="22"/>
        </w:rPr>
        <w:t>deben</w:t>
      </w:r>
      <w:r w:rsidRPr="00727955">
        <w:rPr>
          <w:rFonts w:ascii="Arial" w:hAnsi="Arial" w:cs="Arial"/>
          <w:sz w:val="22"/>
        </w:rPr>
        <w:t xml:space="preserve"> tener en cuenta la probabilidad de las amenazas identificadas para la continuidad más allá del cierre del proyecto, así como su impacto potencial a la luz de los mecanismos de mitigación implementados durante el diseño o ejecución del proyecto.</w:t>
      </w:r>
    </w:p>
    <w:p w14:paraId="4882B0C4" w14:textId="77777777" w:rsidR="007B1814" w:rsidRPr="00727955" w:rsidRDefault="007B1814" w:rsidP="008373D5">
      <w:pPr>
        <w:pStyle w:val="Paragraph"/>
        <w:numPr>
          <w:ilvl w:val="1"/>
          <w:numId w:val="48"/>
        </w:numPr>
        <w:ind w:left="720" w:hanging="720"/>
        <w:rPr>
          <w:rFonts w:ascii="Arial" w:hAnsi="Arial" w:cs="Arial"/>
        </w:rPr>
      </w:pPr>
      <w:r w:rsidRPr="00727955">
        <w:rPr>
          <w:rFonts w:ascii="Arial" w:hAnsi="Arial" w:cs="Arial"/>
          <w:b/>
          <w:sz w:val="22"/>
        </w:rPr>
        <w:t>Análisis de la contribución a los objetivos estratégicos del Banco</w:t>
      </w:r>
      <w:r w:rsidRPr="00727955">
        <w:rPr>
          <w:rFonts w:ascii="Arial" w:hAnsi="Arial" w:cs="Arial"/>
          <w:sz w:val="22"/>
        </w:rPr>
        <w:t xml:space="preserve"> (institucionales, sectoriales y de país) y estratégicos nacionales (consagrados en el plan nacional de desarrollo u otro documento oficial).</w:t>
      </w:r>
    </w:p>
    <w:p w14:paraId="58C42DFD" w14:textId="7319D02B" w:rsidR="007B1814" w:rsidRPr="00727955" w:rsidRDefault="007B1814" w:rsidP="008373D5">
      <w:pPr>
        <w:pStyle w:val="Paragraph"/>
        <w:numPr>
          <w:ilvl w:val="1"/>
          <w:numId w:val="48"/>
        </w:numPr>
        <w:ind w:left="720" w:hanging="720"/>
        <w:rPr>
          <w:rFonts w:ascii="Arial" w:hAnsi="Arial" w:cs="Arial"/>
        </w:rPr>
      </w:pPr>
      <w:r w:rsidRPr="00727955">
        <w:rPr>
          <w:rFonts w:ascii="Arial" w:hAnsi="Arial" w:cs="Arial"/>
          <w:b/>
          <w:sz w:val="22"/>
        </w:rPr>
        <w:t>Análisis de la calidad del plan de M &amp; E del proyecto,</w:t>
      </w:r>
      <w:r w:rsidRPr="00727955">
        <w:rPr>
          <w:rFonts w:ascii="Arial" w:hAnsi="Arial" w:cs="Arial"/>
          <w:sz w:val="22"/>
        </w:rPr>
        <w:t xml:space="preserve"> su implementación y el uso de la información generada, respondiendo las siguientes preguntas:</w:t>
      </w:r>
      <w:r w:rsidR="0036243C">
        <w:rPr>
          <w:rFonts w:ascii="Arial" w:hAnsi="Arial" w:cs="Arial"/>
          <w:sz w:val="22"/>
        </w:rPr>
        <w:t> </w:t>
      </w:r>
      <w:r w:rsidRPr="00727955">
        <w:rPr>
          <w:rFonts w:ascii="Arial" w:hAnsi="Arial" w:cs="Arial"/>
          <w:sz w:val="22"/>
        </w:rPr>
        <w:t>(a)</w:t>
      </w:r>
      <w:r w:rsidR="0036243C">
        <w:rPr>
          <w:rFonts w:ascii="Arial" w:hAnsi="Arial" w:cs="Arial"/>
          <w:sz w:val="22"/>
        </w:rPr>
        <w:t> </w:t>
      </w:r>
      <w:r w:rsidRPr="00727955">
        <w:rPr>
          <w:rFonts w:ascii="Arial" w:hAnsi="Arial" w:cs="Arial"/>
          <w:sz w:val="22"/>
        </w:rPr>
        <w:t>¿Los indicadores fueron adecuados para capturar las principales intervenciones y el proyecto?</w:t>
      </w:r>
      <w:r w:rsidR="00476639" w:rsidRPr="00727955">
        <w:rPr>
          <w:rFonts w:ascii="Arial" w:hAnsi="Arial" w:cs="Arial"/>
          <w:sz w:val="22"/>
        </w:rPr>
        <w:t>;</w:t>
      </w:r>
      <w:r w:rsidRPr="00727955">
        <w:rPr>
          <w:rFonts w:ascii="Arial" w:hAnsi="Arial" w:cs="Arial"/>
          <w:sz w:val="22"/>
        </w:rPr>
        <w:t xml:space="preserve"> (b) ¿Los medios de verificación previstos en la matriz de resultados permiten la compilación de la información necesaria para actualizar la matriz de resultados?</w:t>
      </w:r>
      <w:r w:rsidR="00476639" w:rsidRPr="00727955">
        <w:rPr>
          <w:rFonts w:ascii="Arial" w:hAnsi="Arial" w:cs="Arial"/>
          <w:sz w:val="22"/>
        </w:rPr>
        <w:t>;</w:t>
      </w:r>
      <w:r w:rsidRPr="00727955">
        <w:rPr>
          <w:rFonts w:ascii="Arial" w:hAnsi="Arial" w:cs="Arial"/>
          <w:sz w:val="22"/>
        </w:rPr>
        <w:t xml:space="preserve"> (c) ¿Con qué frecuencia se actualizó la matriz de resultados?</w:t>
      </w:r>
      <w:r w:rsidR="00476639" w:rsidRPr="00727955">
        <w:rPr>
          <w:rFonts w:ascii="Arial" w:hAnsi="Arial" w:cs="Arial"/>
          <w:sz w:val="22"/>
        </w:rPr>
        <w:t>;</w:t>
      </w:r>
      <w:r w:rsidRPr="00727955">
        <w:rPr>
          <w:rFonts w:ascii="Arial" w:hAnsi="Arial" w:cs="Arial"/>
          <w:sz w:val="22"/>
        </w:rPr>
        <w:t xml:space="preserve"> </w:t>
      </w:r>
      <w:r w:rsidR="00476639" w:rsidRPr="00727955">
        <w:rPr>
          <w:rFonts w:ascii="Arial" w:hAnsi="Arial" w:cs="Arial"/>
          <w:sz w:val="22"/>
        </w:rPr>
        <w:t xml:space="preserve">y </w:t>
      </w:r>
      <w:r w:rsidRPr="00727955">
        <w:rPr>
          <w:rFonts w:ascii="Arial" w:hAnsi="Arial" w:cs="Arial"/>
          <w:sz w:val="22"/>
        </w:rPr>
        <w:t>(d)</w:t>
      </w:r>
      <w:r w:rsidR="003576EE" w:rsidRPr="00727955">
        <w:rPr>
          <w:rFonts w:ascii="Arial" w:hAnsi="Arial" w:cs="Arial"/>
          <w:sz w:val="22"/>
        </w:rPr>
        <w:t> </w:t>
      </w:r>
      <w:r w:rsidRPr="00727955">
        <w:rPr>
          <w:rFonts w:ascii="Arial" w:hAnsi="Arial" w:cs="Arial"/>
          <w:sz w:val="22"/>
        </w:rPr>
        <w:t>¿Cuáles fueron los usos dados a la información generada por el plan de M</w:t>
      </w:r>
      <w:r w:rsidR="003576EE" w:rsidRPr="00727955">
        <w:rPr>
          <w:rFonts w:ascii="Arial" w:hAnsi="Arial" w:cs="Arial"/>
          <w:sz w:val="22"/>
        </w:rPr>
        <w:t> </w:t>
      </w:r>
      <w:r w:rsidRPr="00727955">
        <w:rPr>
          <w:rFonts w:ascii="Arial" w:hAnsi="Arial" w:cs="Arial"/>
          <w:sz w:val="22"/>
        </w:rPr>
        <w:t>&amp;</w:t>
      </w:r>
      <w:r w:rsidR="003576EE" w:rsidRPr="00727955">
        <w:rPr>
          <w:rFonts w:ascii="Arial" w:hAnsi="Arial" w:cs="Arial"/>
          <w:sz w:val="22"/>
        </w:rPr>
        <w:t> </w:t>
      </w:r>
      <w:r w:rsidRPr="00727955">
        <w:rPr>
          <w:rFonts w:ascii="Arial" w:hAnsi="Arial" w:cs="Arial"/>
          <w:sz w:val="22"/>
        </w:rPr>
        <w:t>E? ¿Se utilizó el plan para informar o mejorar la implementación del proyecto?</w:t>
      </w:r>
    </w:p>
    <w:p w14:paraId="79252B22" w14:textId="77777777" w:rsidR="00F36F15" w:rsidRPr="00727955" w:rsidRDefault="007B1814" w:rsidP="008373D5">
      <w:pPr>
        <w:pStyle w:val="Paragraph"/>
        <w:numPr>
          <w:ilvl w:val="1"/>
          <w:numId w:val="48"/>
        </w:numPr>
        <w:ind w:left="720" w:hanging="720"/>
        <w:rPr>
          <w:rFonts w:ascii="Arial" w:hAnsi="Arial" w:cs="Arial"/>
        </w:rPr>
      </w:pPr>
      <w:r w:rsidRPr="00727955">
        <w:rPr>
          <w:rFonts w:ascii="Arial" w:hAnsi="Arial" w:cs="Arial"/>
          <w:b/>
          <w:sz w:val="22"/>
        </w:rPr>
        <w:t>Uso de sistemas nacionale</w:t>
      </w:r>
      <w:r w:rsidRPr="005474A4">
        <w:rPr>
          <w:rFonts w:ascii="Arial" w:hAnsi="Arial" w:cs="Arial"/>
          <w:b/>
          <w:sz w:val="22"/>
        </w:rPr>
        <w:t>s.</w:t>
      </w:r>
      <w:r w:rsidRPr="00727955">
        <w:rPr>
          <w:rFonts w:ascii="Arial" w:hAnsi="Arial" w:cs="Arial"/>
          <w:sz w:val="22"/>
        </w:rPr>
        <w:t xml:space="preserve"> En esta sección se revisará el grado en que la ejecución del proyecto contribuyó al fortalecimiento de los sistemas nacionales, tanto fiduciarios (gestión financiera y adquisiciones) como no fiduciarios (planificación estratégica, monitoreo y evaluación, estadísticas y evaluaciones de impacto ambiental), como relevantes para el proyecto</w:t>
      </w:r>
      <w:r w:rsidR="00F36F15" w:rsidRPr="00727955">
        <w:rPr>
          <w:rFonts w:ascii="Arial" w:hAnsi="Arial" w:cs="Arial"/>
          <w:sz w:val="22"/>
        </w:rPr>
        <w:t>.</w:t>
      </w:r>
    </w:p>
    <w:p w14:paraId="21F4AA98" w14:textId="77777777" w:rsidR="007D18CC" w:rsidRPr="00727955" w:rsidRDefault="007B1814" w:rsidP="008373D5">
      <w:pPr>
        <w:pStyle w:val="Paragraph"/>
        <w:numPr>
          <w:ilvl w:val="1"/>
          <w:numId w:val="48"/>
        </w:numPr>
        <w:ind w:left="720" w:hanging="720"/>
        <w:rPr>
          <w:rFonts w:ascii="Arial" w:hAnsi="Arial" w:cs="Arial"/>
        </w:rPr>
      </w:pPr>
      <w:r w:rsidRPr="00727955">
        <w:rPr>
          <w:rFonts w:ascii="Arial" w:hAnsi="Arial" w:cs="Arial"/>
          <w:b/>
          <w:sz w:val="22"/>
        </w:rPr>
        <w:t>Conclusiones y recomendaciones derivadas de la evidencia reunida en el curso de la evaluación</w:t>
      </w:r>
      <w:r w:rsidRPr="005474A4">
        <w:rPr>
          <w:rFonts w:ascii="Arial" w:hAnsi="Arial" w:cs="Arial"/>
          <w:b/>
          <w:bCs/>
          <w:sz w:val="22"/>
        </w:rPr>
        <w:t>.</w:t>
      </w:r>
      <w:r w:rsidRPr="00727955">
        <w:rPr>
          <w:rFonts w:ascii="Arial" w:hAnsi="Arial" w:cs="Arial"/>
          <w:sz w:val="22"/>
        </w:rPr>
        <w:t xml:space="preserve"> Las recomendaciones se harán al país para fortalecer la sostenibilidad del proyecto y del Banco para mejorar su desempeño en otros proyectos en el país u otros proyectos similares en otros países.</w:t>
      </w:r>
    </w:p>
    <w:p w14:paraId="42414AC8" w14:textId="1DE33D4B" w:rsidR="0055488A" w:rsidRPr="00727955" w:rsidRDefault="0055488A" w:rsidP="008373D5">
      <w:pPr>
        <w:pStyle w:val="Paragraph"/>
        <w:numPr>
          <w:ilvl w:val="1"/>
          <w:numId w:val="48"/>
        </w:numPr>
        <w:spacing w:before="0" w:after="0"/>
        <w:ind w:left="720" w:hanging="720"/>
        <w:rPr>
          <w:rFonts w:ascii="Arial" w:hAnsi="Arial" w:cs="Arial"/>
        </w:rPr>
      </w:pPr>
      <w:r w:rsidRPr="00727955">
        <w:rPr>
          <w:rFonts w:ascii="Arial" w:hAnsi="Arial" w:cs="Arial"/>
          <w:sz w:val="22"/>
        </w:rPr>
        <w:t xml:space="preserve">La evaluación final se realizará cuando los desembolsos alcancen al menos un 90% del total, y su </w:t>
      </w:r>
      <w:r w:rsidR="001118E2" w:rsidRPr="00727955">
        <w:rPr>
          <w:rFonts w:ascii="Arial" w:hAnsi="Arial" w:cs="Arial"/>
          <w:sz w:val="22"/>
        </w:rPr>
        <w:t>propósito</w:t>
      </w:r>
      <w:r w:rsidRPr="00727955">
        <w:rPr>
          <w:rFonts w:ascii="Arial" w:hAnsi="Arial" w:cs="Arial"/>
          <w:sz w:val="22"/>
        </w:rPr>
        <w:t xml:space="preserve"> </w:t>
      </w:r>
      <w:r w:rsidR="001118E2" w:rsidRPr="00727955">
        <w:rPr>
          <w:rFonts w:ascii="Arial" w:hAnsi="Arial" w:cs="Arial"/>
          <w:sz w:val="22"/>
        </w:rPr>
        <w:t>será</w:t>
      </w:r>
      <w:r w:rsidRPr="00727955">
        <w:rPr>
          <w:rFonts w:ascii="Arial" w:hAnsi="Arial" w:cs="Arial"/>
          <w:sz w:val="22"/>
        </w:rPr>
        <w:t xml:space="preserve"> establecer el grado de </w:t>
      </w:r>
      <w:r w:rsidR="001E3012" w:rsidRPr="00727955">
        <w:rPr>
          <w:rFonts w:ascii="Arial" w:hAnsi="Arial" w:cs="Arial"/>
          <w:sz w:val="22"/>
        </w:rPr>
        <w:t>cumplimiento</w:t>
      </w:r>
      <w:r w:rsidRPr="00727955">
        <w:rPr>
          <w:rFonts w:ascii="Arial" w:hAnsi="Arial" w:cs="Arial"/>
          <w:sz w:val="22"/>
        </w:rPr>
        <w:t xml:space="preserve"> de los objetivos de desarrollo del programa utilizando los indicadores en la matriz de resultados y el </w:t>
      </w:r>
      <w:r w:rsidR="001118E2" w:rsidRPr="00727955">
        <w:rPr>
          <w:rFonts w:ascii="Arial" w:hAnsi="Arial" w:cs="Arial"/>
          <w:sz w:val="22"/>
        </w:rPr>
        <w:t>análisis</w:t>
      </w:r>
      <w:r w:rsidRPr="00727955">
        <w:rPr>
          <w:rFonts w:ascii="Arial" w:hAnsi="Arial" w:cs="Arial"/>
          <w:sz w:val="22"/>
        </w:rPr>
        <w:t xml:space="preserve"> </w:t>
      </w:r>
      <w:r w:rsidR="001118E2" w:rsidRPr="00727955">
        <w:rPr>
          <w:rFonts w:ascii="Arial" w:hAnsi="Arial" w:cs="Arial"/>
          <w:sz w:val="22"/>
        </w:rPr>
        <w:t>económico</w:t>
      </w:r>
      <w:r w:rsidRPr="00727955">
        <w:rPr>
          <w:rFonts w:ascii="Arial" w:hAnsi="Arial" w:cs="Arial"/>
          <w:sz w:val="22"/>
        </w:rPr>
        <w:t xml:space="preserve"> </w:t>
      </w:r>
      <w:r w:rsidR="001118E2" w:rsidRPr="00727955">
        <w:rPr>
          <w:rFonts w:ascii="Arial" w:hAnsi="Arial" w:cs="Arial"/>
          <w:sz w:val="22"/>
        </w:rPr>
        <w:t>ex</w:t>
      </w:r>
      <w:r w:rsidR="00AF35D5" w:rsidRPr="00727955">
        <w:rPr>
          <w:rFonts w:ascii="Arial" w:hAnsi="Arial" w:cs="Arial"/>
          <w:sz w:val="22"/>
        </w:rPr>
        <w:t xml:space="preserve"> </w:t>
      </w:r>
      <w:r w:rsidRPr="00727955">
        <w:rPr>
          <w:rFonts w:ascii="Arial" w:hAnsi="Arial" w:cs="Arial"/>
          <w:sz w:val="22"/>
        </w:rPr>
        <w:t xml:space="preserve">post del proyecto y contestando las preguntas de </w:t>
      </w:r>
      <w:r w:rsidR="00425AF8" w:rsidRPr="00727955">
        <w:rPr>
          <w:rFonts w:ascii="Arial" w:hAnsi="Arial" w:cs="Arial"/>
          <w:sz w:val="22"/>
        </w:rPr>
        <w:t>evaluación</w:t>
      </w:r>
      <w:r w:rsidRPr="00727955">
        <w:rPr>
          <w:rFonts w:ascii="Arial" w:hAnsi="Arial" w:cs="Arial"/>
          <w:sz w:val="22"/>
        </w:rPr>
        <w:t xml:space="preserve"> que se presentan a </w:t>
      </w:r>
      <w:r w:rsidR="00425AF8" w:rsidRPr="00727955">
        <w:rPr>
          <w:rFonts w:ascii="Arial" w:hAnsi="Arial" w:cs="Arial"/>
          <w:sz w:val="22"/>
        </w:rPr>
        <w:t>continuación</w:t>
      </w:r>
      <w:r w:rsidRPr="00727955">
        <w:rPr>
          <w:rFonts w:ascii="Arial" w:hAnsi="Arial" w:cs="Arial"/>
          <w:sz w:val="22"/>
        </w:rPr>
        <w:t>. La evaluación económica ex post replicará el ejercicio llevado a cabo para la evaluación económica ex ante del programa, utilizando los mismos supuestos y fórmulas de cálculo con base en datos recopilados durante la ejecución.</w:t>
      </w:r>
    </w:p>
    <w:p w14:paraId="74FA1016" w14:textId="67E985CA" w:rsidR="00203048" w:rsidRDefault="00203048" w:rsidP="00041207">
      <w:pPr>
        <w:pStyle w:val="Paragraph"/>
        <w:numPr>
          <w:ilvl w:val="0"/>
          <w:numId w:val="0"/>
        </w:numPr>
        <w:spacing w:before="0" w:after="0"/>
        <w:rPr>
          <w:rFonts w:ascii="Arial" w:hAnsi="Arial" w:cs="Arial"/>
        </w:rPr>
      </w:pPr>
    </w:p>
    <w:p w14:paraId="04BE8342" w14:textId="40635D81" w:rsidR="009D1AD8" w:rsidRDefault="009D1AD8" w:rsidP="00C2120C">
      <w:pPr>
        <w:pStyle w:val="sub-sections"/>
        <w:numPr>
          <w:ilvl w:val="1"/>
          <w:numId w:val="10"/>
        </w:numPr>
        <w:ind w:left="720" w:hanging="720"/>
        <w:rPr>
          <w:rFonts w:ascii="Arial" w:hAnsi="Arial" w:cs="Arial"/>
        </w:rPr>
      </w:pPr>
      <w:r w:rsidRPr="009D1AD8">
        <w:rPr>
          <w:rFonts w:ascii="Arial" w:hAnsi="Arial" w:cs="Arial"/>
          <w:lang w:val="es-419"/>
        </w:rPr>
        <w:t>Análisis económico ex post</w:t>
      </w:r>
    </w:p>
    <w:p w14:paraId="6998CEDB" w14:textId="77777777" w:rsidR="009D1AD8" w:rsidRPr="00727955" w:rsidRDefault="009D1AD8" w:rsidP="00041207">
      <w:pPr>
        <w:pStyle w:val="Paragraph"/>
        <w:numPr>
          <w:ilvl w:val="0"/>
          <w:numId w:val="0"/>
        </w:numPr>
        <w:spacing w:before="0" w:after="0"/>
        <w:rPr>
          <w:rFonts w:ascii="Arial" w:hAnsi="Arial" w:cs="Arial"/>
        </w:rPr>
      </w:pPr>
    </w:p>
    <w:p w14:paraId="17CE2B05" w14:textId="69E559F0" w:rsidR="005E6CBC" w:rsidRPr="009D1AD8" w:rsidRDefault="0003083C" w:rsidP="008373D5">
      <w:pPr>
        <w:pStyle w:val="Paragraph"/>
        <w:numPr>
          <w:ilvl w:val="1"/>
          <w:numId w:val="48"/>
        </w:numPr>
        <w:spacing w:before="0" w:after="0"/>
        <w:ind w:left="720" w:hanging="720"/>
        <w:rPr>
          <w:rFonts w:ascii="Arial" w:hAnsi="Arial" w:cs="Arial"/>
          <w:sz w:val="22"/>
        </w:rPr>
      </w:pPr>
      <w:r w:rsidRPr="00727955">
        <w:rPr>
          <w:rFonts w:ascii="Arial" w:hAnsi="Arial" w:cs="Arial"/>
          <w:sz w:val="22"/>
          <w:lang w:val="es-419"/>
        </w:rPr>
        <w:t>El análisis costo-beneficio</w:t>
      </w:r>
      <w:r w:rsidR="00B606D5" w:rsidRPr="00727955">
        <w:rPr>
          <w:rFonts w:ascii="Arial" w:hAnsi="Arial" w:cs="Arial"/>
          <w:sz w:val="22"/>
          <w:lang w:val="es-419"/>
        </w:rPr>
        <w:t xml:space="preserve"> (ACB)</w:t>
      </w:r>
      <w:r w:rsidRPr="00727955">
        <w:rPr>
          <w:rFonts w:ascii="Arial" w:hAnsi="Arial" w:cs="Arial"/>
          <w:sz w:val="22"/>
          <w:lang w:val="es-419"/>
        </w:rPr>
        <w:t xml:space="preserve"> ex</w:t>
      </w:r>
      <w:r w:rsidR="00203048" w:rsidRPr="00727955">
        <w:rPr>
          <w:rFonts w:ascii="Arial" w:hAnsi="Arial" w:cs="Arial"/>
          <w:sz w:val="22"/>
          <w:lang w:val="es-419"/>
        </w:rPr>
        <w:t xml:space="preserve"> </w:t>
      </w:r>
      <w:r w:rsidRPr="00727955">
        <w:rPr>
          <w:rFonts w:ascii="Arial" w:hAnsi="Arial" w:cs="Arial"/>
          <w:sz w:val="22"/>
          <w:lang w:val="es-419"/>
        </w:rPr>
        <w:t>post se realizará una vez realizado el último desembolso del préstamo. Para calcular la tasa de retorno ex post, se utilizarán los costos de inversión y operación y mantenimiento efectivamente incurridos.  Los beneficios serán los mismos que se usaron en el análisis ex ante ajustados a precios al año en el cual se efectúe el análisis ex post. El objetivo de llevar a cabo dicho análisis es estimar la tasa de retorno que efectivamente generó el proyecto. Se alimentará de registros administrativos del MEF</w:t>
      </w:r>
      <w:r w:rsidR="00720CA9">
        <w:rPr>
          <w:rFonts w:ascii="Arial" w:hAnsi="Arial" w:cs="Arial"/>
          <w:sz w:val="22"/>
          <w:lang w:val="es-419"/>
        </w:rPr>
        <w:t>, de la VPR y de la SGP</w:t>
      </w:r>
      <w:r w:rsidR="007A58A9">
        <w:rPr>
          <w:rFonts w:ascii="Arial" w:hAnsi="Arial" w:cs="Arial"/>
          <w:sz w:val="22"/>
          <w:lang w:val="es-419"/>
        </w:rPr>
        <w:t>.</w:t>
      </w:r>
    </w:p>
    <w:p w14:paraId="269C7452" w14:textId="77777777" w:rsidR="009D1AD8" w:rsidRPr="00727955" w:rsidRDefault="009D1AD8" w:rsidP="009D1AD8">
      <w:pPr>
        <w:pStyle w:val="Paragraph"/>
        <w:numPr>
          <w:ilvl w:val="0"/>
          <w:numId w:val="0"/>
        </w:numPr>
        <w:spacing w:before="0" w:after="0"/>
        <w:ind w:left="360"/>
        <w:rPr>
          <w:rFonts w:ascii="Arial" w:hAnsi="Arial" w:cs="Arial"/>
          <w:sz w:val="22"/>
        </w:rPr>
      </w:pPr>
    </w:p>
    <w:p w14:paraId="4F127196" w14:textId="471554EC" w:rsidR="00770E4B" w:rsidRDefault="009D1AD8" w:rsidP="00C2120C">
      <w:pPr>
        <w:pStyle w:val="sub-sections"/>
        <w:numPr>
          <w:ilvl w:val="1"/>
          <w:numId w:val="10"/>
        </w:numPr>
        <w:ind w:left="720" w:hanging="720"/>
        <w:rPr>
          <w:rFonts w:ascii="Arial" w:hAnsi="Arial" w:cs="Arial"/>
        </w:rPr>
      </w:pPr>
      <w:r>
        <w:rPr>
          <w:rFonts w:ascii="Arial" w:hAnsi="Arial" w:cs="Arial"/>
        </w:rPr>
        <w:t>Evaluación de impacto</w:t>
      </w:r>
    </w:p>
    <w:p w14:paraId="1867BCC6" w14:textId="77777777" w:rsidR="009D1AD8" w:rsidRDefault="009D1AD8" w:rsidP="009D1AD8">
      <w:pPr>
        <w:pStyle w:val="sub-sections"/>
        <w:numPr>
          <w:ilvl w:val="0"/>
          <w:numId w:val="0"/>
        </w:numPr>
        <w:ind w:left="1440"/>
        <w:rPr>
          <w:rFonts w:ascii="Arial" w:hAnsi="Arial" w:cs="Arial"/>
        </w:rPr>
      </w:pPr>
    </w:p>
    <w:p w14:paraId="2A2A306C" w14:textId="5393C6CE" w:rsidR="009D1AD8" w:rsidRDefault="009D1AD8" w:rsidP="008373D5">
      <w:pPr>
        <w:pStyle w:val="Paragraph"/>
        <w:numPr>
          <w:ilvl w:val="1"/>
          <w:numId w:val="48"/>
        </w:numPr>
        <w:spacing w:before="0" w:after="0"/>
        <w:ind w:left="720" w:hanging="720"/>
        <w:rPr>
          <w:rFonts w:ascii="Arial" w:hAnsi="Arial" w:cs="Arial"/>
          <w:sz w:val="22"/>
        </w:rPr>
      </w:pPr>
      <w:r w:rsidRPr="009D1AD8">
        <w:rPr>
          <w:rFonts w:ascii="Arial" w:hAnsi="Arial" w:cs="Arial"/>
          <w:sz w:val="22"/>
        </w:rPr>
        <w:lastRenderedPageBreak/>
        <w:t xml:space="preserve">Esta sección describe la metodología de evaluación del programa de simplificación de trámites para el cierre de empresas en Ecuador. En las secciones a y b describimos la motivación detrás de esta propuesta definiendo las preguntas de investigación y el conocimiento existente. La </w:t>
      </w:r>
      <w:r w:rsidR="002F4727">
        <w:rPr>
          <w:rFonts w:ascii="Arial" w:hAnsi="Arial" w:cs="Arial"/>
          <w:sz w:val="22"/>
        </w:rPr>
        <w:t>S</w:t>
      </w:r>
      <w:r w:rsidRPr="009D1AD8">
        <w:rPr>
          <w:rFonts w:ascii="Arial" w:hAnsi="Arial" w:cs="Arial"/>
          <w:sz w:val="22"/>
        </w:rPr>
        <w:t xml:space="preserve">ección </w:t>
      </w:r>
      <w:r w:rsidR="002F4727">
        <w:rPr>
          <w:rFonts w:ascii="Arial" w:hAnsi="Arial" w:cs="Arial"/>
          <w:sz w:val="22"/>
        </w:rPr>
        <w:t>C</w:t>
      </w:r>
      <w:r w:rsidRPr="009D1AD8">
        <w:rPr>
          <w:rFonts w:ascii="Arial" w:hAnsi="Arial" w:cs="Arial"/>
          <w:sz w:val="22"/>
        </w:rPr>
        <w:t xml:space="preserve"> lista resultados clave. Las </w:t>
      </w:r>
      <w:r w:rsidR="002F4727">
        <w:rPr>
          <w:rFonts w:ascii="Arial" w:hAnsi="Arial" w:cs="Arial"/>
          <w:sz w:val="22"/>
        </w:rPr>
        <w:t>S</w:t>
      </w:r>
      <w:r w:rsidRPr="009D1AD8">
        <w:rPr>
          <w:rFonts w:ascii="Arial" w:hAnsi="Arial" w:cs="Arial"/>
          <w:sz w:val="22"/>
        </w:rPr>
        <w:t xml:space="preserve">ecciones </w:t>
      </w:r>
      <w:r w:rsidR="002F4727">
        <w:rPr>
          <w:rFonts w:ascii="Arial" w:hAnsi="Arial" w:cs="Arial"/>
          <w:sz w:val="22"/>
        </w:rPr>
        <w:t>D</w:t>
      </w:r>
      <w:r w:rsidRPr="009D1AD8">
        <w:rPr>
          <w:rFonts w:ascii="Arial" w:hAnsi="Arial" w:cs="Arial"/>
          <w:sz w:val="22"/>
        </w:rPr>
        <w:t xml:space="preserve"> y </w:t>
      </w:r>
      <w:r w:rsidR="002F4727">
        <w:rPr>
          <w:rFonts w:ascii="Arial" w:hAnsi="Arial" w:cs="Arial"/>
          <w:sz w:val="22"/>
        </w:rPr>
        <w:t>E</w:t>
      </w:r>
      <w:r w:rsidRPr="009D1AD8">
        <w:rPr>
          <w:rFonts w:ascii="Arial" w:hAnsi="Arial" w:cs="Arial"/>
          <w:sz w:val="22"/>
        </w:rPr>
        <w:t xml:space="preserve"> describen la metodología de evaluación. La </w:t>
      </w:r>
      <w:r w:rsidR="002F4727">
        <w:rPr>
          <w:rFonts w:ascii="Arial" w:hAnsi="Arial" w:cs="Arial"/>
          <w:sz w:val="22"/>
        </w:rPr>
        <w:t>S</w:t>
      </w:r>
      <w:r w:rsidRPr="009D1AD8">
        <w:rPr>
          <w:rFonts w:ascii="Arial" w:hAnsi="Arial" w:cs="Arial"/>
          <w:sz w:val="22"/>
        </w:rPr>
        <w:t xml:space="preserve">ección </w:t>
      </w:r>
      <w:r w:rsidR="002F4727">
        <w:rPr>
          <w:rFonts w:ascii="Arial" w:hAnsi="Arial" w:cs="Arial"/>
          <w:sz w:val="22"/>
        </w:rPr>
        <w:t>F</w:t>
      </w:r>
      <w:r w:rsidRPr="009D1AD8">
        <w:rPr>
          <w:rFonts w:ascii="Arial" w:hAnsi="Arial" w:cs="Arial"/>
          <w:sz w:val="22"/>
        </w:rPr>
        <w:t xml:space="preserve"> describe el reporte de resultados. La </w:t>
      </w:r>
      <w:r w:rsidR="002F4727">
        <w:rPr>
          <w:rFonts w:ascii="Arial" w:hAnsi="Arial" w:cs="Arial"/>
          <w:sz w:val="22"/>
        </w:rPr>
        <w:t>S</w:t>
      </w:r>
      <w:r w:rsidRPr="009D1AD8">
        <w:rPr>
          <w:rFonts w:ascii="Arial" w:hAnsi="Arial" w:cs="Arial"/>
          <w:sz w:val="22"/>
        </w:rPr>
        <w:t xml:space="preserve">ección </w:t>
      </w:r>
      <w:r w:rsidR="002F4727">
        <w:rPr>
          <w:rFonts w:ascii="Arial" w:hAnsi="Arial" w:cs="Arial"/>
          <w:sz w:val="22"/>
        </w:rPr>
        <w:t>G</w:t>
      </w:r>
      <w:r w:rsidRPr="009D1AD8">
        <w:rPr>
          <w:rFonts w:ascii="Arial" w:hAnsi="Arial" w:cs="Arial"/>
          <w:sz w:val="22"/>
        </w:rPr>
        <w:t xml:space="preserve"> describe el plan de trabajo y acuerdos de coordinación para llevar a cabo la evaluación.</w:t>
      </w:r>
    </w:p>
    <w:p w14:paraId="51D2F515" w14:textId="77777777" w:rsidR="00B46047" w:rsidRDefault="00B46047" w:rsidP="002F4727">
      <w:pPr>
        <w:pStyle w:val="Paragraph"/>
        <w:numPr>
          <w:ilvl w:val="0"/>
          <w:numId w:val="0"/>
        </w:numPr>
        <w:spacing w:before="0" w:after="0"/>
        <w:ind w:left="720"/>
        <w:rPr>
          <w:rFonts w:ascii="Arial" w:hAnsi="Arial" w:cs="Arial"/>
          <w:sz w:val="22"/>
        </w:rPr>
      </w:pPr>
    </w:p>
    <w:p w14:paraId="38499A54" w14:textId="176E7A3D" w:rsidR="006B6E31" w:rsidRDefault="009D1AD8" w:rsidP="008373D5">
      <w:pPr>
        <w:pStyle w:val="ListParagraph"/>
        <w:numPr>
          <w:ilvl w:val="1"/>
          <w:numId w:val="48"/>
        </w:numPr>
        <w:spacing w:after="0"/>
        <w:ind w:left="720" w:hanging="630"/>
        <w:jc w:val="both"/>
        <w:rPr>
          <w:rFonts w:ascii="Arial" w:eastAsia="Calibri" w:hAnsi="Arial" w:cs="Arial"/>
          <w:lang w:val="es-ES_tradnl" w:eastAsia="en-US"/>
        </w:rPr>
      </w:pPr>
      <w:r w:rsidRPr="006B6E31">
        <w:rPr>
          <w:rFonts w:ascii="Arial" w:eastAsia="Calibri" w:hAnsi="Arial" w:cs="Arial"/>
          <w:b/>
          <w:lang w:val="es-ES_tradnl" w:eastAsia="en-US"/>
        </w:rPr>
        <w:t xml:space="preserve">Motivación y </w:t>
      </w:r>
      <w:r w:rsidR="006B6E31" w:rsidRPr="006B6E31">
        <w:rPr>
          <w:rFonts w:ascii="Arial" w:eastAsia="Calibri" w:hAnsi="Arial" w:cs="Arial"/>
          <w:b/>
          <w:lang w:val="es-ES_tradnl" w:eastAsia="en-US"/>
        </w:rPr>
        <w:t>o</w:t>
      </w:r>
      <w:r w:rsidRPr="006B6E31">
        <w:rPr>
          <w:rFonts w:ascii="Arial" w:eastAsia="Calibri" w:hAnsi="Arial" w:cs="Arial"/>
          <w:b/>
          <w:lang w:val="es-ES_tradnl" w:eastAsia="en-US"/>
        </w:rPr>
        <w:t xml:space="preserve">bjetivos de la </w:t>
      </w:r>
      <w:r w:rsidR="006B6E31" w:rsidRPr="006B6E31">
        <w:rPr>
          <w:rFonts w:ascii="Arial" w:eastAsia="Calibri" w:hAnsi="Arial" w:cs="Arial"/>
          <w:b/>
          <w:lang w:val="es-ES_tradnl" w:eastAsia="en-US"/>
        </w:rPr>
        <w:t>e</w:t>
      </w:r>
      <w:r w:rsidRPr="006B6E31">
        <w:rPr>
          <w:rFonts w:ascii="Arial" w:eastAsia="Calibri" w:hAnsi="Arial" w:cs="Arial"/>
          <w:b/>
          <w:lang w:val="es-ES_tradnl" w:eastAsia="en-US"/>
        </w:rPr>
        <w:t>valuación</w:t>
      </w:r>
      <w:r w:rsidRPr="005474A4">
        <w:rPr>
          <w:rFonts w:ascii="Arial" w:eastAsia="Calibri" w:hAnsi="Arial" w:cs="Arial"/>
          <w:b/>
          <w:bCs/>
          <w:lang w:val="es-ES_tradnl" w:eastAsia="en-US"/>
        </w:rPr>
        <w:t>.</w:t>
      </w:r>
      <w:r w:rsidRPr="006B6E31">
        <w:rPr>
          <w:rFonts w:ascii="Arial" w:eastAsia="Calibri" w:hAnsi="Arial" w:cs="Arial"/>
          <w:lang w:val="es-ES_tradnl" w:eastAsia="en-US"/>
        </w:rPr>
        <w:t xml:space="preserve"> De las aproximadamente 170</w:t>
      </w:r>
      <w:r w:rsidR="00061537">
        <w:rPr>
          <w:rFonts w:ascii="Arial" w:eastAsia="Calibri" w:hAnsi="Arial" w:cs="Arial"/>
          <w:lang w:val="es-ES_tradnl" w:eastAsia="en-US"/>
        </w:rPr>
        <w:t>.</w:t>
      </w:r>
      <w:r w:rsidRPr="006B6E31">
        <w:rPr>
          <w:rFonts w:ascii="Arial" w:eastAsia="Calibri" w:hAnsi="Arial" w:cs="Arial"/>
          <w:lang w:val="es-ES_tradnl" w:eastAsia="en-US"/>
        </w:rPr>
        <w:t>000</w:t>
      </w:r>
      <w:r w:rsidR="00061537">
        <w:rPr>
          <w:rFonts w:ascii="Arial" w:eastAsia="Calibri" w:hAnsi="Arial" w:cs="Arial"/>
          <w:lang w:val="es-ES_tradnl" w:eastAsia="en-US"/>
        </w:rPr>
        <w:t> </w:t>
      </w:r>
      <w:r w:rsidRPr="006B6E31">
        <w:rPr>
          <w:rFonts w:ascii="Arial" w:eastAsia="Calibri" w:hAnsi="Arial" w:cs="Arial"/>
          <w:lang w:val="es-ES_tradnl" w:eastAsia="en-US"/>
        </w:rPr>
        <w:t>empresas constituidas y registradas en la Superintendencia de Compañía, Valores y Seguros (SCVS), más del 50% están en proceso de disolución o liquidación</w:t>
      </w:r>
      <w:r w:rsidR="006B6E31">
        <w:rPr>
          <w:rStyle w:val="FootnoteReference"/>
          <w:rFonts w:ascii="Arial" w:eastAsia="Calibri" w:hAnsi="Arial" w:cs="Arial"/>
          <w:lang w:val="es-ES_tradnl" w:eastAsia="en-US"/>
        </w:rPr>
        <w:footnoteReference w:id="8"/>
      </w:r>
      <w:r w:rsidRPr="006B6E31">
        <w:rPr>
          <w:rFonts w:ascii="Arial" w:eastAsia="Calibri" w:hAnsi="Arial" w:cs="Arial"/>
          <w:lang w:val="es-ES_tradnl" w:eastAsia="en-US"/>
        </w:rPr>
        <w:t xml:space="preserve">.  No </w:t>
      </w:r>
      <w:r w:rsidR="006B6E31" w:rsidRPr="006B6E31">
        <w:rPr>
          <w:rFonts w:ascii="Arial" w:eastAsia="Calibri" w:hAnsi="Arial" w:cs="Arial"/>
          <w:lang w:val="es-ES_tradnl" w:eastAsia="en-US"/>
        </w:rPr>
        <w:t>obstante,</w:t>
      </w:r>
      <w:r w:rsidRPr="006B6E31">
        <w:rPr>
          <w:rFonts w:ascii="Arial" w:eastAsia="Calibri" w:hAnsi="Arial" w:cs="Arial"/>
          <w:lang w:val="es-ES_tradnl" w:eastAsia="en-US"/>
        </w:rPr>
        <w:t xml:space="preserve"> muchas son empresas de papel</w:t>
      </w:r>
      <w:r w:rsidR="006B6E31">
        <w:rPr>
          <w:rStyle w:val="FootnoteReference"/>
          <w:rFonts w:ascii="Arial" w:eastAsia="Calibri" w:hAnsi="Arial" w:cs="Arial"/>
          <w:lang w:val="es-ES_tradnl" w:eastAsia="en-US"/>
        </w:rPr>
        <w:footnoteReference w:id="9"/>
      </w:r>
      <w:r w:rsidRPr="006B6E31">
        <w:rPr>
          <w:rFonts w:ascii="Arial" w:eastAsia="Calibri" w:hAnsi="Arial" w:cs="Arial"/>
          <w:lang w:val="es-ES_tradnl" w:eastAsia="en-US"/>
        </w:rPr>
        <w:t>, es alarmante que varias de ellas han estado en este proceso por más de 10 años. De las aproximadamente 85 mil empresas que han estado alguna vez activas (declarando ventas mayores a 0), aproximadamente 40% están en proceso de disolución o liquidación</w:t>
      </w:r>
      <w:r w:rsidR="006B6E31">
        <w:rPr>
          <w:rStyle w:val="FootnoteReference"/>
          <w:rFonts w:ascii="Arial" w:eastAsia="Calibri" w:hAnsi="Arial" w:cs="Arial"/>
          <w:lang w:val="es-ES_tradnl" w:eastAsia="en-US"/>
        </w:rPr>
        <w:footnoteReference w:id="10"/>
      </w:r>
      <w:r w:rsidRPr="006B6E31">
        <w:rPr>
          <w:rFonts w:ascii="Arial" w:eastAsia="Calibri" w:hAnsi="Arial" w:cs="Arial"/>
          <w:lang w:val="es-ES_tradnl" w:eastAsia="en-US"/>
        </w:rPr>
        <w:t>.  Sólo en los dos últimos años, la SCVS ha empezado el proceso de liquidación de más de 5 mil empresas</w:t>
      </w:r>
      <w:r w:rsidR="006B6E31">
        <w:rPr>
          <w:rStyle w:val="FootnoteReference"/>
          <w:rFonts w:ascii="Arial" w:eastAsia="Calibri" w:hAnsi="Arial" w:cs="Arial"/>
          <w:lang w:val="es-ES_tradnl" w:eastAsia="en-US"/>
        </w:rPr>
        <w:footnoteReference w:id="11"/>
      </w:r>
      <w:r w:rsidRPr="006B6E31">
        <w:rPr>
          <w:rFonts w:ascii="Arial" w:eastAsia="Calibri" w:hAnsi="Arial" w:cs="Arial"/>
          <w:lang w:val="es-ES_tradnl" w:eastAsia="en-US"/>
        </w:rPr>
        <w:t>.</w:t>
      </w:r>
    </w:p>
    <w:p w14:paraId="3902AEF9" w14:textId="77777777" w:rsidR="00F903E2" w:rsidRDefault="00F903E2" w:rsidP="00C2120C">
      <w:pPr>
        <w:pStyle w:val="ListParagraph"/>
        <w:spacing w:after="0"/>
        <w:jc w:val="both"/>
        <w:rPr>
          <w:rFonts w:ascii="Arial" w:eastAsia="Calibri" w:hAnsi="Arial" w:cs="Arial"/>
          <w:lang w:val="es-ES_tradnl" w:eastAsia="en-US"/>
        </w:rPr>
      </w:pPr>
    </w:p>
    <w:p w14:paraId="7CDB9DEE" w14:textId="69B7E0D6" w:rsidR="006B6E31" w:rsidRDefault="006B6E31" w:rsidP="008373D5">
      <w:pPr>
        <w:pStyle w:val="ListParagraph"/>
        <w:numPr>
          <w:ilvl w:val="1"/>
          <w:numId w:val="48"/>
        </w:numPr>
        <w:spacing w:after="0"/>
        <w:ind w:left="720" w:hanging="630"/>
        <w:jc w:val="both"/>
        <w:rPr>
          <w:rFonts w:ascii="Arial" w:eastAsia="Calibri" w:hAnsi="Arial" w:cs="Arial"/>
          <w:lang w:val="es-ES_tradnl" w:eastAsia="en-US"/>
        </w:rPr>
      </w:pPr>
      <w:r w:rsidRPr="006B6E31">
        <w:rPr>
          <w:rFonts w:ascii="Arial" w:eastAsia="Calibri" w:hAnsi="Arial" w:cs="Arial"/>
          <w:lang w:val="es-ES_tradnl" w:eastAsia="en-US"/>
        </w:rPr>
        <w:t xml:space="preserve">Según datos del </w:t>
      </w:r>
      <w:r w:rsidRPr="002F4727">
        <w:rPr>
          <w:rFonts w:ascii="Arial" w:eastAsia="Calibri" w:hAnsi="Arial" w:cs="Arial"/>
          <w:i/>
          <w:iCs/>
          <w:lang w:val="es-ES_tradnl" w:eastAsia="en-US"/>
        </w:rPr>
        <w:t>Doing Business Report</w:t>
      </w:r>
      <w:r w:rsidRPr="006B6E31">
        <w:rPr>
          <w:rFonts w:ascii="Arial" w:eastAsia="Calibri" w:hAnsi="Arial" w:cs="Arial"/>
          <w:lang w:val="es-ES_tradnl" w:eastAsia="en-US"/>
        </w:rPr>
        <w:t xml:space="preserve"> 219, el tiempo promedio para liquidar y cancelar una empresa representativa es 5</w:t>
      </w:r>
      <w:r w:rsidR="00B65D4B">
        <w:rPr>
          <w:rFonts w:ascii="Arial" w:eastAsia="Calibri" w:hAnsi="Arial" w:cs="Arial"/>
          <w:lang w:val="es-ES_tradnl" w:eastAsia="en-US"/>
        </w:rPr>
        <w:t>,</w:t>
      </w:r>
      <w:r w:rsidRPr="006B6E31">
        <w:rPr>
          <w:rFonts w:ascii="Arial" w:eastAsia="Calibri" w:hAnsi="Arial" w:cs="Arial"/>
          <w:lang w:val="es-ES_tradnl" w:eastAsia="en-US"/>
        </w:rPr>
        <w:t>3 años. Superior al promedio de la región que es de 2</w:t>
      </w:r>
      <w:r w:rsidR="00B65D4B">
        <w:rPr>
          <w:rFonts w:ascii="Arial" w:eastAsia="Calibri" w:hAnsi="Arial" w:cs="Arial"/>
          <w:lang w:val="es-ES_tradnl" w:eastAsia="en-US"/>
        </w:rPr>
        <w:t>,</w:t>
      </w:r>
      <w:r w:rsidRPr="006B6E31">
        <w:rPr>
          <w:rFonts w:ascii="Arial" w:eastAsia="Calibri" w:hAnsi="Arial" w:cs="Arial"/>
          <w:lang w:val="es-ES_tradnl" w:eastAsia="en-US"/>
        </w:rPr>
        <w:t>9 años. Como se indica en el reporte, al liquidar esta empresa los accionistas recuperarían 18</w:t>
      </w:r>
      <w:r w:rsidR="00B65D4B">
        <w:rPr>
          <w:rFonts w:ascii="Arial" w:eastAsia="Calibri" w:hAnsi="Arial" w:cs="Arial"/>
          <w:lang w:val="es-ES_tradnl" w:eastAsia="en-US"/>
        </w:rPr>
        <w:t>,</w:t>
      </w:r>
      <w:r w:rsidRPr="006B6E31">
        <w:rPr>
          <w:rFonts w:ascii="Arial" w:eastAsia="Calibri" w:hAnsi="Arial" w:cs="Arial"/>
          <w:lang w:val="es-ES_tradnl" w:eastAsia="en-US"/>
        </w:rPr>
        <w:t>1 centavos por dólar invertido, también por debajo del promedio de la región que se es alrededor de 40</w:t>
      </w:r>
      <w:r w:rsidR="00061537">
        <w:rPr>
          <w:rFonts w:ascii="Arial" w:eastAsia="Calibri" w:hAnsi="Arial" w:cs="Arial"/>
          <w:lang w:val="es-ES_tradnl" w:eastAsia="en-US"/>
        </w:rPr>
        <w:t> </w:t>
      </w:r>
      <w:r w:rsidRPr="006B6E31">
        <w:rPr>
          <w:rFonts w:ascii="Arial" w:eastAsia="Calibri" w:hAnsi="Arial" w:cs="Arial"/>
          <w:lang w:val="es-ES_tradnl" w:eastAsia="en-US"/>
        </w:rPr>
        <w:t>centavos.</w:t>
      </w:r>
    </w:p>
    <w:p w14:paraId="7BD3AFA9" w14:textId="77777777" w:rsidR="00F903E2" w:rsidRPr="00C2120C" w:rsidRDefault="00F903E2" w:rsidP="00C2120C">
      <w:pPr>
        <w:spacing w:after="0"/>
        <w:jc w:val="both"/>
        <w:rPr>
          <w:rFonts w:ascii="Arial" w:eastAsia="Calibri" w:hAnsi="Arial" w:cs="Arial"/>
          <w:lang w:val="es-ES_tradnl" w:eastAsia="en-US"/>
        </w:rPr>
      </w:pPr>
    </w:p>
    <w:p w14:paraId="1046BBE9" w14:textId="2BCB4404" w:rsidR="006B6E31" w:rsidRDefault="006B6E31" w:rsidP="008373D5">
      <w:pPr>
        <w:pStyle w:val="ListParagraph"/>
        <w:numPr>
          <w:ilvl w:val="1"/>
          <w:numId w:val="48"/>
        </w:numPr>
        <w:spacing w:after="0"/>
        <w:ind w:left="720" w:hanging="630"/>
        <w:jc w:val="both"/>
        <w:rPr>
          <w:rFonts w:ascii="Arial" w:eastAsia="Calibri" w:hAnsi="Arial" w:cs="Arial"/>
          <w:lang w:val="es-ES_tradnl" w:eastAsia="en-US"/>
        </w:rPr>
      </w:pPr>
      <w:r w:rsidRPr="006B6E31">
        <w:rPr>
          <w:rFonts w:ascii="Arial" w:eastAsia="Calibri" w:hAnsi="Arial" w:cs="Arial"/>
          <w:lang w:val="es-ES_tradnl" w:eastAsia="en-US"/>
        </w:rPr>
        <w:t>La pregunta que sigue es cuál es el principal cuello de botella que incrementa los costos y tiempos para cerrar una empresa. Como ha sido expresado por la SCVS, la principal barrera es el saneamiento de pasivos</w:t>
      </w:r>
      <w:r>
        <w:rPr>
          <w:rStyle w:val="FootnoteReference"/>
          <w:rFonts w:ascii="Arial" w:eastAsia="Calibri" w:hAnsi="Arial" w:cs="Arial"/>
          <w:lang w:val="es-ES_tradnl" w:eastAsia="en-US"/>
        </w:rPr>
        <w:footnoteReference w:id="12"/>
      </w:r>
      <w:r w:rsidRPr="006B6E31">
        <w:rPr>
          <w:rFonts w:ascii="Arial" w:eastAsia="Calibri" w:hAnsi="Arial" w:cs="Arial"/>
          <w:lang w:val="es-ES_tradnl" w:eastAsia="en-US"/>
        </w:rPr>
        <w:t xml:space="preserve">. La Superintendencia no puede cancelar una compañía antes de verificar el cumplimiento de todas las obligaciones, que pueden incluir múltiples impuestos, trámites municipales, licencias, deudas con trabajadores y accionistas, entre otros. Esto implica trámites en múltiples instituciones gubernamentales y no gubernamentales (como notarías). </w:t>
      </w:r>
    </w:p>
    <w:p w14:paraId="26B8154A" w14:textId="77777777" w:rsidR="00F903E2" w:rsidRPr="00C2120C" w:rsidRDefault="00F903E2" w:rsidP="00C2120C">
      <w:pPr>
        <w:spacing w:after="0"/>
        <w:jc w:val="both"/>
        <w:rPr>
          <w:rFonts w:ascii="Arial" w:eastAsia="Calibri" w:hAnsi="Arial" w:cs="Arial"/>
          <w:lang w:val="es-ES_tradnl" w:eastAsia="en-US"/>
        </w:rPr>
      </w:pPr>
    </w:p>
    <w:p w14:paraId="1959FF10" w14:textId="7E5C8E53" w:rsidR="00F903E2" w:rsidRDefault="006B6E31" w:rsidP="008373D5">
      <w:pPr>
        <w:pStyle w:val="ListParagraph"/>
        <w:numPr>
          <w:ilvl w:val="1"/>
          <w:numId w:val="48"/>
        </w:numPr>
        <w:spacing w:after="0"/>
        <w:ind w:left="720" w:hanging="630"/>
        <w:jc w:val="both"/>
        <w:rPr>
          <w:rFonts w:ascii="Arial" w:eastAsia="Calibri" w:hAnsi="Arial" w:cs="Arial"/>
          <w:lang w:val="es-ES_tradnl" w:eastAsia="en-US"/>
        </w:rPr>
      </w:pPr>
      <w:r w:rsidRPr="006B6E31">
        <w:rPr>
          <w:rFonts w:ascii="Arial" w:eastAsia="Calibri" w:hAnsi="Arial" w:cs="Arial"/>
          <w:lang w:val="es-ES_tradnl" w:eastAsia="en-US"/>
        </w:rPr>
        <w:t xml:space="preserve">Los altos costos transaccionales no sólo demoran el proceso de liquidación de una empresa, sino que también disuaden a muchas de iniciar el proceso por lo largo y costoso que puede ser. Ello conlleva a que muchas empresas se mantengan en el mercado a pesar de tener una muy baja rentabilidad. El Comité Empresarial Ecuatoriano (CEE) dice que hay muchas empresas que </w:t>
      </w:r>
      <w:r w:rsidRPr="006B6E31">
        <w:rPr>
          <w:rFonts w:ascii="Arial" w:eastAsia="Calibri" w:hAnsi="Arial" w:cs="Arial"/>
          <w:lang w:val="es-ES_tradnl" w:eastAsia="en-US"/>
        </w:rPr>
        <w:lastRenderedPageBreak/>
        <w:t>adoptan la disolución luego de haber acumulado pérdidas que llegan a ser más grandes que el patrimonio</w:t>
      </w:r>
      <w:r>
        <w:rPr>
          <w:rStyle w:val="FootnoteReference"/>
          <w:rFonts w:ascii="Arial" w:eastAsia="Calibri" w:hAnsi="Arial" w:cs="Arial"/>
          <w:lang w:val="es-ES_tradnl" w:eastAsia="en-US"/>
        </w:rPr>
        <w:footnoteReference w:id="13"/>
      </w:r>
      <w:r w:rsidRPr="006B6E31">
        <w:rPr>
          <w:rFonts w:ascii="Arial" w:eastAsia="Calibri" w:hAnsi="Arial" w:cs="Arial"/>
          <w:lang w:val="es-ES_tradnl" w:eastAsia="en-US"/>
        </w:rPr>
        <w:t xml:space="preserve">.   </w:t>
      </w:r>
    </w:p>
    <w:p w14:paraId="3FCCFF50" w14:textId="77777777" w:rsidR="00F903E2" w:rsidRPr="00C2120C" w:rsidRDefault="00F903E2" w:rsidP="00C2120C">
      <w:pPr>
        <w:spacing w:after="0"/>
        <w:jc w:val="both"/>
        <w:rPr>
          <w:rFonts w:ascii="Arial" w:eastAsia="Calibri" w:hAnsi="Arial" w:cs="Arial"/>
          <w:lang w:val="es-ES_tradnl" w:eastAsia="en-US"/>
        </w:rPr>
      </w:pPr>
    </w:p>
    <w:p w14:paraId="10167F32" w14:textId="361CED77" w:rsidR="006B6E31" w:rsidRDefault="006B6E31" w:rsidP="008373D5">
      <w:pPr>
        <w:pStyle w:val="ListParagraph"/>
        <w:numPr>
          <w:ilvl w:val="1"/>
          <w:numId w:val="48"/>
        </w:numPr>
        <w:spacing w:after="0"/>
        <w:ind w:left="720" w:hanging="630"/>
        <w:jc w:val="both"/>
        <w:rPr>
          <w:rFonts w:ascii="Arial" w:eastAsia="Calibri" w:hAnsi="Arial" w:cs="Arial"/>
          <w:lang w:val="es-ES_tradnl" w:eastAsia="en-US"/>
        </w:rPr>
      </w:pPr>
      <w:r w:rsidRPr="006B6E31">
        <w:rPr>
          <w:rFonts w:ascii="Arial" w:eastAsia="Calibri" w:hAnsi="Arial" w:cs="Arial"/>
          <w:lang w:val="es-ES_tradnl" w:eastAsia="en-US"/>
        </w:rPr>
        <w:t>Incluso deteniendo las operaciones, los accionistas que no reciben la cancelación de la sociedad estarán expuestos a barreras institucionales que impiden reutilizar su capital en negocios alternativos. Esto es particularmente importante para la MIPYME’s en Ecuador donde las empresas operan con un promedio de apalancamiento de 5</w:t>
      </w:r>
      <w:r w:rsidR="00B46047">
        <w:rPr>
          <w:rFonts w:ascii="Arial" w:eastAsia="Calibri" w:hAnsi="Arial" w:cs="Arial"/>
          <w:lang w:val="es-ES_tradnl" w:eastAsia="en-US"/>
        </w:rPr>
        <w:t>,</w:t>
      </w:r>
      <w:r w:rsidRPr="006B6E31">
        <w:rPr>
          <w:rFonts w:ascii="Arial" w:eastAsia="Calibri" w:hAnsi="Arial" w:cs="Arial"/>
          <w:lang w:val="es-ES_tradnl" w:eastAsia="en-US"/>
        </w:rPr>
        <w:t>27. Por lo tanto, los activos de las empresas son financiados principalmente con patrimonio de los accionistas. Cada US</w:t>
      </w:r>
      <w:r w:rsidR="00B46047">
        <w:rPr>
          <w:rFonts w:ascii="Arial" w:eastAsia="Calibri" w:hAnsi="Arial" w:cs="Arial"/>
          <w:lang w:val="es-ES_tradnl" w:eastAsia="en-US"/>
        </w:rPr>
        <w:t>$</w:t>
      </w:r>
      <w:r w:rsidRPr="006B6E31">
        <w:rPr>
          <w:rFonts w:ascii="Arial" w:eastAsia="Calibri" w:hAnsi="Arial" w:cs="Arial"/>
          <w:lang w:val="es-ES_tradnl" w:eastAsia="en-US"/>
        </w:rPr>
        <w:t>1</w:t>
      </w:r>
      <w:r w:rsidR="002F4727">
        <w:rPr>
          <w:rFonts w:ascii="Arial" w:eastAsia="Calibri" w:hAnsi="Arial" w:cs="Arial"/>
          <w:lang w:val="es-ES_tradnl" w:eastAsia="en-US"/>
        </w:rPr>
        <w:t> </w:t>
      </w:r>
      <w:r w:rsidRPr="006B6E31">
        <w:rPr>
          <w:rFonts w:ascii="Arial" w:eastAsia="Calibri" w:hAnsi="Arial" w:cs="Arial"/>
          <w:lang w:val="es-ES_tradnl" w:eastAsia="en-US"/>
        </w:rPr>
        <w:t>financiado es respaldado con US</w:t>
      </w:r>
      <w:r w:rsidR="00F903E2">
        <w:rPr>
          <w:rFonts w:ascii="Arial" w:eastAsia="Calibri" w:hAnsi="Arial" w:cs="Arial"/>
          <w:lang w:val="es-ES_tradnl" w:eastAsia="en-US"/>
        </w:rPr>
        <w:t>$</w:t>
      </w:r>
      <w:r w:rsidRPr="006B6E31">
        <w:rPr>
          <w:rFonts w:ascii="Arial" w:eastAsia="Calibri" w:hAnsi="Arial" w:cs="Arial"/>
          <w:lang w:val="es-ES_tradnl" w:eastAsia="en-US"/>
        </w:rPr>
        <w:t>5</w:t>
      </w:r>
      <w:r w:rsidR="00B46047">
        <w:rPr>
          <w:rFonts w:ascii="Arial" w:eastAsia="Calibri" w:hAnsi="Arial" w:cs="Arial"/>
          <w:lang w:val="es-ES_tradnl" w:eastAsia="en-US"/>
        </w:rPr>
        <w:t>,</w:t>
      </w:r>
      <w:r w:rsidRPr="006B6E31">
        <w:rPr>
          <w:rFonts w:ascii="Arial" w:eastAsia="Calibri" w:hAnsi="Arial" w:cs="Arial"/>
          <w:lang w:val="es-ES_tradnl" w:eastAsia="en-US"/>
        </w:rPr>
        <w:t>27 de patrimonio (Bermudez</w:t>
      </w:r>
      <w:r w:rsidR="002F4727">
        <w:rPr>
          <w:rFonts w:ascii="Arial" w:eastAsia="Calibri" w:hAnsi="Arial" w:cs="Arial"/>
          <w:lang w:val="es-ES_tradnl" w:eastAsia="en-US"/>
        </w:rPr>
        <w:noBreakHyphen/>
      </w:r>
      <w:r w:rsidRPr="006B6E31">
        <w:rPr>
          <w:rFonts w:ascii="Arial" w:eastAsia="Calibri" w:hAnsi="Arial" w:cs="Arial"/>
          <w:lang w:val="es-ES_tradnl" w:eastAsia="en-US"/>
        </w:rPr>
        <w:t>Barrezueta et al, 2019).</w:t>
      </w:r>
    </w:p>
    <w:p w14:paraId="0D4CDAC9" w14:textId="77777777" w:rsidR="00F903E2" w:rsidRPr="00C2120C" w:rsidRDefault="00F903E2" w:rsidP="00C2120C">
      <w:pPr>
        <w:spacing w:after="0"/>
        <w:jc w:val="both"/>
        <w:rPr>
          <w:rFonts w:ascii="Arial" w:eastAsia="Calibri" w:hAnsi="Arial" w:cs="Arial"/>
          <w:lang w:val="es-ES_tradnl" w:eastAsia="en-US"/>
        </w:rPr>
      </w:pPr>
    </w:p>
    <w:p w14:paraId="4A1A6E1D" w14:textId="0479C903" w:rsidR="006B6E31" w:rsidRDefault="006B6E31" w:rsidP="008373D5">
      <w:pPr>
        <w:pStyle w:val="ListParagraph"/>
        <w:numPr>
          <w:ilvl w:val="1"/>
          <w:numId w:val="48"/>
        </w:numPr>
        <w:spacing w:after="0"/>
        <w:ind w:left="720" w:hanging="720"/>
        <w:jc w:val="both"/>
        <w:rPr>
          <w:rFonts w:ascii="Arial" w:eastAsia="Calibri" w:hAnsi="Arial" w:cs="Arial"/>
          <w:lang w:val="es-ES_tradnl" w:eastAsia="en-US"/>
        </w:rPr>
      </w:pPr>
      <w:r w:rsidRPr="006B6E31">
        <w:rPr>
          <w:rFonts w:ascii="Arial" w:eastAsia="Calibri" w:hAnsi="Arial" w:cs="Arial"/>
          <w:lang w:val="es-ES_tradnl" w:eastAsia="en-US"/>
        </w:rPr>
        <w:t xml:space="preserve">En este documento se propone un plan de evaluación del producto </w:t>
      </w:r>
      <w:r w:rsidR="00061537" w:rsidRPr="002F4727">
        <w:rPr>
          <w:rFonts w:ascii="Arial" w:eastAsia="Calibri" w:hAnsi="Arial" w:cs="Arial"/>
          <w:lang w:val="es-ES_tradnl" w:eastAsia="en-US"/>
        </w:rPr>
        <w:t>4.3</w:t>
      </w:r>
      <w:r w:rsidRPr="006B6E31">
        <w:rPr>
          <w:rFonts w:ascii="Arial" w:eastAsia="Calibri" w:hAnsi="Arial" w:cs="Arial"/>
          <w:lang w:val="es-ES_tradnl" w:eastAsia="en-US"/>
        </w:rPr>
        <w:t xml:space="preserve"> que agilizará los trámites de liquidación y cancelación de empresas. Este componente operacionalizará un </w:t>
      </w:r>
      <w:r w:rsidRPr="00B65D4B">
        <w:rPr>
          <w:rFonts w:ascii="Arial" w:eastAsia="Calibri" w:hAnsi="Arial" w:cs="Arial"/>
          <w:i/>
          <w:iCs/>
          <w:lang w:val="es-ES_tradnl" w:eastAsia="en-US"/>
        </w:rPr>
        <w:t>fast-track</w:t>
      </w:r>
      <w:r w:rsidRPr="006B6E31">
        <w:rPr>
          <w:rFonts w:ascii="Arial" w:eastAsia="Calibri" w:hAnsi="Arial" w:cs="Arial"/>
          <w:lang w:val="es-ES_tradnl" w:eastAsia="en-US"/>
        </w:rPr>
        <w:t xml:space="preserve"> para la cancelación de sociedades, enfocándose principalmente en el saneamiento de pasivos. El primer paso para que este programa sea efectivo, es que las empresas adopten el nuevo proceso agilizado</w:t>
      </w:r>
      <w:r w:rsidR="00575804">
        <w:rPr>
          <w:rStyle w:val="FootnoteReference"/>
          <w:rFonts w:ascii="Arial" w:eastAsia="Calibri" w:hAnsi="Arial" w:cs="Arial"/>
          <w:lang w:val="es-ES_tradnl" w:eastAsia="en-US"/>
        </w:rPr>
        <w:footnoteReference w:id="14"/>
      </w:r>
      <w:r w:rsidRPr="006B6E31">
        <w:rPr>
          <w:rFonts w:ascii="Arial" w:eastAsia="Calibri" w:hAnsi="Arial" w:cs="Arial"/>
          <w:lang w:val="es-ES_tradnl" w:eastAsia="en-US"/>
        </w:rPr>
        <w:t xml:space="preserve">. Por lo tanto, el objetivo de la evaluación es estimar el impacto que tiene el conocimiento del </w:t>
      </w:r>
      <w:r w:rsidRPr="00C2120C">
        <w:rPr>
          <w:rFonts w:ascii="Arial" w:eastAsia="Calibri" w:hAnsi="Arial" w:cs="Arial"/>
          <w:i/>
          <w:iCs/>
          <w:lang w:val="es-ES_tradnl" w:eastAsia="en-US"/>
        </w:rPr>
        <w:t>fast-track</w:t>
      </w:r>
      <w:r w:rsidRPr="006B6E31">
        <w:rPr>
          <w:rFonts w:ascii="Arial" w:eastAsia="Calibri" w:hAnsi="Arial" w:cs="Arial"/>
          <w:lang w:val="es-ES_tradnl" w:eastAsia="en-US"/>
        </w:rPr>
        <w:t xml:space="preserve"> sobre la probabilidad de solicitar voluntariamente la liquidación y la adopción de este proceso agilizado entre empresas en riesgo de bancarrota. Para efectos de este documento, una empresa en riesgo es aquella que pasó de tener ventas positivas a tener ventas iguales a cero por dos o más años consecutivos. </w:t>
      </w:r>
    </w:p>
    <w:p w14:paraId="6327FF38" w14:textId="77777777" w:rsidR="00F903E2" w:rsidRPr="00C2120C" w:rsidRDefault="00F903E2" w:rsidP="00C2120C">
      <w:pPr>
        <w:spacing w:after="0"/>
        <w:jc w:val="both"/>
        <w:rPr>
          <w:rFonts w:ascii="Arial" w:eastAsia="Calibri" w:hAnsi="Arial" w:cs="Arial"/>
          <w:lang w:val="es-ES_tradnl" w:eastAsia="en-US"/>
        </w:rPr>
      </w:pPr>
    </w:p>
    <w:p w14:paraId="3A6AEDDD" w14:textId="38CA4CCA" w:rsidR="006B6E31" w:rsidRPr="00C2120C" w:rsidRDefault="006B6E31" w:rsidP="008373D5">
      <w:pPr>
        <w:pStyle w:val="ListParagraph"/>
        <w:numPr>
          <w:ilvl w:val="1"/>
          <w:numId w:val="48"/>
        </w:numPr>
        <w:spacing w:after="0"/>
        <w:ind w:left="720" w:hanging="720"/>
        <w:jc w:val="both"/>
        <w:rPr>
          <w:rFonts w:ascii="Arial" w:eastAsia="Calibri" w:hAnsi="Arial" w:cs="Arial"/>
          <w:lang w:val="es-ES_tradnl" w:eastAsia="en-US"/>
        </w:rPr>
      </w:pPr>
      <w:r w:rsidRPr="006B6E31">
        <w:rPr>
          <w:rFonts w:ascii="Arial" w:eastAsia="Calibri" w:hAnsi="Arial" w:cs="Arial"/>
          <w:b/>
          <w:lang w:val="es-ES_tradnl" w:eastAsia="en-US"/>
        </w:rPr>
        <w:t xml:space="preserve">Conocimiento </w:t>
      </w:r>
      <w:r w:rsidR="005474A4">
        <w:rPr>
          <w:rFonts w:ascii="Arial" w:eastAsia="Calibri" w:hAnsi="Arial" w:cs="Arial"/>
          <w:b/>
          <w:lang w:val="es-ES_tradnl" w:eastAsia="en-US"/>
        </w:rPr>
        <w:t>e</w:t>
      </w:r>
      <w:r w:rsidRPr="006B6E31">
        <w:rPr>
          <w:rFonts w:ascii="Arial" w:eastAsia="Calibri" w:hAnsi="Arial" w:cs="Arial"/>
          <w:b/>
          <w:lang w:val="es-ES_tradnl" w:eastAsia="en-US"/>
        </w:rPr>
        <w:t>xistente</w:t>
      </w:r>
      <w:r w:rsidR="00C2376E" w:rsidRPr="005474A4">
        <w:rPr>
          <w:rFonts w:ascii="Arial" w:eastAsia="Calibri" w:hAnsi="Arial" w:cs="Arial"/>
          <w:b/>
          <w:bCs/>
          <w:lang w:val="es-ES_tradnl" w:eastAsia="en-US"/>
        </w:rPr>
        <w:t>.</w:t>
      </w:r>
      <w:r w:rsidR="00C2376E" w:rsidRPr="00C2376E">
        <w:rPr>
          <w:rFonts w:ascii="Arial" w:eastAsia="Calibri" w:hAnsi="Arial" w:cs="Arial"/>
          <w:lang w:val="es-ES_tradnl" w:eastAsia="en-US"/>
        </w:rPr>
        <w:t xml:space="preserve"> </w:t>
      </w:r>
      <w:r w:rsidR="00C2376E" w:rsidRPr="00C2376E">
        <w:rPr>
          <w:rFonts w:ascii="Arial" w:eastAsia="Calibri" w:hAnsi="Arial" w:cs="Arial"/>
          <w:lang w:val="es-PE" w:eastAsia="en-US"/>
        </w:rPr>
        <w:t>El estudio más cercano al que se propone aquí es el de Gouveia et al (2018). El estudio evalúa el impacto de un conjunto de políticas que redujeron las barreras a cerrar una empresa y/o restructurarla en Portugal. Como se esperaba, se encontró evidencia que las empresas salen del mercado en mayor proporción. Efectivamente, son las empresas menos productivas las que tienen una mayor probabilidad de dejar el mercado. Ello favorece una redirección de los recursos financieros a emprendimientos más rentables</w:t>
      </w:r>
      <w:r w:rsidR="00C2376E">
        <w:rPr>
          <w:rStyle w:val="FootnoteReference"/>
          <w:rFonts w:ascii="Arial" w:eastAsia="Calibri" w:hAnsi="Arial" w:cs="Arial"/>
          <w:lang w:val="es-PE" w:eastAsia="en-US"/>
        </w:rPr>
        <w:footnoteReference w:id="15"/>
      </w:r>
      <w:r w:rsidR="00C2376E" w:rsidRPr="00C2376E">
        <w:rPr>
          <w:rFonts w:ascii="Arial" w:eastAsia="Calibri" w:hAnsi="Arial" w:cs="Arial"/>
          <w:lang w:val="es-PE" w:eastAsia="en-US"/>
        </w:rPr>
        <w:t>.</w:t>
      </w:r>
    </w:p>
    <w:p w14:paraId="6D669945" w14:textId="77777777" w:rsidR="00F903E2" w:rsidRPr="00C2120C" w:rsidRDefault="00F903E2" w:rsidP="00C2120C">
      <w:pPr>
        <w:spacing w:after="0"/>
        <w:jc w:val="both"/>
        <w:rPr>
          <w:rFonts w:ascii="Arial" w:eastAsia="Calibri" w:hAnsi="Arial" w:cs="Arial"/>
          <w:lang w:val="es-ES_tradnl" w:eastAsia="en-US"/>
        </w:rPr>
      </w:pPr>
    </w:p>
    <w:p w14:paraId="367A4E0D" w14:textId="04CA605A" w:rsidR="00575804" w:rsidRDefault="00575804" w:rsidP="008373D5">
      <w:pPr>
        <w:pStyle w:val="ListParagraph"/>
        <w:numPr>
          <w:ilvl w:val="1"/>
          <w:numId w:val="48"/>
        </w:numPr>
        <w:spacing w:after="0"/>
        <w:ind w:left="720" w:hanging="720"/>
        <w:jc w:val="both"/>
        <w:rPr>
          <w:rFonts w:ascii="Arial" w:eastAsia="Calibri" w:hAnsi="Arial" w:cs="Arial"/>
          <w:lang w:val="es-ES_tradnl" w:eastAsia="en-US"/>
        </w:rPr>
      </w:pPr>
      <w:r w:rsidRPr="00575804">
        <w:rPr>
          <w:rFonts w:ascii="Arial" w:eastAsia="Calibri" w:hAnsi="Arial" w:cs="Arial"/>
          <w:lang w:val="es-ES_tradnl" w:eastAsia="en-US"/>
        </w:rPr>
        <w:t>En esta evaluación se propone enfocarse en la adopción del trámite agilizado para salir del mercado. Por ello, se presenta una revisión de evaluaciones que redujeron trámites con otros objetivos: apertura de empresas y fomento de la inversión extranjera:</w:t>
      </w:r>
    </w:p>
    <w:p w14:paraId="62DF041B" w14:textId="77777777" w:rsidR="00F903E2" w:rsidRPr="00C2120C" w:rsidRDefault="00F903E2" w:rsidP="00C2120C">
      <w:pPr>
        <w:spacing w:after="0"/>
        <w:jc w:val="both"/>
        <w:rPr>
          <w:rFonts w:ascii="Arial" w:eastAsia="Calibri" w:hAnsi="Arial" w:cs="Arial"/>
          <w:lang w:val="es-ES_tradnl" w:eastAsia="en-US"/>
        </w:rPr>
      </w:pPr>
    </w:p>
    <w:p w14:paraId="2D76A339" w14:textId="00E6D24F" w:rsidR="004D69C6" w:rsidRDefault="004D69C6" w:rsidP="008373D5">
      <w:pPr>
        <w:pStyle w:val="ListParagraph"/>
        <w:numPr>
          <w:ilvl w:val="1"/>
          <w:numId w:val="48"/>
        </w:numPr>
        <w:ind w:left="720" w:hanging="720"/>
        <w:jc w:val="both"/>
        <w:rPr>
          <w:rFonts w:ascii="Arial" w:eastAsia="Calibri" w:hAnsi="Arial" w:cs="Arial"/>
          <w:lang w:val="es-ES_tradnl" w:eastAsia="en-US"/>
        </w:rPr>
      </w:pPr>
      <w:r w:rsidRPr="004D69C6">
        <w:rPr>
          <w:rFonts w:ascii="Arial" w:eastAsia="Calibri" w:hAnsi="Arial" w:cs="Arial"/>
          <w:lang w:val="es-ES_tradnl" w:eastAsia="en-US"/>
        </w:rPr>
        <w:t xml:space="preserve">Branestetter et al (2013) muestra que programas de simplificación para abrir una empresa puede ser efectivos en alcanzar dicho objetivo. Utilizando datos de Portugal, muestra que éstos aumentan en el número de empresas que entra. El efecto está concentrado en empresas pequeñas. Es interesante mencionar que los resultados no siempre son los que se esperan. Brunh y </w:t>
      </w:r>
      <w:r w:rsidRPr="004D69C6">
        <w:rPr>
          <w:rFonts w:ascii="Arial" w:eastAsia="Calibri" w:hAnsi="Arial" w:cs="Arial"/>
          <w:lang w:val="es-ES_tradnl" w:eastAsia="en-US"/>
        </w:rPr>
        <w:lastRenderedPageBreak/>
        <w:t>Mckenzie (2013) evalúan el impacto del programa Minas Facil Expresso (Minas Gerais, Brasil) y encuentran un impacto negativo en la apertura de empresas.</w:t>
      </w:r>
    </w:p>
    <w:p w14:paraId="321ED560" w14:textId="77777777" w:rsidR="00F903E2" w:rsidRPr="00C2120C" w:rsidRDefault="00F903E2" w:rsidP="00C2120C">
      <w:pPr>
        <w:jc w:val="both"/>
        <w:rPr>
          <w:rFonts w:ascii="Arial" w:eastAsia="Calibri" w:hAnsi="Arial" w:cs="Arial"/>
          <w:lang w:val="es-ES_tradnl" w:eastAsia="en-US"/>
        </w:rPr>
      </w:pPr>
    </w:p>
    <w:p w14:paraId="01E0A6EC" w14:textId="7F121D45" w:rsidR="004D69C6" w:rsidRDefault="004D69C6" w:rsidP="008373D5">
      <w:pPr>
        <w:pStyle w:val="ListParagraph"/>
        <w:numPr>
          <w:ilvl w:val="1"/>
          <w:numId w:val="48"/>
        </w:numPr>
        <w:spacing w:after="0"/>
        <w:ind w:left="720" w:hanging="720"/>
        <w:jc w:val="both"/>
        <w:rPr>
          <w:rFonts w:ascii="Arial" w:eastAsia="Calibri" w:hAnsi="Arial" w:cs="Arial"/>
          <w:lang w:val="es-ES_tradnl" w:eastAsia="en-US"/>
        </w:rPr>
      </w:pPr>
      <w:r w:rsidRPr="004D69C6">
        <w:rPr>
          <w:rFonts w:ascii="Arial" w:eastAsia="Calibri" w:hAnsi="Arial" w:cs="Arial"/>
          <w:lang w:val="es-ES_tradnl" w:eastAsia="en-US"/>
        </w:rPr>
        <w:t xml:space="preserve">Arias (2018) presenta una revisión de experiencias de ventanillas y simplificación de trámites para el fomento de la inversión. En general se encuentra que estrategias de simplificación focalizadas son efectivas. Como ejemplo, Volpe-Martincus, Carballo y Blyde (2018) muestran la efectividad de estos programas para el caso de Costa Rica y Uruguay. </w:t>
      </w:r>
    </w:p>
    <w:p w14:paraId="74F9E390" w14:textId="77777777" w:rsidR="002F4727" w:rsidRPr="002F4727" w:rsidRDefault="002F4727" w:rsidP="002F4727">
      <w:pPr>
        <w:spacing w:after="0"/>
        <w:jc w:val="both"/>
        <w:rPr>
          <w:rFonts w:ascii="Arial" w:eastAsia="Calibri" w:hAnsi="Arial" w:cs="Arial"/>
          <w:lang w:val="es-ES_tradnl" w:eastAsia="en-US"/>
        </w:rPr>
      </w:pPr>
    </w:p>
    <w:p w14:paraId="22706356" w14:textId="1F36CF0E" w:rsidR="004D69C6" w:rsidRDefault="004D69C6" w:rsidP="008373D5">
      <w:pPr>
        <w:pStyle w:val="ListParagraph"/>
        <w:numPr>
          <w:ilvl w:val="1"/>
          <w:numId w:val="48"/>
        </w:numPr>
        <w:spacing w:after="0"/>
        <w:ind w:left="720" w:hanging="720"/>
        <w:jc w:val="both"/>
        <w:rPr>
          <w:rFonts w:ascii="Arial" w:eastAsia="Calibri" w:hAnsi="Arial" w:cs="Arial"/>
          <w:lang w:val="es-ES_tradnl" w:eastAsia="en-US"/>
        </w:rPr>
      </w:pPr>
      <w:r w:rsidRPr="004D69C6">
        <w:rPr>
          <w:rFonts w:ascii="Arial" w:eastAsia="Calibri" w:hAnsi="Arial" w:cs="Arial"/>
          <w:lang w:val="es-ES_tradnl" w:eastAsia="en-US"/>
        </w:rPr>
        <w:t>La siguiente propuesta de evaluación sería la primera que busca estimar el impacto de un proceso agilizado para el cierre de empresas en riesgo de bancarrota.</w:t>
      </w:r>
    </w:p>
    <w:p w14:paraId="14B1FF31" w14:textId="77777777" w:rsidR="002F4727" w:rsidRPr="002F4727" w:rsidRDefault="002F4727" w:rsidP="002F4727">
      <w:pPr>
        <w:spacing w:after="0"/>
        <w:jc w:val="both"/>
        <w:rPr>
          <w:rFonts w:ascii="Arial" w:eastAsia="Calibri" w:hAnsi="Arial" w:cs="Arial"/>
          <w:lang w:val="es-ES_tradnl" w:eastAsia="en-US"/>
        </w:rPr>
      </w:pPr>
    </w:p>
    <w:p w14:paraId="6E9D52BF" w14:textId="58E3E150" w:rsidR="004D69C6" w:rsidRPr="004D69C6" w:rsidRDefault="004D69C6" w:rsidP="008373D5">
      <w:pPr>
        <w:pStyle w:val="ListParagraph"/>
        <w:numPr>
          <w:ilvl w:val="1"/>
          <w:numId w:val="48"/>
        </w:numPr>
        <w:ind w:left="720" w:hanging="720"/>
        <w:rPr>
          <w:rFonts w:ascii="Arial" w:eastAsia="Calibri" w:hAnsi="Arial" w:cs="Arial"/>
          <w:lang w:val="es-PE" w:eastAsia="en-US"/>
        </w:rPr>
      </w:pPr>
      <w:r w:rsidRPr="004D69C6">
        <w:rPr>
          <w:rFonts w:ascii="Arial" w:eastAsia="Calibri" w:hAnsi="Arial" w:cs="Arial"/>
          <w:b/>
          <w:lang w:val="es-ES_tradnl" w:eastAsia="en-US"/>
        </w:rPr>
        <w:t xml:space="preserve">Indicadores de </w:t>
      </w:r>
      <w:r>
        <w:rPr>
          <w:rFonts w:ascii="Arial" w:eastAsia="Calibri" w:hAnsi="Arial" w:cs="Arial"/>
          <w:b/>
          <w:lang w:val="es-ES_tradnl" w:eastAsia="en-US"/>
        </w:rPr>
        <w:t>r</w:t>
      </w:r>
      <w:r w:rsidRPr="004D69C6">
        <w:rPr>
          <w:rFonts w:ascii="Arial" w:eastAsia="Calibri" w:hAnsi="Arial" w:cs="Arial"/>
          <w:b/>
          <w:lang w:val="es-ES_tradnl" w:eastAsia="en-US"/>
        </w:rPr>
        <w:t xml:space="preserve">esultado </w:t>
      </w:r>
      <w:r>
        <w:rPr>
          <w:rFonts w:ascii="Arial" w:eastAsia="Calibri" w:hAnsi="Arial" w:cs="Arial"/>
          <w:b/>
          <w:lang w:val="es-ES_tradnl" w:eastAsia="en-US"/>
        </w:rPr>
        <w:t>c</w:t>
      </w:r>
      <w:r w:rsidRPr="004D69C6">
        <w:rPr>
          <w:rFonts w:ascii="Arial" w:eastAsia="Calibri" w:hAnsi="Arial" w:cs="Arial"/>
          <w:b/>
          <w:lang w:val="es-ES_tradnl" w:eastAsia="en-US"/>
        </w:rPr>
        <w:t>lave</w:t>
      </w:r>
      <w:r>
        <w:rPr>
          <w:rFonts w:ascii="Arial" w:eastAsia="Calibri" w:hAnsi="Arial" w:cs="Arial"/>
          <w:b/>
          <w:lang w:val="es-ES_tradnl" w:eastAsia="en-US"/>
        </w:rPr>
        <w:t>.</w:t>
      </w:r>
      <w:r w:rsidRPr="004D69C6">
        <w:rPr>
          <w:rFonts w:ascii="Times New Roman" w:eastAsiaTheme="minorHAnsi" w:hAnsi="Times New Roman"/>
          <w:color w:val="000000"/>
          <w:lang w:val="es-PE" w:eastAsia="en-US"/>
        </w:rPr>
        <w:t xml:space="preserve"> </w:t>
      </w:r>
      <w:r w:rsidRPr="004D69C6">
        <w:rPr>
          <w:rFonts w:ascii="Arial" w:eastAsia="Calibri" w:hAnsi="Arial" w:cs="Arial"/>
          <w:lang w:val="es-PE" w:eastAsia="en-US"/>
        </w:rPr>
        <w:t xml:space="preserve">Las preguntas de la evaluación son: </w:t>
      </w:r>
      <w:r w:rsidRPr="004D69C6">
        <w:rPr>
          <w:rFonts w:ascii="Arial" w:eastAsia="Calibri" w:hAnsi="Arial" w:cs="Arial"/>
          <w:lang w:val="es-419" w:eastAsia="en-US"/>
        </w:rPr>
        <w:t>¿</w:t>
      </w:r>
      <w:r w:rsidRPr="004D69C6">
        <w:rPr>
          <w:rFonts w:ascii="Arial" w:eastAsia="Calibri" w:hAnsi="Arial" w:cs="Arial"/>
          <w:lang w:val="es-PE" w:eastAsia="en-US"/>
        </w:rPr>
        <w:t xml:space="preserve">Cuál es el impacto del </w:t>
      </w:r>
      <w:r w:rsidRPr="004D69C6">
        <w:rPr>
          <w:rFonts w:ascii="Arial" w:eastAsia="Calibri" w:hAnsi="Arial" w:cs="Arial"/>
          <w:i/>
          <w:lang w:val="es-PE" w:eastAsia="en-US"/>
        </w:rPr>
        <w:t xml:space="preserve">proceso simplificado para el cierre de empresas </w:t>
      </w:r>
      <w:r w:rsidRPr="004D69C6">
        <w:rPr>
          <w:rFonts w:ascii="Arial" w:eastAsia="Calibri" w:hAnsi="Arial" w:cs="Arial"/>
          <w:lang w:val="es-PE" w:eastAsia="en-US"/>
        </w:rPr>
        <w:t>sobre …</w:t>
      </w:r>
    </w:p>
    <w:p w14:paraId="0ACDED69" w14:textId="77777777" w:rsidR="004D69C6" w:rsidRDefault="004D69C6" w:rsidP="00C2120C">
      <w:pPr>
        <w:pStyle w:val="ListParagraph"/>
        <w:tabs>
          <w:tab w:val="left" w:pos="1350"/>
        </w:tabs>
        <w:ind w:left="1440" w:hanging="720"/>
        <w:rPr>
          <w:rFonts w:ascii="Arial" w:eastAsia="Calibri" w:hAnsi="Arial" w:cs="Arial"/>
          <w:lang w:val="es-PE" w:eastAsia="en-US"/>
        </w:rPr>
      </w:pPr>
    </w:p>
    <w:p w14:paraId="247C54FC" w14:textId="1F41BA7D" w:rsidR="004D69C6" w:rsidRDefault="004D69C6" w:rsidP="00C2120C">
      <w:pPr>
        <w:pStyle w:val="ListParagraph"/>
        <w:numPr>
          <w:ilvl w:val="0"/>
          <w:numId w:val="45"/>
        </w:numPr>
        <w:tabs>
          <w:tab w:val="left" w:pos="1350"/>
        </w:tabs>
        <w:ind w:left="1440"/>
        <w:rPr>
          <w:rFonts w:ascii="Arial" w:eastAsia="Calibri" w:hAnsi="Arial" w:cs="Arial"/>
          <w:lang w:val="es-PE" w:eastAsia="en-US"/>
        </w:rPr>
      </w:pPr>
      <w:r w:rsidRPr="004D69C6">
        <w:rPr>
          <w:rFonts w:ascii="Arial" w:eastAsia="Calibri" w:hAnsi="Arial" w:cs="Arial"/>
          <w:lang w:val="es-PE" w:eastAsia="en-US"/>
        </w:rPr>
        <w:t>… la adopción del proceso de liquidación voluntaria por empresas en riesgo?</w:t>
      </w:r>
    </w:p>
    <w:p w14:paraId="50D51B17" w14:textId="77777777" w:rsidR="004D69C6" w:rsidRPr="004D69C6" w:rsidRDefault="004D69C6" w:rsidP="00C2120C">
      <w:pPr>
        <w:pStyle w:val="ListParagraph"/>
        <w:tabs>
          <w:tab w:val="left" w:pos="1350"/>
        </w:tabs>
        <w:ind w:left="1440" w:hanging="720"/>
        <w:rPr>
          <w:rFonts w:ascii="Arial" w:eastAsia="Calibri" w:hAnsi="Arial" w:cs="Arial"/>
          <w:lang w:val="es-PE" w:eastAsia="en-US"/>
        </w:rPr>
      </w:pPr>
      <w:r w:rsidRPr="004D69C6">
        <w:rPr>
          <w:rFonts w:ascii="Arial" w:eastAsia="Calibri" w:hAnsi="Arial" w:cs="Arial"/>
          <w:lang w:val="es-PE" w:eastAsia="en-US"/>
        </w:rPr>
        <w:t xml:space="preserve">(ii) … la adopción del proceso </w:t>
      </w:r>
      <w:r w:rsidRPr="002F4727">
        <w:rPr>
          <w:rFonts w:ascii="Arial" w:eastAsia="Calibri" w:hAnsi="Arial" w:cs="Arial"/>
          <w:i/>
          <w:iCs/>
          <w:lang w:val="es-PE" w:eastAsia="en-US"/>
        </w:rPr>
        <w:t>fast-track</w:t>
      </w:r>
      <w:r w:rsidRPr="004D69C6">
        <w:rPr>
          <w:rFonts w:ascii="Arial" w:eastAsia="Calibri" w:hAnsi="Arial" w:cs="Arial"/>
          <w:lang w:val="es-PE" w:eastAsia="en-US"/>
        </w:rPr>
        <w:t xml:space="preserve"> (i.e.: portal) para el saneamiento de activos?</w:t>
      </w:r>
    </w:p>
    <w:p w14:paraId="0CB51B70" w14:textId="1F5CA448" w:rsidR="004D69C6" w:rsidRDefault="004D69C6" w:rsidP="008373D5">
      <w:pPr>
        <w:pStyle w:val="ListParagraph"/>
        <w:numPr>
          <w:ilvl w:val="1"/>
          <w:numId w:val="48"/>
        </w:numPr>
        <w:tabs>
          <w:tab w:val="left" w:pos="1350"/>
        </w:tabs>
        <w:ind w:left="810" w:hanging="810"/>
        <w:rPr>
          <w:rFonts w:ascii="Arial" w:eastAsia="Calibri" w:hAnsi="Arial" w:cs="Arial"/>
          <w:lang w:val="es-ES_tradnl" w:eastAsia="en-US"/>
        </w:rPr>
      </w:pPr>
      <w:r w:rsidRPr="004D69C6">
        <w:rPr>
          <w:rFonts w:ascii="Arial" w:eastAsia="Calibri" w:hAnsi="Arial" w:cs="Arial"/>
          <w:lang w:val="es-ES_tradnl" w:eastAsia="en-US"/>
        </w:rPr>
        <w:t>Condicional en iniciar el proceso de liquidación, en el mediano plazo (datos administrativos): ¿Cuál es el impacto del proceso simplificado para el cierre de empresas sobre …</w:t>
      </w:r>
    </w:p>
    <w:p w14:paraId="40171202" w14:textId="77777777" w:rsidR="004D69C6" w:rsidRPr="004D69C6" w:rsidRDefault="004D69C6" w:rsidP="00C2120C">
      <w:pPr>
        <w:pStyle w:val="ListParagraph"/>
        <w:tabs>
          <w:tab w:val="left" w:pos="1350"/>
        </w:tabs>
        <w:ind w:left="1440" w:hanging="720"/>
        <w:rPr>
          <w:rFonts w:ascii="Arial" w:eastAsia="Calibri" w:hAnsi="Arial" w:cs="Arial"/>
          <w:lang w:val="es-ES_tradnl" w:eastAsia="en-US"/>
        </w:rPr>
      </w:pPr>
    </w:p>
    <w:p w14:paraId="66946D94" w14:textId="501AA4E0" w:rsidR="004D69C6" w:rsidRDefault="004D69C6" w:rsidP="00C2120C">
      <w:pPr>
        <w:pStyle w:val="ListParagraph"/>
        <w:tabs>
          <w:tab w:val="left" w:pos="1350"/>
        </w:tabs>
        <w:spacing w:after="0"/>
        <w:ind w:left="1440" w:hanging="720"/>
        <w:jc w:val="both"/>
        <w:rPr>
          <w:rFonts w:ascii="Arial" w:eastAsia="Calibri" w:hAnsi="Arial" w:cs="Arial"/>
          <w:lang w:val="es-ES_tradnl" w:eastAsia="en-US"/>
        </w:rPr>
      </w:pPr>
      <w:r w:rsidRPr="004D69C6">
        <w:rPr>
          <w:rFonts w:ascii="Arial" w:eastAsia="Calibri" w:hAnsi="Arial" w:cs="Arial"/>
          <w:lang w:val="es-ES_tradnl" w:eastAsia="en-US"/>
        </w:rPr>
        <w:t>(iii) … el tiempo promedio para el pago de las deudas con organismos públicos?</w:t>
      </w:r>
    </w:p>
    <w:p w14:paraId="29341086" w14:textId="77777777" w:rsidR="004D69C6" w:rsidRPr="004D69C6" w:rsidRDefault="004D69C6" w:rsidP="00C2120C">
      <w:pPr>
        <w:pStyle w:val="ListParagraph"/>
        <w:tabs>
          <w:tab w:val="left" w:pos="1350"/>
        </w:tabs>
        <w:spacing w:after="0"/>
        <w:ind w:left="1440" w:hanging="720"/>
        <w:jc w:val="both"/>
        <w:rPr>
          <w:rFonts w:ascii="Arial" w:eastAsia="Calibri" w:hAnsi="Arial" w:cs="Arial"/>
          <w:lang w:val="es-ES_tradnl" w:eastAsia="en-US"/>
        </w:rPr>
      </w:pPr>
    </w:p>
    <w:p w14:paraId="5371C215" w14:textId="673CB79B" w:rsidR="006B6E31" w:rsidRPr="00C2376E" w:rsidRDefault="004D69C6" w:rsidP="00C2120C">
      <w:pPr>
        <w:pStyle w:val="ListParagraph"/>
        <w:tabs>
          <w:tab w:val="left" w:pos="1350"/>
        </w:tabs>
        <w:spacing w:after="0"/>
        <w:ind w:left="1440" w:hanging="720"/>
        <w:jc w:val="both"/>
        <w:rPr>
          <w:rFonts w:ascii="Arial" w:eastAsia="Calibri" w:hAnsi="Arial" w:cs="Arial"/>
          <w:lang w:val="es-ES_tradnl" w:eastAsia="en-US"/>
        </w:rPr>
      </w:pPr>
      <w:r w:rsidRPr="004D69C6">
        <w:rPr>
          <w:rFonts w:ascii="Arial" w:eastAsia="Calibri" w:hAnsi="Arial" w:cs="Arial"/>
          <w:lang w:val="es-ES_tradnl" w:eastAsia="en-US"/>
        </w:rPr>
        <w:t>(iv) … el tiempo promedio entre la solicitud de liquidación y el cierre de la empresa?</w:t>
      </w:r>
    </w:p>
    <w:p w14:paraId="7FB0D33F" w14:textId="64F3276C" w:rsidR="009D1AD8" w:rsidRPr="009D1AD8" w:rsidRDefault="004D69C6" w:rsidP="008373D5">
      <w:pPr>
        <w:pStyle w:val="ListParagraph"/>
        <w:numPr>
          <w:ilvl w:val="1"/>
          <w:numId w:val="48"/>
        </w:numPr>
        <w:tabs>
          <w:tab w:val="left" w:pos="1350"/>
        </w:tabs>
        <w:spacing w:after="0"/>
        <w:ind w:left="720" w:hanging="720"/>
        <w:jc w:val="both"/>
        <w:rPr>
          <w:rFonts w:ascii="Arial" w:eastAsia="Calibri" w:hAnsi="Arial" w:cs="Arial"/>
          <w:lang w:val="es-ES_tradnl" w:eastAsia="en-US"/>
        </w:rPr>
      </w:pPr>
      <w:r w:rsidRPr="004D69C6">
        <w:rPr>
          <w:rFonts w:ascii="Arial" w:eastAsia="Calibri" w:hAnsi="Arial" w:cs="Arial"/>
          <w:lang w:val="es-ES_tradnl" w:eastAsia="en-US"/>
        </w:rPr>
        <w:t>Condicional en iniciar el proceso de liquidación, en el mediano plazo (datos administrativos): ¿Cuál es el impacto del proceso simplificado para el cierre de empresas sobre …</w:t>
      </w:r>
    </w:p>
    <w:p w14:paraId="05A13FEB" w14:textId="06CE2FE0" w:rsidR="004D69C6" w:rsidRDefault="004D69C6" w:rsidP="00C2120C">
      <w:pPr>
        <w:pStyle w:val="Paragraph"/>
        <w:numPr>
          <w:ilvl w:val="0"/>
          <w:numId w:val="0"/>
        </w:numPr>
        <w:tabs>
          <w:tab w:val="left" w:pos="1350"/>
        </w:tabs>
        <w:spacing w:after="0"/>
        <w:ind w:left="1440" w:hanging="720"/>
        <w:rPr>
          <w:rFonts w:ascii="Arial" w:hAnsi="Arial" w:cs="Arial"/>
          <w:sz w:val="22"/>
        </w:rPr>
      </w:pPr>
      <w:r w:rsidRPr="004D69C6">
        <w:rPr>
          <w:rFonts w:ascii="Arial" w:hAnsi="Arial" w:cs="Arial"/>
          <w:sz w:val="22"/>
        </w:rPr>
        <w:t>v) … el porcentaje recuperado del valor del patrimonio empresarial?</w:t>
      </w:r>
    </w:p>
    <w:p w14:paraId="2F0F5E12" w14:textId="77777777" w:rsidR="004D69C6" w:rsidRDefault="004D69C6" w:rsidP="00C2120C">
      <w:pPr>
        <w:pStyle w:val="Paragraph"/>
        <w:numPr>
          <w:ilvl w:val="0"/>
          <w:numId w:val="0"/>
        </w:numPr>
        <w:tabs>
          <w:tab w:val="left" w:pos="1350"/>
        </w:tabs>
        <w:spacing w:after="0"/>
        <w:ind w:left="1440" w:hanging="720"/>
        <w:rPr>
          <w:rFonts w:ascii="Arial" w:hAnsi="Arial" w:cs="Arial"/>
          <w:sz w:val="22"/>
        </w:rPr>
      </w:pPr>
    </w:p>
    <w:p w14:paraId="1F67AC5C" w14:textId="7B98AD21" w:rsidR="009D1AD8" w:rsidRDefault="004D69C6" w:rsidP="00C2120C">
      <w:pPr>
        <w:pStyle w:val="Paragraph"/>
        <w:numPr>
          <w:ilvl w:val="0"/>
          <w:numId w:val="0"/>
        </w:numPr>
        <w:tabs>
          <w:tab w:val="left" w:pos="1350"/>
        </w:tabs>
        <w:spacing w:before="0" w:after="0" w:line="276" w:lineRule="auto"/>
        <w:ind w:left="1440" w:hanging="720"/>
        <w:rPr>
          <w:rFonts w:ascii="Arial" w:hAnsi="Arial" w:cs="Arial"/>
          <w:sz w:val="22"/>
        </w:rPr>
      </w:pPr>
      <w:r w:rsidRPr="004D69C6">
        <w:rPr>
          <w:rFonts w:ascii="Arial" w:hAnsi="Arial" w:cs="Arial"/>
          <w:sz w:val="22"/>
        </w:rPr>
        <w:t>(vi) …la decisión de abrir un nuevo negocio?</w:t>
      </w:r>
    </w:p>
    <w:p w14:paraId="2B36CDF7" w14:textId="708843AF" w:rsidR="004D69C6" w:rsidRDefault="004D69C6" w:rsidP="004D69C6">
      <w:pPr>
        <w:pStyle w:val="Paragraph"/>
        <w:numPr>
          <w:ilvl w:val="0"/>
          <w:numId w:val="0"/>
        </w:numPr>
        <w:spacing w:before="0" w:after="0" w:line="276" w:lineRule="auto"/>
        <w:ind w:left="360"/>
        <w:rPr>
          <w:rFonts w:ascii="Arial" w:hAnsi="Arial" w:cs="Arial"/>
          <w:sz w:val="22"/>
        </w:rPr>
      </w:pPr>
    </w:p>
    <w:p w14:paraId="5710E9E0" w14:textId="46C5A581" w:rsidR="004D69C6" w:rsidRPr="004D69C6" w:rsidRDefault="004D69C6" w:rsidP="008373D5">
      <w:pPr>
        <w:pStyle w:val="ListParagraph"/>
        <w:numPr>
          <w:ilvl w:val="1"/>
          <w:numId w:val="48"/>
        </w:numPr>
        <w:tabs>
          <w:tab w:val="left" w:pos="720"/>
        </w:tabs>
        <w:ind w:left="720" w:hanging="720"/>
        <w:jc w:val="both"/>
        <w:rPr>
          <w:rFonts w:ascii="Arial" w:hAnsi="Arial" w:cs="Arial"/>
          <w:lang w:val="es-419"/>
        </w:rPr>
      </w:pPr>
      <w:r>
        <w:rPr>
          <w:rFonts w:ascii="Arial" w:hAnsi="Arial" w:cs="Arial"/>
          <w:lang w:val="es-ES_tradnl"/>
        </w:rPr>
        <w:t>El cuadr</w:t>
      </w:r>
      <w:r w:rsidR="001F6FEC">
        <w:rPr>
          <w:rFonts w:ascii="Arial" w:hAnsi="Arial" w:cs="Arial"/>
          <w:lang w:val="es-ES_tradnl"/>
        </w:rPr>
        <w:t>o 6</w:t>
      </w:r>
      <w:r w:rsidRPr="004D69C6">
        <w:rPr>
          <w:rFonts w:ascii="Arial" w:hAnsi="Arial" w:cs="Arial"/>
          <w:lang w:val="es-419"/>
        </w:rPr>
        <w:t xml:space="preserve"> lista los indicadores, su definición, frecuencia de medición y fuente para alimentar el análisis de evaluación. En caso de que se implemente una plataforma única para el pago de deudas con organismos públicos, los indicadores (i)-(iv) serán recolectados de fuentes administrativas. De manera complementaria, se propone realizar un breve cuestionario a un subconjunto de las empresas en el grupo de control y tratamiento.</w:t>
      </w:r>
    </w:p>
    <w:p w14:paraId="3699914D" w14:textId="02371D91" w:rsidR="004D69C6" w:rsidRDefault="004D69C6" w:rsidP="004D69C6">
      <w:pPr>
        <w:pStyle w:val="ListParagraph"/>
        <w:spacing w:after="0"/>
        <w:ind w:left="360"/>
        <w:jc w:val="both"/>
        <w:rPr>
          <w:rFonts w:ascii="Arial" w:hAnsi="Arial" w:cs="Arial"/>
          <w:lang w:val="es-419"/>
        </w:rPr>
      </w:pPr>
    </w:p>
    <w:p w14:paraId="5B819830" w14:textId="77777777" w:rsidR="00F903E2" w:rsidRDefault="00F903E2" w:rsidP="004D69C6">
      <w:pPr>
        <w:pStyle w:val="ListParagraph"/>
        <w:ind w:left="360"/>
        <w:jc w:val="both"/>
        <w:rPr>
          <w:rFonts w:ascii="Arial" w:hAnsi="Arial" w:cs="Arial"/>
          <w:b/>
          <w:lang w:val="es-PE"/>
        </w:rPr>
      </w:pPr>
    </w:p>
    <w:p w14:paraId="5C3E46D4" w14:textId="77777777" w:rsidR="00F903E2" w:rsidRDefault="00F903E2" w:rsidP="004D69C6">
      <w:pPr>
        <w:pStyle w:val="ListParagraph"/>
        <w:ind w:left="360"/>
        <w:jc w:val="both"/>
        <w:rPr>
          <w:rFonts w:ascii="Arial" w:hAnsi="Arial" w:cs="Arial"/>
          <w:b/>
          <w:lang w:val="es-PE"/>
        </w:rPr>
      </w:pPr>
    </w:p>
    <w:p w14:paraId="0C150D6D" w14:textId="77777777" w:rsidR="00F903E2" w:rsidRDefault="00F903E2" w:rsidP="004D69C6">
      <w:pPr>
        <w:pStyle w:val="ListParagraph"/>
        <w:ind w:left="360"/>
        <w:jc w:val="both"/>
        <w:rPr>
          <w:rFonts w:ascii="Arial" w:hAnsi="Arial" w:cs="Arial"/>
          <w:b/>
          <w:lang w:val="es-PE"/>
        </w:rPr>
        <w:sectPr w:rsidR="00F903E2" w:rsidSect="00ED4C10">
          <w:pgSz w:w="11906" w:h="16838"/>
          <w:pgMar w:top="1440" w:right="1800" w:bottom="1440" w:left="1800" w:header="709" w:footer="709" w:gutter="0"/>
          <w:cols w:space="708"/>
          <w:docGrid w:linePitch="360"/>
        </w:sectPr>
      </w:pPr>
    </w:p>
    <w:p w14:paraId="7A5D08F6" w14:textId="4E8F0354" w:rsidR="001F6FEC" w:rsidRDefault="004D69C6" w:rsidP="004D69C6">
      <w:pPr>
        <w:pStyle w:val="ListParagraph"/>
        <w:ind w:left="360"/>
        <w:jc w:val="both"/>
        <w:rPr>
          <w:rFonts w:ascii="Arial" w:hAnsi="Arial" w:cs="Arial"/>
          <w:b/>
          <w:lang w:val="es-PE"/>
        </w:rPr>
      </w:pPr>
      <w:r>
        <w:rPr>
          <w:rFonts w:ascii="Arial" w:hAnsi="Arial" w:cs="Arial"/>
          <w:b/>
          <w:lang w:val="es-PE"/>
        </w:rPr>
        <w:lastRenderedPageBreak/>
        <w:t>Cuadro</w:t>
      </w:r>
      <w:r w:rsidRPr="004D69C6">
        <w:rPr>
          <w:rFonts w:ascii="Arial" w:hAnsi="Arial" w:cs="Arial"/>
          <w:b/>
          <w:lang w:val="es-PE"/>
        </w:rPr>
        <w:t xml:space="preserve"> </w:t>
      </w:r>
      <w:r>
        <w:rPr>
          <w:rFonts w:ascii="Arial" w:hAnsi="Arial" w:cs="Arial"/>
          <w:b/>
          <w:lang w:val="es-PE"/>
        </w:rPr>
        <w:t>6</w:t>
      </w:r>
      <w:r>
        <w:rPr>
          <w:rFonts w:ascii="Arial" w:hAnsi="Arial" w:cs="Arial"/>
          <w:lang w:val="es-PE"/>
        </w:rPr>
        <w:t xml:space="preserve">: </w:t>
      </w:r>
      <w:r w:rsidRPr="004D69C6">
        <w:rPr>
          <w:rFonts w:ascii="Arial" w:hAnsi="Arial" w:cs="Arial"/>
          <w:b/>
          <w:lang w:val="es-PE"/>
        </w:rPr>
        <w:t xml:space="preserve">Indicadores Clave de </w:t>
      </w:r>
      <w:r w:rsidR="000E498E" w:rsidRPr="004D69C6">
        <w:rPr>
          <w:rFonts w:ascii="Arial" w:hAnsi="Arial" w:cs="Arial"/>
          <w:b/>
          <w:lang w:val="es-PE"/>
        </w:rPr>
        <w:t>Impacto</w:t>
      </w:r>
      <w:r w:rsidR="000E498E">
        <w:rPr>
          <w:rFonts w:ascii="Arial" w:hAnsi="Arial" w:cs="Arial"/>
          <w:b/>
          <w:lang w:val="es-PE"/>
        </w:rPr>
        <w:t xml:space="preserve"> y</w:t>
      </w:r>
      <w:r w:rsidR="000E498E" w:rsidRPr="004D69C6">
        <w:rPr>
          <w:rFonts w:ascii="Arial" w:hAnsi="Arial" w:cs="Arial"/>
          <w:b/>
          <w:lang w:val="es-PE"/>
        </w:rPr>
        <w:t xml:space="preserve"> </w:t>
      </w:r>
      <w:r w:rsidRPr="004D69C6">
        <w:rPr>
          <w:rFonts w:ascii="Arial" w:hAnsi="Arial" w:cs="Arial"/>
          <w:b/>
          <w:lang w:val="es-PE"/>
        </w:rPr>
        <w:t xml:space="preserve">Resultados </w:t>
      </w:r>
    </w:p>
    <w:p w14:paraId="038374CB" w14:textId="652433A3" w:rsidR="000E498E" w:rsidRPr="001F6FEC" w:rsidRDefault="000E498E">
      <w:pPr>
        <w:pStyle w:val="ListParagraph"/>
        <w:ind w:left="360"/>
        <w:jc w:val="both"/>
        <w:rPr>
          <w:lang w:val="es-PE"/>
        </w:rPr>
      </w:pPr>
    </w:p>
    <w:p w14:paraId="0327C830" w14:textId="77777777" w:rsidR="001F6FEC" w:rsidRPr="001F6FEC" w:rsidRDefault="001F6FEC" w:rsidP="001F6FEC">
      <w:pPr>
        <w:pStyle w:val="ListParagraph"/>
        <w:ind w:left="360"/>
        <w:jc w:val="both"/>
        <w:rPr>
          <w:rFonts w:ascii="Arial" w:hAnsi="Arial" w:cs="Arial"/>
          <w:b/>
        </w:rPr>
      </w:pPr>
      <w:r w:rsidRPr="001F6FEC">
        <w:rPr>
          <w:rFonts w:ascii="Arial" w:hAnsi="Arial" w:cs="Arial"/>
          <w:b/>
        </w:rPr>
        <w:t>Impacto Esperado</w:t>
      </w: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1421"/>
        <w:gridCol w:w="1257"/>
        <w:gridCol w:w="1350"/>
        <w:gridCol w:w="1440"/>
        <w:gridCol w:w="2430"/>
        <w:gridCol w:w="3420"/>
      </w:tblGrid>
      <w:tr w:rsidR="001F6FEC" w:rsidRPr="00B1147E" w14:paraId="502A91A2" w14:textId="77777777" w:rsidTr="00F903E2">
        <w:trPr>
          <w:trHeight w:val="703"/>
          <w:tblHeader/>
        </w:trPr>
        <w:tc>
          <w:tcPr>
            <w:tcW w:w="1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3781E7" w14:textId="77777777" w:rsidR="001F6FEC" w:rsidRPr="00C2120C" w:rsidRDefault="001F6FEC" w:rsidP="001F6FEC">
            <w:pPr>
              <w:pStyle w:val="ListParagraph"/>
              <w:ind w:left="360"/>
              <w:jc w:val="both"/>
              <w:rPr>
                <w:rFonts w:ascii="Arial" w:hAnsi="Arial" w:cs="Arial"/>
                <w:b/>
                <w:sz w:val="20"/>
                <w:szCs w:val="20"/>
              </w:rPr>
            </w:pPr>
            <w:r w:rsidRPr="00C2120C">
              <w:rPr>
                <w:rFonts w:ascii="Arial" w:hAnsi="Arial" w:cs="Arial"/>
                <w:b/>
                <w:sz w:val="20"/>
                <w:szCs w:val="20"/>
              </w:rPr>
              <w:t>Indicadores</w:t>
            </w:r>
          </w:p>
        </w:tc>
        <w:tc>
          <w:tcPr>
            <w:tcW w:w="1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7F31B1" w14:textId="77777777" w:rsidR="001F6FEC" w:rsidRPr="00C2120C" w:rsidRDefault="001F6FEC" w:rsidP="001F6FEC">
            <w:pPr>
              <w:pStyle w:val="ListParagraph"/>
              <w:ind w:left="360"/>
              <w:jc w:val="both"/>
              <w:rPr>
                <w:rFonts w:ascii="Arial" w:hAnsi="Arial" w:cs="Arial"/>
                <w:b/>
                <w:sz w:val="20"/>
                <w:szCs w:val="20"/>
              </w:rPr>
            </w:pPr>
            <w:r w:rsidRPr="00C2120C">
              <w:rPr>
                <w:rFonts w:ascii="Arial" w:hAnsi="Arial" w:cs="Arial"/>
                <w:b/>
                <w:sz w:val="20"/>
                <w:szCs w:val="20"/>
              </w:rPr>
              <w:t>Unidad de Medida</w:t>
            </w:r>
          </w:p>
        </w:tc>
        <w:tc>
          <w:tcPr>
            <w:tcW w:w="1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A23BAD" w14:textId="77777777" w:rsidR="001F6FEC" w:rsidRPr="00C2120C" w:rsidRDefault="001F6FEC" w:rsidP="001F6FEC">
            <w:pPr>
              <w:pStyle w:val="ListParagraph"/>
              <w:ind w:left="360"/>
              <w:jc w:val="both"/>
              <w:rPr>
                <w:rFonts w:ascii="Arial" w:hAnsi="Arial" w:cs="Arial"/>
                <w:b/>
                <w:sz w:val="20"/>
                <w:szCs w:val="20"/>
              </w:rPr>
            </w:pPr>
            <w:r w:rsidRPr="00C2120C">
              <w:rPr>
                <w:rFonts w:ascii="Arial" w:hAnsi="Arial" w:cs="Arial"/>
                <w:b/>
                <w:sz w:val="20"/>
                <w:szCs w:val="20"/>
              </w:rPr>
              <w:t>Línea de Base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D836BC" w14:textId="77777777" w:rsidR="001F6FEC" w:rsidRPr="00C2120C" w:rsidRDefault="001F6FEC" w:rsidP="001F6FEC">
            <w:pPr>
              <w:pStyle w:val="ListParagraph"/>
              <w:ind w:left="360"/>
              <w:jc w:val="both"/>
              <w:rPr>
                <w:rFonts w:ascii="Arial" w:hAnsi="Arial" w:cs="Arial"/>
                <w:b/>
                <w:sz w:val="20"/>
                <w:szCs w:val="20"/>
              </w:rPr>
            </w:pPr>
            <w:r w:rsidRPr="00C2120C">
              <w:rPr>
                <w:rFonts w:ascii="Arial" w:hAnsi="Arial" w:cs="Arial"/>
                <w:b/>
                <w:sz w:val="20"/>
                <w:szCs w:val="20"/>
              </w:rPr>
              <w:t>Año</w:t>
            </w:r>
          </w:p>
          <w:p w14:paraId="41B8B0CD" w14:textId="77777777" w:rsidR="001F6FEC" w:rsidRPr="00C2120C" w:rsidRDefault="001F6FEC" w:rsidP="001F6FEC">
            <w:pPr>
              <w:pStyle w:val="ListParagraph"/>
              <w:ind w:left="360"/>
              <w:jc w:val="both"/>
              <w:rPr>
                <w:rFonts w:ascii="Arial" w:hAnsi="Arial" w:cs="Arial"/>
                <w:b/>
                <w:sz w:val="20"/>
                <w:szCs w:val="20"/>
              </w:rPr>
            </w:pPr>
            <w:r w:rsidRPr="00C2120C">
              <w:rPr>
                <w:rFonts w:ascii="Arial" w:hAnsi="Arial" w:cs="Arial"/>
                <w:b/>
                <w:sz w:val="20"/>
                <w:szCs w:val="20"/>
              </w:rPr>
              <w:t>Línea de Base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636E87" w14:textId="77777777" w:rsidR="001F6FEC" w:rsidRPr="00C2120C" w:rsidRDefault="001F6FEC" w:rsidP="001F6FEC">
            <w:pPr>
              <w:pStyle w:val="ListParagraph"/>
              <w:ind w:left="360"/>
              <w:jc w:val="both"/>
              <w:rPr>
                <w:rFonts w:ascii="Arial" w:hAnsi="Arial" w:cs="Arial"/>
                <w:b/>
                <w:sz w:val="20"/>
                <w:szCs w:val="20"/>
              </w:rPr>
            </w:pPr>
            <w:r w:rsidRPr="00C2120C">
              <w:rPr>
                <w:rFonts w:ascii="Arial" w:hAnsi="Arial" w:cs="Arial"/>
                <w:b/>
                <w:sz w:val="20"/>
                <w:szCs w:val="20"/>
              </w:rPr>
              <w:t>Meta Final</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942AE1" w14:textId="77777777" w:rsidR="001F6FEC" w:rsidRPr="00C2120C" w:rsidRDefault="001F6FEC" w:rsidP="001F6FEC">
            <w:pPr>
              <w:pStyle w:val="ListParagraph"/>
              <w:ind w:left="360"/>
              <w:jc w:val="both"/>
              <w:rPr>
                <w:rFonts w:ascii="Arial" w:hAnsi="Arial" w:cs="Arial"/>
                <w:b/>
                <w:sz w:val="20"/>
                <w:szCs w:val="20"/>
              </w:rPr>
            </w:pPr>
            <w:r w:rsidRPr="00C2120C">
              <w:rPr>
                <w:rFonts w:ascii="Arial" w:hAnsi="Arial" w:cs="Arial"/>
                <w:b/>
                <w:sz w:val="20"/>
                <w:szCs w:val="20"/>
              </w:rPr>
              <w:t>Medios de Verificación</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3DBA8C" w14:textId="77777777" w:rsidR="001F6FEC" w:rsidRPr="00C2120C" w:rsidRDefault="001F6FEC" w:rsidP="001F6FEC">
            <w:pPr>
              <w:pStyle w:val="ListParagraph"/>
              <w:ind w:left="360"/>
              <w:jc w:val="both"/>
              <w:rPr>
                <w:rFonts w:ascii="Arial" w:hAnsi="Arial" w:cs="Arial"/>
                <w:b/>
                <w:sz w:val="20"/>
                <w:szCs w:val="20"/>
              </w:rPr>
            </w:pPr>
            <w:r w:rsidRPr="00C2120C">
              <w:rPr>
                <w:rFonts w:ascii="Arial" w:hAnsi="Arial" w:cs="Arial"/>
                <w:b/>
                <w:sz w:val="20"/>
                <w:szCs w:val="20"/>
              </w:rPr>
              <w:t>Comentarios</w:t>
            </w:r>
          </w:p>
        </w:tc>
      </w:tr>
      <w:tr w:rsidR="001F6FEC" w:rsidRPr="00387315" w14:paraId="071959C5" w14:textId="77777777" w:rsidTr="00C2120C">
        <w:trPr>
          <w:trHeight w:val="260"/>
        </w:trPr>
        <w:tc>
          <w:tcPr>
            <w:tcW w:w="13315" w:type="dxa"/>
            <w:gridSpan w:val="7"/>
            <w:tcBorders>
              <w:top w:val="single" w:sz="4" w:space="0" w:color="auto"/>
              <w:left w:val="single" w:sz="4" w:space="0" w:color="auto"/>
              <w:bottom w:val="single" w:sz="4" w:space="0" w:color="auto"/>
              <w:right w:val="single" w:sz="4" w:space="0" w:color="auto"/>
            </w:tcBorders>
            <w:vAlign w:val="center"/>
          </w:tcPr>
          <w:p w14:paraId="0C21C899" w14:textId="5F7F9EF5" w:rsidR="001F6FEC" w:rsidRPr="00C2120C" w:rsidRDefault="001F6FEC" w:rsidP="00C2120C">
            <w:pPr>
              <w:pStyle w:val="ListParagraph"/>
              <w:ind w:left="-19"/>
              <w:rPr>
                <w:rFonts w:ascii="Arial" w:hAnsi="Arial" w:cs="Arial"/>
                <w:b/>
                <w:bCs/>
                <w:sz w:val="20"/>
                <w:szCs w:val="20"/>
                <w:u w:val="single"/>
                <w:lang w:val="es-ES_tradnl"/>
              </w:rPr>
            </w:pPr>
            <w:r w:rsidRPr="00C2120C">
              <w:rPr>
                <w:rFonts w:ascii="Arial" w:hAnsi="Arial" w:cs="Arial"/>
                <w:b/>
                <w:bCs/>
                <w:sz w:val="20"/>
                <w:szCs w:val="20"/>
                <w:u w:val="single"/>
                <w:lang w:val="es-ES_tradnl"/>
              </w:rPr>
              <w:t>IMPACTO #1:</w:t>
            </w:r>
            <w:r w:rsidR="00F903E2" w:rsidRPr="00C2120C">
              <w:rPr>
                <w:rFonts w:ascii="Arial" w:hAnsi="Arial" w:cs="Arial"/>
                <w:b/>
                <w:bCs/>
                <w:sz w:val="20"/>
                <w:szCs w:val="20"/>
                <w:lang w:val="es-ES_tradnl"/>
              </w:rPr>
              <w:t xml:space="preserve"> Competitividad internacional del país incrementada</w:t>
            </w:r>
          </w:p>
        </w:tc>
      </w:tr>
      <w:tr w:rsidR="001F6FEC" w:rsidRPr="00387315" w14:paraId="7A38AA11" w14:textId="77777777" w:rsidTr="00F903E2">
        <w:trPr>
          <w:trHeight w:val="64"/>
        </w:trPr>
        <w:tc>
          <w:tcPr>
            <w:tcW w:w="1997" w:type="dxa"/>
            <w:tcBorders>
              <w:top w:val="single" w:sz="4" w:space="0" w:color="auto"/>
              <w:left w:val="single" w:sz="4" w:space="0" w:color="auto"/>
              <w:bottom w:val="single" w:sz="4" w:space="0" w:color="auto"/>
              <w:right w:val="single" w:sz="4" w:space="0" w:color="auto"/>
            </w:tcBorders>
            <w:hideMark/>
          </w:tcPr>
          <w:p w14:paraId="72959947" w14:textId="77777777" w:rsidR="001F6FEC" w:rsidRPr="00C2120C" w:rsidRDefault="001F6FEC" w:rsidP="001F6FEC">
            <w:pPr>
              <w:pStyle w:val="ListParagraph"/>
              <w:ind w:left="360"/>
              <w:jc w:val="both"/>
              <w:rPr>
                <w:rFonts w:ascii="Arial" w:hAnsi="Arial" w:cs="Arial"/>
                <w:sz w:val="20"/>
                <w:szCs w:val="20"/>
                <w:lang w:val="en-CA"/>
              </w:rPr>
            </w:pPr>
            <w:r w:rsidRPr="00C2120C">
              <w:rPr>
                <w:rFonts w:ascii="Arial" w:hAnsi="Arial" w:cs="Arial"/>
                <w:sz w:val="20"/>
                <w:szCs w:val="20"/>
                <w:lang w:val="es-EC"/>
              </w:rPr>
              <w:t>1. Índice de Competitividad Global</w:t>
            </w:r>
          </w:p>
        </w:tc>
        <w:tc>
          <w:tcPr>
            <w:tcW w:w="1421" w:type="dxa"/>
            <w:tcBorders>
              <w:top w:val="single" w:sz="4" w:space="0" w:color="auto"/>
              <w:left w:val="single" w:sz="4" w:space="0" w:color="auto"/>
              <w:bottom w:val="single" w:sz="4" w:space="0" w:color="auto"/>
              <w:right w:val="single" w:sz="4" w:space="0" w:color="auto"/>
            </w:tcBorders>
          </w:tcPr>
          <w:p w14:paraId="70263A44" w14:textId="77777777" w:rsidR="001F6FEC" w:rsidRPr="00C2120C" w:rsidRDefault="001F6FEC" w:rsidP="001F6FEC">
            <w:pPr>
              <w:pStyle w:val="ListParagraph"/>
              <w:ind w:left="360"/>
              <w:jc w:val="both"/>
              <w:rPr>
                <w:rFonts w:ascii="Arial" w:hAnsi="Arial" w:cs="Arial"/>
                <w:sz w:val="20"/>
                <w:szCs w:val="20"/>
              </w:rPr>
            </w:pPr>
            <w:r w:rsidRPr="00C2120C">
              <w:rPr>
                <w:rFonts w:ascii="Arial" w:hAnsi="Arial" w:cs="Arial"/>
                <w:sz w:val="20"/>
                <w:szCs w:val="20"/>
                <w:lang w:val="es-EC"/>
              </w:rPr>
              <w:t>Puntaje</w:t>
            </w:r>
          </w:p>
        </w:tc>
        <w:tc>
          <w:tcPr>
            <w:tcW w:w="1257" w:type="dxa"/>
            <w:tcBorders>
              <w:top w:val="single" w:sz="4" w:space="0" w:color="auto"/>
              <w:left w:val="single" w:sz="4" w:space="0" w:color="auto"/>
              <w:bottom w:val="single" w:sz="4" w:space="0" w:color="auto"/>
              <w:right w:val="single" w:sz="4" w:space="0" w:color="auto"/>
            </w:tcBorders>
          </w:tcPr>
          <w:p w14:paraId="05963E1D" w14:textId="77777777" w:rsidR="001F6FEC" w:rsidRPr="00C2120C" w:rsidRDefault="001F6FEC" w:rsidP="001F6FEC">
            <w:pPr>
              <w:pStyle w:val="ListParagraph"/>
              <w:ind w:left="360"/>
              <w:jc w:val="both"/>
              <w:rPr>
                <w:rFonts w:ascii="Arial" w:hAnsi="Arial" w:cs="Arial"/>
                <w:sz w:val="20"/>
                <w:szCs w:val="20"/>
              </w:rPr>
            </w:pPr>
            <w:r w:rsidRPr="00C2120C">
              <w:rPr>
                <w:rFonts w:ascii="Arial" w:hAnsi="Arial" w:cs="Arial"/>
                <w:sz w:val="20"/>
                <w:szCs w:val="20"/>
                <w:lang w:val="es-EC"/>
              </w:rPr>
              <w:t>55,8</w:t>
            </w:r>
            <w:r w:rsidRPr="00C2120C">
              <w:rPr>
                <w:rFonts w:ascii="Arial" w:hAnsi="Arial" w:cs="Arial"/>
                <w:sz w:val="20"/>
                <w:szCs w:val="20"/>
                <w:vertAlign w:val="superscript"/>
                <w:lang w:val="es-EC"/>
              </w:rPr>
              <w:footnoteReference w:id="16"/>
            </w:r>
          </w:p>
        </w:tc>
        <w:tc>
          <w:tcPr>
            <w:tcW w:w="1350" w:type="dxa"/>
            <w:tcBorders>
              <w:top w:val="single" w:sz="4" w:space="0" w:color="auto"/>
              <w:left w:val="single" w:sz="4" w:space="0" w:color="auto"/>
              <w:bottom w:val="single" w:sz="4" w:space="0" w:color="auto"/>
              <w:right w:val="single" w:sz="4" w:space="0" w:color="auto"/>
            </w:tcBorders>
          </w:tcPr>
          <w:p w14:paraId="6FD9984D" w14:textId="77777777" w:rsidR="001F6FEC" w:rsidRPr="00C2120C" w:rsidRDefault="001F6FEC" w:rsidP="001F6FEC">
            <w:pPr>
              <w:pStyle w:val="ListParagraph"/>
              <w:ind w:left="360"/>
              <w:jc w:val="both"/>
              <w:rPr>
                <w:rFonts w:ascii="Arial" w:hAnsi="Arial" w:cs="Arial"/>
                <w:sz w:val="20"/>
                <w:szCs w:val="20"/>
              </w:rPr>
            </w:pPr>
            <w:r w:rsidRPr="00C2120C">
              <w:rPr>
                <w:rFonts w:ascii="Arial" w:hAnsi="Arial" w:cs="Arial"/>
                <w:sz w:val="20"/>
                <w:szCs w:val="20"/>
                <w:lang w:val="es-EC"/>
              </w:rPr>
              <w:t>2018</w:t>
            </w:r>
          </w:p>
        </w:tc>
        <w:tc>
          <w:tcPr>
            <w:tcW w:w="1440" w:type="dxa"/>
            <w:tcBorders>
              <w:top w:val="single" w:sz="4" w:space="0" w:color="auto"/>
              <w:left w:val="single" w:sz="4" w:space="0" w:color="auto"/>
              <w:bottom w:val="single" w:sz="4" w:space="0" w:color="auto"/>
              <w:right w:val="single" w:sz="4" w:space="0" w:color="auto"/>
            </w:tcBorders>
          </w:tcPr>
          <w:p w14:paraId="09B4C3E7" w14:textId="77777777" w:rsidR="001F6FEC" w:rsidRPr="00C2120C" w:rsidRDefault="001F6FEC" w:rsidP="001F6FEC">
            <w:pPr>
              <w:pStyle w:val="ListParagraph"/>
              <w:ind w:left="360"/>
              <w:jc w:val="both"/>
              <w:rPr>
                <w:rFonts w:ascii="Arial" w:hAnsi="Arial" w:cs="Arial"/>
                <w:sz w:val="20"/>
                <w:szCs w:val="20"/>
              </w:rPr>
            </w:pPr>
            <w:r w:rsidRPr="00C2120C">
              <w:rPr>
                <w:rFonts w:ascii="Arial" w:hAnsi="Arial" w:cs="Arial"/>
                <w:sz w:val="20"/>
                <w:szCs w:val="20"/>
                <w:lang w:val="es-EC"/>
              </w:rPr>
              <w:t>62</w:t>
            </w:r>
          </w:p>
        </w:tc>
        <w:tc>
          <w:tcPr>
            <w:tcW w:w="2430" w:type="dxa"/>
            <w:tcBorders>
              <w:top w:val="single" w:sz="4" w:space="0" w:color="auto"/>
              <w:left w:val="single" w:sz="4" w:space="0" w:color="auto"/>
              <w:bottom w:val="single" w:sz="4" w:space="0" w:color="auto"/>
              <w:right w:val="single" w:sz="4" w:space="0" w:color="auto"/>
            </w:tcBorders>
          </w:tcPr>
          <w:p w14:paraId="76CC2731" w14:textId="77777777" w:rsidR="001F6FEC" w:rsidRPr="00C2120C" w:rsidRDefault="001F6FEC" w:rsidP="001F6FEC">
            <w:pPr>
              <w:pStyle w:val="ListParagraph"/>
              <w:ind w:left="360"/>
              <w:jc w:val="both"/>
              <w:rPr>
                <w:rFonts w:ascii="Arial" w:hAnsi="Arial" w:cs="Arial"/>
                <w:sz w:val="20"/>
                <w:szCs w:val="20"/>
              </w:rPr>
            </w:pPr>
            <w:r w:rsidRPr="00C2120C">
              <w:rPr>
                <w:rFonts w:ascii="Arial" w:hAnsi="Arial" w:cs="Arial"/>
                <w:sz w:val="20"/>
                <w:szCs w:val="20"/>
                <w:lang w:val="es-EC"/>
              </w:rPr>
              <w:t>Reporte de competitividad global elaborado por el Foro Económico Mundial (WEF)</w:t>
            </w:r>
          </w:p>
        </w:tc>
        <w:tc>
          <w:tcPr>
            <w:tcW w:w="3420" w:type="dxa"/>
            <w:tcBorders>
              <w:top w:val="single" w:sz="4" w:space="0" w:color="auto"/>
              <w:left w:val="single" w:sz="4" w:space="0" w:color="auto"/>
              <w:bottom w:val="single" w:sz="4" w:space="0" w:color="auto"/>
              <w:right w:val="single" w:sz="4" w:space="0" w:color="auto"/>
            </w:tcBorders>
          </w:tcPr>
          <w:p w14:paraId="11087E70" w14:textId="77777777" w:rsidR="001F6FEC" w:rsidRPr="00C2120C" w:rsidRDefault="001F6FEC" w:rsidP="001F6FEC">
            <w:pPr>
              <w:pStyle w:val="ListParagraph"/>
              <w:ind w:left="360"/>
              <w:jc w:val="both"/>
              <w:rPr>
                <w:rFonts w:ascii="Arial" w:hAnsi="Arial" w:cs="Arial"/>
                <w:sz w:val="20"/>
                <w:szCs w:val="20"/>
                <w:lang w:val="es-EC"/>
              </w:rPr>
            </w:pPr>
            <w:r w:rsidRPr="00C2120C">
              <w:rPr>
                <w:rFonts w:ascii="Arial" w:hAnsi="Arial" w:cs="Arial"/>
                <w:sz w:val="20"/>
                <w:szCs w:val="20"/>
                <w:lang w:val="es-EC"/>
              </w:rPr>
              <w:t xml:space="preserve">El puntaje corresponde a una escala de 0 a 100. El </w:t>
            </w:r>
            <w:hyperlink r:id="rId18" w:history="1">
              <w:r w:rsidRPr="00C2120C">
                <w:rPr>
                  <w:rStyle w:val="Hyperlink"/>
                  <w:rFonts w:ascii="Arial" w:hAnsi="Arial" w:cs="Arial"/>
                  <w:sz w:val="20"/>
                  <w:szCs w:val="20"/>
                  <w:lang w:val="es-EC"/>
                </w:rPr>
                <w:t>CI-WEF es un indicador global</w:t>
              </w:r>
            </w:hyperlink>
            <w:r w:rsidRPr="00C2120C">
              <w:rPr>
                <w:rFonts w:ascii="Arial" w:hAnsi="Arial" w:cs="Arial"/>
                <w:sz w:val="20"/>
                <w:szCs w:val="20"/>
                <w:lang w:val="es-EC"/>
              </w:rPr>
              <w:t xml:space="preserve"> que considera cuatro grupos de indicadores que determinan el nivel de productividad de la economía: (i) un ambiente habilitante; (ii) capital humano; (iii) mercados; y (iv) un ecosistema innovador.</w:t>
            </w:r>
          </w:p>
          <w:p w14:paraId="0DE73714" w14:textId="77777777" w:rsidR="001F6FEC" w:rsidRPr="00C2120C" w:rsidRDefault="001F6FEC" w:rsidP="001F6FEC">
            <w:pPr>
              <w:pStyle w:val="ListParagraph"/>
              <w:ind w:left="360"/>
              <w:jc w:val="both"/>
              <w:rPr>
                <w:rFonts w:ascii="Arial" w:hAnsi="Arial" w:cs="Arial"/>
                <w:sz w:val="20"/>
                <w:szCs w:val="20"/>
                <w:lang w:val="es-ES_tradnl"/>
              </w:rPr>
            </w:pPr>
            <w:r w:rsidRPr="00C2120C">
              <w:rPr>
                <w:rFonts w:ascii="Arial" w:hAnsi="Arial" w:cs="Arial"/>
                <w:sz w:val="20"/>
                <w:szCs w:val="20"/>
                <w:lang w:val="es-EC"/>
              </w:rPr>
              <w:t>El puntaje de 62 (EOP) equivale al de Costa Rica en 2018, dadas las similitudes entre ambos países. Ecuador es el décimo tercero de la región y Costa Rica el cuarto en 2018</w:t>
            </w:r>
          </w:p>
        </w:tc>
      </w:tr>
    </w:tbl>
    <w:p w14:paraId="52AB5D7D" w14:textId="77777777" w:rsidR="00F903E2" w:rsidRDefault="00F903E2" w:rsidP="004D69C6">
      <w:pPr>
        <w:pStyle w:val="ListParagraph"/>
        <w:ind w:left="360"/>
        <w:jc w:val="both"/>
        <w:rPr>
          <w:rFonts w:ascii="Arial" w:hAnsi="Arial" w:cs="Arial"/>
          <w:b/>
          <w:lang w:val="es-ES"/>
        </w:rPr>
        <w:sectPr w:rsidR="00F903E2" w:rsidSect="00B1147E">
          <w:pgSz w:w="16838" w:h="11906" w:orient="landscape"/>
          <w:pgMar w:top="1800" w:right="1440" w:bottom="1800" w:left="1440" w:header="709" w:footer="709" w:gutter="0"/>
          <w:cols w:space="708"/>
          <w:docGrid w:linePitch="360"/>
        </w:sectPr>
      </w:pPr>
    </w:p>
    <w:p w14:paraId="7671642C" w14:textId="17D1B959" w:rsidR="004D69C6" w:rsidRPr="00C2120C" w:rsidRDefault="001F6FEC" w:rsidP="00C2120C">
      <w:pPr>
        <w:jc w:val="both"/>
        <w:rPr>
          <w:rFonts w:ascii="Arial" w:hAnsi="Arial" w:cs="Arial"/>
          <w:lang w:val="es-PE"/>
        </w:rPr>
      </w:pPr>
      <w:r>
        <w:rPr>
          <w:rFonts w:ascii="Arial" w:hAnsi="Arial" w:cs="Arial"/>
          <w:b/>
          <w:lang w:val="es-PE"/>
        </w:rPr>
        <w:lastRenderedPageBreak/>
        <w:t xml:space="preserve">Resultados Esperados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9"/>
        <w:gridCol w:w="2485"/>
        <w:gridCol w:w="1732"/>
        <w:gridCol w:w="1640"/>
      </w:tblGrid>
      <w:tr w:rsidR="004D69C6" w:rsidRPr="0036243C" w14:paraId="299B9918" w14:textId="77777777" w:rsidTr="00C2120C">
        <w:trPr>
          <w:tblHeader/>
        </w:trPr>
        <w:tc>
          <w:tcPr>
            <w:tcW w:w="3055" w:type="dxa"/>
            <w:shd w:val="clear" w:color="auto" w:fill="D9D9D9" w:themeFill="background1" w:themeFillShade="D9"/>
          </w:tcPr>
          <w:p w14:paraId="771CF51A" w14:textId="77777777" w:rsidR="004D69C6" w:rsidRPr="00C2120C" w:rsidRDefault="004D69C6" w:rsidP="00C2120C">
            <w:pPr>
              <w:pStyle w:val="ListParagraph"/>
              <w:ind w:left="360"/>
              <w:jc w:val="center"/>
              <w:rPr>
                <w:rFonts w:ascii="Arial" w:hAnsi="Arial" w:cs="Arial"/>
                <w:b/>
                <w:bCs/>
                <w:sz w:val="18"/>
                <w:szCs w:val="18"/>
                <w:lang w:val="es-PE"/>
              </w:rPr>
            </w:pPr>
            <w:r w:rsidRPr="00C2120C">
              <w:rPr>
                <w:rFonts w:ascii="Arial" w:hAnsi="Arial" w:cs="Arial"/>
                <w:b/>
                <w:bCs/>
                <w:sz w:val="18"/>
                <w:szCs w:val="18"/>
                <w:lang w:val="es-PE"/>
              </w:rPr>
              <w:t>Indicador</w:t>
            </w:r>
          </w:p>
        </w:tc>
        <w:tc>
          <w:tcPr>
            <w:tcW w:w="2610" w:type="dxa"/>
            <w:shd w:val="clear" w:color="auto" w:fill="D9D9D9" w:themeFill="background1" w:themeFillShade="D9"/>
          </w:tcPr>
          <w:p w14:paraId="2CF3CFDF" w14:textId="77777777" w:rsidR="004D69C6" w:rsidRPr="00C2120C" w:rsidRDefault="004D69C6" w:rsidP="00C2120C">
            <w:pPr>
              <w:pStyle w:val="ListParagraph"/>
              <w:ind w:left="360"/>
              <w:jc w:val="center"/>
              <w:rPr>
                <w:rFonts w:ascii="Arial" w:hAnsi="Arial" w:cs="Arial"/>
                <w:b/>
                <w:bCs/>
                <w:sz w:val="18"/>
                <w:szCs w:val="18"/>
                <w:lang w:val="es-PE"/>
              </w:rPr>
            </w:pPr>
            <w:r w:rsidRPr="00C2120C">
              <w:rPr>
                <w:rFonts w:ascii="Arial" w:hAnsi="Arial" w:cs="Arial"/>
                <w:b/>
                <w:bCs/>
                <w:sz w:val="18"/>
                <w:szCs w:val="18"/>
                <w:lang w:val="es-PE"/>
              </w:rPr>
              <w:t>Formula / Definición</w:t>
            </w:r>
          </w:p>
        </w:tc>
        <w:tc>
          <w:tcPr>
            <w:tcW w:w="1800" w:type="dxa"/>
            <w:shd w:val="clear" w:color="auto" w:fill="D9D9D9" w:themeFill="background1" w:themeFillShade="D9"/>
          </w:tcPr>
          <w:p w14:paraId="207A675E" w14:textId="77777777" w:rsidR="004D69C6" w:rsidRPr="00C2120C" w:rsidRDefault="004D69C6" w:rsidP="00C2120C">
            <w:pPr>
              <w:pStyle w:val="ListParagraph"/>
              <w:ind w:left="360"/>
              <w:jc w:val="center"/>
              <w:rPr>
                <w:rFonts w:ascii="Arial" w:hAnsi="Arial" w:cs="Arial"/>
                <w:b/>
                <w:bCs/>
                <w:sz w:val="18"/>
                <w:szCs w:val="18"/>
                <w:lang w:val="es-PE"/>
              </w:rPr>
            </w:pPr>
            <w:r w:rsidRPr="00C2120C">
              <w:rPr>
                <w:rFonts w:ascii="Arial" w:hAnsi="Arial" w:cs="Arial"/>
                <w:b/>
                <w:bCs/>
                <w:sz w:val="18"/>
                <w:szCs w:val="18"/>
                <w:lang w:val="es-PE"/>
              </w:rPr>
              <w:t>Frecuencia de Medición</w:t>
            </w:r>
          </w:p>
        </w:tc>
        <w:tc>
          <w:tcPr>
            <w:tcW w:w="1698" w:type="dxa"/>
            <w:shd w:val="clear" w:color="auto" w:fill="D9D9D9" w:themeFill="background1" w:themeFillShade="D9"/>
          </w:tcPr>
          <w:p w14:paraId="12DC5452" w14:textId="77777777" w:rsidR="004D69C6" w:rsidRPr="00C2120C" w:rsidRDefault="004D69C6" w:rsidP="00C2120C">
            <w:pPr>
              <w:pStyle w:val="ListParagraph"/>
              <w:ind w:left="360"/>
              <w:jc w:val="center"/>
              <w:rPr>
                <w:rFonts w:ascii="Arial" w:hAnsi="Arial" w:cs="Arial"/>
                <w:b/>
                <w:bCs/>
                <w:sz w:val="18"/>
                <w:szCs w:val="18"/>
                <w:lang w:val="es-PE"/>
              </w:rPr>
            </w:pPr>
            <w:r w:rsidRPr="00C2120C">
              <w:rPr>
                <w:rFonts w:ascii="Arial" w:hAnsi="Arial" w:cs="Arial"/>
                <w:b/>
                <w:bCs/>
                <w:sz w:val="18"/>
                <w:szCs w:val="18"/>
                <w:lang w:val="es-PE"/>
              </w:rPr>
              <w:t>Fuente</w:t>
            </w:r>
          </w:p>
        </w:tc>
      </w:tr>
      <w:tr w:rsidR="004D69C6" w:rsidRPr="0036243C" w14:paraId="247FAD48" w14:textId="77777777" w:rsidTr="00532FF8">
        <w:tc>
          <w:tcPr>
            <w:tcW w:w="3055" w:type="dxa"/>
          </w:tcPr>
          <w:p w14:paraId="514CF640" w14:textId="77777777" w:rsidR="004D69C6" w:rsidRPr="00C2120C" w:rsidRDefault="004D69C6" w:rsidP="00C2120C">
            <w:pPr>
              <w:pStyle w:val="ListParagraph"/>
              <w:ind w:left="341" w:hanging="341"/>
              <w:rPr>
                <w:rFonts w:ascii="Arial" w:hAnsi="Arial" w:cs="Arial"/>
                <w:sz w:val="18"/>
                <w:szCs w:val="18"/>
                <w:lang w:val="es-PE"/>
              </w:rPr>
            </w:pPr>
            <w:r w:rsidRPr="00C2120C">
              <w:rPr>
                <w:rFonts w:ascii="Arial" w:hAnsi="Arial" w:cs="Arial"/>
                <w:sz w:val="18"/>
                <w:szCs w:val="18"/>
                <w:lang w:val="es-PE"/>
              </w:rPr>
              <w:t>(i) Adopción del proceso de liquidación voluntaria para la muestra de empresas en riesgo que participarán en el estudio.</w:t>
            </w:r>
          </w:p>
        </w:tc>
        <w:tc>
          <w:tcPr>
            <w:tcW w:w="2610" w:type="dxa"/>
            <w:shd w:val="clear" w:color="auto" w:fill="auto"/>
          </w:tcPr>
          <w:p w14:paraId="108FC880" w14:textId="77777777" w:rsidR="004D69C6" w:rsidRPr="00C2120C" w:rsidRDefault="004D69C6" w:rsidP="004D69C6">
            <w:pPr>
              <w:pStyle w:val="ListParagraph"/>
              <w:ind w:left="360"/>
              <w:rPr>
                <w:rFonts w:ascii="Arial" w:hAnsi="Arial" w:cs="Arial"/>
                <w:sz w:val="18"/>
                <w:szCs w:val="18"/>
                <w:lang w:val="es-PE"/>
              </w:rPr>
            </w:pPr>
            <w:r w:rsidRPr="00C2120C">
              <w:rPr>
                <w:rFonts w:ascii="Arial" w:hAnsi="Arial" w:cs="Arial"/>
                <w:sz w:val="18"/>
                <w:szCs w:val="18"/>
                <w:lang w:val="es-PE"/>
              </w:rPr>
              <w:t>Variable indicativa. Una empresa en riesgo, de la muestra relevante, adopta el cierre cuando solicita voluntariamente iniciar su proceso de liquidación/disolución.</w:t>
            </w:r>
          </w:p>
        </w:tc>
        <w:tc>
          <w:tcPr>
            <w:tcW w:w="1800" w:type="dxa"/>
            <w:shd w:val="clear" w:color="auto" w:fill="auto"/>
          </w:tcPr>
          <w:p w14:paraId="770B8268" w14:textId="77777777" w:rsidR="004D69C6" w:rsidRPr="00C2120C" w:rsidRDefault="004D69C6" w:rsidP="004D69C6">
            <w:pPr>
              <w:pStyle w:val="ListParagraph"/>
              <w:ind w:left="360"/>
              <w:rPr>
                <w:rFonts w:ascii="Arial" w:hAnsi="Arial" w:cs="Arial"/>
                <w:sz w:val="18"/>
                <w:szCs w:val="18"/>
                <w:lang w:val="es-PE"/>
              </w:rPr>
            </w:pPr>
            <w:r w:rsidRPr="00C2120C">
              <w:rPr>
                <w:rFonts w:ascii="Arial" w:hAnsi="Arial" w:cs="Arial"/>
                <w:sz w:val="18"/>
                <w:szCs w:val="18"/>
                <w:lang w:val="es-PE"/>
              </w:rPr>
              <w:t>Mensual</w:t>
            </w:r>
          </w:p>
        </w:tc>
        <w:tc>
          <w:tcPr>
            <w:tcW w:w="1698" w:type="dxa"/>
          </w:tcPr>
          <w:p w14:paraId="0F96BA8F" w14:textId="77777777" w:rsidR="004D69C6" w:rsidRPr="00C2120C" w:rsidRDefault="004D69C6" w:rsidP="004D69C6">
            <w:pPr>
              <w:pStyle w:val="ListParagraph"/>
              <w:ind w:left="360"/>
              <w:jc w:val="both"/>
              <w:rPr>
                <w:rFonts w:ascii="Arial" w:hAnsi="Arial" w:cs="Arial"/>
                <w:sz w:val="18"/>
                <w:szCs w:val="18"/>
                <w:lang w:val="es-PE"/>
              </w:rPr>
            </w:pPr>
            <w:r w:rsidRPr="00C2120C">
              <w:rPr>
                <w:rFonts w:ascii="Arial" w:hAnsi="Arial" w:cs="Arial"/>
                <w:sz w:val="18"/>
                <w:szCs w:val="18"/>
                <w:lang w:val="es-PE"/>
              </w:rPr>
              <w:t>SCVS</w:t>
            </w:r>
          </w:p>
        </w:tc>
      </w:tr>
      <w:tr w:rsidR="004D69C6" w:rsidRPr="0036243C" w14:paraId="5FB36E54" w14:textId="77777777" w:rsidTr="00532FF8">
        <w:tc>
          <w:tcPr>
            <w:tcW w:w="3055" w:type="dxa"/>
          </w:tcPr>
          <w:p w14:paraId="512778E0" w14:textId="77777777" w:rsidR="004D69C6" w:rsidRPr="00C2120C" w:rsidRDefault="004D69C6" w:rsidP="00C2120C">
            <w:pPr>
              <w:pStyle w:val="ListParagraph"/>
              <w:ind w:left="341" w:hanging="341"/>
              <w:rPr>
                <w:rFonts w:ascii="Arial" w:hAnsi="Arial" w:cs="Arial"/>
                <w:sz w:val="18"/>
                <w:szCs w:val="18"/>
                <w:lang w:val="es-PE"/>
              </w:rPr>
            </w:pPr>
            <w:r w:rsidRPr="00C2120C">
              <w:rPr>
                <w:rFonts w:ascii="Arial" w:hAnsi="Arial" w:cs="Arial"/>
                <w:sz w:val="18"/>
                <w:szCs w:val="18"/>
                <w:lang w:val="es-PE"/>
              </w:rPr>
              <w:t>(ii) La adopción del proceso fast-track (i.e.: portal) para el saneamiento de activos.</w:t>
            </w:r>
          </w:p>
        </w:tc>
        <w:tc>
          <w:tcPr>
            <w:tcW w:w="2610" w:type="dxa"/>
            <w:shd w:val="clear" w:color="auto" w:fill="auto"/>
          </w:tcPr>
          <w:p w14:paraId="7254FB6B" w14:textId="77777777" w:rsidR="004D69C6" w:rsidRPr="00C2120C" w:rsidRDefault="004D69C6" w:rsidP="004D69C6">
            <w:pPr>
              <w:pStyle w:val="ListParagraph"/>
              <w:ind w:left="360"/>
              <w:rPr>
                <w:rFonts w:ascii="Arial" w:hAnsi="Arial" w:cs="Arial"/>
                <w:sz w:val="18"/>
                <w:szCs w:val="18"/>
                <w:lang w:val="es-PE"/>
              </w:rPr>
            </w:pPr>
            <w:r w:rsidRPr="00C2120C">
              <w:rPr>
                <w:rFonts w:ascii="Arial" w:hAnsi="Arial" w:cs="Arial"/>
                <w:sz w:val="18"/>
                <w:szCs w:val="18"/>
                <w:lang w:val="es-PE"/>
              </w:rPr>
              <w:t>Variable indicativa que toma valor uno cuando la empresa en riesgo utiliza el proceso agilizado para el saneamiento de pasivos.</w:t>
            </w:r>
          </w:p>
        </w:tc>
        <w:tc>
          <w:tcPr>
            <w:tcW w:w="1800" w:type="dxa"/>
            <w:shd w:val="clear" w:color="auto" w:fill="auto"/>
          </w:tcPr>
          <w:p w14:paraId="413E341A" w14:textId="77777777" w:rsidR="004D69C6" w:rsidRPr="00C2120C" w:rsidRDefault="004D69C6" w:rsidP="004D69C6">
            <w:pPr>
              <w:pStyle w:val="ListParagraph"/>
              <w:ind w:left="360"/>
              <w:rPr>
                <w:rFonts w:ascii="Arial" w:hAnsi="Arial" w:cs="Arial"/>
                <w:sz w:val="18"/>
                <w:szCs w:val="18"/>
                <w:lang w:val="es-PE"/>
              </w:rPr>
            </w:pPr>
            <w:r w:rsidRPr="00C2120C">
              <w:rPr>
                <w:rFonts w:ascii="Arial" w:hAnsi="Arial" w:cs="Arial"/>
                <w:sz w:val="18"/>
                <w:szCs w:val="18"/>
                <w:lang w:val="es-PE"/>
              </w:rPr>
              <w:t>Mensual</w:t>
            </w:r>
          </w:p>
        </w:tc>
        <w:tc>
          <w:tcPr>
            <w:tcW w:w="1698" w:type="dxa"/>
          </w:tcPr>
          <w:p w14:paraId="0A61A995" w14:textId="77777777" w:rsidR="004D69C6" w:rsidRPr="00C2120C" w:rsidRDefault="004D69C6" w:rsidP="004D69C6">
            <w:pPr>
              <w:pStyle w:val="ListParagraph"/>
              <w:ind w:left="360"/>
              <w:jc w:val="both"/>
              <w:rPr>
                <w:rFonts w:ascii="Arial" w:hAnsi="Arial" w:cs="Arial"/>
                <w:sz w:val="18"/>
                <w:szCs w:val="18"/>
                <w:lang w:val="es-PE"/>
              </w:rPr>
            </w:pPr>
            <w:r w:rsidRPr="00C2120C">
              <w:rPr>
                <w:rFonts w:ascii="Arial" w:hAnsi="Arial" w:cs="Arial"/>
                <w:sz w:val="18"/>
                <w:szCs w:val="18"/>
                <w:lang w:val="es-PE"/>
              </w:rPr>
              <w:t>SCVS</w:t>
            </w:r>
          </w:p>
        </w:tc>
      </w:tr>
      <w:tr w:rsidR="004D69C6" w:rsidRPr="0036243C" w14:paraId="697B23A2" w14:textId="77777777" w:rsidTr="00532FF8">
        <w:tc>
          <w:tcPr>
            <w:tcW w:w="3055" w:type="dxa"/>
          </w:tcPr>
          <w:p w14:paraId="019C6503" w14:textId="4F2137DA" w:rsidR="004D69C6" w:rsidRPr="00C2120C" w:rsidRDefault="004D69C6" w:rsidP="00C2120C">
            <w:pPr>
              <w:pStyle w:val="ListParagraph"/>
              <w:ind w:left="341" w:hanging="341"/>
              <w:rPr>
                <w:rFonts w:ascii="Arial" w:hAnsi="Arial" w:cs="Arial"/>
                <w:sz w:val="18"/>
                <w:szCs w:val="18"/>
                <w:lang w:val="es-PE"/>
              </w:rPr>
            </w:pPr>
            <w:r w:rsidRPr="00C2120C">
              <w:rPr>
                <w:rFonts w:ascii="Arial" w:hAnsi="Arial" w:cs="Arial"/>
                <w:sz w:val="18"/>
                <w:szCs w:val="18"/>
                <w:lang w:val="es-PE"/>
              </w:rPr>
              <w:t>(iii) Tiempo en que paga sus deudas con todos los organismos públicos</w:t>
            </w:r>
            <w:r w:rsidRPr="00C2120C">
              <w:rPr>
                <w:rFonts w:ascii="Arial" w:hAnsi="Arial" w:cs="Arial"/>
                <w:sz w:val="18"/>
                <w:szCs w:val="18"/>
                <w:vertAlign w:val="superscript"/>
                <w:lang w:val="es-PE"/>
              </w:rPr>
              <w:footnoteReference w:id="17"/>
            </w:r>
            <w:r w:rsidR="00B46047">
              <w:rPr>
                <w:rFonts w:ascii="Arial" w:hAnsi="Arial" w:cs="Arial"/>
                <w:sz w:val="18"/>
                <w:szCs w:val="18"/>
                <w:lang w:val="es-PE"/>
              </w:rPr>
              <w:t>.</w:t>
            </w:r>
          </w:p>
        </w:tc>
        <w:tc>
          <w:tcPr>
            <w:tcW w:w="2610" w:type="dxa"/>
          </w:tcPr>
          <w:p w14:paraId="67DBC50E" w14:textId="77777777" w:rsidR="004D69C6" w:rsidRPr="00C2120C" w:rsidRDefault="004D69C6" w:rsidP="004D69C6">
            <w:pPr>
              <w:pStyle w:val="ListParagraph"/>
              <w:ind w:left="360"/>
              <w:rPr>
                <w:rFonts w:ascii="Arial" w:hAnsi="Arial" w:cs="Arial"/>
                <w:sz w:val="18"/>
                <w:szCs w:val="18"/>
                <w:lang w:val="es-PE"/>
              </w:rPr>
            </w:pPr>
            <w:r w:rsidRPr="00C2120C">
              <w:rPr>
                <w:rFonts w:ascii="Arial" w:hAnsi="Arial" w:cs="Arial"/>
                <w:sz w:val="18"/>
                <w:szCs w:val="18"/>
                <w:lang w:val="es-PE"/>
              </w:rPr>
              <w:t>Tiempo transcurrido entre la solicitud de disolución y el saneamiento de pasivos con organismos públicos.</w:t>
            </w:r>
          </w:p>
        </w:tc>
        <w:tc>
          <w:tcPr>
            <w:tcW w:w="1800" w:type="dxa"/>
          </w:tcPr>
          <w:p w14:paraId="7523A74A" w14:textId="77777777" w:rsidR="004D69C6" w:rsidRPr="00C2120C" w:rsidRDefault="004D69C6" w:rsidP="004D69C6">
            <w:pPr>
              <w:pStyle w:val="ListParagraph"/>
              <w:ind w:left="360"/>
              <w:rPr>
                <w:rFonts w:ascii="Arial" w:hAnsi="Arial" w:cs="Arial"/>
                <w:sz w:val="18"/>
                <w:szCs w:val="18"/>
                <w:lang w:val="es-PE"/>
              </w:rPr>
            </w:pPr>
            <w:r w:rsidRPr="00C2120C">
              <w:rPr>
                <w:rFonts w:ascii="Arial" w:hAnsi="Arial" w:cs="Arial"/>
                <w:sz w:val="18"/>
                <w:szCs w:val="18"/>
                <w:lang w:val="es-PE"/>
              </w:rPr>
              <w:t>Mensual</w:t>
            </w:r>
          </w:p>
        </w:tc>
        <w:tc>
          <w:tcPr>
            <w:tcW w:w="1698" w:type="dxa"/>
          </w:tcPr>
          <w:p w14:paraId="73D5BB30" w14:textId="77777777" w:rsidR="004D69C6" w:rsidRPr="00C2120C" w:rsidRDefault="004D69C6" w:rsidP="004D69C6">
            <w:pPr>
              <w:pStyle w:val="ListParagraph"/>
              <w:ind w:left="360"/>
              <w:jc w:val="both"/>
              <w:rPr>
                <w:rFonts w:ascii="Arial" w:hAnsi="Arial" w:cs="Arial"/>
                <w:sz w:val="18"/>
                <w:szCs w:val="18"/>
                <w:lang w:val="es-PE"/>
              </w:rPr>
            </w:pPr>
            <w:r w:rsidRPr="00C2120C">
              <w:rPr>
                <w:rFonts w:ascii="Arial" w:hAnsi="Arial" w:cs="Arial"/>
                <w:sz w:val="18"/>
                <w:szCs w:val="18"/>
                <w:lang w:val="es-PE"/>
              </w:rPr>
              <w:t>SCVS</w:t>
            </w:r>
          </w:p>
        </w:tc>
      </w:tr>
      <w:tr w:rsidR="004D69C6" w:rsidRPr="0036243C" w14:paraId="1A64E876" w14:textId="77777777" w:rsidTr="00532FF8">
        <w:tc>
          <w:tcPr>
            <w:tcW w:w="3055" w:type="dxa"/>
          </w:tcPr>
          <w:p w14:paraId="34130027" w14:textId="77777777" w:rsidR="004D69C6" w:rsidRPr="00C2120C" w:rsidRDefault="004D69C6" w:rsidP="00C2120C">
            <w:pPr>
              <w:pStyle w:val="ListParagraph"/>
              <w:ind w:left="341" w:hanging="341"/>
              <w:rPr>
                <w:rFonts w:ascii="Arial" w:hAnsi="Arial" w:cs="Arial"/>
                <w:sz w:val="18"/>
                <w:szCs w:val="18"/>
                <w:lang w:val="es-PE"/>
              </w:rPr>
            </w:pPr>
            <w:r w:rsidRPr="00C2120C">
              <w:rPr>
                <w:rFonts w:ascii="Arial" w:hAnsi="Arial" w:cs="Arial"/>
                <w:sz w:val="18"/>
                <w:szCs w:val="18"/>
                <w:lang w:val="es-PE"/>
              </w:rPr>
              <w:t>(iv) Tiempo en que se cierra la empresa</w:t>
            </w:r>
          </w:p>
        </w:tc>
        <w:tc>
          <w:tcPr>
            <w:tcW w:w="2610" w:type="dxa"/>
          </w:tcPr>
          <w:p w14:paraId="57F9AD23" w14:textId="77777777" w:rsidR="004D69C6" w:rsidRPr="00C2120C" w:rsidRDefault="004D69C6" w:rsidP="004D69C6">
            <w:pPr>
              <w:pStyle w:val="ListParagraph"/>
              <w:ind w:left="360"/>
              <w:rPr>
                <w:rFonts w:ascii="Arial" w:hAnsi="Arial" w:cs="Arial"/>
                <w:sz w:val="18"/>
                <w:szCs w:val="18"/>
                <w:lang w:val="es-PE"/>
              </w:rPr>
            </w:pPr>
            <w:r w:rsidRPr="00C2120C">
              <w:rPr>
                <w:rFonts w:ascii="Arial" w:hAnsi="Arial" w:cs="Arial"/>
                <w:sz w:val="18"/>
                <w:szCs w:val="18"/>
                <w:lang w:val="es-PE"/>
              </w:rPr>
              <w:t>Tiempo transcurrido entre la solicitud de disolución y la cancelación de la empresa.</w:t>
            </w:r>
          </w:p>
        </w:tc>
        <w:tc>
          <w:tcPr>
            <w:tcW w:w="1800" w:type="dxa"/>
          </w:tcPr>
          <w:p w14:paraId="2073F0CF" w14:textId="77777777" w:rsidR="004D69C6" w:rsidRPr="00C2120C" w:rsidRDefault="004D69C6" w:rsidP="004D69C6">
            <w:pPr>
              <w:pStyle w:val="ListParagraph"/>
              <w:ind w:left="360"/>
              <w:rPr>
                <w:rFonts w:ascii="Arial" w:hAnsi="Arial" w:cs="Arial"/>
                <w:sz w:val="18"/>
                <w:szCs w:val="18"/>
                <w:lang w:val="es-PE"/>
              </w:rPr>
            </w:pPr>
            <w:r w:rsidRPr="00C2120C">
              <w:rPr>
                <w:rFonts w:ascii="Arial" w:hAnsi="Arial" w:cs="Arial"/>
                <w:sz w:val="18"/>
                <w:szCs w:val="18"/>
                <w:lang w:val="es-PE"/>
              </w:rPr>
              <w:t>Mensual</w:t>
            </w:r>
          </w:p>
        </w:tc>
        <w:tc>
          <w:tcPr>
            <w:tcW w:w="1698" w:type="dxa"/>
          </w:tcPr>
          <w:p w14:paraId="1AE9E78E" w14:textId="77777777" w:rsidR="004D69C6" w:rsidRPr="00C2120C" w:rsidRDefault="004D69C6" w:rsidP="004D69C6">
            <w:pPr>
              <w:pStyle w:val="ListParagraph"/>
              <w:ind w:left="360"/>
              <w:jc w:val="both"/>
              <w:rPr>
                <w:rFonts w:ascii="Arial" w:hAnsi="Arial" w:cs="Arial"/>
                <w:sz w:val="18"/>
                <w:szCs w:val="18"/>
                <w:lang w:val="es-PE"/>
              </w:rPr>
            </w:pPr>
            <w:r w:rsidRPr="00C2120C">
              <w:rPr>
                <w:rFonts w:ascii="Arial" w:hAnsi="Arial" w:cs="Arial"/>
                <w:sz w:val="18"/>
                <w:szCs w:val="18"/>
                <w:lang w:val="es-PE"/>
              </w:rPr>
              <w:t>SCVS</w:t>
            </w:r>
          </w:p>
        </w:tc>
      </w:tr>
      <w:tr w:rsidR="004D69C6" w:rsidRPr="0036243C" w14:paraId="61610EE5" w14:textId="77777777" w:rsidTr="00532FF8">
        <w:tc>
          <w:tcPr>
            <w:tcW w:w="3055" w:type="dxa"/>
          </w:tcPr>
          <w:p w14:paraId="2C36C159" w14:textId="77777777" w:rsidR="004D69C6" w:rsidRPr="00C2120C" w:rsidRDefault="004D69C6" w:rsidP="00C2120C">
            <w:pPr>
              <w:pStyle w:val="ListParagraph"/>
              <w:ind w:left="341" w:hanging="341"/>
              <w:rPr>
                <w:rFonts w:ascii="Arial" w:hAnsi="Arial" w:cs="Arial"/>
                <w:sz w:val="18"/>
                <w:szCs w:val="18"/>
                <w:lang w:val="es-PE"/>
              </w:rPr>
            </w:pPr>
            <w:r w:rsidRPr="00C2120C">
              <w:rPr>
                <w:rFonts w:ascii="Arial" w:hAnsi="Arial" w:cs="Arial"/>
                <w:sz w:val="18"/>
                <w:szCs w:val="18"/>
                <w:lang w:val="es-PE"/>
              </w:rPr>
              <w:t>(v) Porcentaje recuperado del valor patrimonial empresarial</w:t>
            </w:r>
          </w:p>
        </w:tc>
        <w:tc>
          <w:tcPr>
            <w:tcW w:w="2610" w:type="dxa"/>
          </w:tcPr>
          <w:p w14:paraId="4BA43BF0" w14:textId="77777777" w:rsidR="004D69C6" w:rsidRPr="00C2120C" w:rsidRDefault="004D69C6" w:rsidP="004D69C6">
            <w:pPr>
              <w:pStyle w:val="ListParagraph"/>
              <w:ind w:left="360"/>
              <w:rPr>
                <w:rFonts w:ascii="Arial" w:hAnsi="Arial" w:cs="Arial"/>
                <w:sz w:val="18"/>
                <w:szCs w:val="18"/>
                <w:lang w:val="es-PE"/>
              </w:rPr>
            </w:pPr>
            <w:r w:rsidRPr="00C2120C">
              <w:rPr>
                <w:rFonts w:ascii="Arial" w:hAnsi="Arial" w:cs="Arial"/>
                <w:sz w:val="18"/>
                <w:szCs w:val="18"/>
                <w:lang w:val="es-PE"/>
              </w:rPr>
              <w:t>Se les preguntará por un estimado del valor del patrimonio de la empresa. Luego se les preguntará, por cada dólar invertido cuánto recuperaron tras la disolución.</w:t>
            </w:r>
          </w:p>
        </w:tc>
        <w:tc>
          <w:tcPr>
            <w:tcW w:w="1800" w:type="dxa"/>
          </w:tcPr>
          <w:p w14:paraId="769C4066" w14:textId="77777777" w:rsidR="004D69C6" w:rsidRPr="00C2120C" w:rsidRDefault="004D69C6" w:rsidP="004D69C6">
            <w:pPr>
              <w:pStyle w:val="ListParagraph"/>
              <w:ind w:left="360"/>
              <w:rPr>
                <w:rFonts w:ascii="Arial" w:hAnsi="Arial" w:cs="Arial"/>
                <w:sz w:val="18"/>
                <w:szCs w:val="18"/>
                <w:lang w:val="es-PE"/>
              </w:rPr>
            </w:pPr>
            <w:r w:rsidRPr="00C2120C">
              <w:rPr>
                <w:rFonts w:ascii="Arial" w:hAnsi="Arial" w:cs="Arial"/>
                <w:sz w:val="18"/>
                <w:szCs w:val="18"/>
                <w:lang w:val="es-PE"/>
              </w:rPr>
              <w:t>Una vez. 1.5 año después de enviar notificación de simplificación a empresas tratadas</w:t>
            </w:r>
          </w:p>
        </w:tc>
        <w:tc>
          <w:tcPr>
            <w:tcW w:w="1698" w:type="dxa"/>
          </w:tcPr>
          <w:p w14:paraId="635F7D91" w14:textId="77777777" w:rsidR="004D69C6" w:rsidRPr="00C2120C" w:rsidRDefault="004D69C6" w:rsidP="004D69C6">
            <w:pPr>
              <w:pStyle w:val="ListParagraph"/>
              <w:ind w:left="360"/>
              <w:jc w:val="both"/>
              <w:rPr>
                <w:rFonts w:ascii="Arial" w:hAnsi="Arial" w:cs="Arial"/>
                <w:sz w:val="18"/>
                <w:szCs w:val="18"/>
                <w:lang w:val="es-PE"/>
              </w:rPr>
            </w:pPr>
            <w:r w:rsidRPr="00C2120C">
              <w:rPr>
                <w:rFonts w:ascii="Arial" w:hAnsi="Arial" w:cs="Arial"/>
                <w:sz w:val="18"/>
                <w:szCs w:val="18"/>
                <w:lang w:val="es-PE"/>
              </w:rPr>
              <w:t>Encuesta a empresarios</w:t>
            </w:r>
          </w:p>
        </w:tc>
      </w:tr>
      <w:tr w:rsidR="004D69C6" w:rsidRPr="0036243C" w14:paraId="2EB83A81" w14:textId="77777777" w:rsidTr="00532FF8">
        <w:tc>
          <w:tcPr>
            <w:tcW w:w="3055" w:type="dxa"/>
          </w:tcPr>
          <w:p w14:paraId="6385649F" w14:textId="77777777" w:rsidR="004D69C6" w:rsidRPr="00C2120C" w:rsidRDefault="004D69C6" w:rsidP="00C2120C">
            <w:pPr>
              <w:pStyle w:val="ListParagraph"/>
              <w:ind w:left="341" w:hanging="341"/>
              <w:rPr>
                <w:rFonts w:ascii="Arial" w:hAnsi="Arial" w:cs="Arial"/>
                <w:sz w:val="18"/>
                <w:szCs w:val="18"/>
                <w:lang w:val="es-PE"/>
              </w:rPr>
            </w:pPr>
            <w:r w:rsidRPr="00C2120C">
              <w:rPr>
                <w:rFonts w:ascii="Arial" w:hAnsi="Arial" w:cs="Arial"/>
                <w:sz w:val="18"/>
                <w:szCs w:val="18"/>
                <w:lang w:val="es-PE"/>
              </w:rPr>
              <w:t>(vi) Número de declaraciones irregulares en el futuro.</w:t>
            </w:r>
          </w:p>
        </w:tc>
        <w:tc>
          <w:tcPr>
            <w:tcW w:w="2610" w:type="dxa"/>
          </w:tcPr>
          <w:p w14:paraId="0F720427" w14:textId="77777777" w:rsidR="004D69C6" w:rsidRPr="00C2120C" w:rsidRDefault="004D69C6" w:rsidP="004D69C6">
            <w:pPr>
              <w:pStyle w:val="ListParagraph"/>
              <w:ind w:left="360"/>
              <w:rPr>
                <w:rFonts w:ascii="Arial" w:hAnsi="Arial" w:cs="Arial"/>
                <w:sz w:val="18"/>
                <w:szCs w:val="18"/>
                <w:lang w:val="es-PE"/>
              </w:rPr>
            </w:pPr>
            <w:r w:rsidRPr="00C2120C">
              <w:rPr>
                <w:rFonts w:ascii="Arial" w:hAnsi="Arial" w:cs="Arial"/>
                <w:sz w:val="18"/>
                <w:szCs w:val="18"/>
                <w:lang w:val="es-PE"/>
              </w:rPr>
              <w:t>Se les preguntará por la disposición y acciones tomadas para tener un nuevo emprendimiento empresarial.</w:t>
            </w:r>
          </w:p>
        </w:tc>
        <w:tc>
          <w:tcPr>
            <w:tcW w:w="1800" w:type="dxa"/>
          </w:tcPr>
          <w:p w14:paraId="2415FE39" w14:textId="77777777" w:rsidR="004D69C6" w:rsidRPr="00C2120C" w:rsidRDefault="004D69C6" w:rsidP="004D69C6">
            <w:pPr>
              <w:pStyle w:val="ListParagraph"/>
              <w:ind w:left="360"/>
              <w:rPr>
                <w:rFonts w:ascii="Arial" w:hAnsi="Arial" w:cs="Arial"/>
                <w:sz w:val="18"/>
                <w:szCs w:val="18"/>
                <w:lang w:val="es-PE"/>
              </w:rPr>
            </w:pPr>
            <w:r w:rsidRPr="00C2120C">
              <w:rPr>
                <w:rFonts w:ascii="Arial" w:hAnsi="Arial" w:cs="Arial"/>
                <w:sz w:val="18"/>
                <w:szCs w:val="18"/>
                <w:lang w:val="es-PE"/>
              </w:rPr>
              <w:t>Una vez. 1.5 año después de enviar notificación de simplificación a empresas tratadas</w:t>
            </w:r>
          </w:p>
        </w:tc>
        <w:tc>
          <w:tcPr>
            <w:tcW w:w="1698" w:type="dxa"/>
          </w:tcPr>
          <w:p w14:paraId="7AC69111" w14:textId="77777777" w:rsidR="004D69C6" w:rsidRPr="00C2120C" w:rsidRDefault="004D69C6" w:rsidP="004D69C6">
            <w:pPr>
              <w:pStyle w:val="ListParagraph"/>
              <w:ind w:left="360"/>
              <w:jc w:val="both"/>
              <w:rPr>
                <w:rFonts w:ascii="Arial" w:hAnsi="Arial" w:cs="Arial"/>
                <w:sz w:val="18"/>
                <w:szCs w:val="18"/>
                <w:lang w:val="es-PE"/>
              </w:rPr>
            </w:pPr>
            <w:r w:rsidRPr="00C2120C">
              <w:rPr>
                <w:rFonts w:ascii="Arial" w:hAnsi="Arial" w:cs="Arial"/>
                <w:sz w:val="18"/>
                <w:szCs w:val="18"/>
                <w:lang w:val="es-PE"/>
              </w:rPr>
              <w:t>Encuesta a empresarios</w:t>
            </w:r>
          </w:p>
        </w:tc>
      </w:tr>
    </w:tbl>
    <w:p w14:paraId="1775ECE4" w14:textId="220D9690" w:rsidR="004D69C6" w:rsidRDefault="004D69C6" w:rsidP="004D69C6">
      <w:pPr>
        <w:pStyle w:val="ListParagraph"/>
        <w:spacing w:after="0"/>
        <w:ind w:left="360"/>
        <w:jc w:val="both"/>
        <w:rPr>
          <w:rFonts w:ascii="Arial" w:hAnsi="Arial" w:cs="Arial"/>
          <w:lang w:val="es-419"/>
        </w:rPr>
      </w:pPr>
    </w:p>
    <w:p w14:paraId="1CD0E6DD" w14:textId="43F0B29B" w:rsidR="007943B3" w:rsidRDefault="007943B3" w:rsidP="008373D5">
      <w:pPr>
        <w:pStyle w:val="ListParagraph"/>
        <w:numPr>
          <w:ilvl w:val="1"/>
          <w:numId w:val="48"/>
        </w:numPr>
        <w:spacing w:after="0" w:line="240" w:lineRule="auto"/>
        <w:ind w:left="720" w:hanging="720"/>
        <w:jc w:val="both"/>
        <w:rPr>
          <w:rFonts w:ascii="Arial" w:hAnsi="Arial" w:cs="Arial"/>
          <w:lang w:val="es-PE"/>
        </w:rPr>
      </w:pPr>
      <w:r w:rsidRPr="007943B3">
        <w:rPr>
          <w:rFonts w:ascii="Arial" w:hAnsi="Arial" w:cs="Arial"/>
          <w:b/>
          <w:lang w:val="es-419"/>
        </w:rPr>
        <w:t>Metodología de la evaluación</w:t>
      </w:r>
      <w:r w:rsidR="005474A4">
        <w:rPr>
          <w:rFonts w:ascii="Arial" w:hAnsi="Arial" w:cs="Arial"/>
          <w:b/>
          <w:lang w:val="es-419"/>
        </w:rPr>
        <w:t>.</w:t>
      </w:r>
      <w:r>
        <w:rPr>
          <w:rFonts w:ascii="Arial" w:hAnsi="Arial" w:cs="Arial"/>
          <w:b/>
          <w:lang w:val="es-419"/>
        </w:rPr>
        <w:t xml:space="preserve"> </w:t>
      </w:r>
      <w:r w:rsidRPr="007943B3">
        <w:rPr>
          <w:rFonts w:ascii="Arial" w:hAnsi="Arial" w:cs="Arial"/>
          <w:lang w:val="es-PE"/>
        </w:rPr>
        <w:t>Antes de describir la metodología, se describe la fuente de datos administrativos y las principales variables que se pueden obtener de esta fuente. La presente evaluación se trabajará de manera conjunta con la SCVS. Todos los años, las sociedades reportan sus estados de resultados y situación financiera a la SCVS. Ésta incluye principalmente, sociedades de responsabilidad limitada (68%) y anónimas (31%) (Castillo et al, 2018).</w:t>
      </w:r>
    </w:p>
    <w:p w14:paraId="184FBB21" w14:textId="77777777" w:rsidR="00F903E2" w:rsidRPr="007943B3" w:rsidRDefault="00F903E2" w:rsidP="00C2120C">
      <w:pPr>
        <w:pStyle w:val="ListParagraph"/>
        <w:spacing w:after="0" w:line="240" w:lineRule="auto"/>
        <w:jc w:val="both"/>
        <w:rPr>
          <w:rFonts w:ascii="Arial" w:hAnsi="Arial" w:cs="Arial"/>
          <w:lang w:val="es-PE"/>
        </w:rPr>
      </w:pPr>
    </w:p>
    <w:p w14:paraId="0BD5FB0E" w14:textId="3C877AA1" w:rsidR="00F903E2" w:rsidRDefault="007943B3" w:rsidP="008373D5">
      <w:pPr>
        <w:pStyle w:val="ListParagraph"/>
        <w:numPr>
          <w:ilvl w:val="1"/>
          <w:numId w:val="48"/>
        </w:numPr>
        <w:spacing w:after="0" w:line="240" w:lineRule="auto"/>
        <w:ind w:left="720" w:hanging="720"/>
        <w:jc w:val="both"/>
        <w:rPr>
          <w:rFonts w:ascii="Arial" w:hAnsi="Arial" w:cs="Arial"/>
          <w:lang w:val="es-PE"/>
        </w:rPr>
      </w:pPr>
      <w:r w:rsidRPr="007943B3">
        <w:rPr>
          <w:rFonts w:ascii="Arial" w:hAnsi="Arial" w:cs="Arial"/>
          <w:lang w:val="es-PE"/>
        </w:rPr>
        <w:lastRenderedPageBreak/>
        <w:t>Estos reportes serán la principal fuente de información administrativa. Entre otras, la información incluye año de inicio de operaciones (año de inscripción), sector, distrito de residencia, número de socios, información sobre el valor del patrimonio y la deuda, así como el histórico de las ventas totales.</w:t>
      </w:r>
    </w:p>
    <w:p w14:paraId="34783FE4" w14:textId="77777777" w:rsidR="00F903E2" w:rsidRPr="00C2120C" w:rsidRDefault="00F903E2" w:rsidP="00C2120C">
      <w:pPr>
        <w:spacing w:after="0" w:line="240" w:lineRule="auto"/>
        <w:jc w:val="both"/>
        <w:rPr>
          <w:rFonts w:ascii="Arial" w:hAnsi="Arial" w:cs="Arial"/>
          <w:lang w:val="es-PE"/>
        </w:rPr>
      </w:pPr>
    </w:p>
    <w:p w14:paraId="7C5B880B" w14:textId="550CF555" w:rsidR="007943B3" w:rsidRDefault="007943B3" w:rsidP="008373D5">
      <w:pPr>
        <w:pStyle w:val="ListParagraph"/>
        <w:numPr>
          <w:ilvl w:val="1"/>
          <w:numId w:val="48"/>
        </w:numPr>
        <w:spacing w:after="0" w:line="240" w:lineRule="auto"/>
        <w:ind w:left="720" w:hanging="720"/>
        <w:jc w:val="both"/>
        <w:rPr>
          <w:rFonts w:ascii="Arial" w:hAnsi="Arial" w:cs="Arial"/>
          <w:lang w:val="es-419"/>
        </w:rPr>
      </w:pPr>
      <w:r w:rsidRPr="00D42A2F">
        <w:rPr>
          <w:rFonts w:ascii="Arial" w:hAnsi="Arial" w:cs="Arial"/>
          <w:lang w:val="es-419"/>
        </w:rPr>
        <w:t>Para responder las preguntas (i) y (ii): Metodología de experimento controlado aleatorio</w:t>
      </w:r>
      <w:r w:rsidR="00D42A2F" w:rsidRPr="00D42A2F">
        <w:rPr>
          <w:rFonts w:ascii="Arial" w:hAnsi="Arial" w:cs="Arial"/>
          <w:lang w:val="es-419"/>
        </w:rPr>
        <w:t>.</w:t>
      </w:r>
      <w:r w:rsidR="00D42A2F">
        <w:rPr>
          <w:rFonts w:ascii="Arial" w:hAnsi="Arial" w:cs="Arial"/>
          <w:lang w:val="es-419"/>
        </w:rPr>
        <w:t xml:space="preserve"> </w:t>
      </w:r>
      <w:r w:rsidRPr="00D42A2F">
        <w:rPr>
          <w:rFonts w:ascii="Arial" w:hAnsi="Arial" w:cs="Arial"/>
          <w:lang w:val="es-419"/>
        </w:rPr>
        <w:t>Las dos primeras preguntas se enfocan en estimar el impacto del programa en la solicitud voluntaria de disolución voluntaria entre aquellas empresas en riesgo de bancarrota.</w:t>
      </w:r>
    </w:p>
    <w:p w14:paraId="6D2C9757" w14:textId="77777777" w:rsidR="00F903E2" w:rsidRPr="00C2120C" w:rsidRDefault="00F903E2" w:rsidP="00C2120C">
      <w:pPr>
        <w:spacing w:after="0" w:line="240" w:lineRule="auto"/>
        <w:jc w:val="both"/>
        <w:rPr>
          <w:rFonts w:ascii="Arial" w:hAnsi="Arial" w:cs="Arial"/>
          <w:lang w:val="es-419"/>
        </w:rPr>
      </w:pPr>
    </w:p>
    <w:p w14:paraId="5E7F001C" w14:textId="09E05B10" w:rsidR="007943B3" w:rsidRDefault="007943B3" w:rsidP="008373D5">
      <w:pPr>
        <w:pStyle w:val="ListParagraph"/>
        <w:numPr>
          <w:ilvl w:val="1"/>
          <w:numId w:val="48"/>
        </w:numPr>
        <w:spacing w:after="0" w:line="240" w:lineRule="auto"/>
        <w:ind w:left="720" w:hanging="720"/>
        <w:jc w:val="both"/>
        <w:rPr>
          <w:rFonts w:ascii="Arial" w:hAnsi="Arial" w:cs="Arial"/>
          <w:lang w:val="es-419"/>
        </w:rPr>
      </w:pPr>
      <w:r w:rsidRPr="007943B3">
        <w:rPr>
          <w:rFonts w:ascii="Arial" w:hAnsi="Arial" w:cs="Arial"/>
          <w:lang w:val="es-419"/>
        </w:rPr>
        <w:t xml:space="preserve">Para efectos del presente estudio, se considera a una empresa en riesgo a aquellas que presentaron ventas positivas en algún momento pero que en los dos últimos años o más han presentado ventas iguales a 0.  </w:t>
      </w:r>
      <w:r w:rsidR="002F4727">
        <w:rPr>
          <w:rFonts w:ascii="Arial" w:hAnsi="Arial" w:cs="Arial"/>
          <w:lang w:val="es-419"/>
        </w:rPr>
        <w:t>O</w:t>
      </w:r>
      <w:r w:rsidRPr="007943B3">
        <w:rPr>
          <w:rFonts w:ascii="Arial" w:hAnsi="Arial" w:cs="Arial"/>
          <w:lang w:val="es-419"/>
        </w:rPr>
        <w:t>sea que pasaron de se</w:t>
      </w:r>
      <w:r w:rsidR="00B46047">
        <w:rPr>
          <w:rFonts w:ascii="Arial" w:hAnsi="Arial" w:cs="Arial"/>
          <w:lang w:val="es-419"/>
        </w:rPr>
        <w:t>r</w:t>
      </w:r>
      <w:r w:rsidRPr="007943B3">
        <w:rPr>
          <w:rFonts w:ascii="Arial" w:hAnsi="Arial" w:cs="Arial"/>
          <w:lang w:val="es-419"/>
        </w:rPr>
        <w:t xml:space="preserve"> activas en el mercado a no operar y seguir acumulando pérdidas.</w:t>
      </w:r>
    </w:p>
    <w:p w14:paraId="2715FC43" w14:textId="77777777" w:rsidR="00F903E2" w:rsidRPr="00C2120C" w:rsidRDefault="00F903E2" w:rsidP="00C2120C">
      <w:pPr>
        <w:spacing w:after="0" w:line="240" w:lineRule="auto"/>
        <w:jc w:val="both"/>
        <w:rPr>
          <w:rFonts w:ascii="Arial" w:hAnsi="Arial" w:cs="Arial"/>
          <w:lang w:val="es-419"/>
        </w:rPr>
      </w:pPr>
    </w:p>
    <w:p w14:paraId="49342496" w14:textId="22D183D0" w:rsidR="007943B3" w:rsidRDefault="007943B3" w:rsidP="008373D5">
      <w:pPr>
        <w:pStyle w:val="ListParagraph"/>
        <w:numPr>
          <w:ilvl w:val="1"/>
          <w:numId w:val="48"/>
        </w:numPr>
        <w:spacing w:after="0" w:line="240" w:lineRule="auto"/>
        <w:ind w:left="720" w:hanging="720"/>
        <w:jc w:val="both"/>
        <w:rPr>
          <w:rFonts w:ascii="Arial" w:hAnsi="Arial" w:cs="Arial"/>
          <w:lang w:val="es-419"/>
        </w:rPr>
      </w:pPr>
      <w:r w:rsidRPr="007943B3">
        <w:rPr>
          <w:rFonts w:ascii="Arial" w:hAnsi="Arial" w:cs="Arial"/>
          <w:lang w:val="es-419"/>
        </w:rPr>
        <w:t>Como mostraron Castillo et al (2018), tomando todo el pool de empresas manufactureras en el periodo 2010-2016, un 29% declararon ventas 0. De las empresas que declaran 0 ventas, 50% empiezan el proceso de disolución/liquidación al siguiente año. Por lo tanto, se confirma que entre las empresas seleccionadas como “en riesgo” ya se cuenta con una alta tasa de adopción de disolución. No obstante, muchas se mantienen en el mercado durante varios años con 0 ventas. De las empresas que declaran 0 ventas, 34% vuelven a declarar 0 ventas al año siguiente. El objetivo es evaluar si un programa de agilización del cierre de empresas incrementa la adopción de salida para este grupo.</w:t>
      </w:r>
    </w:p>
    <w:p w14:paraId="42B03CDE" w14:textId="77777777" w:rsidR="00F903E2" w:rsidRPr="00C2120C" w:rsidRDefault="00F903E2" w:rsidP="00C2120C">
      <w:pPr>
        <w:pStyle w:val="ListParagraph"/>
        <w:spacing w:after="0" w:line="240" w:lineRule="auto"/>
        <w:rPr>
          <w:rFonts w:ascii="Arial" w:hAnsi="Arial" w:cs="Arial"/>
          <w:lang w:val="es-419"/>
        </w:rPr>
      </w:pPr>
    </w:p>
    <w:p w14:paraId="5ABA9342" w14:textId="77777777" w:rsidR="00F903E2" w:rsidRPr="00C2120C" w:rsidRDefault="00F903E2" w:rsidP="00C2120C">
      <w:pPr>
        <w:spacing w:after="0" w:line="240" w:lineRule="auto"/>
        <w:jc w:val="both"/>
        <w:rPr>
          <w:rFonts w:ascii="Arial" w:hAnsi="Arial" w:cs="Arial"/>
          <w:lang w:val="es-419"/>
        </w:rPr>
      </w:pPr>
    </w:p>
    <w:p w14:paraId="706C7657" w14:textId="453FD323" w:rsidR="007943B3" w:rsidRDefault="007943B3" w:rsidP="008373D5">
      <w:pPr>
        <w:pStyle w:val="ListParagraph"/>
        <w:numPr>
          <w:ilvl w:val="1"/>
          <w:numId w:val="48"/>
        </w:numPr>
        <w:ind w:left="720" w:hanging="720"/>
        <w:jc w:val="both"/>
        <w:rPr>
          <w:rFonts w:ascii="Arial" w:hAnsi="Arial" w:cs="Arial"/>
          <w:lang w:val="es-419"/>
        </w:rPr>
      </w:pPr>
      <w:r w:rsidRPr="007943B3">
        <w:rPr>
          <w:rFonts w:ascii="Arial" w:hAnsi="Arial" w:cs="Arial"/>
          <w:lang w:val="es-419"/>
        </w:rPr>
        <w:t>Para ello, adoptaremos la metodología de experimentos por “</w:t>
      </w:r>
      <w:r w:rsidRPr="00C2120C">
        <w:rPr>
          <w:rFonts w:ascii="Arial" w:hAnsi="Arial" w:cs="Arial"/>
          <w:i/>
          <w:iCs/>
          <w:lang w:val="es-419"/>
        </w:rPr>
        <w:t>encouragement and oversuscription</w:t>
      </w:r>
      <w:r w:rsidRPr="007943B3">
        <w:rPr>
          <w:rFonts w:ascii="Arial" w:hAnsi="Arial" w:cs="Arial"/>
          <w:lang w:val="es-419"/>
        </w:rPr>
        <w:t xml:space="preserve">” (Dufló et al, 2007), donde un subgrupo de firmas en riesgo recibe un comunicado oficial donde se le informa de la existencia y ventajas del proceso agilizado para el cierre de empresas. Este subgrupo será elegido de manera aleatoria. </w:t>
      </w:r>
    </w:p>
    <w:p w14:paraId="3C93AF98" w14:textId="77777777" w:rsidR="00F903E2" w:rsidRPr="007943B3" w:rsidRDefault="00F903E2" w:rsidP="00C2120C">
      <w:pPr>
        <w:pStyle w:val="ListParagraph"/>
        <w:ind w:hanging="720"/>
        <w:jc w:val="both"/>
        <w:rPr>
          <w:rFonts w:ascii="Arial" w:hAnsi="Arial" w:cs="Arial"/>
          <w:lang w:val="es-419"/>
        </w:rPr>
      </w:pPr>
    </w:p>
    <w:p w14:paraId="0C04DE5F" w14:textId="50E854B6" w:rsidR="007943B3" w:rsidRDefault="007943B3" w:rsidP="008373D5">
      <w:pPr>
        <w:pStyle w:val="ListParagraph"/>
        <w:numPr>
          <w:ilvl w:val="1"/>
          <w:numId w:val="48"/>
        </w:numPr>
        <w:ind w:left="720" w:hanging="720"/>
        <w:jc w:val="both"/>
        <w:rPr>
          <w:rFonts w:ascii="Arial" w:hAnsi="Arial" w:cs="Arial"/>
          <w:lang w:val="es-419"/>
        </w:rPr>
      </w:pPr>
      <w:r w:rsidRPr="007943B3">
        <w:rPr>
          <w:rFonts w:ascii="Arial" w:hAnsi="Arial" w:cs="Arial"/>
          <w:lang w:val="es-419"/>
        </w:rPr>
        <w:t>De acuerdo a la SCVS, aproximadamente 1</w:t>
      </w:r>
      <w:r w:rsidR="002F4727">
        <w:rPr>
          <w:rFonts w:ascii="Arial" w:hAnsi="Arial" w:cs="Arial"/>
          <w:lang w:val="es-419"/>
        </w:rPr>
        <w:t>.</w:t>
      </w:r>
      <w:r w:rsidRPr="007943B3">
        <w:rPr>
          <w:rFonts w:ascii="Arial" w:hAnsi="Arial" w:cs="Arial"/>
          <w:lang w:val="es-419"/>
        </w:rPr>
        <w:t>000 empresas se encuentran en riesgo de quiebra en el 2018. De esta muestra de interés, las firmas serán asignadas de manera aleatoria al tratamiento o control.</w:t>
      </w:r>
    </w:p>
    <w:p w14:paraId="27568DF6" w14:textId="77777777" w:rsidR="002F4727" w:rsidRPr="002F4727" w:rsidRDefault="002F4727" w:rsidP="002F4727">
      <w:pPr>
        <w:pStyle w:val="ListParagraph"/>
        <w:rPr>
          <w:rFonts w:ascii="Arial" w:hAnsi="Arial" w:cs="Arial"/>
          <w:lang w:val="es-419"/>
        </w:rPr>
      </w:pPr>
    </w:p>
    <w:p w14:paraId="7C06AE38" w14:textId="77777777" w:rsidR="002F4727" w:rsidRPr="007943B3" w:rsidRDefault="002F4727" w:rsidP="002F4727">
      <w:pPr>
        <w:pStyle w:val="ListParagraph"/>
        <w:jc w:val="both"/>
        <w:rPr>
          <w:rFonts w:ascii="Arial" w:hAnsi="Arial" w:cs="Arial"/>
          <w:lang w:val="es-419"/>
        </w:rPr>
      </w:pPr>
    </w:p>
    <w:p w14:paraId="37999CB5" w14:textId="628F4D5A" w:rsidR="007943B3" w:rsidRPr="002F4727" w:rsidRDefault="007943B3" w:rsidP="00C2120C">
      <w:pPr>
        <w:pStyle w:val="ListParagraph"/>
        <w:ind w:left="360"/>
        <w:jc w:val="both"/>
        <w:rPr>
          <w:rFonts w:ascii="Arial" w:hAnsi="Arial" w:cs="Arial"/>
          <w:b/>
          <w:sz w:val="18"/>
          <w:szCs w:val="18"/>
          <w:lang w:val="es-PE"/>
        </w:rPr>
      </w:pPr>
      <w:r w:rsidRPr="002F4727">
        <w:rPr>
          <w:rFonts w:ascii="Arial" w:hAnsi="Arial" w:cs="Arial"/>
          <w:b/>
          <w:sz w:val="18"/>
          <w:szCs w:val="18"/>
          <w:lang w:val="es-PE"/>
        </w:rPr>
        <w:t>Cuadro 7. Número de empresas e</w:t>
      </w:r>
      <w:r w:rsidR="0036243C" w:rsidRPr="002F4727">
        <w:rPr>
          <w:rFonts w:ascii="Arial" w:hAnsi="Arial" w:cs="Arial"/>
          <w:b/>
          <w:sz w:val="18"/>
          <w:szCs w:val="18"/>
          <w:lang w:val="es-PE"/>
        </w:rPr>
        <w:t>n</w:t>
      </w:r>
      <w:r w:rsidRPr="002F4727">
        <w:rPr>
          <w:rFonts w:ascii="Arial" w:hAnsi="Arial" w:cs="Arial"/>
          <w:b/>
          <w:sz w:val="18"/>
          <w:szCs w:val="18"/>
          <w:lang w:val="es-PE"/>
        </w:rPr>
        <w:t xml:space="preserve"> el grupo de control y tratamiento por estrato</w:t>
      </w:r>
    </w:p>
    <w:tbl>
      <w:tblPr>
        <w:tblW w:w="7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1530"/>
        <w:gridCol w:w="1080"/>
        <w:gridCol w:w="1120"/>
      </w:tblGrid>
      <w:tr w:rsidR="007943B3" w:rsidRPr="00B1147E" w14:paraId="67C4A2D0" w14:textId="77777777" w:rsidTr="00B65D4B">
        <w:trPr>
          <w:trHeight w:val="277"/>
          <w:jc w:val="center"/>
        </w:trPr>
        <w:tc>
          <w:tcPr>
            <w:tcW w:w="3950" w:type="dxa"/>
            <w:shd w:val="clear" w:color="000000" w:fill="FFFFFF"/>
            <w:noWrap/>
            <w:vAlign w:val="center"/>
            <w:hideMark/>
          </w:tcPr>
          <w:p w14:paraId="1B1D9423" w14:textId="77777777" w:rsidR="007943B3" w:rsidRPr="00C2120C" w:rsidRDefault="007943B3" w:rsidP="00532FF8">
            <w:pPr>
              <w:spacing w:after="0" w:line="240" w:lineRule="auto"/>
              <w:jc w:val="center"/>
              <w:rPr>
                <w:rFonts w:ascii="Arial" w:eastAsia="Times New Roman" w:hAnsi="Arial" w:cs="Arial"/>
                <w:b/>
                <w:bCs/>
                <w:color w:val="000000"/>
                <w:sz w:val="18"/>
                <w:szCs w:val="18"/>
                <w:lang w:val="es-419"/>
              </w:rPr>
            </w:pPr>
            <w:r w:rsidRPr="00C2120C">
              <w:rPr>
                <w:rFonts w:ascii="Arial" w:eastAsia="Times New Roman" w:hAnsi="Arial" w:cs="Arial"/>
                <w:b/>
                <w:bCs/>
                <w:color w:val="000000"/>
                <w:sz w:val="18"/>
                <w:szCs w:val="18"/>
                <w:lang w:val="es-419"/>
              </w:rPr>
              <w:t> </w:t>
            </w:r>
          </w:p>
        </w:tc>
        <w:tc>
          <w:tcPr>
            <w:tcW w:w="1530" w:type="dxa"/>
            <w:shd w:val="clear" w:color="000000" w:fill="FFFFFF"/>
            <w:noWrap/>
            <w:vAlign w:val="center"/>
            <w:hideMark/>
          </w:tcPr>
          <w:p w14:paraId="58C8C806" w14:textId="77777777" w:rsidR="007943B3" w:rsidRPr="00C2120C" w:rsidRDefault="007943B3" w:rsidP="00532FF8">
            <w:pPr>
              <w:spacing w:after="0" w:line="240" w:lineRule="auto"/>
              <w:jc w:val="center"/>
              <w:rPr>
                <w:rFonts w:ascii="Arial" w:eastAsia="Times New Roman" w:hAnsi="Arial" w:cs="Arial"/>
                <w:b/>
                <w:bCs/>
                <w:color w:val="000000"/>
                <w:sz w:val="18"/>
                <w:szCs w:val="18"/>
              </w:rPr>
            </w:pPr>
            <w:r w:rsidRPr="00C2120C">
              <w:rPr>
                <w:rFonts w:ascii="Arial" w:eastAsia="Times New Roman" w:hAnsi="Arial" w:cs="Arial"/>
                <w:b/>
                <w:bCs/>
                <w:color w:val="000000"/>
                <w:sz w:val="18"/>
                <w:szCs w:val="18"/>
              </w:rPr>
              <w:t>Tratamiento</w:t>
            </w:r>
          </w:p>
        </w:tc>
        <w:tc>
          <w:tcPr>
            <w:tcW w:w="1080" w:type="dxa"/>
            <w:shd w:val="clear" w:color="000000" w:fill="FFFFFF"/>
            <w:noWrap/>
            <w:vAlign w:val="center"/>
            <w:hideMark/>
          </w:tcPr>
          <w:p w14:paraId="29AE68B2" w14:textId="77777777" w:rsidR="007943B3" w:rsidRPr="00C2120C" w:rsidRDefault="007943B3" w:rsidP="00532FF8">
            <w:pPr>
              <w:spacing w:after="0" w:line="240" w:lineRule="auto"/>
              <w:jc w:val="center"/>
              <w:rPr>
                <w:rFonts w:ascii="Arial" w:eastAsia="Times New Roman" w:hAnsi="Arial" w:cs="Arial"/>
                <w:b/>
                <w:bCs/>
                <w:color w:val="000000"/>
                <w:sz w:val="18"/>
                <w:szCs w:val="18"/>
              </w:rPr>
            </w:pPr>
            <w:r w:rsidRPr="00C2120C">
              <w:rPr>
                <w:rFonts w:ascii="Arial" w:eastAsia="Times New Roman" w:hAnsi="Arial" w:cs="Arial"/>
                <w:b/>
                <w:bCs/>
                <w:color w:val="000000"/>
                <w:sz w:val="18"/>
                <w:szCs w:val="18"/>
              </w:rPr>
              <w:t>Control</w:t>
            </w:r>
          </w:p>
        </w:tc>
        <w:tc>
          <w:tcPr>
            <w:tcW w:w="1120" w:type="dxa"/>
            <w:shd w:val="clear" w:color="000000" w:fill="FFFFFF"/>
            <w:noWrap/>
            <w:vAlign w:val="center"/>
            <w:hideMark/>
          </w:tcPr>
          <w:p w14:paraId="22F33854" w14:textId="77777777" w:rsidR="007943B3" w:rsidRPr="00C2120C" w:rsidRDefault="007943B3" w:rsidP="00532FF8">
            <w:pPr>
              <w:spacing w:after="0" w:line="240" w:lineRule="auto"/>
              <w:jc w:val="center"/>
              <w:rPr>
                <w:rFonts w:ascii="Arial" w:eastAsia="Times New Roman" w:hAnsi="Arial" w:cs="Arial"/>
                <w:b/>
                <w:bCs/>
                <w:color w:val="000000"/>
                <w:sz w:val="18"/>
                <w:szCs w:val="18"/>
              </w:rPr>
            </w:pPr>
            <w:r w:rsidRPr="00C2120C">
              <w:rPr>
                <w:rFonts w:ascii="Arial" w:eastAsia="Times New Roman" w:hAnsi="Arial" w:cs="Arial"/>
                <w:b/>
                <w:bCs/>
                <w:color w:val="000000"/>
                <w:sz w:val="18"/>
                <w:szCs w:val="18"/>
              </w:rPr>
              <w:t>N</w:t>
            </w:r>
          </w:p>
        </w:tc>
      </w:tr>
      <w:tr w:rsidR="007943B3" w:rsidRPr="00B1147E" w14:paraId="0A655521" w14:textId="77777777" w:rsidTr="00B65D4B">
        <w:trPr>
          <w:trHeight w:val="504"/>
          <w:jc w:val="center"/>
        </w:trPr>
        <w:tc>
          <w:tcPr>
            <w:tcW w:w="3950" w:type="dxa"/>
            <w:shd w:val="clear" w:color="000000" w:fill="FFFFFF"/>
            <w:vAlign w:val="center"/>
            <w:hideMark/>
          </w:tcPr>
          <w:p w14:paraId="7DA6FD85" w14:textId="77777777" w:rsidR="007943B3" w:rsidRPr="00C2120C" w:rsidRDefault="007943B3" w:rsidP="00532FF8">
            <w:pPr>
              <w:spacing w:after="0" w:line="240" w:lineRule="auto"/>
              <w:rPr>
                <w:rFonts w:ascii="Arial" w:eastAsia="Times New Roman" w:hAnsi="Arial" w:cs="Arial"/>
                <w:color w:val="000000"/>
                <w:sz w:val="18"/>
                <w:szCs w:val="18"/>
              </w:rPr>
            </w:pPr>
            <w:r w:rsidRPr="00C2120C">
              <w:rPr>
                <w:rFonts w:ascii="Arial" w:eastAsia="Times New Roman" w:hAnsi="Arial" w:cs="Arial"/>
                <w:color w:val="000000"/>
                <w:sz w:val="18"/>
                <w:szCs w:val="18"/>
              </w:rPr>
              <w:t>Empresas en riesgo</w:t>
            </w:r>
          </w:p>
        </w:tc>
        <w:tc>
          <w:tcPr>
            <w:tcW w:w="1530" w:type="dxa"/>
            <w:shd w:val="clear" w:color="000000" w:fill="FFFFFF"/>
            <w:noWrap/>
            <w:vAlign w:val="center"/>
            <w:hideMark/>
          </w:tcPr>
          <w:p w14:paraId="0A58D01B" w14:textId="77777777" w:rsidR="007943B3" w:rsidRPr="00C2120C" w:rsidRDefault="007943B3" w:rsidP="00532FF8">
            <w:pPr>
              <w:spacing w:after="0" w:line="240" w:lineRule="auto"/>
              <w:jc w:val="center"/>
              <w:rPr>
                <w:rFonts w:ascii="Arial" w:eastAsia="Times New Roman" w:hAnsi="Arial" w:cs="Arial"/>
                <w:color w:val="000000"/>
                <w:sz w:val="18"/>
                <w:szCs w:val="18"/>
              </w:rPr>
            </w:pPr>
            <w:r w:rsidRPr="00C2120C">
              <w:rPr>
                <w:rFonts w:ascii="Arial" w:eastAsia="Times New Roman" w:hAnsi="Arial" w:cs="Arial"/>
                <w:color w:val="000000"/>
                <w:sz w:val="18"/>
                <w:szCs w:val="18"/>
              </w:rPr>
              <w:t>500</w:t>
            </w:r>
          </w:p>
        </w:tc>
        <w:tc>
          <w:tcPr>
            <w:tcW w:w="1080" w:type="dxa"/>
            <w:shd w:val="clear" w:color="000000" w:fill="FFFFFF"/>
            <w:noWrap/>
            <w:vAlign w:val="center"/>
            <w:hideMark/>
          </w:tcPr>
          <w:p w14:paraId="0C3447CC" w14:textId="77777777" w:rsidR="007943B3" w:rsidRPr="00C2120C" w:rsidRDefault="007943B3" w:rsidP="00532FF8">
            <w:pPr>
              <w:spacing w:after="0" w:line="240" w:lineRule="auto"/>
              <w:jc w:val="center"/>
              <w:rPr>
                <w:rFonts w:ascii="Arial" w:eastAsia="Times New Roman" w:hAnsi="Arial" w:cs="Arial"/>
                <w:color w:val="000000"/>
                <w:sz w:val="18"/>
                <w:szCs w:val="18"/>
              </w:rPr>
            </w:pPr>
            <w:r w:rsidRPr="00C2120C">
              <w:rPr>
                <w:rFonts w:ascii="Arial" w:eastAsia="Times New Roman" w:hAnsi="Arial" w:cs="Arial"/>
                <w:color w:val="000000"/>
                <w:sz w:val="18"/>
                <w:szCs w:val="18"/>
              </w:rPr>
              <w:t>500</w:t>
            </w:r>
          </w:p>
        </w:tc>
        <w:tc>
          <w:tcPr>
            <w:tcW w:w="1120" w:type="dxa"/>
            <w:shd w:val="clear" w:color="000000" w:fill="FFFFFF"/>
            <w:noWrap/>
            <w:vAlign w:val="center"/>
            <w:hideMark/>
          </w:tcPr>
          <w:p w14:paraId="4CB30220" w14:textId="77777777" w:rsidR="007943B3" w:rsidRPr="00C2120C" w:rsidRDefault="007943B3" w:rsidP="00532FF8">
            <w:pPr>
              <w:spacing w:after="0" w:line="240" w:lineRule="auto"/>
              <w:jc w:val="center"/>
              <w:rPr>
                <w:rFonts w:ascii="Arial" w:eastAsia="Times New Roman" w:hAnsi="Arial" w:cs="Arial"/>
                <w:b/>
                <w:color w:val="000000"/>
                <w:sz w:val="18"/>
                <w:szCs w:val="18"/>
              </w:rPr>
            </w:pPr>
            <w:r w:rsidRPr="00C2120C">
              <w:rPr>
                <w:rFonts w:ascii="Arial" w:eastAsia="Times New Roman" w:hAnsi="Arial" w:cs="Arial"/>
                <w:b/>
                <w:color w:val="000000"/>
                <w:sz w:val="18"/>
                <w:szCs w:val="18"/>
              </w:rPr>
              <w:t>1000</w:t>
            </w:r>
          </w:p>
        </w:tc>
      </w:tr>
    </w:tbl>
    <w:p w14:paraId="7E55D179" w14:textId="2DADC022" w:rsidR="004D69C6" w:rsidRDefault="004D69C6" w:rsidP="007943B3">
      <w:pPr>
        <w:jc w:val="both"/>
        <w:rPr>
          <w:rFonts w:ascii="Arial" w:hAnsi="Arial" w:cs="Arial"/>
          <w:lang w:val="es-419"/>
        </w:rPr>
      </w:pPr>
    </w:p>
    <w:p w14:paraId="7DB09EA2" w14:textId="57A7C348" w:rsidR="007943B3" w:rsidRPr="00C42CB8" w:rsidRDefault="007943B3" w:rsidP="008373D5">
      <w:pPr>
        <w:pStyle w:val="ListParagraph"/>
        <w:numPr>
          <w:ilvl w:val="1"/>
          <w:numId w:val="48"/>
        </w:numPr>
        <w:ind w:left="720" w:hanging="720"/>
        <w:jc w:val="both"/>
        <w:rPr>
          <w:rFonts w:ascii="Arial" w:hAnsi="Arial" w:cs="Arial"/>
          <w:lang w:val="es-419"/>
        </w:rPr>
      </w:pPr>
      <w:r w:rsidRPr="007943B3">
        <w:rPr>
          <w:rFonts w:ascii="Arial" w:hAnsi="Arial" w:cs="Arial"/>
          <w:lang w:val="es-PE"/>
        </w:rPr>
        <w:t xml:space="preserve">A consecuencia de la asignación aleatoria, las empresas en ambos grupos tendrán características promedio similares. La única diferencia será que las empresas tratadas recibirán un comunicado oficial introduciendo el proceso agilizado para el cierre de empresas. Éste describirá las ventajas de cancelar la inscripción para evitar barreras institucionales en la reutilización del capital. Los investigadores evaluarán si los grupos son estadísticamente balanceados en las variables mencionadas en el punto </w:t>
      </w:r>
      <w:r>
        <w:rPr>
          <w:rFonts w:ascii="Arial" w:hAnsi="Arial" w:cs="Arial"/>
          <w:lang w:val="es-PE"/>
        </w:rPr>
        <w:t>4.38.</w:t>
      </w:r>
    </w:p>
    <w:p w14:paraId="78F39300" w14:textId="77777777" w:rsidR="00C42CB8" w:rsidRPr="00C42CB8" w:rsidRDefault="00C42CB8" w:rsidP="008373D5">
      <w:pPr>
        <w:pStyle w:val="ListParagraph"/>
        <w:numPr>
          <w:ilvl w:val="1"/>
          <w:numId w:val="48"/>
        </w:numPr>
        <w:ind w:left="720" w:hanging="720"/>
        <w:jc w:val="both"/>
        <w:rPr>
          <w:rFonts w:ascii="Arial" w:hAnsi="Arial" w:cs="Arial"/>
          <w:color w:val="000000"/>
          <w:lang w:val="es-PE"/>
        </w:rPr>
      </w:pPr>
      <w:r w:rsidRPr="00C42CB8">
        <w:rPr>
          <w:rFonts w:ascii="Arial" w:hAnsi="Arial" w:cs="Arial"/>
          <w:lang w:val="es-419"/>
        </w:rPr>
        <w:lastRenderedPageBreak/>
        <w:t>Una</w:t>
      </w:r>
      <w:r w:rsidRPr="00C42CB8">
        <w:rPr>
          <w:rFonts w:ascii="Arial" w:hAnsi="Arial" w:cs="Arial"/>
          <w:color w:val="000000"/>
          <w:lang w:val="es-PE"/>
        </w:rPr>
        <w:t xml:space="preserve"> diferencia de tasas de adopción de la disolución voluntaria entre el grupo de contribuyentes en el grupo de tratamiento, y el grupo de control proveería un estimador de los efectos del programa. La ecuación por estimar es:</w:t>
      </w:r>
    </w:p>
    <w:p w14:paraId="335B7092" w14:textId="77777777" w:rsidR="00C42CB8" w:rsidRPr="00C42CB8" w:rsidRDefault="00AE2163" w:rsidP="00C2120C">
      <w:pPr>
        <w:spacing w:after="0" w:line="360" w:lineRule="auto"/>
        <w:ind w:left="720" w:hanging="720"/>
        <w:jc w:val="center"/>
        <w:textAlignment w:val="top"/>
        <w:rPr>
          <w:rFonts w:ascii="Arial" w:hAnsi="Arial" w:cs="Arial"/>
          <w:color w:val="000000"/>
          <w:lang w:val="es-PE"/>
        </w:rPr>
      </w:pPr>
      <m:oMath>
        <m:sSub>
          <m:sSubPr>
            <m:ctrlPr>
              <w:rPr>
                <w:rFonts w:ascii="Cambria Math" w:hAnsi="Cambria Math" w:cs="Arial"/>
                <w:i/>
                <w:iCs/>
                <w:color w:val="000000"/>
                <w:lang w:val="es-PE"/>
              </w:rPr>
            </m:ctrlPr>
          </m:sSubPr>
          <m:e>
            <m:r>
              <w:rPr>
                <w:rFonts w:ascii="Cambria Math" w:hAnsi="Cambria Math" w:cs="Arial"/>
                <w:color w:val="000000"/>
                <w:lang w:val="es-PE"/>
              </w:rPr>
              <m:t>y</m:t>
            </m:r>
          </m:e>
          <m:sub>
            <m:r>
              <w:rPr>
                <w:rFonts w:ascii="Cambria Math" w:hAnsi="Cambria Math" w:cs="Arial"/>
                <w:color w:val="000000"/>
                <w:lang w:val="es-PE"/>
              </w:rPr>
              <m:t>i</m:t>
            </m:r>
          </m:sub>
        </m:sSub>
        <m:r>
          <w:rPr>
            <w:rFonts w:ascii="Cambria Math" w:hAnsi="Cambria Math" w:cs="Arial"/>
            <w:color w:val="000000"/>
            <w:lang w:val="es-PE"/>
          </w:rPr>
          <m:t>=α+</m:t>
        </m:r>
      </m:oMath>
      <w:r w:rsidR="00C42CB8" w:rsidRPr="00C42CB8">
        <w:rPr>
          <w:rFonts w:ascii="Arial" w:hAnsi="Arial" w:cs="Arial"/>
          <w:color w:val="000000"/>
          <w:lang w:val="es-PE"/>
        </w:rPr>
        <w:t xml:space="preserve"> </w:t>
      </w:r>
      <m:oMath>
        <m:r>
          <w:rPr>
            <w:rFonts w:ascii="Cambria Math" w:hAnsi="Cambria Math" w:cs="Arial"/>
            <w:color w:val="000000"/>
            <w:lang w:val="es-PE"/>
          </w:rPr>
          <m:t>β.</m:t>
        </m:r>
        <m:sSub>
          <m:sSubPr>
            <m:ctrlPr>
              <w:rPr>
                <w:rFonts w:ascii="Cambria Math" w:hAnsi="Cambria Math" w:cs="Arial"/>
                <w:i/>
                <w:iCs/>
                <w:color w:val="000000"/>
                <w:lang w:val="es-PE"/>
              </w:rPr>
            </m:ctrlPr>
          </m:sSubPr>
          <m:e>
            <m:r>
              <w:rPr>
                <w:rFonts w:ascii="Cambria Math" w:hAnsi="Cambria Math" w:cs="Arial"/>
                <w:color w:val="000000"/>
                <w:lang w:val="es-PE"/>
              </w:rPr>
              <m:t>T</m:t>
            </m:r>
          </m:e>
          <m:sub>
            <m:r>
              <w:rPr>
                <w:rFonts w:ascii="Cambria Math" w:hAnsi="Cambria Math" w:cs="Arial"/>
                <w:color w:val="000000"/>
                <w:lang w:val="es-PE"/>
              </w:rPr>
              <m:t>i</m:t>
            </m:r>
          </m:sub>
        </m:sSub>
      </m:oMath>
      <w:r w:rsidR="00C42CB8" w:rsidRPr="00C42CB8">
        <w:rPr>
          <w:rFonts w:ascii="Arial" w:hAnsi="Arial" w:cs="Arial"/>
          <w:color w:val="000000"/>
          <w:lang w:val="es-PE"/>
        </w:rPr>
        <w:t xml:space="preserve">+ </w:t>
      </w:r>
      <m:oMath>
        <m:r>
          <m:rPr>
            <m:sty m:val="p"/>
          </m:rPr>
          <w:rPr>
            <w:rFonts w:ascii="Cambria Math" w:hAnsi="Cambria Math" w:cs="Arial"/>
            <w:color w:val="000000"/>
            <w:lang w:val="es-PE"/>
          </w:rPr>
          <m:t>Γ</m:t>
        </m:r>
        <m:r>
          <w:rPr>
            <w:rFonts w:ascii="Cambria Math" w:hAnsi="Cambria Math" w:cs="Arial"/>
            <w:color w:val="000000"/>
            <w:lang w:val="es-PE"/>
          </w:rPr>
          <m:t>.</m:t>
        </m:r>
        <m:sSub>
          <m:sSubPr>
            <m:ctrlPr>
              <w:rPr>
                <w:rFonts w:ascii="Cambria Math" w:hAnsi="Cambria Math" w:cs="Arial"/>
                <w:i/>
                <w:iCs/>
                <w:color w:val="000000"/>
                <w:lang w:val="es-PE"/>
              </w:rPr>
            </m:ctrlPr>
          </m:sSubPr>
          <m:e>
            <m:r>
              <w:rPr>
                <w:rFonts w:ascii="Cambria Math" w:hAnsi="Cambria Math" w:cs="Arial"/>
                <w:color w:val="000000"/>
                <w:lang w:val="es-PE"/>
              </w:rPr>
              <m:t>X</m:t>
            </m:r>
          </m:e>
          <m:sub>
            <m:r>
              <w:rPr>
                <w:rFonts w:ascii="Cambria Math" w:hAnsi="Cambria Math" w:cs="Arial"/>
                <w:color w:val="000000"/>
                <w:lang w:val="es-PE"/>
              </w:rPr>
              <m:t>i</m:t>
            </m:r>
          </m:sub>
        </m:sSub>
      </m:oMath>
      <w:r w:rsidR="00C42CB8" w:rsidRPr="00C42CB8">
        <w:rPr>
          <w:rFonts w:ascii="Arial" w:hAnsi="Arial" w:cs="Arial"/>
          <w:color w:val="000000"/>
          <w:lang w:val="es-PE"/>
        </w:rPr>
        <w:t xml:space="preserve"> + </w:t>
      </w:r>
      <m:oMath>
        <m:sSub>
          <m:sSubPr>
            <m:ctrlPr>
              <w:rPr>
                <w:rFonts w:ascii="Cambria Math" w:hAnsi="Cambria Math" w:cs="Arial"/>
                <w:i/>
                <w:iCs/>
                <w:color w:val="000000"/>
                <w:lang w:val="es-PE"/>
              </w:rPr>
            </m:ctrlPr>
          </m:sSubPr>
          <m:e>
            <m:r>
              <w:rPr>
                <w:rFonts w:ascii="Cambria Math" w:hAnsi="Cambria Math" w:cs="Arial"/>
                <w:color w:val="000000"/>
                <w:lang w:val="es-PE"/>
              </w:rPr>
              <m:t>ε</m:t>
            </m:r>
          </m:e>
          <m:sub>
            <m:r>
              <w:rPr>
                <w:rFonts w:ascii="Cambria Math" w:hAnsi="Cambria Math" w:cs="Arial"/>
                <w:color w:val="000000"/>
                <w:lang w:val="es-PE"/>
              </w:rPr>
              <m:t>i</m:t>
            </m:r>
          </m:sub>
        </m:sSub>
      </m:oMath>
      <w:r w:rsidR="00C42CB8" w:rsidRPr="00C42CB8">
        <w:rPr>
          <w:rFonts w:ascii="Arial" w:hAnsi="Arial" w:cs="Arial"/>
          <w:iCs/>
          <w:color w:val="000000"/>
          <w:lang w:val="es-PE"/>
        </w:rPr>
        <w:t xml:space="preserve"> … (1)</w:t>
      </w:r>
    </w:p>
    <w:p w14:paraId="55FA5765" w14:textId="77777777" w:rsidR="00C42CB8" w:rsidRPr="00C42CB8" w:rsidRDefault="00C42CB8" w:rsidP="00C2120C">
      <w:pPr>
        <w:spacing w:line="360" w:lineRule="auto"/>
        <w:ind w:left="720" w:hanging="720"/>
        <w:jc w:val="both"/>
        <w:textAlignment w:val="top"/>
        <w:rPr>
          <w:rFonts w:ascii="Arial" w:hAnsi="Arial" w:cs="Arial"/>
          <w:color w:val="000000"/>
          <w:lang w:val="es-PE"/>
        </w:rPr>
      </w:pPr>
    </w:p>
    <w:p w14:paraId="7FF7AD08" w14:textId="77777777" w:rsidR="00C42CB8" w:rsidRPr="00C42CB8" w:rsidRDefault="00C42CB8" w:rsidP="00C2120C">
      <w:pPr>
        <w:spacing w:line="360" w:lineRule="auto"/>
        <w:ind w:left="720"/>
        <w:jc w:val="both"/>
        <w:textAlignment w:val="top"/>
        <w:rPr>
          <w:rFonts w:ascii="Arial" w:hAnsi="Arial" w:cs="Arial"/>
          <w:color w:val="000000"/>
          <w:lang w:val="es-PE"/>
        </w:rPr>
      </w:pPr>
      <w:r w:rsidRPr="00C42CB8">
        <w:rPr>
          <w:rFonts w:ascii="Arial" w:hAnsi="Arial" w:cs="Arial"/>
          <w:color w:val="000000"/>
          <w:lang w:val="es-PE"/>
        </w:rPr>
        <w:t xml:space="preserve">Donde </w:t>
      </w:r>
      <w:r w:rsidRPr="00C42CB8">
        <w:rPr>
          <w:rFonts w:ascii="Arial" w:hAnsi="Arial" w:cs="Arial"/>
          <w:i/>
          <w:color w:val="000000"/>
          <w:lang w:val="es-PE"/>
        </w:rPr>
        <w:t>y</w:t>
      </w:r>
      <w:r w:rsidRPr="00C42CB8">
        <w:rPr>
          <w:rFonts w:ascii="Arial" w:hAnsi="Arial" w:cs="Arial"/>
          <w:color w:val="000000"/>
          <w:lang w:val="es-PE"/>
        </w:rPr>
        <w:t xml:space="preserve"> denota el indicador listado en la tabla 1, </w:t>
      </w:r>
      <w:r w:rsidRPr="00C42CB8">
        <w:rPr>
          <w:rFonts w:ascii="Arial" w:hAnsi="Arial" w:cs="Arial"/>
          <w:i/>
          <w:color w:val="000000"/>
          <w:lang w:val="es-PE"/>
        </w:rPr>
        <w:t>T</w:t>
      </w:r>
      <w:r w:rsidRPr="00C42CB8">
        <w:rPr>
          <w:rFonts w:ascii="Arial" w:hAnsi="Arial" w:cs="Arial"/>
          <w:color w:val="000000"/>
          <w:lang w:val="es-PE"/>
        </w:rPr>
        <w:t xml:space="preserve"> es una variable dicotómica con valor 1 si la empresa es asignada al grupo de tratamiento y 0 si no, y </w:t>
      </w:r>
      <m:oMath>
        <m:r>
          <w:rPr>
            <w:rFonts w:ascii="Cambria Math" w:hAnsi="Cambria Math" w:cs="Arial"/>
            <w:color w:val="000000"/>
            <w:lang w:val="es-PE"/>
          </w:rPr>
          <m:t>ε</m:t>
        </m:r>
      </m:oMath>
      <w:r w:rsidRPr="00C42CB8">
        <w:rPr>
          <w:rFonts w:ascii="Arial" w:hAnsi="Arial" w:cs="Arial"/>
          <w:iCs/>
          <w:color w:val="000000"/>
          <w:lang w:val="es-PE"/>
        </w:rPr>
        <w:t xml:space="preserve"> es un término de error. El subíndice </w:t>
      </w:r>
      <w:r w:rsidRPr="00C42CB8">
        <w:rPr>
          <w:rFonts w:ascii="Arial" w:hAnsi="Arial" w:cs="Arial"/>
          <w:i/>
          <w:iCs/>
          <w:color w:val="000000"/>
          <w:lang w:val="es-PE"/>
        </w:rPr>
        <w:t xml:space="preserve">i </w:t>
      </w:r>
      <w:r w:rsidRPr="00C42CB8">
        <w:rPr>
          <w:rFonts w:ascii="Arial" w:hAnsi="Arial" w:cs="Arial"/>
          <w:iCs/>
          <w:color w:val="000000"/>
          <w:lang w:val="es-PE"/>
        </w:rPr>
        <w:t xml:space="preserve">denota a la firma Bajo esta especificación la hipótesis nula de una ausencia de efectos sería </w:t>
      </w:r>
      <m:oMath>
        <m:sSub>
          <m:sSubPr>
            <m:ctrlPr>
              <w:rPr>
                <w:rFonts w:ascii="Cambria Math" w:hAnsi="Cambria Math" w:cs="Arial"/>
                <w:i/>
                <w:iCs/>
                <w:color w:val="000000"/>
                <w:lang w:val="es-PE"/>
              </w:rPr>
            </m:ctrlPr>
          </m:sSubPr>
          <m:e>
            <m:r>
              <w:rPr>
                <w:rFonts w:ascii="Cambria Math" w:hAnsi="Cambria Math" w:cs="Arial"/>
                <w:color w:val="000000"/>
                <w:lang w:val="es-PE"/>
              </w:rPr>
              <m:t>H</m:t>
            </m:r>
          </m:e>
          <m:sub>
            <m:r>
              <w:rPr>
                <w:rFonts w:ascii="Cambria Math" w:hAnsi="Cambria Math" w:cs="Arial"/>
                <w:color w:val="000000"/>
                <w:lang w:val="es-PE"/>
              </w:rPr>
              <m:t>0</m:t>
            </m:r>
          </m:sub>
        </m:sSub>
        <m:r>
          <w:rPr>
            <w:rFonts w:ascii="Cambria Math" w:hAnsi="Cambria Math" w:cs="Arial"/>
            <w:color w:val="000000"/>
            <w:lang w:val="es-PE"/>
          </w:rPr>
          <m:t>: β=0</m:t>
        </m:r>
      </m:oMath>
      <w:r w:rsidRPr="00C42CB8">
        <w:rPr>
          <w:rFonts w:ascii="Arial" w:hAnsi="Arial" w:cs="Arial"/>
          <w:iCs/>
          <w:color w:val="000000"/>
          <w:lang w:val="es-PE"/>
        </w:rPr>
        <w:t xml:space="preserve">. </w:t>
      </w:r>
      <w:r w:rsidRPr="00C42CB8">
        <w:rPr>
          <w:rFonts w:ascii="Arial" w:hAnsi="Arial" w:cs="Arial"/>
          <w:color w:val="000000"/>
          <w:lang w:val="es-PE"/>
        </w:rPr>
        <w:t>El efecto encontrado nos reportará una cota inferior para el impacto del programa sobre la adopción de liquidación voluntaria.</w:t>
      </w:r>
    </w:p>
    <w:p w14:paraId="3095013B" w14:textId="611AEEAB" w:rsidR="00B1147E" w:rsidRDefault="00C42CB8" w:rsidP="008373D5">
      <w:pPr>
        <w:pStyle w:val="ListParagraph"/>
        <w:numPr>
          <w:ilvl w:val="1"/>
          <w:numId w:val="48"/>
        </w:numPr>
        <w:ind w:left="720" w:hanging="720"/>
        <w:jc w:val="both"/>
        <w:rPr>
          <w:rFonts w:ascii="Arial" w:hAnsi="Arial" w:cs="Arial"/>
          <w:lang w:val="es-419"/>
        </w:rPr>
      </w:pPr>
      <w:r w:rsidRPr="00C42CB8">
        <w:rPr>
          <w:rFonts w:ascii="Arial" w:hAnsi="Arial" w:cs="Arial"/>
          <w:b/>
          <w:lang w:val="es-419"/>
        </w:rPr>
        <w:t>Cálculos de poder</w:t>
      </w:r>
      <w:r w:rsidR="005474A4" w:rsidRPr="005474A4">
        <w:rPr>
          <w:rFonts w:ascii="Arial" w:hAnsi="Arial" w:cs="Arial"/>
          <w:b/>
          <w:bCs/>
          <w:lang w:val="es-419"/>
        </w:rPr>
        <w:t>.</w:t>
      </w:r>
      <w:r w:rsidRPr="00C42CB8">
        <w:rPr>
          <w:rFonts w:ascii="Arial" w:hAnsi="Arial" w:cs="Arial"/>
          <w:lang w:val="es-419"/>
        </w:rPr>
        <w:t xml:space="preserve">  Dado que la tasa de adopción de liquidación es de 50%</w:t>
      </w:r>
      <w:r w:rsidR="002F4727">
        <w:rPr>
          <w:rFonts w:ascii="Arial" w:hAnsi="Arial" w:cs="Arial"/>
          <w:lang w:val="es-419"/>
        </w:rPr>
        <w:t> </w:t>
      </w:r>
      <w:r w:rsidRPr="00C42CB8">
        <w:rPr>
          <w:rFonts w:ascii="Arial" w:hAnsi="Arial" w:cs="Arial"/>
          <w:lang w:val="es-419"/>
        </w:rPr>
        <w:t>entre empresas en riesgo, con 1</w:t>
      </w:r>
      <w:r w:rsidR="00B65D4B">
        <w:rPr>
          <w:rFonts w:ascii="Arial" w:hAnsi="Arial" w:cs="Arial"/>
          <w:lang w:val="es-419"/>
        </w:rPr>
        <w:t>.</w:t>
      </w:r>
      <w:r w:rsidRPr="00C42CB8">
        <w:rPr>
          <w:rFonts w:ascii="Arial" w:hAnsi="Arial" w:cs="Arial"/>
          <w:lang w:val="es-419"/>
        </w:rPr>
        <w:t xml:space="preserve">000 empresas tendríamos poder estadístico para identificar robustamente el impacto de un programa que incremente la tasa de adopción de disolución en 0.14 desviaciones estándar. Esto equivale a un efecto de por lo menos 7 puntos porcentuales adicionales en la tasa de salida. Se asume poder al 90%. </w:t>
      </w:r>
    </w:p>
    <w:p w14:paraId="4836419F" w14:textId="77777777" w:rsidR="00B1147E" w:rsidRPr="00C2120C" w:rsidRDefault="00B1147E" w:rsidP="00C2120C">
      <w:pPr>
        <w:pStyle w:val="ListParagraph"/>
        <w:jc w:val="both"/>
        <w:rPr>
          <w:rFonts w:ascii="Arial" w:hAnsi="Arial" w:cs="Arial"/>
          <w:lang w:val="es-419"/>
        </w:rPr>
      </w:pPr>
    </w:p>
    <w:p w14:paraId="348A91D2" w14:textId="71A7CF66" w:rsidR="00D42A2F" w:rsidRDefault="00D42A2F" w:rsidP="008373D5">
      <w:pPr>
        <w:pStyle w:val="ListParagraph"/>
        <w:numPr>
          <w:ilvl w:val="1"/>
          <w:numId w:val="48"/>
        </w:numPr>
        <w:spacing w:after="120" w:line="240" w:lineRule="auto"/>
        <w:ind w:left="720" w:hanging="720"/>
        <w:jc w:val="both"/>
        <w:rPr>
          <w:rFonts w:ascii="Arial" w:hAnsi="Arial" w:cs="Arial"/>
          <w:lang w:val="es-419"/>
        </w:rPr>
      </w:pPr>
      <w:r w:rsidRPr="00D42A2F">
        <w:rPr>
          <w:rFonts w:ascii="Arial" w:hAnsi="Arial" w:cs="Arial"/>
          <w:lang w:val="es-419"/>
        </w:rPr>
        <w:t>Para responder las preguntas (iii) - (vi): Metodología de regresión discontinua en el tiempo (RDit)</w:t>
      </w:r>
      <w:r w:rsidRPr="00D42A2F">
        <w:rPr>
          <w:lang w:val="es-419"/>
        </w:rPr>
        <w:t xml:space="preserve"> </w:t>
      </w:r>
      <w:r w:rsidRPr="00D42A2F">
        <w:rPr>
          <w:rFonts w:ascii="Arial" w:hAnsi="Arial" w:cs="Arial"/>
          <w:lang w:val="es-419"/>
        </w:rPr>
        <w:t>La evaluación ex-post para responder las preguntas (iii) a (iv) seguirá la metodología de regresión discontinua en el tiempo. Esta metodología es aplicable a las intervenciones donde la variable de ejecución es el tiempo y el tratamiento comienza a usarse de manera obligatoria en un umbral particular. Este enfoque es especialmente útil cuando no hay variación transversal / seccional. Este enfoque implica el uso de datos relativamente lejos del umbral. Hausman y Rapson (2017) describen esta metodología en detalle.</w:t>
      </w:r>
    </w:p>
    <w:p w14:paraId="4DCC7EBB" w14:textId="77777777" w:rsidR="005474A4" w:rsidRPr="005474A4" w:rsidRDefault="005474A4" w:rsidP="005474A4">
      <w:pPr>
        <w:spacing w:after="120" w:line="240" w:lineRule="auto"/>
        <w:jc w:val="both"/>
        <w:rPr>
          <w:rFonts w:ascii="Arial" w:hAnsi="Arial" w:cs="Arial"/>
          <w:lang w:val="es-419"/>
        </w:rPr>
      </w:pPr>
    </w:p>
    <w:p w14:paraId="25A1BE7A" w14:textId="77777777" w:rsidR="00D42A2F" w:rsidRPr="00D42A2F" w:rsidRDefault="00D42A2F" w:rsidP="008373D5">
      <w:pPr>
        <w:pStyle w:val="ListParagraph"/>
        <w:numPr>
          <w:ilvl w:val="1"/>
          <w:numId w:val="48"/>
        </w:numPr>
        <w:spacing w:after="120" w:line="240" w:lineRule="auto"/>
        <w:ind w:left="720" w:hanging="720"/>
        <w:jc w:val="both"/>
        <w:rPr>
          <w:rFonts w:ascii="Arial" w:hAnsi="Arial" w:cs="Arial"/>
          <w:lang w:val="es-419"/>
        </w:rPr>
      </w:pPr>
      <w:r w:rsidRPr="00D42A2F">
        <w:rPr>
          <w:rFonts w:ascii="Arial" w:hAnsi="Arial" w:cs="Arial"/>
          <w:lang w:val="es-419"/>
        </w:rPr>
        <w:t>En un RDiT, el investigador conoce la fecha “a” de un cambio de política o introducción de programa. Ella asume que para todas las fechas t&gt; a, la unidad se trata, y para todas las fechas t &lt;a, la unidad no. En este caso, compararemos los tiempos promedios y tasa de recuperación patrimonial para las empresas que solicitaron la liquidación antes y después del momento en el que el uso del fast-track se hizo obligatoria. El impacto, será determinado mediante la estimación de la siguiente ecuación:</w:t>
      </w:r>
    </w:p>
    <w:p w14:paraId="61193B7E" w14:textId="77777777" w:rsidR="00D42A2F" w:rsidRPr="00D42A2F" w:rsidRDefault="00D42A2F" w:rsidP="00D42A2F">
      <w:pPr>
        <w:pStyle w:val="ListParagraph"/>
        <w:ind w:left="360"/>
        <w:jc w:val="both"/>
        <w:rPr>
          <w:rFonts w:ascii="Arial" w:hAnsi="Arial" w:cs="Arial"/>
          <w:lang w:val="es-PE"/>
        </w:rPr>
      </w:pPr>
    </w:p>
    <w:p w14:paraId="65E6D61D" w14:textId="77777777" w:rsidR="00D42A2F" w:rsidRDefault="00AE2163" w:rsidP="00D42A2F">
      <w:pPr>
        <w:spacing w:after="0" w:line="360" w:lineRule="auto"/>
        <w:ind w:left="360"/>
        <w:jc w:val="center"/>
        <w:textAlignment w:val="top"/>
        <w:rPr>
          <w:rFonts w:ascii="Times New Roman" w:hAnsi="Times New Roman"/>
          <w:lang w:val="es-PE"/>
        </w:rPr>
      </w:pPr>
      <m:oMath>
        <m:sSub>
          <m:sSubPr>
            <m:ctrlPr>
              <w:rPr>
                <w:rFonts w:ascii="Cambria Math" w:hAnsi="Cambria Math"/>
                <w:lang w:val="es-PE"/>
              </w:rPr>
            </m:ctrlPr>
          </m:sSubPr>
          <m:e>
            <m:r>
              <w:rPr>
                <w:rFonts w:ascii="Cambria Math" w:hAnsi="Cambria Math"/>
                <w:lang w:val="es-PE"/>
              </w:rPr>
              <m:t>y</m:t>
            </m:r>
          </m:e>
          <m:sub>
            <m:r>
              <w:rPr>
                <w:rFonts w:ascii="Cambria Math" w:hAnsi="Cambria Math"/>
                <w:lang w:val="es-PE"/>
              </w:rPr>
              <m:t>t</m:t>
            </m:r>
          </m:sub>
        </m:sSub>
        <m:r>
          <m:rPr>
            <m:sty m:val="p"/>
          </m:rPr>
          <w:rPr>
            <w:rFonts w:ascii="Cambria Math" w:hAnsi="Cambria Math"/>
            <w:lang w:val="es-PE"/>
          </w:rPr>
          <m:t>=</m:t>
        </m:r>
        <m:sSub>
          <m:sSubPr>
            <m:ctrlPr>
              <w:rPr>
                <w:rFonts w:ascii="Cambria Math" w:hAnsi="Cambria Math"/>
                <w:lang w:val="es-PE"/>
              </w:rPr>
            </m:ctrlPr>
          </m:sSubPr>
          <m:e>
            <m:r>
              <w:rPr>
                <w:rFonts w:ascii="Cambria Math" w:hAnsi="Cambria Math"/>
                <w:lang w:val="es-PE"/>
              </w:rPr>
              <m:t>β</m:t>
            </m:r>
          </m:e>
          <m:sub>
            <m:r>
              <m:rPr>
                <m:sty m:val="p"/>
              </m:rPr>
              <w:rPr>
                <w:rFonts w:ascii="Cambria Math" w:hAnsi="Cambria Math"/>
                <w:lang w:val="es-PE"/>
              </w:rPr>
              <m:t>0</m:t>
            </m:r>
          </m:sub>
        </m:sSub>
        <m:r>
          <m:rPr>
            <m:sty m:val="p"/>
          </m:rPr>
          <w:rPr>
            <w:rFonts w:ascii="Cambria Math" w:hAnsi="Cambria Math"/>
            <w:lang w:val="es-PE"/>
          </w:rPr>
          <m:t>+</m:t>
        </m:r>
        <m:sSub>
          <m:sSubPr>
            <m:ctrlPr>
              <w:rPr>
                <w:rFonts w:ascii="Cambria Math" w:hAnsi="Cambria Math"/>
                <w:lang w:val="es-PE"/>
              </w:rPr>
            </m:ctrlPr>
          </m:sSubPr>
          <m:e>
            <m:r>
              <w:rPr>
                <w:rFonts w:ascii="Cambria Math" w:hAnsi="Cambria Math"/>
                <w:lang w:val="es-PE"/>
              </w:rPr>
              <m:t>β</m:t>
            </m:r>
          </m:e>
          <m:sub>
            <m:r>
              <m:rPr>
                <m:sty m:val="p"/>
              </m:rPr>
              <w:rPr>
                <w:rFonts w:ascii="Cambria Math" w:hAnsi="Cambria Math"/>
                <w:lang w:val="es-PE"/>
              </w:rPr>
              <m:t>1</m:t>
            </m:r>
          </m:sub>
        </m:sSub>
        <m:sSub>
          <m:sSubPr>
            <m:ctrlPr>
              <w:rPr>
                <w:rFonts w:ascii="Cambria Math" w:hAnsi="Cambria Math"/>
                <w:lang w:val="es-PE"/>
              </w:rPr>
            </m:ctrlPr>
          </m:sSubPr>
          <m:e>
            <m:sSub>
              <m:sSubPr>
                <m:ctrlPr>
                  <w:rPr>
                    <w:rFonts w:ascii="Cambria Math" w:hAnsi="Cambria Math"/>
                    <w:lang w:val="es-PE"/>
                  </w:rPr>
                </m:ctrlPr>
              </m:sSubPr>
              <m:e>
                <m:r>
                  <w:rPr>
                    <w:rFonts w:ascii="Cambria Math" w:hAnsi="Cambria Math"/>
                    <w:lang w:val="es-PE"/>
                  </w:rPr>
                  <m:t>D</m:t>
                </m:r>
                <m:r>
                  <m:rPr>
                    <m:sty m:val="p"/>
                  </m:rPr>
                  <w:rPr>
                    <w:rFonts w:ascii="Cambria Math" w:hAnsi="Cambria Math"/>
                    <w:lang w:val="es-PE"/>
                  </w:rPr>
                  <m:t>(</m:t>
                </m:r>
                <m:r>
                  <w:rPr>
                    <w:rFonts w:ascii="Cambria Math" w:hAnsi="Cambria Math"/>
                    <w:lang w:val="es-PE"/>
                  </w:rPr>
                  <m:t>t</m:t>
                </m:r>
                <m:r>
                  <m:rPr>
                    <m:sty m:val="p"/>
                  </m:rPr>
                  <w:rPr>
                    <w:rFonts w:ascii="Cambria Math" w:hAnsi="Cambria Math"/>
                    <w:lang w:val="es-PE"/>
                  </w:rPr>
                  <m:t>&gt;</m:t>
                </m:r>
                <m:r>
                  <w:rPr>
                    <w:rFonts w:ascii="Cambria Math" w:hAnsi="Cambria Math"/>
                    <w:lang w:val="es-PE"/>
                  </w:rPr>
                  <m:t>a</m:t>
                </m:r>
                <m:r>
                  <m:rPr>
                    <m:sty m:val="p"/>
                  </m:rPr>
                  <w:rPr>
                    <w:rFonts w:ascii="Cambria Math" w:hAnsi="Cambria Math"/>
                    <w:lang w:val="es-PE"/>
                  </w:rPr>
                  <m:t>)</m:t>
                </m:r>
              </m:e>
              <m:sub>
                <m:r>
                  <w:rPr>
                    <w:rFonts w:ascii="Cambria Math" w:hAnsi="Cambria Math"/>
                    <w:lang w:val="es-PE"/>
                  </w:rPr>
                  <m:t>t</m:t>
                </m:r>
              </m:sub>
            </m:sSub>
            <m:r>
              <m:rPr>
                <m:sty m:val="p"/>
              </m:rPr>
              <w:rPr>
                <w:rFonts w:ascii="Cambria Math" w:hAnsi="Cambria Math"/>
                <w:lang w:val="es-PE"/>
              </w:rPr>
              <m:t>++</m:t>
            </m:r>
            <m:sSub>
              <m:sSubPr>
                <m:ctrlPr>
                  <w:rPr>
                    <w:rFonts w:ascii="Cambria Math" w:hAnsi="Cambria Math"/>
                    <w:lang w:val="es-PE"/>
                  </w:rPr>
                </m:ctrlPr>
              </m:sSubPr>
              <m:e>
                <m:r>
                  <w:rPr>
                    <w:rFonts w:ascii="Cambria Math" w:hAnsi="Cambria Math"/>
                    <w:lang w:val="es-PE"/>
                  </w:rPr>
                  <m:t>β</m:t>
                </m:r>
              </m:e>
              <m:sub>
                <m:r>
                  <m:rPr>
                    <m:sty m:val="p"/>
                  </m:rPr>
                  <w:rPr>
                    <w:rFonts w:ascii="Cambria Math" w:hAnsi="Cambria Math"/>
                    <w:lang w:val="es-PE"/>
                  </w:rPr>
                  <m:t>2</m:t>
                </m:r>
              </m:sub>
            </m:sSub>
            <m:sSub>
              <m:sSubPr>
                <m:ctrlPr>
                  <w:rPr>
                    <w:rFonts w:ascii="Cambria Math" w:hAnsi="Cambria Math"/>
                    <w:lang w:val="es-PE"/>
                  </w:rPr>
                </m:ctrlPr>
              </m:sSubPr>
              <m:e>
                <m:r>
                  <m:rPr>
                    <m:sty m:val="bi"/>
                  </m:rPr>
                  <w:rPr>
                    <w:rFonts w:ascii="Cambria Math" w:hAnsi="Cambria Math"/>
                    <w:lang w:val="es-PE"/>
                  </w:rPr>
                  <m:t>x</m:t>
                </m:r>
              </m:e>
              <m:sub>
                <m:r>
                  <w:rPr>
                    <w:rFonts w:ascii="Cambria Math" w:hAnsi="Cambria Math"/>
                    <w:lang w:val="es-PE"/>
                  </w:rPr>
                  <m:t>t</m:t>
                </m:r>
              </m:sub>
            </m:sSub>
            <m:r>
              <m:rPr>
                <m:sty m:val="p"/>
              </m:rPr>
              <w:rPr>
                <w:rFonts w:ascii="Cambria Math" w:hAnsi="Cambria Math"/>
                <w:lang w:val="es-PE"/>
              </w:rPr>
              <m:t>+</m:t>
            </m:r>
            <m:sSub>
              <m:sSubPr>
                <m:ctrlPr>
                  <w:rPr>
                    <w:rFonts w:ascii="Cambria Math" w:hAnsi="Cambria Math"/>
                    <w:lang w:val="es-PE"/>
                  </w:rPr>
                </m:ctrlPr>
              </m:sSubPr>
              <m:e>
                <m:r>
                  <w:rPr>
                    <w:rFonts w:ascii="Cambria Math" w:hAnsi="Cambria Math"/>
                    <w:lang w:val="es-PE"/>
                  </w:rPr>
                  <m:t>β</m:t>
                </m:r>
              </m:e>
              <m:sub>
                <m:r>
                  <m:rPr>
                    <m:sty m:val="p"/>
                  </m:rPr>
                  <w:rPr>
                    <w:rFonts w:ascii="Cambria Math" w:hAnsi="Cambria Math"/>
                    <w:lang w:val="es-PE"/>
                  </w:rPr>
                  <m:t>3</m:t>
                </m:r>
              </m:sub>
            </m:sSub>
            <m:r>
              <m:rPr>
                <m:sty m:val="bi"/>
              </m:rPr>
              <w:rPr>
                <w:rFonts w:ascii="Cambria Math" w:hAnsi="Cambria Math"/>
                <w:lang w:val="es-PE"/>
              </w:rPr>
              <m:t>P</m:t>
            </m:r>
            <m:d>
              <m:dPr>
                <m:ctrlPr>
                  <w:rPr>
                    <w:rFonts w:ascii="Cambria Math" w:hAnsi="Cambria Math"/>
                    <w:lang w:val="es-PE"/>
                  </w:rPr>
                </m:ctrlPr>
              </m:dPr>
              <m:e>
                <m:r>
                  <w:rPr>
                    <w:rFonts w:ascii="Cambria Math" w:hAnsi="Cambria Math"/>
                    <w:lang w:val="es-PE"/>
                  </w:rPr>
                  <m:t>t</m:t>
                </m:r>
              </m:e>
            </m:d>
            <m:r>
              <m:rPr>
                <m:sty m:val="p"/>
              </m:rPr>
              <w:rPr>
                <w:rFonts w:ascii="Cambria Math" w:hAnsi="Cambria Math"/>
                <w:lang w:val="es-PE"/>
              </w:rPr>
              <m:t>+</m:t>
            </m:r>
            <m:sSub>
              <m:sSubPr>
                <m:ctrlPr>
                  <w:rPr>
                    <w:rFonts w:ascii="Cambria Math" w:hAnsi="Cambria Math"/>
                    <w:lang w:val="es-PE"/>
                  </w:rPr>
                </m:ctrlPr>
              </m:sSubPr>
              <m:e>
                <m:r>
                  <w:rPr>
                    <w:rFonts w:ascii="Cambria Math" w:hAnsi="Cambria Math"/>
                    <w:lang w:val="es-PE"/>
                  </w:rPr>
                  <m:t>β</m:t>
                </m:r>
              </m:e>
              <m:sub>
                <m:r>
                  <m:rPr>
                    <m:sty m:val="p"/>
                  </m:rPr>
                  <w:rPr>
                    <w:rFonts w:ascii="Cambria Math" w:hAnsi="Cambria Math"/>
                    <w:lang w:val="es-PE"/>
                  </w:rPr>
                  <m:t>4</m:t>
                </m:r>
              </m:sub>
            </m:sSub>
            <m:r>
              <m:rPr>
                <m:sty m:val="bi"/>
              </m:rPr>
              <w:rPr>
                <w:rFonts w:ascii="Cambria Math" w:hAnsi="Cambria Math"/>
                <w:lang w:val="es-PE"/>
              </w:rPr>
              <m:t>P</m:t>
            </m:r>
            <m:d>
              <m:dPr>
                <m:ctrlPr>
                  <w:rPr>
                    <w:rFonts w:ascii="Cambria Math" w:hAnsi="Cambria Math"/>
                    <w:lang w:val="es-PE"/>
                  </w:rPr>
                </m:ctrlPr>
              </m:dPr>
              <m:e>
                <m:r>
                  <w:rPr>
                    <w:rFonts w:ascii="Cambria Math" w:hAnsi="Cambria Math"/>
                    <w:lang w:val="es-PE"/>
                  </w:rPr>
                  <m:t>t</m:t>
                </m:r>
              </m:e>
            </m:d>
            <m:sSub>
              <m:sSubPr>
                <m:ctrlPr>
                  <w:rPr>
                    <w:rFonts w:ascii="Cambria Math" w:hAnsi="Cambria Math"/>
                    <w:lang w:val="es-PE"/>
                  </w:rPr>
                </m:ctrlPr>
              </m:sSubPr>
              <m:e>
                <m:r>
                  <w:rPr>
                    <w:rFonts w:ascii="Cambria Math" w:hAnsi="Cambria Math"/>
                    <w:lang w:val="es-PE"/>
                  </w:rPr>
                  <m:t>D</m:t>
                </m:r>
                <m:r>
                  <m:rPr>
                    <m:sty m:val="p"/>
                  </m:rPr>
                  <w:rPr>
                    <w:rFonts w:ascii="Cambria Math" w:hAnsi="Cambria Math"/>
                    <w:lang w:val="es-PE"/>
                  </w:rPr>
                  <m:t>(</m:t>
                </m:r>
                <m:r>
                  <w:rPr>
                    <w:rFonts w:ascii="Cambria Math" w:hAnsi="Cambria Math"/>
                    <w:lang w:val="es-PE"/>
                  </w:rPr>
                  <m:t>t</m:t>
                </m:r>
                <m:r>
                  <m:rPr>
                    <m:sty m:val="p"/>
                  </m:rPr>
                  <w:rPr>
                    <w:rFonts w:ascii="Cambria Math" w:hAnsi="Cambria Math"/>
                    <w:lang w:val="es-PE"/>
                  </w:rPr>
                  <m:t>&gt;</m:t>
                </m:r>
                <m:r>
                  <w:rPr>
                    <w:rFonts w:ascii="Cambria Math" w:hAnsi="Cambria Math"/>
                    <w:lang w:val="es-PE"/>
                  </w:rPr>
                  <m:t>a</m:t>
                </m:r>
                <m:r>
                  <m:rPr>
                    <m:sty m:val="p"/>
                  </m:rPr>
                  <w:rPr>
                    <w:rFonts w:ascii="Cambria Math" w:hAnsi="Cambria Math"/>
                    <w:lang w:val="es-PE"/>
                  </w:rPr>
                  <m:t>)</m:t>
                </m:r>
              </m:e>
              <m:sub>
                <m:r>
                  <w:rPr>
                    <w:rFonts w:ascii="Cambria Math" w:hAnsi="Cambria Math"/>
                    <w:lang w:val="es-PE"/>
                  </w:rPr>
                  <m:t>t</m:t>
                </m:r>
              </m:sub>
            </m:sSub>
            <m:r>
              <m:rPr>
                <m:sty m:val="p"/>
              </m:rPr>
              <w:rPr>
                <w:rFonts w:ascii="Cambria Math" w:hAnsi="Cambria Math"/>
                <w:lang w:val="es-PE"/>
              </w:rPr>
              <m:t>+</m:t>
            </m:r>
            <m:r>
              <w:rPr>
                <w:rFonts w:ascii="Cambria Math" w:hAnsi="Cambria Math"/>
                <w:lang w:val="es-PE"/>
              </w:rPr>
              <m:t>ε</m:t>
            </m:r>
          </m:e>
          <m:sub>
            <m:r>
              <w:rPr>
                <w:rFonts w:ascii="Cambria Math" w:hAnsi="Cambria Math"/>
                <w:lang w:val="es-PE"/>
              </w:rPr>
              <m:t>t</m:t>
            </m:r>
          </m:sub>
        </m:sSub>
      </m:oMath>
      <w:r w:rsidR="00D42A2F">
        <w:rPr>
          <w:rFonts w:ascii="Times New Roman" w:hAnsi="Times New Roman"/>
          <w:lang w:val="es-PE"/>
        </w:rPr>
        <w:t>…(2)</w:t>
      </w:r>
    </w:p>
    <w:p w14:paraId="54ED1FE8" w14:textId="200C3481" w:rsidR="00D42A2F" w:rsidRDefault="00D42A2F" w:rsidP="00D42A2F">
      <w:pPr>
        <w:pStyle w:val="ListParagraph"/>
        <w:ind w:left="360"/>
        <w:jc w:val="both"/>
        <w:rPr>
          <w:rFonts w:ascii="Times New Roman" w:hAnsi="Times New Roman"/>
          <w:lang w:val="es-PE"/>
        </w:rPr>
      </w:pPr>
    </w:p>
    <w:p w14:paraId="2ACBAFD3" w14:textId="30E82FA3" w:rsidR="00B1147E" w:rsidRDefault="00D42A2F" w:rsidP="00C2120C">
      <w:pPr>
        <w:pStyle w:val="ListParagraph"/>
        <w:jc w:val="both"/>
        <w:rPr>
          <w:rFonts w:ascii="Arial" w:hAnsi="Arial" w:cs="Arial"/>
          <w:lang w:val="es-419"/>
        </w:rPr>
      </w:pPr>
      <w:r w:rsidRPr="00D42A2F">
        <w:rPr>
          <w:rFonts w:ascii="Arial" w:hAnsi="Arial" w:cs="Arial"/>
          <w:lang w:val="es-419"/>
        </w:rPr>
        <w:t xml:space="preserve">donde y denota el tiempo de cierre o la tasa de recuperación patrimonial, y D(t&gt;a) denota una variable dicotómica con valor 1 después de que el </w:t>
      </w:r>
      <w:r w:rsidRPr="00C2120C">
        <w:rPr>
          <w:rFonts w:ascii="Arial" w:hAnsi="Arial" w:cs="Arial"/>
          <w:i/>
          <w:iCs/>
          <w:lang w:val="es-419"/>
        </w:rPr>
        <w:t>fast-track</w:t>
      </w:r>
      <w:r w:rsidRPr="00D42A2F">
        <w:rPr>
          <w:rFonts w:ascii="Arial" w:hAnsi="Arial" w:cs="Arial"/>
          <w:lang w:val="es-419"/>
        </w:rPr>
        <w:t xml:space="preserve"> para cierre de empresas entra en vigor de manera obligatoria. El subíndice t denota meses. El vector x denota las covariables que influyen en un cierre rápido de la empresa. El vector x también incluye efectos fijos del mes. El </w:t>
      </w:r>
      <w:r w:rsidRPr="00D42A2F">
        <w:rPr>
          <w:rFonts w:ascii="Arial" w:hAnsi="Arial" w:cs="Arial"/>
          <w:lang w:val="es-419"/>
        </w:rPr>
        <w:lastRenderedPageBreak/>
        <w:t xml:space="preserve">vector P(t) denota una tendencia de tiempo polinomial de tercer orden. Este término apunta a controlar la variación de series de tiempo en la carga de trabajo de los empleados públicos y en el ciclo de negocio de las empresas. Estos controles apuntan a capturar una variación suave en la variación del tiempo promedio de cierre a lo largo del tiempo. La especificación incluye un término de interacción para el polinomio con el tiempo de introducción del </w:t>
      </w:r>
      <w:r w:rsidRPr="00C2120C">
        <w:rPr>
          <w:rFonts w:ascii="Arial" w:hAnsi="Arial" w:cs="Arial"/>
          <w:i/>
          <w:iCs/>
          <w:lang w:val="es-419"/>
        </w:rPr>
        <w:t>fast</w:t>
      </w:r>
      <w:r w:rsidR="002F4727">
        <w:rPr>
          <w:rFonts w:ascii="Arial" w:hAnsi="Arial" w:cs="Arial"/>
          <w:i/>
          <w:iCs/>
          <w:lang w:val="es-419"/>
        </w:rPr>
        <w:noBreakHyphen/>
      </w:r>
      <w:r w:rsidRPr="00C2120C">
        <w:rPr>
          <w:rFonts w:ascii="Arial" w:hAnsi="Arial" w:cs="Arial"/>
          <w:i/>
          <w:iCs/>
          <w:lang w:val="es-419"/>
        </w:rPr>
        <w:t>track.</w:t>
      </w:r>
      <w:r w:rsidRPr="00D42A2F">
        <w:rPr>
          <w:rFonts w:ascii="Arial" w:hAnsi="Arial" w:cs="Arial"/>
          <w:lang w:val="es-419"/>
        </w:rPr>
        <w:t xml:space="preserve"> Este término apunta a permitir que la tendencia de tiempo varíe alrededor de la fecha de corte.</w:t>
      </w:r>
    </w:p>
    <w:p w14:paraId="136D933E" w14:textId="77777777" w:rsidR="00B1147E" w:rsidRPr="00C2120C" w:rsidRDefault="00B1147E">
      <w:pPr>
        <w:pStyle w:val="ListParagraph"/>
        <w:ind w:left="360"/>
        <w:jc w:val="both"/>
        <w:rPr>
          <w:rFonts w:ascii="Arial" w:hAnsi="Arial" w:cs="Arial"/>
          <w:lang w:val="es-419"/>
        </w:rPr>
      </w:pPr>
    </w:p>
    <w:p w14:paraId="17261F99" w14:textId="2E975348" w:rsidR="00D42A2F" w:rsidRDefault="00D42A2F" w:rsidP="008373D5">
      <w:pPr>
        <w:pStyle w:val="ListParagraph"/>
        <w:numPr>
          <w:ilvl w:val="1"/>
          <w:numId w:val="48"/>
        </w:numPr>
        <w:ind w:left="720" w:hanging="720"/>
        <w:jc w:val="both"/>
        <w:rPr>
          <w:rFonts w:ascii="Arial" w:hAnsi="Arial" w:cs="Arial"/>
          <w:lang w:val="es-419"/>
        </w:rPr>
      </w:pPr>
      <w:r w:rsidRPr="00D42A2F">
        <w:rPr>
          <w:rFonts w:ascii="Arial" w:hAnsi="Arial" w:cs="Arial"/>
          <w:lang w:val="es-419"/>
        </w:rPr>
        <w:t>Los supuestos detrás de la regresión discontinua en el tiempo son tres. Primero, no requiere otros posibles factores de confusión, como otros cambios de políticas en el momento de la reforma. Por lo tanto, evaluaríamos el impacto de la reforma a muy corto plazo (empresas que adoptaron la disolución máximo 6</w:t>
      </w:r>
      <w:r w:rsidR="00B1147E">
        <w:rPr>
          <w:rFonts w:ascii="Arial" w:hAnsi="Arial" w:cs="Arial"/>
          <w:lang w:val="es-419"/>
        </w:rPr>
        <w:t> </w:t>
      </w:r>
      <w:r w:rsidRPr="00D42A2F">
        <w:rPr>
          <w:rFonts w:ascii="Arial" w:hAnsi="Arial" w:cs="Arial"/>
          <w:lang w:val="es-419"/>
        </w:rPr>
        <w:t xml:space="preserve">meses antes y después de la implementación). Segundo, requiere que el efecto del tratamiento sea suave y constante en el tiempo, que en este caso es razonable. Tercero y último, la identificación de los efectos no exige efectos de clasificación o anticipación. Esperamos que el gobierno no promueva el uso del </w:t>
      </w:r>
      <w:r w:rsidRPr="00C2120C">
        <w:rPr>
          <w:rFonts w:ascii="Arial" w:hAnsi="Arial" w:cs="Arial"/>
          <w:i/>
          <w:iCs/>
          <w:lang w:val="es-419"/>
        </w:rPr>
        <w:t>fast-track</w:t>
      </w:r>
      <w:r w:rsidRPr="00D42A2F">
        <w:rPr>
          <w:rFonts w:ascii="Arial" w:hAnsi="Arial" w:cs="Arial"/>
          <w:lang w:val="es-419"/>
        </w:rPr>
        <w:t xml:space="preserve"> hasta que su implementación obligatoria sea completamente operacionalizable. Recién en ese momento deberían empezar a enviar las comunicaciones al grupo de tratamiento mencionado en </w:t>
      </w:r>
      <w:r>
        <w:rPr>
          <w:rFonts w:ascii="Arial" w:hAnsi="Arial" w:cs="Arial"/>
          <w:lang w:val="es-419"/>
        </w:rPr>
        <w:t>4.44</w:t>
      </w:r>
      <w:r w:rsidRPr="00D42A2F">
        <w:rPr>
          <w:rFonts w:ascii="Arial" w:hAnsi="Arial" w:cs="Arial"/>
          <w:lang w:val="es-419"/>
        </w:rPr>
        <w:t>.</w:t>
      </w:r>
    </w:p>
    <w:p w14:paraId="1282DA64" w14:textId="77777777" w:rsidR="00B1147E" w:rsidRPr="00D42A2F" w:rsidRDefault="00B1147E" w:rsidP="00C2120C">
      <w:pPr>
        <w:pStyle w:val="ListParagraph"/>
        <w:ind w:left="360"/>
        <w:jc w:val="both"/>
        <w:rPr>
          <w:rFonts w:ascii="Arial" w:hAnsi="Arial" w:cs="Arial"/>
          <w:lang w:val="es-419"/>
        </w:rPr>
      </w:pPr>
    </w:p>
    <w:p w14:paraId="4FEF9AE6" w14:textId="5B79B6DA" w:rsidR="00B65D4B" w:rsidRPr="00B65D4B" w:rsidRDefault="00D42A2F" w:rsidP="00B65D4B">
      <w:pPr>
        <w:pStyle w:val="ListParagraph"/>
        <w:numPr>
          <w:ilvl w:val="1"/>
          <w:numId w:val="48"/>
        </w:numPr>
        <w:spacing w:after="0" w:line="240" w:lineRule="auto"/>
        <w:ind w:left="720" w:hanging="720"/>
        <w:jc w:val="both"/>
        <w:rPr>
          <w:rFonts w:ascii="Arial" w:hAnsi="Arial" w:cs="Arial"/>
          <w:lang w:val="es-419"/>
        </w:rPr>
      </w:pPr>
      <w:r w:rsidRPr="00D42A2F">
        <w:rPr>
          <w:rFonts w:ascii="Arial" w:hAnsi="Arial" w:cs="Arial"/>
          <w:lang w:val="es-419"/>
        </w:rPr>
        <w:t xml:space="preserve">El análisis irá acompañado de una serie de </w:t>
      </w:r>
      <w:r w:rsidRPr="00C2120C">
        <w:rPr>
          <w:rFonts w:ascii="Arial" w:hAnsi="Arial" w:cs="Arial"/>
          <w:i/>
          <w:iCs/>
          <w:lang w:val="es-419"/>
        </w:rPr>
        <w:t>tests</w:t>
      </w:r>
      <w:r w:rsidRPr="00D42A2F">
        <w:rPr>
          <w:rFonts w:ascii="Arial" w:hAnsi="Arial" w:cs="Arial"/>
          <w:lang w:val="es-419"/>
        </w:rPr>
        <w:t xml:space="preserve"> de robustez y pruebas de placebo. Las comprobaciones de robustez pueden incluir especificaciones de modelos alternativos y variaciones en los anchos de banda. Las pruebas de placebo deberán mostrar que las empresas que adoptan la disolución 6 meses antes y después son similares en lo que respecta a las variables de línea de base e históricas mencionadas en el punto </w:t>
      </w:r>
      <w:r>
        <w:rPr>
          <w:rFonts w:ascii="Arial" w:hAnsi="Arial" w:cs="Arial"/>
          <w:lang w:val="es-419"/>
        </w:rPr>
        <w:t>4.38.</w:t>
      </w:r>
    </w:p>
    <w:p w14:paraId="0E75955C" w14:textId="77777777" w:rsidR="00B65D4B" w:rsidRPr="00B65D4B" w:rsidRDefault="00B65D4B" w:rsidP="00B65D4B">
      <w:pPr>
        <w:pStyle w:val="ListParagraph"/>
        <w:spacing w:after="0" w:line="240" w:lineRule="auto"/>
        <w:jc w:val="both"/>
        <w:rPr>
          <w:rFonts w:ascii="Arial" w:hAnsi="Arial" w:cs="Arial"/>
          <w:lang w:val="es-419"/>
        </w:rPr>
      </w:pPr>
    </w:p>
    <w:p w14:paraId="728F2245" w14:textId="48689623" w:rsidR="00B1147E" w:rsidRPr="00C2120C" w:rsidRDefault="00D42A2F" w:rsidP="00B65D4B">
      <w:pPr>
        <w:pStyle w:val="ListParagraph"/>
        <w:numPr>
          <w:ilvl w:val="1"/>
          <w:numId w:val="48"/>
        </w:numPr>
        <w:spacing w:after="0" w:line="240" w:lineRule="auto"/>
        <w:ind w:left="720" w:hanging="720"/>
        <w:jc w:val="both"/>
        <w:rPr>
          <w:rFonts w:ascii="Arial" w:hAnsi="Arial" w:cs="Arial"/>
          <w:lang w:val="es-419"/>
        </w:rPr>
      </w:pPr>
      <w:r w:rsidRPr="00D42A2F">
        <w:rPr>
          <w:rFonts w:ascii="Arial" w:hAnsi="Arial" w:cs="Arial"/>
          <w:b/>
          <w:lang w:val="es-419"/>
        </w:rPr>
        <w:t>Cálculos de poder</w:t>
      </w:r>
      <w:r w:rsidR="00061537" w:rsidRPr="005474A4">
        <w:rPr>
          <w:rFonts w:ascii="Arial" w:hAnsi="Arial" w:cs="Arial"/>
          <w:b/>
          <w:bCs/>
          <w:lang w:val="es-419"/>
        </w:rPr>
        <w:t>.</w:t>
      </w:r>
      <w:r w:rsidRPr="00D42A2F">
        <w:rPr>
          <w:rFonts w:ascii="Arial" w:hAnsi="Arial" w:cs="Arial"/>
          <w:lang w:val="es-419"/>
        </w:rPr>
        <w:t xml:space="preserve">  Los cálculos de potencia son difíciles de estimar porque la identificación de los efectos del programa depende de la especificación correcta del modelo y de la naturaleza de las series temporales. Sin embargo, una comparación transversal justo antes y justo después del tratamiento permite dimensionar el poder potencial de la prueba estadística. Considere la posibilidad de observar los patrones de cierre de las empresas que adoptan la disolución seis meses antes y después de que se introduzca el </w:t>
      </w:r>
      <w:r w:rsidRPr="00C2120C">
        <w:rPr>
          <w:rFonts w:ascii="Arial" w:hAnsi="Arial" w:cs="Arial"/>
          <w:i/>
          <w:iCs/>
          <w:lang w:val="es-419"/>
        </w:rPr>
        <w:t>fast-track</w:t>
      </w:r>
      <w:r w:rsidRPr="00D42A2F">
        <w:rPr>
          <w:rFonts w:ascii="Arial" w:hAnsi="Arial" w:cs="Arial"/>
          <w:lang w:val="es-419"/>
        </w:rPr>
        <w:t>. Una comparación simple de medias antes y después permitiría identificar un efecto de al menos 0</w:t>
      </w:r>
      <w:r w:rsidR="00B1147E">
        <w:rPr>
          <w:rFonts w:ascii="Arial" w:hAnsi="Arial" w:cs="Arial"/>
          <w:lang w:val="es-419"/>
        </w:rPr>
        <w:t>,</w:t>
      </w:r>
      <w:r w:rsidRPr="00D42A2F">
        <w:rPr>
          <w:rFonts w:ascii="Arial" w:hAnsi="Arial" w:cs="Arial"/>
          <w:lang w:val="es-419"/>
        </w:rPr>
        <w:t>35 desviaciones estándar en las variables de interés</w:t>
      </w:r>
      <w:r>
        <w:rPr>
          <w:rStyle w:val="FootnoteReference"/>
          <w:rFonts w:ascii="Arial" w:hAnsi="Arial" w:cs="Arial"/>
          <w:lang w:val="es-419"/>
        </w:rPr>
        <w:footnoteReference w:id="18"/>
      </w:r>
      <w:r w:rsidRPr="00D42A2F">
        <w:rPr>
          <w:rFonts w:ascii="Arial" w:hAnsi="Arial" w:cs="Arial"/>
          <w:lang w:val="es-419"/>
        </w:rPr>
        <w:t xml:space="preserve">. </w:t>
      </w:r>
    </w:p>
    <w:p w14:paraId="49B652B1" w14:textId="77777777" w:rsidR="00B1147E" w:rsidRPr="00C2120C" w:rsidRDefault="00B1147E" w:rsidP="00C2120C">
      <w:pPr>
        <w:pStyle w:val="ListParagraph"/>
        <w:spacing w:after="0" w:line="240" w:lineRule="auto"/>
        <w:jc w:val="both"/>
        <w:rPr>
          <w:rFonts w:ascii="Arial" w:hAnsi="Arial" w:cs="Arial"/>
          <w:lang w:val="es-419"/>
        </w:rPr>
      </w:pPr>
    </w:p>
    <w:p w14:paraId="7A4C9BB4" w14:textId="4E3BD03D" w:rsidR="00D42A2F" w:rsidRDefault="00D42A2F" w:rsidP="008373D5">
      <w:pPr>
        <w:pStyle w:val="ListParagraph"/>
        <w:numPr>
          <w:ilvl w:val="1"/>
          <w:numId w:val="48"/>
        </w:numPr>
        <w:spacing w:after="0" w:line="240" w:lineRule="auto"/>
        <w:ind w:left="720" w:hanging="720"/>
        <w:jc w:val="both"/>
        <w:rPr>
          <w:rFonts w:ascii="Arial" w:hAnsi="Arial" w:cs="Arial"/>
          <w:lang w:val="es-419"/>
        </w:rPr>
      </w:pPr>
      <w:r w:rsidRPr="00D42A2F">
        <w:rPr>
          <w:rFonts w:ascii="Arial" w:hAnsi="Arial" w:cs="Arial"/>
          <w:b/>
          <w:lang w:val="es-419"/>
        </w:rPr>
        <w:t xml:space="preserve">Recolección de datos. </w:t>
      </w:r>
      <w:r w:rsidRPr="00D42A2F">
        <w:rPr>
          <w:rFonts w:ascii="Arial" w:hAnsi="Arial" w:cs="Arial"/>
          <w:lang w:val="es-419"/>
        </w:rPr>
        <w:t>Los datos principales para la evaluación se generan por los sistemas de información de la SCVS. Además, éstos serán complementados por una encuesta presenciales a las empresas en riesgo que decidan disolver la empresa. Entre otros, la encuesta preguntará por un estimado de qué proporción del valor patrimonial (al empezar de la disolución) se mantuvo al conseguir la cancelación de la empresa. Asimismo, preguntará sobre la disposición y acciones tomadas para emprender un nuevo negocio.</w:t>
      </w:r>
    </w:p>
    <w:p w14:paraId="67B085D4" w14:textId="77777777" w:rsidR="00B1147E" w:rsidRPr="00D42A2F" w:rsidRDefault="00B1147E" w:rsidP="00C2120C">
      <w:pPr>
        <w:pStyle w:val="ListParagraph"/>
        <w:jc w:val="both"/>
        <w:rPr>
          <w:rFonts w:ascii="Arial" w:hAnsi="Arial" w:cs="Arial"/>
          <w:lang w:val="es-419"/>
        </w:rPr>
      </w:pPr>
    </w:p>
    <w:p w14:paraId="28EF256F" w14:textId="30772C00" w:rsidR="00D42A2F" w:rsidRPr="00C2120C" w:rsidRDefault="00D42A2F" w:rsidP="008373D5">
      <w:pPr>
        <w:pStyle w:val="ListParagraph"/>
        <w:numPr>
          <w:ilvl w:val="1"/>
          <w:numId w:val="48"/>
        </w:numPr>
        <w:ind w:left="720" w:hanging="720"/>
        <w:jc w:val="both"/>
        <w:rPr>
          <w:rFonts w:ascii="Arial" w:hAnsi="Arial" w:cs="Arial"/>
          <w:b/>
          <w:lang w:val="es-419"/>
        </w:rPr>
      </w:pPr>
      <w:r w:rsidRPr="00D42A2F">
        <w:rPr>
          <w:rFonts w:ascii="Arial" w:hAnsi="Arial" w:cs="Arial"/>
          <w:b/>
          <w:lang w:val="es-419"/>
        </w:rPr>
        <w:t>Reporte de Resultados</w:t>
      </w:r>
      <w:r>
        <w:rPr>
          <w:rFonts w:ascii="Arial" w:hAnsi="Arial" w:cs="Arial"/>
          <w:b/>
          <w:lang w:val="es-419"/>
        </w:rPr>
        <w:t>.</w:t>
      </w:r>
      <w:r w:rsidR="002F4727">
        <w:rPr>
          <w:rFonts w:ascii="Arial" w:hAnsi="Arial" w:cs="Arial"/>
          <w:b/>
          <w:lang w:val="es-419"/>
        </w:rPr>
        <w:t xml:space="preserve"> </w:t>
      </w:r>
      <w:r w:rsidRPr="00D42A2F">
        <w:rPr>
          <w:rFonts w:ascii="Arial" w:hAnsi="Arial" w:cs="Arial"/>
          <w:lang w:val="es-419"/>
        </w:rPr>
        <w:t xml:space="preserve">Los resultados preliminares se reportarán al Ministerio de la Presidencia y la SCVS mediante presentaciones presenciales </w:t>
      </w:r>
      <w:r w:rsidRPr="00D42A2F">
        <w:rPr>
          <w:rFonts w:ascii="Arial" w:hAnsi="Arial" w:cs="Arial"/>
          <w:lang w:val="es-419"/>
        </w:rPr>
        <w:lastRenderedPageBreak/>
        <w:t>o remotas. Estas presentaciones permitirán verificar la información registrada, la correcta descripción de procesos, así como la incorporación de comentarios relevantes a la investigación</w:t>
      </w:r>
      <w:r>
        <w:rPr>
          <w:rFonts w:ascii="Arial" w:hAnsi="Arial" w:cs="Arial"/>
          <w:lang w:val="es-419"/>
        </w:rPr>
        <w:t>.</w:t>
      </w:r>
    </w:p>
    <w:p w14:paraId="62F56AEE" w14:textId="77777777" w:rsidR="00B1147E" w:rsidRPr="00D42A2F" w:rsidRDefault="00B1147E" w:rsidP="00C2120C">
      <w:pPr>
        <w:pStyle w:val="ListParagraph"/>
        <w:jc w:val="both"/>
        <w:rPr>
          <w:rFonts w:ascii="Arial" w:hAnsi="Arial" w:cs="Arial"/>
          <w:b/>
          <w:lang w:val="es-419"/>
        </w:rPr>
      </w:pPr>
    </w:p>
    <w:p w14:paraId="6DCDC568" w14:textId="6F54A4CA" w:rsidR="00D42A2F" w:rsidRPr="00D42A2F" w:rsidRDefault="00D42A2F" w:rsidP="008373D5">
      <w:pPr>
        <w:pStyle w:val="ListParagraph"/>
        <w:numPr>
          <w:ilvl w:val="1"/>
          <w:numId w:val="48"/>
        </w:numPr>
        <w:ind w:left="720" w:hanging="720"/>
        <w:jc w:val="both"/>
        <w:rPr>
          <w:rFonts w:ascii="Arial" w:hAnsi="Arial" w:cs="Arial"/>
          <w:b/>
          <w:lang w:val="es-419"/>
        </w:rPr>
      </w:pPr>
      <w:r w:rsidRPr="00D42A2F">
        <w:rPr>
          <w:rFonts w:ascii="Arial" w:hAnsi="Arial" w:cs="Arial"/>
          <w:lang w:val="es-419"/>
        </w:rPr>
        <w:t xml:space="preserve">Los resultados finales se compartirán mediante un reporte de evaluación de impacto. Estos resultados deberían informar sobre los impactos del proyecto sobre el indicador </w:t>
      </w:r>
      <w:r w:rsidR="00061537" w:rsidRPr="002F4727">
        <w:rPr>
          <w:rFonts w:ascii="Arial" w:hAnsi="Arial" w:cs="Arial"/>
          <w:lang w:val="es-419"/>
        </w:rPr>
        <w:t>4.1</w:t>
      </w:r>
      <w:r w:rsidRPr="00D42A2F">
        <w:rPr>
          <w:rFonts w:ascii="Arial" w:hAnsi="Arial" w:cs="Arial"/>
          <w:lang w:val="es-419"/>
        </w:rPr>
        <w:t xml:space="preserve"> de la matriz de resultados</w:t>
      </w:r>
      <w:r w:rsidRPr="00D42A2F">
        <w:rPr>
          <w:rFonts w:ascii="Arial" w:hAnsi="Arial" w:cs="Arial"/>
          <w:b/>
          <w:lang w:val="es-419"/>
        </w:rPr>
        <w:t xml:space="preserve">. </w:t>
      </w:r>
    </w:p>
    <w:p w14:paraId="7CD70634" w14:textId="3D7756FF" w:rsidR="00D339AC" w:rsidRPr="00727955" w:rsidRDefault="0E9AFA17" w:rsidP="0E9AFA17">
      <w:pPr>
        <w:pStyle w:val="Heading1"/>
        <w:numPr>
          <w:ilvl w:val="0"/>
          <w:numId w:val="48"/>
        </w:numPr>
        <w:spacing w:before="120"/>
        <w:jc w:val="center"/>
        <w:rPr>
          <w:rFonts w:ascii="Arial" w:hAnsi="Arial" w:cs="Arial"/>
          <w:b/>
          <w:bCs/>
          <w:smallCaps/>
          <w:color w:val="000000" w:themeColor="text1"/>
          <w:sz w:val="24"/>
          <w:szCs w:val="24"/>
          <w:lang w:val="es-PY"/>
        </w:rPr>
      </w:pPr>
      <w:r w:rsidRPr="0E9AFA17">
        <w:rPr>
          <w:rFonts w:ascii="Arial" w:hAnsi="Arial" w:cs="Arial"/>
          <w:b/>
          <w:bCs/>
          <w:smallCaps/>
          <w:color w:val="000000" w:themeColor="text1"/>
          <w:sz w:val="24"/>
          <w:szCs w:val="24"/>
          <w:lang w:val="es-PY"/>
        </w:rPr>
        <w:t xml:space="preserve">implementación </w:t>
      </w:r>
    </w:p>
    <w:p w14:paraId="04710CCA" w14:textId="6E8B9B70" w:rsidR="003860D0" w:rsidRPr="00727955" w:rsidRDefault="0E9AFA17" w:rsidP="0E9AFA17">
      <w:pPr>
        <w:pStyle w:val="Paragraph"/>
        <w:numPr>
          <w:ilvl w:val="1"/>
          <w:numId w:val="48"/>
        </w:numPr>
        <w:spacing w:after="0" w:line="276" w:lineRule="auto"/>
        <w:ind w:left="720" w:hanging="720"/>
        <w:rPr>
          <w:rFonts w:ascii="Arial" w:hAnsi="Arial" w:cs="Arial"/>
          <w:sz w:val="22"/>
        </w:rPr>
      </w:pPr>
      <w:r w:rsidRPr="0E9AFA17">
        <w:rPr>
          <w:rFonts w:ascii="Arial" w:hAnsi="Arial" w:cs="Arial"/>
          <w:sz w:val="22"/>
        </w:rPr>
        <w:t>Los pasos para la ejecución de la evaluación económica ex post son los siguientes:</w:t>
      </w:r>
    </w:p>
    <w:p w14:paraId="00045C5B" w14:textId="350DE2D4" w:rsidR="003860D0" w:rsidRDefault="0E9AFA17" w:rsidP="0E9AFA17">
      <w:pPr>
        <w:pStyle w:val="Paragraph"/>
        <w:numPr>
          <w:ilvl w:val="1"/>
          <w:numId w:val="48"/>
        </w:numPr>
        <w:ind w:left="720" w:hanging="720"/>
        <w:rPr>
          <w:rFonts w:ascii="Arial" w:hAnsi="Arial" w:cs="Arial"/>
          <w:sz w:val="22"/>
        </w:rPr>
      </w:pPr>
      <w:r w:rsidRPr="0E9AFA17">
        <w:rPr>
          <w:rFonts w:ascii="Arial" w:hAnsi="Arial" w:cs="Arial"/>
          <w:sz w:val="22"/>
        </w:rPr>
        <w:t xml:space="preserve">Contratación de experto por el EDG del OE para dirigir la investigación. Este debe ser un experto en este tipo de evaluación económica con experiencia en otros análisis a fin realizados anteriormente </w:t>
      </w:r>
    </w:p>
    <w:p w14:paraId="38EAD90B" w14:textId="227A87A1" w:rsidR="00F2679F" w:rsidRDefault="0E9AFA17" w:rsidP="008373D5">
      <w:pPr>
        <w:pStyle w:val="ListParagraph"/>
        <w:numPr>
          <w:ilvl w:val="1"/>
          <w:numId w:val="48"/>
        </w:numPr>
        <w:ind w:left="720" w:hanging="720"/>
        <w:jc w:val="both"/>
        <w:rPr>
          <w:rFonts w:ascii="Arial" w:eastAsia="Calibri" w:hAnsi="Arial" w:cs="Arial"/>
          <w:lang w:val="es-ES_tradnl" w:eastAsia="en-US"/>
        </w:rPr>
      </w:pPr>
      <w:r w:rsidRPr="0E9AFA17">
        <w:rPr>
          <w:rFonts w:ascii="Arial" w:hAnsi="Arial" w:cs="Arial"/>
          <w:lang w:val="es-419"/>
        </w:rPr>
        <w:t>Cuanto, a la evaluación de impacto, su proceso de implementación se hará considerando que: (i) l</w:t>
      </w:r>
      <w:r w:rsidRPr="0E9AFA17">
        <w:rPr>
          <w:rFonts w:ascii="Arial" w:eastAsia="Calibri" w:hAnsi="Arial" w:cs="Arial"/>
          <w:lang w:val="es-ES" w:eastAsia="en-US"/>
        </w:rPr>
        <w:t xml:space="preserve">os responsables por la evaluación son la SCVS y los especialistas del Banco Inter Americano de Desarrollo. Especialistas de SPD/SDV han manifestado disponibilidad e interés por apoyar el análisis de los datos; la SCVS es responsable por proveer información a los evaluadores y acceso y facilitar la información para poder llevar a cabo para entrevistas a los contribuyentes; y (ii) el equipo del Banco ha acordado con la agencia ejecutora seguir este plan de evaluación. Se llevarán a cabo reuniones con el punto focal de la SCVS y con el equipo BID de forma mensual. Estas reuniones comenzarán tres meses antes de la implementación del programa y durante la vida de la evaluación. </w:t>
      </w:r>
    </w:p>
    <w:p w14:paraId="1D89BD66" w14:textId="77777777" w:rsidR="00B1147E" w:rsidRPr="00F2679F" w:rsidRDefault="00B1147E" w:rsidP="00C2120C">
      <w:pPr>
        <w:pStyle w:val="ListParagraph"/>
        <w:jc w:val="both"/>
        <w:rPr>
          <w:rFonts w:ascii="Arial" w:eastAsia="Calibri" w:hAnsi="Arial" w:cs="Arial"/>
          <w:lang w:val="es-ES_tradnl" w:eastAsia="en-US"/>
        </w:rPr>
      </w:pPr>
    </w:p>
    <w:p w14:paraId="357F6502" w14:textId="7308B43E" w:rsidR="00F2679F" w:rsidRDefault="0E9AFA17" w:rsidP="008373D5">
      <w:pPr>
        <w:pStyle w:val="ListParagraph"/>
        <w:numPr>
          <w:ilvl w:val="1"/>
          <w:numId w:val="48"/>
        </w:numPr>
        <w:ind w:left="720" w:hanging="720"/>
        <w:jc w:val="both"/>
        <w:rPr>
          <w:rFonts w:ascii="Arial" w:eastAsia="Calibri" w:hAnsi="Arial" w:cs="Arial"/>
          <w:lang w:val="es-ES_tradnl" w:eastAsia="en-US"/>
        </w:rPr>
      </w:pPr>
      <w:r w:rsidRPr="0E9AFA17">
        <w:rPr>
          <w:rFonts w:ascii="Arial" w:eastAsia="Calibri" w:hAnsi="Arial" w:cs="Arial"/>
          <w:lang w:val="es-ES" w:eastAsia="en-US"/>
        </w:rPr>
        <w:t xml:space="preserve">  El siguiente cuadro lista la línea de tiempo, el presupuesto asignado a las actividades principales y las fuentes de financiamiento.</w:t>
      </w:r>
    </w:p>
    <w:p w14:paraId="035EC1AE" w14:textId="77777777" w:rsidR="00B1147E" w:rsidRDefault="00B1147E" w:rsidP="00F2679F">
      <w:pPr>
        <w:pStyle w:val="ListParagraph"/>
        <w:ind w:left="360"/>
        <w:jc w:val="both"/>
        <w:rPr>
          <w:rFonts w:ascii="Arial" w:eastAsia="Calibri" w:hAnsi="Arial" w:cs="Arial"/>
          <w:b/>
          <w:lang w:val="es-ES_tradnl" w:eastAsia="en-US"/>
        </w:rPr>
      </w:pPr>
    </w:p>
    <w:p w14:paraId="54E50D31" w14:textId="77777777" w:rsidR="00B1147E" w:rsidRDefault="00B1147E" w:rsidP="00F2679F">
      <w:pPr>
        <w:pStyle w:val="ListParagraph"/>
        <w:ind w:left="360"/>
        <w:jc w:val="both"/>
        <w:rPr>
          <w:rFonts w:ascii="Arial" w:eastAsia="Calibri" w:hAnsi="Arial" w:cs="Arial"/>
          <w:b/>
          <w:lang w:val="es-ES_tradnl" w:eastAsia="en-US"/>
        </w:rPr>
      </w:pPr>
    </w:p>
    <w:p w14:paraId="0CB78BC0" w14:textId="13E2458D" w:rsidR="00F2679F" w:rsidRPr="00F2679F" w:rsidRDefault="00F2679F" w:rsidP="00F2679F">
      <w:pPr>
        <w:pStyle w:val="ListParagraph"/>
        <w:ind w:left="360"/>
        <w:jc w:val="both"/>
        <w:rPr>
          <w:rFonts w:ascii="Arial" w:eastAsia="Calibri" w:hAnsi="Arial" w:cs="Arial"/>
          <w:b/>
          <w:lang w:val="es-ES_tradnl" w:eastAsia="en-US"/>
        </w:rPr>
      </w:pPr>
      <w:r w:rsidRPr="00F2679F">
        <w:rPr>
          <w:rFonts w:ascii="Arial" w:eastAsia="Calibri" w:hAnsi="Arial" w:cs="Arial"/>
          <w:b/>
          <w:lang w:val="es-ES_tradnl" w:eastAsia="en-US"/>
        </w:rPr>
        <w:t>Cuadro 8. Cronograma y Presupuesto Asociado a la Evaluación</w:t>
      </w:r>
      <w:r w:rsidR="00DC4BCD">
        <w:rPr>
          <w:rFonts w:ascii="Arial" w:eastAsia="Calibri" w:hAnsi="Arial" w:cs="Arial"/>
          <w:b/>
          <w:lang w:val="es-ES_tradnl" w:eastAsia="en-US"/>
        </w:rPr>
        <w:t xml:space="preserve"> de Impacto</w:t>
      </w:r>
    </w:p>
    <w:p w14:paraId="534F2911" w14:textId="77777777" w:rsidR="00F2679F" w:rsidRPr="00F2679F" w:rsidRDefault="00F2679F" w:rsidP="00F2679F">
      <w:pPr>
        <w:pStyle w:val="ListParagraph"/>
        <w:ind w:left="360"/>
        <w:jc w:val="both"/>
        <w:rPr>
          <w:rFonts w:ascii="Arial" w:eastAsia="Calibri" w:hAnsi="Arial" w:cs="Arial"/>
          <w:b/>
          <w:lang w:val="es-ES_tradnl" w:eastAsia="en-US"/>
        </w:rPr>
      </w:pPr>
    </w:p>
    <w:tbl>
      <w:tblPr>
        <w:tblW w:w="8724" w:type="dxa"/>
        <w:tblLook w:val="04A0" w:firstRow="1" w:lastRow="0" w:firstColumn="1" w:lastColumn="0" w:noHBand="0" w:noVBand="1"/>
      </w:tblPr>
      <w:tblGrid>
        <w:gridCol w:w="1847"/>
        <w:gridCol w:w="345"/>
        <w:gridCol w:w="346"/>
        <w:gridCol w:w="389"/>
        <w:gridCol w:w="346"/>
        <w:gridCol w:w="346"/>
        <w:gridCol w:w="346"/>
        <w:gridCol w:w="346"/>
        <w:gridCol w:w="346"/>
        <w:gridCol w:w="346"/>
        <w:gridCol w:w="389"/>
        <w:gridCol w:w="389"/>
        <w:gridCol w:w="389"/>
        <w:gridCol w:w="1437"/>
        <w:gridCol w:w="1117"/>
      </w:tblGrid>
      <w:tr w:rsidR="00F2679F" w:rsidRPr="00B1147E" w14:paraId="1FD738FC" w14:textId="77777777" w:rsidTr="002F4727">
        <w:trPr>
          <w:trHeight w:val="300"/>
          <w:tblHeader/>
        </w:trPr>
        <w:tc>
          <w:tcPr>
            <w:tcW w:w="184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EE75941" w14:textId="77777777" w:rsidR="00F2679F" w:rsidRPr="00C2120C" w:rsidRDefault="00F2679F" w:rsidP="00532FF8">
            <w:pPr>
              <w:spacing w:after="0" w:line="240" w:lineRule="auto"/>
              <w:jc w:val="center"/>
              <w:rPr>
                <w:rFonts w:ascii="Arial" w:eastAsia="Times New Roman" w:hAnsi="Arial" w:cs="Arial"/>
                <w:b/>
                <w:bCs/>
                <w:color w:val="000000"/>
                <w:sz w:val="18"/>
                <w:szCs w:val="18"/>
                <w:lang w:val="es-PE"/>
              </w:rPr>
            </w:pPr>
            <w:r w:rsidRPr="00C2120C">
              <w:rPr>
                <w:rFonts w:ascii="Arial" w:eastAsia="Times New Roman" w:hAnsi="Arial" w:cs="Arial"/>
                <w:b/>
                <w:bCs/>
                <w:color w:val="000000"/>
                <w:sz w:val="18"/>
                <w:szCs w:val="18"/>
                <w:lang w:val="es-PE"/>
              </w:rPr>
              <w:t>Actividades Clave de Evaluación</w:t>
            </w:r>
          </w:p>
        </w:tc>
        <w:tc>
          <w:tcPr>
            <w:tcW w:w="1426" w:type="dxa"/>
            <w:gridSpan w:val="4"/>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2C57D18E" w14:textId="77777777" w:rsidR="00F2679F" w:rsidRPr="00C2120C" w:rsidRDefault="00F2679F" w:rsidP="00532FF8">
            <w:pPr>
              <w:spacing w:after="0" w:line="240" w:lineRule="auto"/>
              <w:jc w:val="center"/>
              <w:rPr>
                <w:rFonts w:ascii="Arial" w:eastAsia="Times New Roman" w:hAnsi="Arial" w:cs="Arial"/>
                <w:b/>
                <w:bCs/>
                <w:color w:val="000000"/>
                <w:sz w:val="18"/>
                <w:szCs w:val="18"/>
                <w:lang w:val="es-PE"/>
              </w:rPr>
            </w:pPr>
            <w:r w:rsidRPr="00C2120C">
              <w:rPr>
                <w:rFonts w:ascii="Arial" w:eastAsia="Times New Roman" w:hAnsi="Arial" w:cs="Arial"/>
                <w:b/>
                <w:bCs/>
                <w:color w:val="000000"/>
                <w:sz w:val="18"/>
                <w:szCs w:val="18"/>
                <w:lang w:val="es-PE"/>
              </w:rPr>
              <w:t>Año 3</w:t>
            </w:r>
          </w:p>
        </w:tc>
        <w:tc>
          <w:tcPr>
            <w:tcW w:w="1384" w:type="dxa"/>
            <w:gridSpan w:val="4"/>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400EFE3E" w14:textId="77777777" w:rsidR="00F2679F" w:rsidRPr="00C2120C" w:rsidRDefault="00F2679F" w:rsidP="00532FF8">
            <w:pPr>
              <w:spacing w:after="0" w:line="240" w:lineRule="auto"/>
              <w:jc w:val="center"/>
              <w:rPr>
                <w:rFonts w:ascii="Arial" w:eastAsia="Times New Roman" w:hAnsi="Arial" w:cs="Arial"/>
                <w:b/>
                <w:bCs/>
                <w:color w:val="000000"/>
                <w:sz w:val="18"/>
                <w:szCs w:val="18"/>
                <w:lang w:val="es-PE"/>
              </w:rPr>
            </w:pPr>
            <w:r w:rsidRPr="00C2120C">
              <w:rPr>
                <w:rFonts w:ascii="Arial" w:eastAsia="Times New Roman" w:hAnsi="Arial" w:cs="Arial"/>
                <w:b/>
                <w:bCs/>
                <w:color w:val="000000"/>
                <w:sz w:val="18"/>
                <w:szCs w:val="18"/>
                <w:lang w:val="es-PE"/>
              </w:rPr>
              <w:t>Año 4</w:t>
            </w:r>
          </w:p>
        </w:tc>
        <w:tc>
          <w:tcPr>
            <w:tcW w:w="1513" w:type="dxa"/>
            <w:gridSpan w:val="4"/>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1A3C5935" w14:textId="77777777" w:rsidR="00F2679F" w:rsidRPr="00C2120C" w:rsidRDefault="00F2679F" w:rsidP="00532FF8">
            <w:pPr>
              <w:spacing w:after="0" w:line="240" w:lineRule="auto"/>
              <w:jc w:val="center"/>
              <w:rPr>
                <w:rFonts w:ascii="Arial" w:eastAsia="Times New Roman" w:hAnsi="Arial" w:cs="Arial"/>
                <w:b/>
                <w:bCs/>
                <w:color w:val="000000"/>
                <w:sz w:val="18"/>
                <w:szCs w:val="18"/>
                <w:lang w:val="es-PE"/>
              </w:rPr>
            </w:pPr>
            <w:r w:rsidRPr="00C2120C">
              <w:rPr>
                <w:rFonts w:ascii="Arial" w:eastAsia="Times New Roman" w:hAnsi="Arial" w:cs="Arial"/>
                <w:b/>
                <w:bCs/>
                <w:color w:val="000000"/>
                <w:sz w:val="18"/>
                <w:szCs w:val="18"/>
                <w:lang w:val="es-PE"/>
              </w:rPr>
              <w:t>Año 5</w:t>
            </w:r>
          </w:p>
        </w:tc>
        <w:tc>
          <w:tcPr>
            <w:tcW w:w="1437"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18370113" w14:textId="77777777" w:rsidR="00F2679F" w:rsidRPr="00C2120C" w:rsidRDefault="00F2679F" w:rsidP="00532FF8">
            <w:pPr>
              <w:spacing w:after="0" w:line="240" w:lineRule="auto"/>
              <w:jc w:val="center"/>
              <w:rPr>
                <w:rFonts w:ascii="Arial" w:eastAsia="Times New Roman" w:hAnsi="Arial" w:cs="Arial"/>
                <w:b/>
                <w:bCs/>
                <w:color w:val="000000"/>
                <w:sz w:val="18"/>
                <w:szCs w:val="18"/>
                <w:lang w:val="es-PE"/>
              </w:rPr>
            </w:pPr>
            <w:r w:rsidRPr="00C2120C">
              <w:rPr>
                <w:rFonts w:ascii="Arial" w:eastAsia="Times New Roman" w:hAnsi="Arial" w:cs="Arial"/>
                <w:b/>
                <w:bCs/>
                <w:color w:val="000000"/>
                <w:sz w:val="18"/>
                <w:szCs w:val="18"/>
                <w:lang w:val="es-PE"/>
              </w:rPr>
              <w:t>Responsable</w:t>
            </w:r>
          </w:p>
        </w:tc>
        <w:tc>
          <w:tcPr>
            <w:tcW w:w="1117"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1130FFEF" w14:textId="77777777" w:rsidR="00F2679F" w:rsidRPr="00C2120C" w:rsidRDefault="00F2679F" w:rsidP="00532FF8">
            <w:pPr>
              <w:spacing w:after="0" w:line="240" w:lineRule="auto"/>
              <w:jc w:val="center"/>
              <w:rPr>
                <w:rFonts w:ascii="Arial" w:eastAsia="Times New Roman" w:hAnsi="Arial" w:cs="Arial"/>
                <w:b/>
                <w:bCs/>
                <w:color w:val="000000"/>
                <w:sz w:val="18"/>
                <w:szCs w:val="18"/>
                <w:lang w:val="es-PE"/>
              </w:rPr>
            </w:pPr>
            <w:r w:rsidRPr="00C2120C">
              <w:rPr>
                <w:rFonts w:ascii="Arial" w:eastAsia="Times New Roman" w:hAnsi="Arial" w:cs="Arial"/>
                <w:b/>
                <w:bCs/>
                <w:color w:val="000000"/>
                <w:sz w:val="18"/>
                <w:szCs w:val="18"/>
                <w:lang w:val="es-PE"/>
              </w:rPr>
              <w:t>Costo</w:t>
            </w:r>
          </w:p>
        </w:tc>
      </w:tr>
      <w:tr w:rsidR="00F2679F" w:rsidRPr="00B1147E" w14:paraId="372EB137" w14:textId="77777777" w:rsidTr="00C2120C">
        <w:trPr>
          <w:trHeight w:val="300"/>
        </w:trPr>
        <w:tc>
          <w:tcPr>
            <w:tcW w:w="1847" w:type="dxa"/>
            <w:vMerge/>
            <w:tcBorders>
              <w:top w:val="single" w:sz="4" w:space="0" w:color="000000"/>
              <w:left w:val="single" w:sz="4" w:space="0" w:color="000000"/>
              <w:bottom w:val="single" w:sz="4" w:space="0" w:color="000000"/>
              <w:right w:val="single" w:sz="4" w:space="0" w:color="000000"/>
            </w:tcBorders>
            <w:vAlign w:val="center"/>
            <w:hideMark/>
          </w:tcPr>
          <w:p w14:paraId="1EB1E820" w14:textId="77777777" w:rsidR="00F2679F" w:rsidRPr="00C2120C" w:rsidRDefault="00F2679F" w:rsidP="00532FF8">
            <w:pPr>
              <w:spacing w:after="0" w:line="240" w:lineRule="auto"/>
              <w:rPr>
                <w:rFonts w:ascii="Arial" w:eastAsia="Times New Roman" w:hAnsi="Arial" w:cs="Arial"/>
                <w:color w:val="000000"/>
                <w:sz w:val="18"/>
                <w:szCs w:val="18"/>
                <w:lang w:val="es-PE"/>
              </w:rPr>
            </w:pPr>
          </w:p>
        </w:tc>
        <w:tc>
          <w:tcPr>
            <w:tcW w:w="345" w:type="dxa"/>
            <w:tcBorders>
              <w:top w:val="nil"/>
              <w:left w:val="nil"/>
              <w:bottom w:val="single" w:sz="8" w:space="0" w:color="000000"/>
              <w:right w:val="single" w:sz="8" w:space="0" w:color="000000"/>
            </w:tcBorders>
            <w:shd w:val="clear" w:color="auto" w:fill="D9D9D9" w:themeFill="background1" w:themeFillShade="D9"/>
            <w:vAlign w:val="center"/>
            <w:hideMark/>
          </w:tcPr>
          <w:p w14:paraId="2A22DF87" w14:textId="77777777" w:rsidR="00F2679F" w:rsidRPr="00C2120C" w:rsidRDefault="00F2679F" w:rsidP="00532FF8">
            <w:pPr>
              <w:spacing w:after="0" w:line="240" w:lineRule="auto"/>
              <w:jc w:val="center"/>
              <w:rPr>
                <w:rFonts w:ascii="Arial" w:eastAsia="Times New Roman" w:hAnsi="Arial" w:cs="Arial"/>
                <w:b/>
                <w:bCs/>
                <w:color w:val="000000"/>
                <w:sz w:val="18"/>
                <w:szCs w:val="18"/>
                <w:lang w:val="es-PE"/>
              </w:rPr>
            </w:pPr>
            <w:r w:rsidRPr="00C2120C">
              <w:rPr>
                <w:rFonts w:ascii="Arial" w:eastAsia="Times New Roman" w:hAnsi="Arial" w:cs="Arial"/>
                <w:b/>
                <w:bCs/>
                <w:color w:val="000000"/>
                <w:sz w:val="18"/>
                <w:szCs w:val="18"/>
                <w:lang w:val="es-PE"/>
              </w:rPr>
              <w:t>1</w:t>
            </w:r>
          </w:p>
        </w:tc>
        <w:tc>
          <w:tcPr>
            <w:tcW w:w="346" w:type="dxa"/>
            <w:tcBorders>
              <w:top w:val="nil"/>
              <w:left w:val="nil"/>
              <w:bottom w:val="single" w:sz="8" w:space="0" w:color="000000"/>
              <w:right w:val="single" w:sz="8" w:space="0" w:color="000000"/>
            </w:tcBorders>
            <w:shd w:val="clear" w:color="auto" w:fill="D9D9D9" w:themeFill="background1" w:themeFillShade="D9"/>
            <w:vAlign w:val="center"/>
            <w:hideMark/>
          </w:tcPr>
          <w:p w14:paraId="16E617F6" w14:textId="77777777" w:rsidR="00F2679F" w:rsidRPr="00C2120C" w:rsidRDefault="00F2679F" w:rsidP="00532FF8">
            <w:pPr>
              <w:spacing w:after="0" w:line="240" w:lineRule="auto"/>
              <w:jc w:val="center"/>
              <w:rPr>
                <w:rFonts w:ascii="Arial" w:eastAsia="Times New Roman" w:hAnsi="Arial" w:cs="Arial"/>
                <w:b/>
                <w:bCs/>
                <w:color w:val="000000"/>
                <w:sz w:val="18"/>
                <w:szCs w:val="18"/>
                <w:lang w:val="es-PE"/>
              </w:rPr>
            </w:pPr>
            <w:r w:rsidRPr="00C2120C">
              <w:rPr>
                <w:rFonts w:ascii="Arial" w:eastAsia="Times New Roman" w:hAnsi="Arial" w:cs="Arial"/>
                <w:b/>
                <w:bCs/>
                <w:color w:val="000000"/>
                <w:sz w:val="18"/>
                <w:szCs w:val="18"/>
                <w:lang w:val="es-PE"/>
              </w:rPr>
              <w:t>2</w:t>
            </w:r>
          </w:p>
        </w:tc>
        <w:tc>
          <w:tcPr>
            <w:tcW w:w="389" w:type="dxa"/>
            <w:tcBorders>
              <w:top w:val="nil"/>
              <w:left w:val="nil"/>
              <w:bottom w:val="single" w:sz="8" w:space="0" w:color="000000"/>
              <w:right w:val="single" w:sz="8" w:space="0" w:color="000000"/>
            </w:tcBorders>
            <w:shd w:val="clear" w:color="auto" w:fill="D9D9D9" w:themeFill="background1" w:themeFillShade="D9"/>
            <w:vAlign w:val="center"/>
            <w:hideMark/>
          </w:tcPr>
          <w:p w14:paraId="1431EAA6" w14:textId="77777777" w:rsidR="00F2679F" w:rsidRPr="00C2120C" w:rsidRDefault="00F2679F" w:rsidP="00532FF8">
            <w:pPr>
              <w:spacing w:after="0" w:line="240" w:lineRule="auto"/>
              <w:jc w:val="center"/>
              <w:rPr>
                <w:rFonts w:ascii="Arial" w:eastAsia="Times New Roman" w:hAnsi="Arial" w:cs="Arial"/>
                <w:b/>
                <w:bCs/>
                <w:color w:val="000000"/>
                <w:sz w:val="18"/>
                <w:szCs w:val="18"/>
                <w:lang w:val="es-PE"/>
              </w:rPr>
            </w:pPr>
            <w:r w:rsidRPr="00C2120C">
              <w:rPr>
                <w:rFonts w:ascii="Arial" w:eastAsia="Times New Roman" w:hAnsi="Arial" w:cs="Arial"/>
                <w:b/>
                <w:bCs/>
                <w:color w:val="000000"/>
                <w:sz w:val="18"/>
                <w:szCs w:val="18"/>
                <w:lang w:val="es-PE"/>
              </w:rPr>
              <w:t>3</w:t>
            </w:r>
          </w:p>
        </w:tc>
        <w:tc>
          <w:tcPr>
            <w:tcW w:w="346" w:type="dxa"/>
            <w:tcBorders>
              <w:top w:val="nil"/>
              <w:left w:val="nil"/>
              <w:bottom w:val="single" w:sz="8" w:space="0" w:color="000000"/>
              <w:right w:val="single" w:sz="8" w:space="0" w:color="000000"/>
            </w:tcBorders>
            <w:shd w:val="clear" w:color="auto" w:fill="D9D9D9" w:themeFill="background1" w:themeFillShade="D9"/>
            <w:vAlign w:val="center"/>
            <w:hideMark/>
          </w:tcPr>
          <w:p w14:paraId="5A039135" w14:textId="77777777" w:rsidR="00F2679F" w:rsidRPr="00C2120C" w:rsidRDefault="00F2679F" w:rsidP="00532FF8">
            <w:pPr>
              <w:spacing w:after="0" w:line="240" w:lineRule="auto"/>
              <w:jc w:val="center"/>
              <w:rPr>
                <w:rFonts w:ascii="Arial" w:eastAsia="Times New Roman" w:hAnsi="Arial" w:cs="Arial"/>
                <w:b/>
                <w:bCs/>
                <w:color w:val="000000"/>
                <w:sz w:val="18"/>
                <w:szCs w:val="18"/>
                <w:lang w:val="es-PE"/>
              </w:rPr>
            </w:pPr>
            <w:r w:rsidRPr="00C2120C">
              <w:rPr>
                <w:rFonts w:ascii="Arial" w:eastAsia="Times New Roman" w:hAnsi="Arial" w:cs="Arial"/>
                <w:b/>
                <w:bCs/>
                <w:color w:val="000000"/>
                <w:sz w:val="18"/>
                <w:szCs w:val="18"/>
                <w:lang w:val="es-PE"/>
              </w:rPr>
              <w:t>4</w:t>
            </w:r>
          </w:p>
        </w:tc>
        <w:tc>
          <w:tcPr>
            <w:tcW w:w="346" w:type="dxa"/>
            <w:tcBorders>
              <w:top w:val="nil"/>
              <w:left w:val="nil"/>
              <w:bottom w:val="single" w:sz="8" w:space="0" w:color="000000"/>
              <w:right w:val="single" w:sz="8" w:space="0" w:color="000000"/>
            </w:tcBorders>
            <w:shd w:val="clear" w:color="auto" w:fill="D9D9D9" w:themeFill="background1" w:themeFillShade="D9"/>
            <w:vAlign w:val="center"/>
            <w:hideMark/>
          </w:tcPr>
          <w:p w14:paraId="55E69337" w14:textId="77777777" w:rsidR="00F2679F" w:rsidRPr="00C2120C" w:rsidRDefault="00F2679F" w:rsidP="00532FF8">
            <w:pPr>
              <w:spacing w:after="0" w:line="240" w:lineRule="auto"/>
              <w:jc w:val="center"/>
              <w:rPr>
                <w:rFonts w:ascii="Arial" w:eastAsia="Times New Roman" w:hAnsi="Arial" w:cs="Arial"/>
                <w:b/>
                <w:bCs/>
                <w:color w:val="000000"/>
                <w:sz w:val="18"/>
                <w:szCs w:val="18"/>
                <w:lang w:val="es-PE"/>
              </w:rPr>
            </w:pPr>
            <w:r w:rsidRPr="00C2120C">
              <w:rPr>
                <w:rFonts w:ascii="Arial" w:eastAsia="Times New Roman" w:hAnsi="Arial" w:cs="Arial"/>
                <w:b/>
                <w:bCs/>
                <w:color w:val="000000"/>
                <w:sz w:val="18"/>
                <w:szCs w:val="18"/>
                <w:lang w:val="es-PE"/>
              </w:rPr>
              <w:t>1</w:t>
            </w:r>
          </w:p>
        </w:tc>
        <w:tc>
          <w:tcPr>
            <w:tcW w:w="346" w:type="dxa"/>
            <w:tcBorders>
              <w:top w:val="nil"/>
              <w:left w:val="nil"/>
              <w:bottom w:val="single" w:sz="8" w:space="0" w:color="000000"/>
              <w:right w:val="single" w:sz="8" w:space="0" w:color="000000"/>
            </w:tcBorders>
            <w:shd w:val="clear" w:color="auto" w:fill="D9D9D9" w:themeFill="background1" w:themeFillShade="D9"/>
            <w:vAlign w:val="center"/>
            <w:hideMark/>
          </w:tcPr>
          <w:p w14:paraId="09AA9394" w14:textId="77777777" w:rsidR="00F2679F" w:rsidRPr="00C2120C" w:rsidRDefault="00F2679F" w:rsidP="00532FF8">
            <w:pPr>
              <w:spacing w:after="0" w:line="240" w:lineRule="auto"/>
              <w:jc w:val="center"/>
              <w:rPr>
                <w:rFonts w:ascii="Arial" w:eastAsia="Times New Roman" w:hAnsi="Arial" w:cs="Arial"/>
                <w:b/>
                <w:bCs/>
                <w:color w:val="000000"/>
                <w:sz w:val="18"/>
                <w:szCs w:val="18"/>
                <w:lang w:val="es-PE"/>
              </w:rPr>
            </w:pPr>
            <w:r w:rsidRPr="00C2120C">
              <w:rPr>
                <w:rFonts w:ascii="Arial" w:eastAsia="Times New Roman" w:hAnsi="Arial" w:cs="Arial"/>
                <w:b/>
                <w:bCs/>
                <w:color w:val="000000"/>
                <w:sz w:val="18"/>
                <w:szCs w:val="18"/>
                <w:lang w:val="es-PE"/>
              </w:rPr>
              <w:t>2</w:t>
            </w:r>
          </w:p>
        </w:tc>
        <w:tc>
          <w:tcPr>
            <w:tcW w:w="346" w:type="dxa"/>
            <w:tcBorders>
              <w:top w:val="nil"/>
              <w:left w:val="nil"/>
              <w:bottom w:val="single" w:sz="8" w:space="0" w:color="000000"/>
              <w:right w:val="single" w:sz="8" w:space="0" w:color="000000"/>
            </w:tcBorders>
            <w:shd w:val="clear" w:color="auto" w:fill="D9D9D9" w:themeFill="background1" w:themeFillShade="D9"/>
            <w:vAlign w:val="center"/>
            <w:hideMark/>
          </w:tcPr>
          <w:p w14:paraId="6FEC4C23" w14:textId="77777777" w:rsidR="00F2679F" w:rsidRPr="00C2120C" w:rsidRDefault="00F2679F" w:rsidP="00532FF8">
            <w:pPr>
              <w:spacing w:after="0" w:line="240" w:lineRule="auto"/>
              <w:jc w:val="center"/>
              <w:rPr>
                <w:rFonts w:ascii="Arial" w:eastAsia="Times New Roman" w:hAnsi="Arial" w:cs="Arial"/>
                <w:b/>
                <w:bCs/>
                <w:color w:val="000000"/>
                <w:sz w:val="18"/>
                <w:szCs w:val="18"/>
                <w:lang w:val="es-PE"/>
              </w:rPr>
            </w:pPr>
            <w:r w:rsidRPr="00C2120C">
              <w:rPr>
                <w:rFonts w:ascii="Arial" w:eastAsia="Times New Roman" w:hAnsi="Arial" w:cs="Arial"/>
                <w:b/>
                <w:bCs/>
                <w:color w:val="000000"/>
                <w:sz w:val="18"/>
                <w:szCs w:val="18"/>
                <w:lang w:val="es-PE"/>
              </w:rPr>
              <w:t>3</w:t>
            </w:r>
          </w:p>
        </w:tc>
        <w:tc>
          <w:tcPr>
            <w:tcW w:w="346" w:type="dxa"/>
            <w:tcBorders>
              <w:top w:val="nil"/>
              <w:left w:val="nil"/>
              <w:bottom w:val="single" w:sz="8" w:space="0" w:color="000000"/>
              <w:right w:val="single" w:sz="8" w:space="0" w:color="000000"/>
            </w:tcBorders>
            <w:shd w:val="clear" w:color="auto" w:fill="D9D9D9" w:themeFill="background1" w:themeFillShade="D9"/>
            <w:vAlign w:val="center"/>
            <w:hideMark/>
          </w:tcPr>
          <w:p w14:paraId="5731BD78" w14:textId="77777777" w:rsidR="00F2679F" w:rsidRPr="00C2120C" w:rsidRDefault="00F2679F" w:rsidP="00532FF8">
            <w:pPr>
              <w:spacing w:after="0" w:line="240" w:lineRule="auto"/>
              <w:jc w:val="center"/>
              <w:rPr>
                <w:rFonts w:ascii="Arial" w:eastAsia="Times New Roman" w:hAnsi="Arial" w:cs="Arial"/>
                <w:b/>
                <w:bCs/>
                <w:color w:val="000000"/>
                <w:sz w:val="18"/>
                <w:szCs w:val="18"/>
                <w:lang w:val="es-PE"/>
              </w:rPr>
            </w:pPr>
            <w:r w:rsidRPr="00C2120C">
              <w:rPr>
                <w:rFonts w:ascii="Arial" w:eastAsia="Times New Roman" w:hAnsi="Arial" w:cs="Arial"/>
                <w:b/>
                <w:bCs/>
                <w:color w:val="000000"/>
                <w:sz w:val="18"/>
                <w:szCs w:val="18"/>
                <w:lang w:val="es-PE"/>
              </w:rPr>
              <w:t>4</w:t>
            </w:r>
          </w:p>
        </w:tc>
        <w:tc>
          <w:tcPr>
            <w:tcW w:w="346" w:type="dxa"/>
            <w:tcBorders>
              <w:top w:val="nil"/>
              <w:left w:val="nil"/>
              <w:bottom w:val="single" w:sz="8" w:space="0" w:color="000000"/>
              <w:right w:val="single" w:sz="8" w:space="0" w:color="000000"/>
            </w:tcBorders>
            <w:shd w:val="clear" w:color="auto" w:fill="D9D9D9" w:themeFill="background1" w:themeFillShade="D9"/>
            <w:vAlign w:val="center"/>
            <w:hideMark/>
          </w:tcPr>
          <w:p w14:paraId="2A3E8E05" w14:textId="77777777" w:rsidR="00F2679F" w:rsidRPr="00C2120C" w:rsidRDefault="00F2679F" w:rsidP="00532FF8">
            <w:pPr>
              <w:spacing w:after="0" w:line="240" w:lineRule="auto"/>
              <w:jc w:val="center"/>
              <w:rPr>
                <w:rFonts w:ascii="Arial" w:eastAsia="Times New Roman" w:hAnsi="Arial" w:cs="Arial"/>
                <w:b/>
                <w:bCs/>
                <w:color w:val="000000"/>
                <w:sz w:val="18"/>
                <w:szCs w:val="18"/>
                <w:lang w:val="es-PE"/>
              </w:rPr>
            </w:pPr>
            <w:r w:rsidRPr="00C2120C">
              <w:rPr>
                <w:rFonts w:ascii="Arial" w:eastAsia="Times New Roman" w:hAnsi="Arial" w:cs="Arial"/>
                <w:b/>
                <w:bCs/>
                <w:color w:val="000000"/>
                <w:sz w:val="18"/>
                <w:szCs w:val="18"/>
                <w:lang w:val="es-PE"/>
              </w:rPr>
              <w:t>1</w:t>
            </w:r>
          </w:p>
        </w:tc>
        <w:tc>
          <w:tcPr>
            <w:tcW w:w="389" w:type="dxa"/>
            <w:tcBorders>
              <w:top w:val="nil"/>
              <w:left w:val="nil"/>
              <w:bottom w:val="single" w:sz="8" w:space="0" w:color="000000"/>
              <w:right w:val="single" w:sz="8" w:space="0" w:color="000000"/>
            </w:tcBorders>
            <w:shd w:val="clear" w:color="auto" w:fill="D9D9D9" w:themeFill="background1" w:themeFillShade="D9"/>
            <w:vAlign w:val="center"/>
            <w:hideMark/>
          </w:tcPr>
          <w:p w14:paraId="3CDB1F19" w14:textId="77777777" w:rsidR="00F2679F" w:rsidRPr="00C2120C" w:rsidRDefault="00F2679F" w:rsidP="00532FF8">
            <w:pPr>
              <w:spacing w:after="0" w:line="240" w:lineRule="auto"/>
              <w:jc w:val="center"/>
              <w:rPr>
                <w:rFonts w:ascii="Arial" w:eastAsia="Times New Roman" w:hAnsi="Arial" w:cs="Arial"/>
                <w:b/>
                <w:bCs/>
                <w:color w:val="000000"/>
                <w:sz w:val="18"/>
                <w:szCs w:val="18"/>
                <w:lang w:val="es-PE"/>
              </w:rPr>
            </w:pPr>
            <w:r w:rsidRPr="00C2120C">
              <w:rPr>
                <w:rFonts w:ascii="Arial" w:eastAsia="Times New Roman" w:hAnsi="Arial" w:cs="Arial"/>
                <w:b/>
                <w:bCs/>
                <w:color w:val="000000"/>
                <w:sz w:val="18"/>
                <w:szCs w:val="18"/>
                <w:lang w:val="es-PE"/>
              </w:rPr>
              <w:t>2</w:t>
            </w:r>
          </w:p>
        </w:tc>
        <w:tc>
          <w:tcPr>
            <w:tcW w:w="389" w:type="dxa"/>
            <w:tcBorders>
              <w:top w:val="nil"/>
              <w:left w:val="nil"/>
              <w:bottom w:val="single" w:sz="8" w:space="0" w:color="000000"/>
              <w:right w:val="single" w:sz="8" w:space="0" w:color="000000"/>
            </w:tcBorders>
            <w:shd w:val="clear" w:color="auto" w:fill="D9D9D9" w:themeFill="background1" w:themeFillShade="D9"/>
            <w:vAlign w:val="center"/>
            <w:hideMark/>
          </w:tcPr>
          <w:p w14:paraId="3D44CE49" w14:textId="77777777" w:rsidR="00F2679F" w:rsidRPr="00C2120C" w:rsidRDefault="00F2679F" w:rsidP="00532FF8">
            <w:pPr>
              <w:spacing w:after="0" w:line="240" w:lineRule="auto"/>
              <w:jc w:val="center"/>
              <w:rPr>
                <w:rFonts w:ascii="Arial" w:eastAsia="Times New Roman" w:hAnsi="Arial" w:cs="Arial"/>
                <w:b/>
                <w:bCs/>
                <w:color w:val="000000"/>
                <w:sz w:val="18"/>
                <w:szCs w:val="18"/>
                <w:lang w:val="es-PE"/>
              </w:rPr>
            </w:pPr>
            <w:r w:rsidRPr="00C2120C">
              <w:rPr>
                <w:rFonts w:ascii="Arial" w:eastAsia="Times New Roman" w:hAnsi="Arial" w:cs="Arial"/>
                <w:b/>
                <w:bCs/>
                <w:color w:val="000000"/>
                <w:sz w:val="18"/>
                <w:szCs w:val="18"/>
                <w:lang w:val="es-PE"/>
              </w:rPr>
              <w:t>3</w:t>
            </w:r>
          </w:p>
        </w:tc>
        <w:tc>
          <w:tcPr>
            <w:tcW w:w="389" w:type="dxa"/>
            <w:tcBorders>
              <w:top w:val="nil"/>
              <w:left w:val="nil"/>
              <w:bottom w:val="single" w:sz="8" w:space="0" w:color="000000"/>
              <w:right w:val="single" w:sz="8" w:space="0" w:color="000000"/>
            </w:tcBorders>
            <w:shd w:val="clear" w:color="auto" w:fill="D9D9D9" w:themeFill="background1" w:themeFillShade="D9"/>
            <w:vAlign w:val="center"/>
            <w:hideMark/>
          </w:tcPr>
          <w:p w14:paraId="13AA95F2" w14:textId="77777777" w:rsidR="00F2679F" w:rsidRPr="00C2120C" w:rsidRDefault="00F2679F" w:rsidP="00532FF8">
            <w:pPr>
              <w:spacing w:after="0" w:line="240" w:lineRule="auto"/>
              <w:jc w:val="center"/>
              <w:rPr>
                <w:rFonts w:ascii="Arial" w:eastAsia="Times New Roman" w:hAnsi="Arial" w:cs="Arial"/>
                <w:b/>
                <w:bCs/>
                <w:color w:val="000000"/>
                <w:sz w:val="18"/>
                <w:szCs w:val="18"/>
                <w:lang w:val="es-PE"/>
              </w:rPr>
            </w:pPr>
            <w:r w:rsidRPr="00C2120C">
              <w:rPr>
                <w:rFonts w:ascii="Arial" w:eastAsia="Times New Roman" w:hAnsi="Arial" w:cs="Arial"/>
                <w:b/>
                <w:bCs/>
                <w:color w:val="000000"/>
                <w:sz w:val="18"/>
                <w:szCs w:val="18"/>
                <w:lang w:val="es-PE"/>
              </w:rPr>
              <w:t>4</w:t>
            </w:r>
          </w:p>
        </w:tc>
        <w:tc>
          <w:tcPr>
            <w:tcW w:w="1437" w:type="dxa"/>
            <w:vMerge/>
            <w:tcBorders>
              <w:top w:val="single" w:sz="8" w:space="0" w:color="000000"/>
              <w:left w:val="single" w:sz="8" w:space="0" w:color="000000"/>
              <w:bottom w:val="single" w:sz="8" w:space="0" w:color="000000"/>
              <w:right w:val="single" w:sz="8" w:space="0" w:color="000000"/>
            </w:tcBorders>
            <w:vAlign w:val="center"/>
            <w:hideMark/>
          </w:tcPr>
          <w:p w14:paraId="12472D13" w14:textId="77777777" w:rsidR="00F2679F" w:rsidRPr="00C2120C" w:rsidRDefault="00F2679F" w:rsidP="00532FF8">
            <w:pPr>
              <w:spacing w:after="0" w:line="240" w:lineRule="auto"/>
              <w:rPr>
                <w:rFonts w:ascii="Arial" w:eastAsia="Times New Roman" w:hAnsi="Arial" w:cs="Arial"/>
                <w:color w:val="000000"/>
                <w:sz w:val="18"/>
                <w:szCs w:val="18"/>
                <w:lang w:val="es-PE"/>
              </w:rPr>
            </w:pPr>
          </w:p>
        </w:tc>
        <w:tc>
          <w:tcPr>
            <w:tcW w:w="1117" w:type="dxa"/>
            <w:vMerge/>
            <w:tcBorders>
              <w:top w:val="single" w:sz="8" w:space="0" w:color="000000"/>
              <w:left w:val="single" w:sz="8" w:space="0" w:color="000000"/>
              <w:bottom w:val="single" w:sz="8" w:space="0" w:color="000000"/>
              <w:right w:val="single" w:sz="8" w:space="0" w:color="000000"/>
            </w:tcBorders>
            <w:vAlign w:val="center"/>
            <w:hideMark/>
          </w:tcPr>
          <w:p w14:paraId="4F98E24E" w14:textId="77777777" w:rsidR="00F2679F" w:rsidRPr="00C2120C" w:rsidRDefault="00F2679F" w:rsidP="00532FF8">
            <w:pPr>
              <w:spacing w:after="0" w:line="240" w:lineRule="auto"/>
              <w:rPr>
                <w:rFonts w:ascii="Arial" w:eastAsia="Times New Roman" w:hAnsi="Arial" w:cs="Arial"/>
                <w:color w:val="000000"/>
                <w:sz w:val="18"/>
                <w:szCs w:val="18"/>
                <w:lang w:val="es-PE"/>
              </w:rPr>
            </w:pPr>
          </w:p>
        </w:tc>
      </w:tr>
      <w:tr w:rsidR="00860B11" w:rsidRPr="00B1147E" w14:paraId="44681176" w14:textId="77777777" w:rsidTr="00C2120C">
        <w:trPr>
          <w:trHeight w:val="804"/>
        </w:trPr>
        <w:tc>
          <w:tcPr>
            <w:tcW w:w="1847" w:type="dxa"/>
            <w:tcBorders>
              <w:top w:val="nil"/>
              <w:left w:val="single" w:sz="8" w:space="0" w:color="000000"/>
              <w:bottom w:val="single" w:sz="8" w:space="0" w:color="000000"/>
              <w:right w:val="single" w:sz="4" w:space="0" w:color="auto"/>
            </w:tcBorders>
            <w:shd w:val="clear" w:color="000000" w:fill="FFFFFF"/>
            <w:vAlign w:val="center"/>
            <w:hideMark/>
          </w:tcPr>
          <w:p w14:paraId="054F1BC4"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1. Recolección de datos administrativos y definición de la muestra.</w:t>
            </w:r>
          </w:p>
        </w:tc>
        <w:tc>
          <w:tcPr>
            <w:tcW w:w="3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E8D4CB" w14:textId="77777777" w:rsidR="00F2679F" w:rsidRPr="00C2120C" w:rsidRDefault="00F2679F" w:rsidP="00532FF8">
            <w:pPr>
              <w:spacing w:after="0" w:line="240" w:lineRule="auto"/>
              <w:rPr>
                <w:rFonts w:ascii="Arial" w:eastAsia="Times New Roman" w:hAnsi="Arial" w:cs="Arial"/>
                <w:color w:val="000000"/>
                <w:sz w:val="18"/>
                <w:szCs w:val="18"/>
                <w:lang w:val="es-PE"/>
              </w:rPr>
            </w:pPr>
          </w:p>
        </w:tc>
        <w:tc>
          <w:tcPr>
            <w:tcW w:w="3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383820"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X</w:t>
            </w:r>
          </w:p>
        </w:tc>
        <w:tc>
          <w:tcPr>
            <w:tcW w:w="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CE0F4D"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X</w:t>
            </w:r>
          </w:p>
        </w:tc>
        <w:tc>
          <w:tcPr>
            <w:tcW w:w="3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2DB133"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w:t>
            </w:r>
          </w:p>
        </w:tc>
        <w:tc>
          <w:tcPr>
            <w:tcW w:w="3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F3BC29"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w:t>
            </w:r>
          </w:p>
        </w:tc>
        <w:tc>
          <w:tcPr>
            <w:tcW w:w="3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862112"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w:t>
            </w:r>
          </w:p>
        </w:tc>
        <w:tc>
          <w:tcPr>
            <w:tcW w:w="3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AFA7E1"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w:t>
            </w:r>
          </w:p>
        </w:tc>
        <w:tc>
          <w:tcPr>
            <w:tcW w:w="3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C80B46"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w:t>
            </w:r>
          </w:p>
        </w:tc>
        <w:tc>
          <w:tcPr>
            <w:tcW w:w="3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656088"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w:t>
            </w:r>
          </w:p>
        </w:tc>
        <w:tc>
          <w:tcPr>
            <w:tcW w:w="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353506"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w:t>
            </w:r>
          </w:p>
        </w:tc>
        <w:tc>
          <w:tcPr>
            <w:tcW w:w="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3FE525"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w:t>
            </w:r>
          </w:p>
        </w:tc>
        <w:tc>
          <w:tcPr>
            <w:tcW w:w="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469E98"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w:t>
            </w:r>
          </w:p>
        </w:tc>
        <w:tc>
          <w:tcPr>
            <w:tcW w:w="1437" w:type="dxa"/>
            <w:tcBorders>
              <w:top w:val="single" w:sz="8" w:space="0" w:color="auto"/>
              <w:left w:val="single" w:sz="4" w:space="0" w:color="auto"/>
              <w:bottom w:val="single" w:sz="8" w:space="0" w:color="auto"/>
              <w:right w:val="single" w:sz="8" w:space="0" w:color="auto"/>
            </w:tcBorders>
            <w:shd w:val="clear" w:color="000000" w:fill="FFFFFF"/>
            <w:vAlign w:val="center"/>
            <w:hideMark/>
          </w:tcPr>
          <w:p w14:paraId="6C3F2B78"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SCVS / BID</w:t>
            </w:r>
          </w:p>
        </w:tc>
        <w:tc>
          <w:tcPr>
            <w:tcW w:w="1117" w:type="dxa"/>
            <w:tcBorders>
              <w:top w:val="single" w:sz="8" w:space="0" w:color="auto"/>
              <w:left w:val="nil"/>
              <w:bottom w:val="single" w:sz="8" w:space="0" w:color="auto"/>
              <w:right w:val="single" w:sz="8" w:space="0" w:color="auto"/>
            </w:tcBorders>
            <w:shd w:val="clear" w:color="000000" w:fill="FFFFFF"/>
            <w:vAlign w:val="center"/>
            <w:hideMark/>
          </w:tcPr>
          <w:p w14:paraId="4E739D58" w14:textId="1D42BEB0" w:rsidR="00F2679F" w:rsidRPr="00C2120C" w:rsidRDefault="00F2679F" w:rsidP="00532FF8">
            <w:pPr>
              <w:spacing w:after="0" w:line="240" w:lineRule="auto"/>
              <w:jc w:val="center"/>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US$5</w:t>
            </w:r>
            <w:r w:rsidR="00061537">
              <w:rPr>
                <w:rFonts w:ascii="Arial" w:eastAsia="Times New Roman" w:hAnsi="Arial" w:cs="Arial"/>
                <w:color w:val="000000"/>
                <w:sz w:val="18"/>
                <w:szCs w:val="18"/>
                <w:lang w:val="es-PE"/>
              </w:rPr>
              <w:t>.</w:t>
            </w:r>
            <w:r w:rsidRPr="00C2120C">
              <w:rPr>
                <w:rFonts w:ascii="Arial" w:eastAsia="Times New Roman" w:hAnsi="Arial" w:cs="Arial"/>
                <w:color w:val="000000"/>
                <w:sz w:val="18"/>
                <w:szCs w:val="18"/>
                <w:lang w:val="es-PE"/>
              </w:rPr>
              <w:t>000</w:t>
            </w:r>
          </w:p>
        </w:tc>
      </w:tr>
      <w:tr w:rsidR="00860B11" w:rsidRPr="00B1147E" w14:paraId="22216BDF" w14:textId="77777777" w:rsidTr="00C2120C">
        <w:trPr>
          <w:trHeight w:val="804"/>
        </w:trPr>
        <w:tc>
          <w:tcPr>
            <w:tcW w:w="1847" w:type="dxa"/>
            <w:tcBorders>
              <w:top w:val="nil"/>
              <w:left w:val="single" w:sz="8" w:space="0" w:color="000000"/>
              <w:bottom w:val="single" w:sz="8" w:space="0" w:color="000000"/>
              <w:right w:val="single" w:sz="8" w:space="0" w:color="000000"/>
            </w:tcBorders>
            <w:shd w:val="clear" w:color="000000" w:fill="FFFFFF"/>
            <w:vAlign w:val="center"/>
            <w:hideMark/>
          </w:tcPr>
          <w:p w14:paraId="6772A332"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2.  Listado de empresas en riesgo que participarán en el estudio</w:t>
            </w:r>
          </w:p>
        </w:tc>
        <w:tc>
          <w:tcPr>
            <w:tcW w:w="345" w:type="dxa"/>
            <w:tcBorders>
              <w:top w:val="single" w:sz="4" w:space="0" w:color="auto"/>
              <w:left w:val="nil"/>
              <w:bottom w:val="single" w:sz="8" w:space="0" w:color="000000"/>
              <w:right w:val="single" w:sz="8" w:space="0" w:color="000000"/>
            </w:tcBorders>
            <w:shd w:val="clear" w:color="000000" w:fill="FFFFFF"/>
            <w:vAlign w:val="center"/>
            <w:hideMark/>
          </w:tcPr>
          <w:p w14:paraId="33EBB25F"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w:t>
            </w:r>
          </w:p>
        </w:tc>
        <w:tc>
          <w:tcPr>
            <w:tcW w:w="346" w:type="dxa"/>
            <w:tcBorders>
              <w:top w:val="single" w:sz="4" w:space="0" w:color="auto"/>
              <w:left w:val="nil"/>
              <w:bottom w:val="single" w:sz="8" w:space="0" w:color="000000"/>
              <w:right w:val="single" w:sz="8" w:space="0" w:color="000000"/>
            </w:tcBorders>
            <w:shd w:val="clear" w:color="000000" w:fill="FFFFFF"/>
            <w:vAlign w:val="center"/>
            <w:hideMark/>
          </w:tcPr>
          <w:p w14:paraId="7426ADFE"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w:t>
            </w:r>
          </w:p>
        </w:tc>
        <w:tc>
          <w:tcPr>
            <w:tcW w:w="389" w:type="dxa"/>
            <w:tcBorders>
              <w:top w:val="single" w:sz="4" w:space="0" w:color="auto"/>
              <w:left w:val="nil"/>
              <w:bottom w:val="single" w:sz="8" w:space="0" w:color="000000"/>
              <w:right w:val="single" w:sz="8" w:space="0" w:color="000000"/>
            </w:tcBorders>
            <w:shd w:val="clear" w:color="000000" w:fill="FFFFFF"/>
            <w:vAlign w:val="center"/>
            <w:hideMark/>
          </w:tcPr>
          <w:p w14:paraId="0AEDCE0E"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X</w:t>
            </w:r>
          </w:p>
        </w:tc>
        <w:tc>
          <w:tcPr>
            <w:tcW w:w="346" w:type="dxa"/>
            <w:tcBorders>
              <w:top w:val="single" w:sz="4" w:space="0" w:color="auto"/>
              <w:left w:val="nil"/>
              <w:bottom w:val="single" w:sz="8" w:space="0" w:color="000000"/>
              <w:right w:val="single" w:sz="8" w:space="0" w:color="000000"/>
            </w:tcBorders>
            <w:shd w:val="clear" w:color="000000" w:fill="FFFFFF"/>
            <w:vAlign w:val="center"/>
            <w:hideMark/>
          </w:tcPr>
          <w:p w14:paraId="6006AE66"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X</w:t>
            </w:r>
          </w:p>
        </w:tc>
        <w:tc>
          <w:tcPr>
            <w:tcW w:w="346" w:type="dxa"/>
            <w:tcBorders>
              <w:top w:val="single" w:sz="4" w:space="0" w:color="auto"/>
              <w:left w:val="nil"/>
              <w:bottom w:val="single" w:sz="8" w:space="0" w:color="000000"/>
              <w:right w:val="single" w:sz="8" w:space="0" w:color="000000"/>
            </w:tcBorders>
            <w:shd w:val="clear" w:color="000000" w:fill="FFFFFF"/>
            <w:vAlign w:val="center"/>
            <w:hideMark/>
          </w:tcPr>
          <w:p w14:paraId="7B5D6B8C"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w:t>
            </w:r>
          </w:p>
        </w:tc>
        <w:tc>
          <w:tcPr>
            <w:tcW w:w="346" w:type="dxa"/>
            <w:tcBorders>
              <w:top w:val="single" w:sz="4" w:space="0" w:color="auto"/>
              <w:left w:val="nil"/>
              <w:bottom w:val="single" w:sz="8" w:space="0" w:color="000000"/>
              <w:right w:val="single" w:sz="8" w:space="0" w:color="000000"/>
            </w:tcBorders>
            <w:shd w:val="clear" w:color="000000" w:fill="FFFFFF"/>
            <w:vAlign w:val="center"/>
            <w:hideMark/>
          </w:tcPr>
          <w:p w14:paraId="49F3DAA9"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w:t>
            </w:r>
          </w:p>
        </w:tc>
        <w:tc>
          <w:tcPr>
            <w:tcW w:w="346" w:type="dxa"/>
            <w:tcBorders>
              <w:top w:val="single" w:sz="4" w:space="0" w:color="auto"/>
              <w:left w:val="nil"/>
              <w:bottom w:val="single" w:sz="8" w:space="0" w:color="000000"/>
              <w:right w:val="single" w:sz="8" w:space="0" w:color="000000"/>
            </w:tcBorders>
            <w:shd w:val="clear" w:color="000000" w:fill="FFFFFF"/>
            <w:vAlign w:val="center"/>
            <w:hideMark/>
          </w:tcPr>
          <w:p w14:paraId="2B186887"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w:t>
            </w:r>
          </w:p>
        </w:tc>
        <w:tc>
          <w:tcPr>
            <w:tcW w:w="346" w:type="dxa"/>
            <w:tcBorders>
              <w:top w:val="single" w:sz="4" w:space="0" w:color="auto"/>
              <w:left w:val="nil"/>
              <w:bottom w:val="single" w:sz="8" w:space="0" w:color="000000"/>
              <w:right w:val="single" w:sz="8" w:space="0" w:color="000000"/>
            </w:tcBorders>
            <w:shd w:val="clear" w:color="000000" w:fill="FFFFFF"/>
            <w:vAlign w:val="center"/>
            <w:hideMark/>
          </w:tcPr>
          <w:p w14:paraId="626EC26E"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w:t>
            </w:r>
          </w:p>
        </w:tc>
        <w:tc>
          <w:tcPr>
            <w:tcW w:w="346" w:type="dxa"/>
            <w:tcBorders>
              <w:top w:val="single" w:sz="4" w:space="0" w:color="auto"/>
              <w:left w:val="nil"/>
              <w:bottom w:val="single" w:sz="8" w:space="0" w:color="000000"/>
              <w:right w:val="single" w:sz="8" w:space="0" w:color="000000"/>
            </w:tcBorders>
            <w:shd w:val="clear" w:color="000000" w:fill="FFFFFF"/>
            <w:vAlign w:val="center"/>
            <w:hideMark/>
          </w:tcPr>
          <w:p w14:paraId="4E25E96D"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w:t>
            </w:r>
          </w:p>
        </w:tc>
        <w:tc>
          <w:tcPr>
            <w:tcW w:w="389" w:type="dxa"/>
            <w:tcBorders>
              <w:top w:val="single" w:sz="4" w:space="0" w:color="auto"/>
              <w:left w:val="nil"/>
              <w:bottom w:val="single" w:sz="8" w:space="0" w:color="000000"/>
              <w:right w:val="single" w:sz="8" w:space="0" w:color="000000"/>
            </w:tcBorders>
            <w:shd w:val="clear" w:color="000000" w:fill="FFFFFF"/>
            <w:vAlign w:val="center"/>
            <w:hideMark/>
          </w:tcPr>
          <w:p w14:paraId="1F78D0EB"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w:t>
            </w:r>
          </w:p>
        </w:tc>
        <w:tc>
          <w:tcPr>
            <w:tcW w:w="389" w:type="dxa"/>
            <w:tcBorders>
              <w:top w:val="single" w:sz="4" w:space="0" w:color="auto"/>
              <w:left w:val="nil"/>
              <w:bottom w:val="single" w:sz="8" w:space="0" w:color="000000"/>
              <w:right w:val="single" w:sz="8" w:space="0" w:color="000000"/>
            </w:tcBorders>
            <w:shd w:val="clear" w:color="000000" w:fill="FFFFFF"/>
            <w:vAlign w:val="center"/>
            <w:hideMark/>
          </w:tcPr>
          <w:p w14:paraId="78F3846F"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w:t>
            </w:r>
          </w:p>
        </w:tc>
        <w:tc>
          <w:tcPr>
            <w:tcW w:w="389" w:type="dxa"/>
            <w:tcBorders>
              <w:top w:val="single" w:sz="4" w:space="0" w:color="auto"/>
              <w:left w:val="nil"/>
              <w:bottom w:val="single" w:sz="8" w:space="0" w:color="000000"/>
              <w:right w:val="nil"/>
            </w:tcBorders>
            <w:shd w:val="clear" w:color="000000" w:fill="FFFFFF"/>
            <w:vAlign w:val="center"/>
            <w:hideMark/>
          </w:tcPr>
          <w:p w14:paraId="312C97F4"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w:t>
            </w:r>
          </w:p>
        </w:tc>
        <w:tc>
          <w:tcPr>
            <w:tcW w:w="1437" w:type="dxa"/>
            <w:tcBorders>
              <w:top w:val="nil"/>
              <w:left w:val="single" w:sz="8" w:space="0" w:color="auto"/>
              <w:bottom w:val="single" w:sz="8" w:space="0" w:color="auto"/>
              <w:right w:val="single" w:sz="8" w:space="0" w:color="auto"/>
            </w:tcBorders>
            <w:shd w:val="clear" w:color="000000" w:fill="FFFFFF"/>
            <w:vAlign w:val="center"/>
            <w:hideMark/>
          </w:tcPr>
          <w:p w14:paraId="16CE2869"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SCVS / BID</w:t>
            </w:r>
          </w:p>
        </w:tc>
        <w:tc>
          <w:tcPr>
            <w:tcW w:w="1117" w:type="dxa"/>
            <w:tcBorders>
              <w:top w:val="nil"/>
              <w:left w:val="nil"/>
              <w:bottom w:val="nil"/>
              <w:right w:val="single" w:sz="8" w:space="0" w:color="auto"/>
            </w:tcBorders>
            <w:shd w:val="clear" w:color="000000" w:fill="FFFFFF"/>
            <w:vAlign w:val="center"/>
            <w:hideMark/>
          </w:tcPr>
          <w:p w14:paraId="7DF10388" w14:textId="249A2F98" w:rsidR="00F2679F" w:rsidRPr="00C2120C" w:rsidRDefault="00F2679F" w:rsidP="00532FF8">
            <w:pPr>
              <w:spacing w:after="0" w:line="240" w:lineRule="auto"/>
              <w:jc w:val="center"/>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US$15</w:t>
            </w:r>
            <w:r w:rsidR="00061537">
              <w:rPr>
                <w:rFonts w:ascii="Arial" w:eastAsia="Times New Roman" w:hAnsi="Arial" w:cs="Arial"/>
                <w:color w:val="000000"/>
                <w:sz w:val="18"/>
                <w:szCs w:val="18"/>
                <w:lang w:val="es-PE"/>
              </w:rPr>
              <w:t>.</w:t>
            </w:r>
            <w:r w:rsidRPr="00C2120C">
              <w:rPr>
                <w:rFonts w:ascii="Arial" w:eastAsia="Times New Roman" w:hAnsi="Arial" w:cs="Arial"/>
                <w:color w:val="000000"/>
                <w:sz w:val="18"/>
                <w:szCs w:val="18"/>
                <w:lang w:val="es-PE"/>
              </w:rPr>
              <w:t>000</w:t>
            </w:r>
          </w:p>
        </w:tc>
      </w:tr>
      <w:tr w:rsidR="00860B11" w:rsidRPr="00B1147E" w14:paraId="2E259956" w14:textId="77777777" w:rsidTr="00C2120C">
        <w:trPr>
          <w:trHeight w:val="804"/>
        </w:trPr>
        <w:tc>
          <w:tcPr>
            <w:tcW w:w="1847" w:type="dxa"/>
            <w:tcBorders>
              <w:top w:val="nil"/>
              <w:left w:val="single" w:sz="8" w:space="0" w:color="000000"/>
              <w:bottom w:val="single" w:sz="8" w:space="0" w:color="000000"/>
              <w:right w:val="single" w:sz="8" w:space="0" w:color="000000"/>
            </w:tcBorders>
            <w:shd w:val="clear" w:color="000000" w:fill="FFFFFF"/>
            <w:vAlign w:val="center"/>
            <w:hideMark/>
          </w:tcPr>
          <w:p w14:paraId="77342067"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3. Registro de datos administrativos</w:t>
            </w:r>
          </w:p>
        </w:tc>
        <w:tc>
          <w:tcPr>
            <w:tcW w:w="345" w:type="dxa"/>
            <w:tcBorders>
              <w:top w:val="nil"/>
              <w:left w:val="nil"/>
              <w:bottom w:val="single" w:sz="8" w:space="0" w:color="000000"/>
              <w:right w:val="single" w:sz="8" w:space="0" w:color="000000"/>
            </w:tcBorders>
            <w:shd w:val="clear" w:color="000000" w:fill="FFFFFF"/>
            <w:vAlign w:val="center"/>
            <w:hideMark/>
          </w:tcPr>
          <w:p w14:paraId="25CBF9D1"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w:t>
            </w:r>
          </w:p>
        </w:tc>
        <w:tc>
          <w:tcPr>
            <w:tcW w:w="346" w:type="dxa"/>
            <w:tcBorders>
              <w:top w:val="nil"/>
              <w:left w:val="nil"/>
              <w:bottom w:val="single" w:sz="8" w:space="0" w:color="000000"/>
              <w:right w:val="single" w:sz="8" w:space="0" w:color="000000"/>
            </w:tcBorders>
            <w:shd w:val="clear" w:color="000000" w:fill="FFFFFF"/>
            <w:vAlign w:val="center"/>
            <w:hideMark/>
          </w:tcPr>
          <w:p w14:paraId="1D3B9E12"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w:t>
            </w:r>
          </w:p>
        </w:tc>
        <w:tc>
          <w:tcPr>
            <w:tcW w:w="389" w:type="dxa"/>
            <w:tcBorders>
              <w:top w:val="nil"/>
              <w:left w:val="nil"/>
              <w:bottom w:val="single" w:sz="8" w:space="0" w:color="000000"/>
              <w:right w:val="single" w:sz="8" w:space="0" w:color="000000"/>
            </w:tcBorders>
            <w:shd w:val="clear" w:color="000000" w:fill="FFFFFF"/>
            <w:vAlign w:val="center"/>
            <w:hideMark/>
          </w:tcPr>
          <w:p w14:paraId="132BD589"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X</w:t>
            </w:r>
          </w:p>
        </w:tc>
        <w:tc>
          <w:tcPr>
            <w:tcW w:w="346" w:type="dxa"/>
            <w:tcBorders>
              <w:top w:val="nil"/>
              <w:left w:val="nil"/>
              <w:bottom w:val="single" w:sz="8" w:space="0" w:color="000000"/>
              <w:right w:val="single" w:sz="8" w:space="0" w:color="000000"/>
            </w:tcBorders>
            <w:shd w:val="clear" w:color="000000" w:fill="FFFFFF"/>
            <w:vAlign w:val="center"/>
            <w:hideMark/>
          </w:tcPr>
          <w:p w14:paraId="13AB96B4"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X</w:t>
            </w:r>
          </w:p>
        </w:tc>
        <w:tc>
          <w:tcPr>
            <w:tcW w:w="346" w:type="dxa"/>
            <w:tcBorders>
              <w:top w:val="nil"/>
              <w:left w:val="nil"/>
              <w:bottom w:val="single" w:sz="8" w:space="0" w:color="000000"/>
              <w:right w:val="single" w:sz="8" w:space="0" w:color="000000"/>
            </w:tcBorders>
            <w:shd w:val="clear" w:color="000000" w:fill="FFFFFF"/>
            <w:vAlign w:val="center"/>
            <w:hideMark/>
          </w:tcPr>
          <w:p w14:paraId="38C13821"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X</w:t>
            </w:r>
          </w:p>
        </w:tc>
        <w:tc>
          <w:tcPr>
            <w:tcW w:w="346" w:type="dxa"/>
            <w:tcBorders>
              <w:top w:val="nil"/>
              <w:left w:val="nil"/>
              <w:bottom w:val="single" w:sz="8" w:space="0" w:color="000000"/>
              <w:right w:val="single" w:sz="8" w:space="0" w:color="000000"/>
            </w:tcBorders>
            <w:shd w:val="clear" w:color="000000" w:fill="FFFFFF"/>
            <w:vAlign w:val="center"/>
            <w:hideMark/>
          </w:tcPr>
          <w:p w14:paraId="6793216D"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X</w:t>
            </w:r>
          </w:p>
        </w:tc>
        <w:tc>
          <w:tcPr>
            <w:tcW w:w="346" w:type="dxa"/>
            <w:tcBorders>
              <w:top w:val="nil"/>
              <w:left w:val="nil"/>
              <w:bottom w:val="single" w:sz="8" w:space="0" w:color="000000"/>
              <w:right w:val="single" w:sz="8" w:space="0" w:color="000000"/>
            </w:tcBorders>
            <w:shd w:val="clear" w:color="000000" w:fill="FFFFFF"/>
            <w:vAlign w:val="center"/>
            <w:hideMark/>
          </w:tcPr>
          <w:p w14:paraId="127651D4"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X</w:t>
            </w:r>
          </w:p>
        </w:tc>
        <w:tc>
          <w:tcPr>
            <w:tcW w:w="346" w:type="dxa"/>
            <w:tcBorders>
              <w:top w:val="nil"/>
              <w:left w:val="nil"/>
              <w:bottom w:val="single" w:sz="8" w:space="0" w:color="000000"/>
              <w:right w:val="single" w:sz="8" w:space="0" w:color="000000"/>
            </w:tcBorders>
            <w:shd w:val="clear" w:color="000000" w:fill="FFFFFF"/>
            <w:vAlign w:val="center"/>
            <w:hideMark/>
          </w:tcPr>
          <w:p w14:paraId="602DF5D3"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X</w:t>
            </w:r>
          </w:p>
        </w:tc>
        <w:tc>
          <w:tcPr>
            <w:tcW w:w="346" w:type="dxa"/>
            <w:tcBorders>
              <w:top w:val="nil"/>
              <w:left w:val="nil"/>
              <w:bottom w:val="single" w:sz="8" w:space="0" w:color="000000"/>
              <w:right w:val="single" w:sz="8" w:space="0" w:color="000000"/>
            </w:tcBorders>
            <w:shd w:val="clear" w:color="000000" w:fill="FFFFFF"/>
            <w:vAlign w:val="center"/>
            <w:hideMark/>
          </w:tcPr>
          <w:p w14:paraId="5E3C8840"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X</w:t>
            </w:r>
          </w:p>
        </w:tc>
        <w:tc>
          <w:tcPr>
            <w:tcW w:w="389" w:type="dxa"/>
            <w:tcBorders>
              <w:top w:val="nil"/>
              <w:left w:val="nil"/>
              <w:bottom w:val="single" w:sz="8" w:space="0" w:color="000000"/>
              <w:right w:val="single" w:sz="8" w:space="0" w:color="000000"/>
            </w:tcBorders>
            <w:shd w:val="clear" w:color="000000" w:fill="FFFFFF"/>
            <w:vAlign w:val="center"/>
            <w:hideMark/>
          </w:tcPr>
          <w:p w14:paraId="5343EEF8"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X</w:t>
            </w:r>
          </w:p>
        </w:tc>
        <w:tc>
          <w:tcPr>
            <w:tcW w:w="389" w:type="dxa"/>
            <w:tcBorders>
              <w:top w:val="nil"/>
              <w:left w:val="nil"/>
              <w:bottom w:val="single" w:sz="8" w:space="0" w:color="000000"/>
              <w:right w:val="single" w:sz="8" w:space="0" w:color="000000"/>
            </w:tcBorders>
            <w:shd w:val="clear" w:color="000000" w:fill="FFFFFF"/>
            <w:vAlign w:val="center"/>
            <w:hideMark/>
          </w:tcPr>
          <w:p w14:paraId="70337343"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X</w:t>
            </w:r>
          </w:p>
        </w:tc>
        <w:tc>
          <w:tcPr>
            <w:tcW w:w="389" w:type="dxa"/>
            <w:tcBorders>
              <w:top w:val="nil"/>
              <w:left w:val="nil"/>
              <w:bottom w:val="single" w:sz="8" w:space="0" w:color="000000"/>
              <w:right w:val="nil"/>
            </w:tcBorders>
            <w:shd w:val="clear" w:color="000000" w:fill="FFFFFF"/>
            <w:vAlign w:val="center"/>
            <w:hideMark/>
          </w:tcPr>
          <w:p w14:paraId="00D9C303"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X</w:t>
            </w:r>
          </w:p>
        </w:tc>
        <w:tc>
          <w:tcPr>
            <w:tcW w:w="1437" w:type="dxa"/>
            <w:tcBorders>
              <w:top w:val="nil"/>
              <w:left w:val="single" w:sz="8" w:space="0" w:color="auto"/>
              <w:bottom w:val="single" w:sz="8" w:space="0" w:color="auto"/>
              <w:right w:val="single" w:sz="8" w:space="0" w:color="auto"/>
            </w:tcBorders>
            <w:shd w:val="clear" w:color="000000" w:fill="FFFFFF"/>
            <w:vAlign w:val="center"/>
            <w:hideMark/>
          </w:tcPr>
          <w:p w14:paraId="3D1AEC55" w14:textId="77777777" w:rsidR="00F2679F" w:rsidRPr="00C2120C" w:rsidRDefault="00F2679F" w:rsidP="002F4727">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SCVS</w:t>
            </w:r>
          </w:p>
        </w:tc>
        <w:tc>
          <w:tcPr>
            <w:tcW w:w="1117" w:type="dxa"/>
            <w:tcBorders>
              <w:top w:val="single" w:sz="8" w:space="0" w:color="auto"/>
              <w:left w:val="nil"/>
              <w:bottom w:val="single" w:sz="8" w:space="0" w:color="auto"/>
              <w:right w:val="single" w:sz="8" w:space="0" w:color="auto"/>
            </w:tcBorders>
            <w:shd w:val="clear" w:color="000000" w:fill="FFFFFF"/>
            <w:vAlign w:val="center"/>
            <w:hideMark/>
          </w:tcPr>
          <w:p w14:paraId="4CE95318" w14:textId="4A20A2E6" w:rsidR="00F2679F" w:rsidRPr="00C2120C" w:rsidRDefault="00F2679F" w:rsidP="00532FF8">
            <w:pPr>
              <w:spacing w:after="0" w:line="240" w:lineRule="auto"/>
              <w:jc w:val="center"/>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US$7</w:t>
            </w:r>
            <w:r w:rsidR="00061537">
              <w:rPr>
                <w:rFonts w:ascii="Arial" w:eastAsia="Times New Roman" w:hAnsi="Arial" w:cs="Arial"/>
                <w:color w:val="000000"/>
                <w:sz w:val="18"/>
                <w:szCs w:val="18"/>
                <w:lang w:val="es-PE"/>
              </w:rPr>
              <w:t>.</w:t>
            </w:r>
            <w:r w:rsidRPr="00C2120C">
              <w:rPr>
                <w:rFonts w:ascii="Arial" w:eastAsia="Times New Roman" w:hAnsi="Arial" w:cs="Arial"/>
                <w:color w:val="000000"/>
                <w:sz w:val="18"/>
                <w:szCs w:val="18"/>
                <w:lang w:val="es-PE"/>
              </w:rPr>
              <w:t>500</w:t>
            </w:r>
          </w:p>
        </w:tc>
      </w:tr>
      <w:tr w:rsidR="00860B11" w:rsidRPr="00B1147E" w14:paraId="6A33FB43" w14:textId="77777777" w:rsidTr="00C2120C">
        <w:trPr>
          <w:trHeight w:val="804"/>
        </w:trPr>
        <w:tc>
          <w:tcPr>
            <w:tcW w:w="1847" w:type="dxa"/>
            <w:tcBorders>
              <w:top w:val="nil"/>
              <w:left w:val="single" w:sz="8" w:space="0" w:color="000000"/>
              <w:bottom w:val="single" w:sz="8" w:space="0" w:color="000000"/>
              <w:right w:val="single" w:sz="8" w:space="0" w:color="000000"/>
            </w:tcBorders>
            <w:shd w:val="clear" w:color="000000" w:fill="FFFFFF"/>
            <w:vAlign w:val="center"/>
            <w:hideMark/>
          </w:tcPr>
          <w:p w14:paraId="73783502"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xml:space="preserve">4. Visita/Comunicación con las empresas </w:t>
            </w:r>
            <w:r w:rsidRPr="00C2120C">
              <w:rPr>
                <w:rFonts w:ascii="Arial" w:eastAsia="Times New Roman" w:hAnsi="Arial" w:cs="Arial"/>
                <w:color w:val="000000"/>
                <w:sz w:val="18"/>
                <w:szCs w:val="18"/>
                <w:lang w:val="es-PE"/>
              </w:rPr>
              <w:lastRenderedPageBreak/>
              <w:t>tratadas (Tratamiento)</w:t>
            </w:r>
          </w:p>
        </w:tc>
        <w:tc>
          <w:tcPr>
            <w:tcW w:w="345" w:type="dxa"/>
            <w:tcBorders>
              <w:top w:val="nil"/>
              <w:left w:val="nil"/>
              <w:bottom w:val="single" w:sz="8" w:space="0" w:color="000000"/>
              <w:right w:val="single" w:sz="8" w:space="0" w:color="000000"/>
            </w:tcBorders>
            <w:shd w:val="clear" w:color="000000" w:fill="FFFFFF"/>
            <w:vAlign w:val="center"/>
            <w:hideMark/>
          </w:tcPr>
          <w:p w14:paraId="6596737A"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lastRenderedPageBreak/>
              <w:t> </w:t>
            </w:r>
          </w:p>
        </w:tc>
        <w:tc>
          <w:tcPr>
            <w:tcW w:w="346" w:type="dxa"/>
            <w:tcBorders>
              <w:top w:val="nil"/>
              <w:left w:val="nil"/>
              <w:bottom w:val="single" w:sz="8" w:space="0" w:color="000000"/>
              <w:right w:val="single" w:sz="8" w:space="0" w:color="000000"/>
            </w:tcBorders>
            <w:shd w:val="clear" w:color="000000" w:fill="FFFFFF"/>
            <w:vAlign w:val="center"/>
            <w:hideMark/>
          </w:tcPr>
          <w:p w14:paraId="57D902EF"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w:t>
            </w:r>
          </w:p>
        </w:tc>
        <w:tc>
          <w:tcPr>
            <w:tcW w:w="389" w:type="dxa"/>
            <w:tcBorders>
              <w:top w:val="nil"/>
              <w:left w:val="nil"/>
              <w:bottom w:val="single" w:sz="8" w:space="0" w:color="000000"/>
              <w:right w:val="single" w:sz="8" w:space="0" w:color="000000"/>
            </w:tcBorders>
            <w:shd w:val="clear" w:color="000000" w:fill="FFFFFF"/>
            <w:vAlign w:val="center"/>
            <w:hideMark/>
          </w:tcPr>
          <w:p w14:paraId="3B526F14"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w:t>
            </w:r>
          </w:p>
        </w:tc>
        <w:tc>
          <w:tcPr>
            <w:tcW w:w="346" w:type="dxa"/>
            <w:tcBorders>
              <w:top w:val="nil"/>
              <w:left w:val="nil"/>
              <w:bottom w:val="single" w:sz="8" w:space="0" w:color="000000"/>
              <w:right w:val="single" w:sz="8" w:space="0" w:color="000000"/>
            </w:tcBorders>
            <w:shd w:val="clear" w:color="000000" w:fill="FFFFFF"/>
            <w:vAlign w:val="center"/>
            <w:hideMark/>
          </w:tcPr>
          <w:p w14:paraId="647C2D74"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X</w:t>
            </w:r>
          </w:p>
        </w:tc>
        <w:tc>
          <w:tcPr>
            <w:tcW w:w="346" w:type="dxa"/>
            <w:tcBorders>
              <w:top w:val="nil"/>
              <w:left w:val="nil"/>
              <w:bottom w:val="single" w:sz="8" w:space="0" w:color="000000"/>
              <w:right w:val="single" w:sz="8" w:space="0" w:color="000000"/>
            </w:tcBorders>
            <w:shd w:val="clear" w:color="000000" w:fill="FFFFFF"/>
            <w:vAlign w:val="center"/>
            <w:hideMark/>
          </w:tcPr>
          <w:p w14:paraId="0AE89728" w14:textId="77777777" w:rsidR="00F2679F" w:rsidRPr="00C2120C" w:rsidRDefault="00F2679F" w:rsidP="00532FF8">
            <w:pPr>
              <w:spacing w:after="0" w:line="240" w:lineRule="auto"/>
              <w:rPr>
                <w:rFonts w:ascii="Arial" w:eastAsia="Times New Roman" w:hAnsi="Arial" w:cs="Arial"/>
                <w:color w:val="000000"/>
                <w:sz w:val="18"/>
                <w:szCs w:val="18"/>
                <w:lang w:val="es-PE"/>
              </w:rPr>
            </w:pPr>
          </w:p>
        </w:tc>
        <w:tc>
          <w:tcPr>
            <w:tcW w:w="346" w:type="dxa"/>
            <w:tcBorders>
              <w:top w:val="nil"/>
              <w:left w:val="nil"/>
              <w:bottom w:val="single" w:sz="8" w:space="0" w:color="000000"/>
              <w:right w:val="single" w:sz="8" w:space="0" w:color="000000"/>
            </w:tcBorders>
            <w:shd w:val="clear" w:color="000000" w:fill="FFFFFF"/>
            <w:vAlign w:val="center"/>
            <w:hideMark/>
          </w:tcPr>
          <w:p w14:paraId="17FB8F1C"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w:t>
            </w:r>
          </w:p>
        </w:tc>
        <w:tc>
          <w:tcPr>
            <w:tcW w:w="346" w:type="dxa"/>
            <w:tcBorders>
              <w:top w:val="nil"/>
              <w:left w:val="nil"/>
              <w:bottom w:val="single" w:sz="8" w:space="0" w:color="000000"/>
              <w:right w:val="single" w:sz="8" w:space="0" w:color="000000"/>
            </w:tcBorders>
            <w:shd w:val="clear" w:color="000000" w:fill="FFFFFF"/>
            <w:vAlign w:val="center"/>
            <w:hideMark/>
          </w:tcPr>
          <w:p w14:paraId="28ADD3C7"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w:t>
            </w:r>
          </w:p>
        </w:tc>
        <w:tc>
          <w:tcPr>
            <w:tcW w:w="346" w:type="dxa"/>
            <w:tcBorders>
              <w:top w:val="nil"/>
              <w:left w:val="nil"/>
              <w:bottom w:val="single" w:sz="8" w:space="0" w:color="000000"/>
              <w:right w:val="single" w:sz="8" w:space="0" w:color="000000"/>
            </w:tcBorders>
            <w:shd w:val="clear" w:color="000000" w:fill="FFFFFF"/>
            <w:vAlign w:val="center"/>
            <w:hideMark/>
          </w:tcPr>
          <w:p w14:paraId="2FA25262"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w:t>
            </w:r>
          </w:p>
        </w:tc>
        <w:tc>
          <w:tcPr>
            <w:tcW w:w="346" w:type="dxa"/>
            <w:tcBorders>
              <w:top w:val="nil"/>
              <w:left w:val="nil"/>
              <w:bottom w:val="single" w:sz="8" w:space="0" w:color="000000"/>
              <w:right w:val="single" w:sz="8" w:space="0" w:color="000000"/>
            </w:tcBorders>
            <w:shd w:val="clear" w:color="000000" w:fill="FFFFFF"/>
            <w:vAlign w:val="center"/>
            <w:hideMark/>
          </w:tcPr>
          <w:p w14:paraId="013F5252"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w:t>
            </w:r>
          </w:p>
        </w:tc>
        <w:tc>
          <w:tcPr>
            <w:tcW w:w="389" w:type="dxa"/>
            <w:tcBorders>
              <w:top w:val="nil"/>
              <w:left w:val="nil"/>
              <w:bottom w:val="single" w:sz="8" w:space="0" w:color="000000"/>
              <w:right w:val="single" w:sz="8" w:space="0" w:color="000000"/>
            </w:tcBorders>
            <w:shd w:val="clear" w:color="000000" w:fill="FFFFFF"/>
            <w:vAlign w:val="center"/>
            <w:hideMark/>
          </w:tcPr>
          <w:p w14:paraId="7545C9A9"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w:t>
            </w:r>
          </w:p>
        </w:tc>
        <w:tc>
          <w:tcPr>
            <w:tcW w:w="389" w:type="dxa"/>
            <w:tcBorders>
              <w:top w:val="nil"/>
              <w:left w:val="nil"/>
              <w:bottom w:val="single" w:sz="8" w:space="0" w:color="000000"/>
              <w:right w:val="single" w:sz="8" w:space="0" w:color="000000"/>
            </w:tcBorders>
            <w:shd w:val="clear" w:color="000000" w:fill="FFFFFF"/>
            <w:vAlign w:val="center"/>
            <w:hideMark/>
          </w:tcPr>
          <w:p w14:paraId="1156493E"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w:t>
            </w:r>
          </w:p>
        </w:tc>
        <w:tc>
          <w:tcPr>
            <w:tcW w:w="389" w:type="dxa"/>
            <w:tcBorders>
              <w:top w:val="nil"/>
              <w:left w:val="nil"/>
              <w:bottom w:val="single" w:sz="8" w:space="0" w:color="000000"/>
              <w:right w:val="nil"/>
            </w:tcBorders>
            <w:shd w:val="clear" w:color="000000" w:fill="FFFFFF"/>
            <w:vAlign w:val="center"/>
            <w:hideMark/>
          </w:tcPr>
          <w:p w14:paraId="36447D4E"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w:t>
            </w:r>
          </w:p>
        </w:tc>
        <w:tc>
          <w:tcPr>
            <w:tcW w:w="1437" w:type="dxa"/>
            <w:tcBorders>
              <w:top w:val="nil"/>
              <w:left w:val="single" w:sz="8" w:space="0" w:color="auto"/>
              <w:bottom w:val="single" w:sz="8" w:space="0" w:color="auto"/>
              <w:right w:val="single" w:sz="8" w:space="0" w:color="auto"/>
            </w:tcBorders>
            <w:shd w:val="clear" w:color="000000" w:fill="FFFFFF"/>
            <w:vAlign w:val="center"/>
            <w:hideMark/>
          </w:tcPr>
          <w:p w14:paraId="7C87F27F"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SCVS / PRESIDENCIA</w:t>
            </w:r>
          </w:p>
        </w:tc>
        <w:tc>
          <w:tcPr>
            <w:tcW w:w="1117" w:type="dxa"/>
            <w:tcBorders>
              <w:top w:val="nil"/>
              <w:left w:val="nil"/>
              <w:bottom w:val="single" w:sz="8" w:space="0" w:color="auto"/>
              <w:right w:val="single" w:sz="8" w:space="0" w:color="auto"/>
            </w:tcBorders>
            <w:shd w:val="clear" w:color="000000" w:fill="FFFFFF"/>
            <w:vAlign w:val="center"/>
            <w:hideMark/>
          </w:tcPr>
          <w:p w14:paraId="066EF830" w14:textId="611632BC" w:rsidR="00F2679F" w:rsidRPr="00C2120C" w:rsidRDefault="00F2679F" w:rsidP="00532FF8">
            <w:pPr>
              <w:spacing w:after="0" w:line="240" w:lineRule="auto"/>
              <w:jc w:val="center"/>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US$10</w:t>
            </w:r>
            <w:r w:rsidR="00061537">
              <w:rPr>
                <w:rFonts w:ascii="Arial" w:eastAsia="Times New Roman" w:hAnsi="Arial" w:cs="Arial"/>
                <w:color w:val="000000"/>
                <w:sz w:val="18"/>
                <w:szCs w:val="18"/>
                <w:lang w:val="es-PE"/>
              </w:rPr>
              <w:t>.</w:t>
            </w:r>
            <w:r w:rsidRPr="00C2120C">
              <w:rPr>
                <w:rFonts w:ascii="Arial" w:eastAsia="Times New Roman" w:hAnsi="Arial" w:cs="Arial"/>
                <w:color w:val="000000"/>
                <w:sz w:val="18"/>
                <w:szCs w:val="18"/>
                <w:lang w:val="es-PE"/>
              </w:rPr>
              <w:t>000</w:t>
            </w:r>
          </w:p>
        </w:tc>
      </w:tr>
      <w:tr w:rsidR="00860B11" w:rsidRPr="00B1147E" w14:paraId="3BDF8C54" w14:textId="77777777" w:rsidTr="00C2120C">
        <w:trPr>
          <w:trHeight w:val="804"/>
        </w:trPr>
        <w:tc>
          <w:tcPr>
            <w:tcW w:w="1847" w:type="dxa"/>
            <w:tcBorders>
              <w:top w:val="nil"/>
              <w:left w:val="single" w:sz="8" w:space="0" w:color="000000"/>
              <w:bottom w:val="single" w:sz="8" w:space="0" w:color="000000"/>
              <w:right w:val="single" w:sz="8" w:space="0" w:color="000000"/>
            </w:tcBorders>
            <w:shd w:val="clear" w:color="000000" w:fill="FFFFFF"/>
            <w:vAlign w:val="center"/>
            <w:hideMark/>
          </w:tcPr>
          <w:p w14:paraId="673B3186"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5. Recolección de línea de seguimiento</w:t>
            </w:r>
          </w:p>
        </w:tc>
        <w:tc>
          <w:tcPr>
            <w:tcW w:w="345" w:type="dxa"/>
            <w:tcBorders>
              <w:top w:val="nil"/>
              <w:left w:val="nil"/>
              <w:bottom w:val="single" w:sz="8" w:space="0" w:color="000000"/>
              <w:right w:val="single" w:sz="8" w:space="0" w:color="000000"/>
            </w:tcBorders>
            <w:shd w:val="clear" w:color="000000" w:fill="FFFFFF"/>
            <w:vAlign w:val="center"/>
            <w:hideMark/>
          </w:tcPr>
          <w:p w14:paraId="64E7C901"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w:t>
            </w:r>
          </w:p>
        </w:tc>
        <w:tc>
          <w:tcPr>
            <w:tcW w:w="346" w:type="dxa"/>
            <w:tcBorders>
              <w:top w:val="nil"/>
              <w:left w:val="nil"/>
              <w:bottom w:val="single" w:sz="8" w:space="0" w:color="000000"/>
              <w:right w:val="single" w:sz="8" w:space="0" w:color="000000"/>
            </w:tcBorders>
            <w:shd w:val="clear" w:color="000000" w:fill="FFFFFF"/>
            <w:vAlign w:val="center"/>
            <w:hideMark/>
          </w:tcPr>
          <w:p w14:paraId="2B1717B6"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w:t>
            </w:r>
          </w:p>
        </w:tc>
        <w:tc>
          <w:tcPr>
            <w:tcW w:w="389" w:type="dxa"/>
            <w:tcBorders>
              <w:top w:val="nil"/>
              <w:left w:val="nil"/>
              <w:bottom w:val="single" w:sz="8" w:space="0" w:color="000000"/>
              <w:right w:val="single" w:sz="8" w:space="0" w:color="000000"/>
            </w:tcBorders>
            <w:shd w:val="clear" w:color="000000" w:fill="FFFFFF"/>
            <w:vAlign w:val="center"/>
            <w:hideMark/>
          </w:tcPr>
          <w:p w14:paraId="2FF56D9F"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w:t>
            </w:r>
          </w:p>
        </w:tc>
        <w:tc>
          <w:tcPr>
            <w:tcW w:w="346" w:type="dxa"/>
            <w:tcBorders>
              <w:top w:val="nil"/>
              <w:left w:val="nil"/>
              <w:bottom w:val="single" w:sz="8" w:space="0" w:color="000000"/>
              <w:right w:val="single" w:sz="8" w:space="0" w:color="000000"/>
            </w:tcBorders>
            <w:shd w:val="clear" w:color="000000" w:fill="FFFFFF"/>
            <w:vAlign w:val="center"/>
            <w:hideMark/>
          </w:tcPr>
          <w:p w14:paraId="757B31B1"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w:t>
            </w:r>
          </w:p>
        </w:tc>
        <w:tc>
          <w:tcPr>
            <w:tcW w:w="346" w:type="dxa"/>
            <w:tcBorders>
              <w:top w:val="nil"/>
              <w:left w:val="nil"/>
              <w:bottom w:val="single" w:sz="8" w:space="0" w:color="000000"/>
              <w:right w:val="single" w:sz="8" w:space="0" w:color="000000"/>
            </w:tcBorders>
            <w:shd w:val="clear" w:color="000000" w:fill="FFFFFF"/>
            <w:vAlign w:val="center"/>
            <w:hideMark/>
          </w:tcPr>
          <w:p w14:paraId="122E57B4"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w:t>
            </w:r>
          </w:p>
        </w:tc>
        <w:tc>
          <w:tcPr>
            <w:tcW w:w="346" w:type="dxa"/>
            <w:tcBorders>
              <w:top w:val="nil"/>
              <w:left w:val="nil"/>
              <w:bottom w:val="single" w:sz="8" w:space="0" w:color="000000"/>
              <w:right w:val="single" w:sz="8" w:space="0" w:color="000000"/>
            </w:tcBorders>
            <w:shd w:val="clear" w:color="000000" w:fill="FFFFFF"/>
            <w:vAlign w:val="center"/>
            <w:hideMark/>
          </w:tcPr>
          <w:p w14:paraId="16E7465F"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w:t>
            </w:r>
          </w:p>
        </w:tc>
        <w:tc>
          <w:tcPr>
            <w:tcW w:w="346" w:type="dxa"/>
            <w:tcBorders>
              <w:top w:val="nil"/>
              <w:left w:val="nil"/>
              <w:bottom w:val="single" w:sz="8" w:space="0" w:color="000000"/>
              <w:right w:val="single" w:sz="8" w:space="0" w:color="000000"/>
            </w:tcBorders>
            <w:shd w:val="clear" w:color="000000" w:fill="FFFFFF"/>
            <w:vAlign w:val="center"/>
            <w:hideMark/>
          </w:tcPr>
          <w:p w14:paraId="418363E8"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w:t>
            </w:r>
          </w:p>
        </w:tc>
        <w:tc>
          <w:tcPr>
            <w:tcW w:w="346" w:type="dxa"/>
            <w:tcBorders>
              <w:top w:val="nil"/>
              <w:left w:val="nil"/>
              <w:bottom w:val="single" w:sz="8" w:space="0" w:color="000000"/>
              <w:right w:val="single" w:sz="8" w:space="0" w:color="000000"/>
            </w:tcBorders>
            <w:shd w:val="clear" w:color="000000" w:fill="FFFFFF"/>
            <w:vAlign w:val="center"/>
            <w:hideMark/>
          </w:tcPr>
          <w:p w14:paraId="689C9A5D" w14:textId="77777777" w:rsidR="00F2679F" w:rsidRPr="00C2120C" w:rsidRDefault="00F2679F" w:rsidP="00532FF8">
            <w:pPr>
              <w:spacing w:after="0" w:line="240" w:lineRule="auto"/>
              <w:rPr>
                <w:rFonts w:ascii="Arial" w:eastAsia="Times New Roman" w:hAnsi="Arial" w:cs="Arial"/>
                <w:color w:val="000000"/>
                <w:sz w:val="18"/>
                <w:szCs w:val="18"/>
                <w:lang w:val="es-PE"/>
              </w:rPr>
            </w:pPr>
          </w:p>
        </w:tc>
        <w:tc>
          <w:tcPr>
            <w:tcW w:w="346" w:type="dxa"/>
            <w:tcBorders>
              <w:top w:val="nil"/>
              <w:left w:val="nil"/>
              <w:bottom w:val="single" w:sz="8" w:space="0" w:color="000000"/>
              <w:right w:val="single" w:sz="8" w:space="0" w:color="000000"/>
            </w:tcBorders>
            <w:shd w:val="clear" w:color="000000" w:fill="FFFFFF"/>
            <w:vAlign w:val="center"/>
            <w:hideMark/>
          </w:tcPr>
          <w:p w14:paraId="5ADACEE1" w14:textId="77777777" w:rsidR="00F2679F" w:rsidRPr="00C2120C" w:rsidRDefault="00F2679F" w:rsidP="00532FF8">
            <w:pPr>
              <w:spacing w:after="0" w:line="240" w:lineRule="auto"/>
              <w:rPr>
                <w:rFonts w:ascii="Arial" w:eastAsia="Times New Roman" w:hAnsi="Arial" w:cs="Arial"/>
                <w:color w:val="000000"/>
                <w:sz w:val="18"/>
                <w:szCs w:val="18"/>
                <w:lang w:val="es-PE"/>
              </w:rPr>
            </w:pPr>
          </w:p>
        </w:tc>
        <w:tc>
          <w:tcPr>
            <w:tcW w:w="389" w:type="dxa"/>
            <w:tcBorders>
              <w:top w:val="nil"/>
              <w:left w:val="nil"/>
              <w:bottom w:val="single" w:sz="8" w:space="0" w:color="000000"/>
              <w:right w:val="single" w:sz="8" w:space="0" w:color="000000"/>
            </w:tcBorders>
            <w:shd w:val="clear" w:color="000000" w:fill="FFFFFF"/>
            <w:vAlign w:val="center"/>
            <w:hideMark/>
          </w:tcPr>
          <w:p w14:paraId="173F7990"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X </w:t>
            </w:r>
          </w:p>
        </w:tc>
        <w:tc>
          <w:tcPr>
            <w:tcW w:w="389" w:type="dxa"/>
            <w:tcBorders>
              <w:top w:val="nil"/>
              <w:left w:val="nil"/>
              <w:bottom w:val="single" w:sz="8" w:space="0" w:color="000000"/>
              <w:right w:val="single" w:sz="8" w:space="0" w:color="000000"/>
            </w:tcBorders>
            <w:shd w:val="clear" w:color="000000" w:fill="FFFFFF"/>
            <w:vAlign w:val="center"/>
            <w:hideMark/>
          </w:tcPr>
          <w:p w14:paraId="79274B65"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X</w:t>
            </w:r>
          </w:p>
        </w:tc>
        <w:tc>
          <w:tcPr>
            <w:tcW w:w="389" w:type="dxa"/>
            <w:tcBorders>
              <w:top w:val="nil"/>
              <w:left w:val="nil"/>
              <w:bottom w:val="single" w:sz="8" w:space="0" w:color="000000"/>
              <w:right w:val="nil"/>
            </w:tcBorders>
            <w:shd w:val="clear" w:color="000000" w:fill="FFFFFF"/>
            <w:vAlign w:val="center"/>
            <w:hideMark/>
          </w:tcPr>
          <w:p w14:paraId="738469D5"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w:t>
            </w:r>
          </w:p>
        </w:tc>
        <w:tc>
          <w:tcPr>
            <w:tcW w:w="1437" w:type="dxa"/>
            <w:tcBorders>
              <w:top w:val="nil"/>
              <w:left w:val="single" w:sz="8" w:space="0" w:color="auto"/>
              <w:bottom w:val="single" w:sz="8" w:space="0" w:color="auto"/>
              <w:right w:val="single" w:sz="8" w:space="0" w:color="auto"/>
            </w:tcBorders>
            <w:shd w:val="clear" w:color="000000" w:fill="FFFFFF"/>
            <w:vAlign w:val="center"/>
            <w:hideMark/>
          </w:tcPr>
          <w:p w14:paraId="39DD123B"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SCVS / BID</w:t>
            </w:r>
          </w:p>
        </w:tc>
        <w:tc>
          <w:tcPr>
            <w:tcW w:w="1117" w:type="dxa"/>
            <w:tcBorders>
              <w:top w:val="nil"/>
              <w:left w:val="nil"/>
              <w:bottom w:val="single" w:sz="8" w:space="0" w:color="auto"/>
              <w:right w:val="single" w:sz="8" w:space="0" w:color="auto"/>
            </w:tcBorders>
            <w:shd w:val="clear" w:color="000000" w:fill="FFFFFF"/>
            <w:vAlign w:val="center"/>
            <w:hideMark/>
          </w:tcPr>
          <w:p w14:paraId="71113307" w14:textId="2BA546B1" w:rsidR="00F2679F" w:rsidRPr="00C2120C" w:rsidRDefault="00F2679F" w:rsidP="00532FF8">
            <w:pPr>
              <w:spacing w:after="0" w:line="240" w:lineRule="auto"/>
              <w:jc w:val="center"/>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US$35</w:t>
            </w:r>
            <w:r w:rsidR="00061537">
              <w:rPr>
                <w:rFonts w:ascii="Arial" w:eastAsia="Times New Roman" w:hAnsi="Arial" w:cs="Arial"/>
                <w:color w:val="000000"/>
                <w:sz w:val="18"/>
                <w:szCs w:val="18"/>
                <w:lang w:val="es-PE"/>
              </w:rPr>
              <w:t>.</w:t>
            </w:r>
            <w:r w:rsidRPr="00C2120C">
              <w:rPr>
                <w:rFonts w:ascii="Arial" w:eastAsia="Times New Roman" w:hAnsi="Arial" w:cs="Arial"/>
                <w:color w:val="000000"/>
                <w:sz w:val="18"/>
                <w:szCs w:val="18"/>
                <w:lang w:val="es-PE"/>
              </w:rPr>
              <w:t>000</w:t>
            </w:r>
          </w:p>
        </w:tc>
      </w:tr>
      <w:tr w:rsidR="00860B11" w:rsidRPr="00B1147E" w14:paraId="17C78842" w14:textId="77777777" w:rsidTr="00C2120C">
        <w:trPr>
          <w:trHeight w:val="804"/>
        </w:trPr>
        <w:tc>
          <w:tcPr>
            <w:tcW w:w="1847" w:type="dxa"/>
            <w:tcBorders>
              <w:top w:val="nil"/>
              <w:left w:val="single" w:sz="8" w:space="0" w:color="000000"/>
              <w:bottom w:val="single" w:sz="8" w:space="0" w:color="000000"/>
              <w:right w:val="single" w:sz="8" w:space="0" w:color="000000"/>
            </w:tcBorders>
            <w:shd w:val="clear" w:color="000000" w:fill="FFFFFF"/>
            <w:vAlign w:val="center"/>
            <w:hideMark/>
          </w:tcPr>
          <w:p w14:paraId="0A1744DE"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6. Análisis de datos</w:t>
            </w:r>
          </w:p>
        </w:tc>
        <w:tc>
          <w:tcPr>
            <w:tcW w:w="345" w:type="dxa"/>
            <w:tcBorders>
              <w:top w:val="nil"/>
              <w:left w:val="nil"/>
              <w:bottom w:val="single" w:sz="8" w:space="0" w:color="000000"/>
              <w:right w:val="single" w:sz="8" w:space="0" w:color="000000"/>
            </w:tcBorders>
            <w:shd w:val="clear" w:color="000000" w:fill="FFFFFF"/>
            <w:vAlign w:val="center"/>
            <w:hideMark/>
          </w:tcPr>
          <w:p w14:paraId="39B99DAA"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w:t>
            </w:r>
          </w:p>
        </w:tc>
        <w:tc>
          <w:tcPr>
            <w:tcW w:w="346" w:type="dxa"/>
            <w:tcBorders>
              <w:top w:val="nil"/>
              <w:left w:val="nil"/>
              <w:bottom w:val="single" w:sz="8" w:space="0" w:color="000000"/>
              <w:right w:val="single" w:sz="8" w:space="0" w:color="000000"/>
            </w:tcBorders>
            <w:shd w:val="clear" w:color="000000" w:fill="FFFFFF"/>
            <w:vAlign w:val="center"/>
            <w:hideMark/>
          </w:tcPr>
          <w:p w14:paraId="20E25242"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w:t>
            </w:r>
          </w:p>
        </w:tc>
        <w:tc>
          <w:tcPr>
            <w:tcW w:w="389" w:type="dxa"/>
            <w:tcBorders>
              <w:top w:val="nil"/>
              <w:left w:val="nil"/>
              <w:bottom w:val="single" w:sz="8" w:space="0" w:color="000000"/>
              <w:right w:val="single" w:sz="8" w:space="0" w:color="000000"/>
            </w:tcBorders>
            <w:shd w:val="clear" w:color="000000" w:fill="FFFFFF"/>
            <w:vAlign w:val="center"/>
            <w:hideMark/>
          </w:tcPr>
          <w:p w14:paraId="257A7D1A"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w:t>
            </w:r>
          </w:p>
        </w:tc>
        <w:tc>
          <w:tcPr>
            <w:tcW w:w="346" w:type="dxa"/>
            <w:tcBorders>
              <w:top w:val="nil"/>
              <w:left w:val="nil"/>
              <w:bottom w:val="single" w:sz="8" w:space="0" w:color="000000"/>
              <w:right w:val="single" w:sz="8" w:space="0" w:color="000000"/>
            </w:tcBorders>
            <w:shd w:val="clear" w:color="000000" w:fill="FFFFFF"/>
            <w:vAlign w:val="center"/>
            <w:hideMark/>
          </w:tcPr>
          <w:p w14:paraId="671E2117"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w:t>
            </w:r>
          </w:p>
        </w:tc>
        <w:tc>
          <w:tcPr>
            <w:tcW w:w="346" w:type="dxa"/>
            <w:tcBorders>
              <w:top w:val="nil"/>
              <w:left w:val="nil"/>
              <w:bottom w:val="single" w:sz="8" w:space="0" w:color="000000"/>
              <w:right w:val="single" w:sz="8" w:space="0" w:color="000000"/>
            </w:tcBorders>
            <w:shd w:val="clear" w:color="000000" w:fill="FFFFFF"/>
            <w:vAlign w:val="center"/>
            <w:hideMark/>
          </w:tcPr>
          <w:p w14:paraId="09E8569C"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w:t>
            </w:r>
          </w:p>
        </w:tc>
        <w:tc>
          <w:tcPr>
            <w:tcW w:w="346" w:type="dxa"/>
            <w:tcBorders>
              <w:top w:val="nil"/>
              <w:left w:val="nil"/>
              <w:bottom w:val="single" w:sz="8" w:space="0" w:color="000000"/>
              <w:right w:val="single" w:sz="8" w:space="0" w:color="000000"/>
            </w:tcBorders>
            <w:shd w:val="clear" w:color="000000" w:fill="FFFFFF"/>
            <w:vAlign w:val="center"/>
            <w:hideMark/>
          </w:tcPr>
          <w:p w14:paraId="314F5DB0"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w:t>
            </w:r>
          </w:p>
        </w:tc>
        <w:tc>
          <w:tcPr>
            <w:tcW w:w="346" w:type="dxa"/>
            <w:tcBorders>
              <w:top w:val="nil"/>
              <w:left w:val="nil"/>
              <w:bottom w:val="single" w:sz="8" w:space="0" w:color="000000"/>
              <w:right w:val="single" w:sz="8" w:space="0" w:color="000000"/>
            </w:tcBorders>
            <w:shd w:val="clear" w:color="000000" w:fill="FFFFFF"/>
            <w:vAlign w:val="center"/>
            <w:hideMark/>
          </w:tcPr>
          <w:p w14:paraId="4CC9F98F"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w:t>
            </w:r>
          </w:p>
        </w:tc>
        <w:tc>
          <w:tcPr>
            <w:tcW w:w="346" w:type="dxa"/>
            <w:tcBorders>
              <w:top w:val="nil"/>
              <w:left w:val="nil"/>
              <w:bottom w:val="single" w:sz="8" w:space="0" w:color="000000"/>
              <w:right w:val="single" w:sz="8" w:space="0" w:color="000000"/>
            </w:tcBorders>
            <w:shd w:val="clear" w:color="000000" w:fill="FFFFFF"/>
            <w:vAlign w:val="center"/>
            <w:hideMark/>
          </w:tcPr>
          <w:p w14:paraId="7B77CDDE"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w:t>
            </w:r>
          </w:p>
        </w:tc>
        <w:tc>
          <w:tcPr>
            <w:tcW w:w="346" w:type="dxa"/>
            <w:tcBorders>
              <w:top w:val="nil"/>
              <w:left w:val="nil"/>
              <w:bottom w:val="single" w:sz="8" w:space="0" w:color="000000"/>
              <w:right w:val="single" w:sz="8" w:space="0" w:color="000000"/>
            </w:tcBorders>
            <w:shd w:val="clear" w:color="000000" w:fill="FFFFFF"/>
            <w:vAlign w:val="center"/>
            <w:hideMark/>
          </w:tcPr>
          <w:p w14:paraId="3E21C592" w14:textId="77777777" w:rsidR="00F2679F" w:rsidRPr="00C2120C" w:rsidRDefault="00F2679F" w:rsidP="00532FF8">
            <w:pPr>
              <w:spacing w:after="0" w:line="240" w:lineRule="auto"/>
              <w:rPr>
                <w:rFonts w:ascii="Arial" w:eastAsia="Times New Roman" w:hAnsi="Arial" w:cs="Arial"/>
                <w:color w:val="000000"/>
                <w:sz w:val="18"/>
                <w:szCs w:val="18"/>
                <w:lang w:val="es-PE"/>
              </w:rPr>
            </w:pPr>
          </w:p>
        </w:tc>
        <w:tc>
          <w:tcPr>
            <w:tcW w:w="389" w:type="dxa"/>
            <w:tcBorders>
              <w:top w:val="nil"/>
              <w:left w:val="nil"/>
              <w:bottom w:val="single" w:sz="8" w:space="0" w:color="000000"/>
              <w:right w:val="single" w:sz="8" w:space="0" w:color="000000"/>
            </w:tcBorders>
            <w:shd w:val="clear" w:color="000000" w:fill="FFFFFF"/>
            <w:vAlign w:val="center"/>
            <w:hideMark/>
          </w:tcPr>
          <w:p w14:paraId="30A538B3" w14:textId="77777777" w:rsidR="00F2679F" w:rsidRPr="00C2120C" w:rsidRDefault="00F2679F" w:rsidP="00532FF8">
            <w:pPr>
              <w:spacing w:after="0" w:line="240" w:lineRule="auto"/>
              <w:rPr>
                <w:rFonts w:ascii="Arial" w:eastAsia="Times New Roman" w:hAnsi="Arial" w:cs="Arial"/>
                <w:color w:val="000000"/>
                <w:sz w:val="18"/>
                <w:szCs w:val="18"/>
                <w:lang w:val="es-PE"/>
              </w:rPr>
            </w:pPr>
          </w:p>
        </w:tc>
        <w:tc>
          <w:tcPr>
            <w:tcW w:w="389" w:type="dxa"/>
            <w:tcBorders>
              <w:top w:val="nil"/>
              <w:left w:val="nil"/>
              <w:bottom w:val="single" w:sz="8" w:space="0" w:color="000000"/>
              <w:right w:val="single" w:sz="8" w:space="0" w:color="000000"/>
            </w:tcBorders>
            <w:shd w:val="clear" w:color="000000" w:fill="FFFFFF"/>
            <w:vAlign w:val="center"/>
            <w:hideMark/>
          </w:tcPr>
          <w:p w14:paraId="4D7CE984"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X</w:t>
            </w:r>
          </w:p>
        </w:tc>
        <w:tc>
          <w:tcPr>
            <w:tcW w:w="389" w:type="dxa"/>
            <w:tcBorders>
              <w:top w:val="nil"/>
              <w:left w:val="nil"/>
              <w:bottom w:val="single" w:sz="8" w:space="0" w:color="000000"/>
              <w:right w:val="nil"/>
            </w:tcBorders>
            <w:shd w:val="clear" w:color="000000" w:fill="FFFFFF"/>
            <w:vAlign w:val="center"/>
            <w:hideMark/>
          </w:tcPr>
          <w:p w14:paraId="4C175986"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X</w:t>
            </w:r>
          </w:p>
        </w:tc>
        <w:tc>
          <w:tcPr>
            <w:tcW w:w="1437" w:type="dxa"/>
            <w:tcBorders>
              <w:top w:val="nil"/>
              <w:left w:val="single" w:sz="8" w:space="0" w:color="auto"/>
              <w:bottom w:val="single" w:sz="8" w:space="0" w:color="auto"/>
              <w:right w:val="single" w:sz="8" w:space="0" w:color="auto"/>
            </w:tcBorders>
            <w:shd w:val="clear" w:color="000000" w:fill="FFFFFF"/>
            <w:vAlign w:val="center"/>
            <w:hideMark/>
          </w:tcPr>
          <w:p w14:paraId="36D24B16"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SCVS / BID</w:t>
            </w:r>
          </w:p>
        </w:tc>
        <w:tc>
          <w:tcPr>
            <w:tcW w:w="1117" w:type="dxa"/>
            <w:tcBorders>
              <w:top w:val="nil"/>
              <w:left w:val="nil"/>
              <w:bottom w:val="single" w:sz="8" w:space="0" w:color="auto"/>
              <w:right w:val="single" w:sz="8" w:space="0" w:color="auto"/>
            </w:tcBorders>
            <w:shd w:val="clear" w:color="000000" w:fill="FFFFFF"/>
            <w:vAlign w:val="center"/>
            <w:hideMark/>
          </w:tcPr>
          <w:p w14:paraId="3C9769ED" w14:textId="28B5F256" w:rsidR="00F2679F" w:rsidRPr="00C2120C" w:rsidRDefault="00F2679F" w:rsidP="00532FF8">
            <w:pPr>
              <w:spacing w:after="0" w:line="240" w:lineRule="auto"/>
              <w:jc w:val="center"/>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US$</w:t>
            </w:r>
            <w:r w:rsidR="00DC4BCD">
              <w:rPr>
                <w:rFonts w:ascii="Arial" w:eastAsia="Times New Roman" w:hAnsi="Arial" w:cs="Arial"/>
                <w:color w:val="000000"/>
                <w:sz w:val="18"/>
                <w:szCs w:val="18"/>
                <w:lang w:val="es-PE"/>
              </w:rPr>
              <w:t>1</w:t>
            </w:r>
            <w:r w:rsidRPr="00C2120C">
              <w:rPr>
                <w:rFonts w:ascii="Arial" w:eastAsia="Times New Roman" w:hAnsi="Arial" w:cs="Arial"/>
                <w:color w:val="000000"/>
                <w:sz w:val="18"/>
                <w:szCs w:val="18"/>
                <w:lang w:val="es-PE"/>
              </w:rPr>
              <w:t>5</w:t>
            </w:r>
            <w:r w:rsidR="00061537">
              <w:rPr>
                <w:rFonts w:ascii="Arial" w:eastAsia="Times New Roman" w:hAnsi="Arial" w:cs="Arial"/>
                <w:color w:val="000000"/>
                <w:sz w:val="18"/>
                <w:szCs w:val="18"/>
                <w:lang w:val="es-PE"/>
              </w:rPr>
              <w:t>.</w:t>
            </w:r>
            <w:r w:rsidR="00DC4BCD">
              <w:rPr>
                <w:rFonts w:ascii="Arial" w:eastAsia="Times New Roman" w:hAnsi="Arial" w:cs="Arial"/>
                <w:color w:val="000000"/>
                <w:sz w:val="18"/>
                <w:szCs w:val="18"/>
                <w:lang w:val="es-PE"/>
              </w:rPr>
              <w:t>2</w:t>
            </w:r>
            <w:r w:rsidRPr="00C2120C">
              <w:rPr>
                <w:rFonts w:ascii="Arial" w:eastAsia="Times New Roman" w:hAnsi="Arial" w:cs="Arial"/>
                <w:color w:val="000000"/>
                <w:sz w:val="18"/>
                <w:szCs w:val="18"/>
                <w:lang w:val="es-PE"/>
              </w:rPr>
              <w:t>00</w:t>
            </w:r>
          </w:p>
        </w:tc>
      </w:tr>
      <w:tr w:rsidR="00860B11" w:rsidRPr="00B1147E" w14:paraId="0D103AD6" w14:textId="77777777" w:rsidTr="00C2120C">
        <w:trPr>
          <w:trHeight w:val="804"/>
        </w:trPr>
        <w:tc>
          <w:tcPr>
            <w:tcW w:w="1847" w:type="dxa"/>
            <w:tcBorders>
              <w:top w:val="nil"/>
              <w:left w:val="single" w:sz="8" w:space="0" w:color="000000"/>
              <w:bottom w:val="nil"/>
              <w:right w:val="single" w:sz="8" w:space="0" w:color="000000"/>
            </w:tcBorders>
            <w:shd w:val="clear" w:color="000000" w:fill="FFFFFF"/>
            <w:vAlign w:val="center"/>
            <w:hideMark/>
          </w:tcPr>
          <w:p w14:paraId="5CC319AD"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7. Monitoreo de la evaluación</w:t>
            </w:r>
          </w:p>
        </w:tc>
        <w:tc>
          <w:tcPr>
            <w:tcW w:w="345" w:type="dxa"/>
            <w:tcBorders>
              <w:top w:val="nil"/>
              <w:left w:val="nil"/>
              <w:bottom w:val="nil"/>
              <w:right w:val="single" w:sz="8" w:space="0" w:color="000000"/>
            </w:tcBorders>
            <w:shd w:val="clear" w:color="000000" w:fill="FFFFFF"/>
            <w:vAlign w:val="center"/>
            <w:hideMark/>
          </w:tcPr>
          <w:p w14:paraId="43BCE98C"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X</w:t>
            </w:r>
          </w:p>
        </w:tc>
        <w:tc>
          <w:tcPr>
            <w:tcW w:w="346" w:type="dxa"/>
            <w:tcBorders>
              <w:top w:val="nil"/>
              <w:left w:val="nil"/>
              <w:bottom w:val="nil"/>
              <w:right w:val="single" w:sz="8" w:space="0" w:color="000000"/>
            </w:tcBorders>
            <w:shd w:val="clear" w:color="000000" w:fill="FFFFFF"/>
            <w:vAlign w:val="center"/>
            <w:hideMark/>
          </w:tcPr>
          <w:p w14:paraId="415888AF"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X</w:t>
            </w:r>
          </w:p>
        </w:tc>
        <w:tc>
          <w:tcPr>
            <w:tcW w:w="389" w:type="dxa"/>
            <w:tcBorders>
              <w:top w:val="nil"/>
              <w:left w:val="nil"/>
              <w:bottom w:val="nil"/>
              <w:right w:val="single" w:sz="8" w:space="0" w:color="000000"/>
            </w:tcBorders>
            <w:shd w:val="clear" w:color="000000" w:fill="FFFFFF"/>
            <w:vAlign w:val="center"/>
            <w:hideMark/>
          </w:tcPr>
          <w:p w14:paraId="7C807FD5"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X</w:t>
            </w:r>
          </w:p>
        </w:tc>
        <w:tc>
          <w:tcPr>
            <w:tcW w:w="346" w:type="dxa"/>
            <w:tcBorders>
              <w:top w:val="nil"/>
              <w:left w:val="nil"/>
              <w:bottom w:val="nil"/>
              <w:right w:val="single" w:sz="8" w:space="0" w:color="000000"/>
            </w:tcBorders>
            <w:shd w:val="clear" w:color="000000" w:fill="FFFFFF"/>
            <w:vAlign w:val="center"/>
            <w:hideMark/>
          </w:tcPr>
          <w:p w14:paraId="68B4FB8C"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X</w:t>
            </w:r>
          </w:p>
        </w:tc>
        <w:tc>
          <w:tcPr>
            <w:tcW w:w="346" w:type="dxa"/>
            <w:tcBorders>
              <w:top w:val="nil"/>
              <w:left w:val="nil"/>
              <w:bottom w:val="nil"/>
              <w:right w:val="single" w:sz="8" w:space="0" w:color="000000"/>
            </w:tcBorders>
            <w:shd w:val="clear" w:color="000000" w:fill="FFFFFF"/>
            <w:vAlign w:val="center"/>
            <w:hideMark/>
          </w:tcPr>
          <w:p w14:paraId="02231CBB"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X</w:t>
            </w:r>
          </w:p>
        </w:tc>
        <w:tc>
          <w:tcPr>
            <w:tcW w:w="346" w:type="dxa"/>
            <w:tcBorders>
              <w:top w:val="nil"/>
              <w:left w:val="nil"/>
              <w:bottom w:val="nil"/>
              <w:right w:val="single" w:sz="8" w:space="0" w:color="000000"/>
            </w:tcBorders>
            <w:shd w:val="clear" w:color="000000" w:fill="FFFFFF"/>
            <w:vAlign w:val="center"/>
            <w:hideMark/>
          </w:tcPr>
          <w:p w14:paraId="1811D082"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X</w:t>
            </w:r>
          </w:p>
        </w:tc>
        <w:tc>
          <w:tcPr>
            <w:tcW w:w="346" w:type="dxa"/>
            <w:tcBorders>
              <w:top w:val="nil"/>
              <w:left w:val="nil"/>
              <w:bottom w:val="nil"/>
              <w:right w:val="single" w:sz="8" w:space="0" w:color="000000"/>
            </w:tcBorders>
            <w:shd w:val="clear" w:color="000000" w:fill="FFFFFF"/>
            <w:vAlign w:val="center"/>
            <w:hideMark/>
          </w:tcPr>
          <w:p w14:paraId="7E78C2E6"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X</w:t>
            </w:r>
          </w:p>
        </w:tc>
        <w:tc>
          <w:tcPr>
            <w:tcW w:w="346" w:type="dxa"/>
            <w:tcBorders>
              <w:top w:val="nil"/>
              <w:left w:val="nil"/>
              <w:bottom w:val="nil"/>
              <w:right w:val="single" w:sz="8" w:space="0" w:color="000000"/>
            </w:tcBorders>
            <w:shd w:val="clear" w:color="000000" w:fill="FFFFFF"/>
            <w:vAlign w:val="center"/>
            <w:hideMark/>
          </w:tcPr>
          <w:p w14:paraId="79D9E0D2"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X</w:t>
            </w:r>
          </w:p>
        </w:tc>
        <w:tc>
          <w:tcPr>
            <w:tcW w:w="346" w:type="dxa"/>
            <w:tcBorders>
              <w:top w:val="nil"/>
              <w:left w:val="nil"/>
              <w:bottom w:val="nil"/>
              <w:right w:val="single" w:sz="8" w:space="0" w:color="000000"/>
            </w:tcBorders>
            <w:shd w:val="clear" w:color="000000" w:fill="FFFFFF"/>
            <w:vAlign w:val="center"/>
            <w:hideMark/>
          </w:tcPr>
          <w:p w14:paraId="3692CE74"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X</w:t>
            </w:r>
          </w:p>
        </w:tc>
        <w:tc>
          <w:tcPr>
            <w:tcW w:w="389" w:type="dxa"/>
            <w:tcBorders>
              <w:top w:val="nil"/>
              <w:left w:val="nil"/>
              <w:bottom w:val="nil"/>
              <w:right w:val="single" w:sz="8" w:space="0" w:color="000000"/>
            </w:tcBorders>
            <w:shd w:val="clear" w:color="000000" w:fill="FFFFFF"/>
            <w:vAlign w:val="center"/>
            <w:hideMark/>
          </w:tcPr>
          <w:p w14:paraId="3906FCDA"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X</w:t>
            </w:r>
          </w:p>
        </w:tc>
        <w:tc>
          <w:tcPr>
            <w:tcW w:w="389" w:type="dxa"/>
            <w:tcBorders>
              <w:top w:val="nil"/>
              <w:left w:val="nil"/>
              <w:bottom w:val="nil"/>
              <w:right w:val="single" w:sz="8" w:space="0" w:color="000000"/>
            </w:tcBorders>
            <w:shd w:val="clear" w:color="000000" w:fill="FFFFFF"/>
            <w:vAlign w:val="center"/>
            <w:hideMark/>
          </w:tcPr>
          <w:p w14:paraId="5C1F0053"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X</w:t>
            </w:r>
          </w:p>
        </w:tc>
        <w:tc>
          <w:tcPr>
            <w:tcW w:w="389" w:type="dxa"/>
            <w:tcBorders>
              <w:top w:val="nil"/>
              <w:left w:val="nil"/>
              <w:bottom w:val="nil"/>
              <w:right w:val="nil"/>
            </w:tcBorders>
            <w:shd w:val="clear" w:color="000000" w:fill="FFFFFF"/>
            <w:vAlign w:val="center"/>
            <w:hideMark/>
          </w:tcPr>
          <w:p w14:paraId="2C5C54C8"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 X</w:t>
            </w:r>
          </w:p>
        </w:tc>
        <w:tc>
          <w:tcPr>
            <w:tcW w:w="1437" w:type="dxa"/>
            <w:tcBorders>
              <w:top w:val="nil"/>
              <w:left w:val="single" w:sz="8" w:space="0" w:color="auto"/>
              <w:bottom w:val="nil"/>
              <w:right w:val="single" w:sz="8" w:space="0" w:color="auto"/>
            </w:tcBorders>
            <w:shd w:val="clear" w:color="000000" w:fill="FFFFFF"/>
            <w:vAlign w:val="center"/>
            <w:hideMark/>
          </w:tcPr>
          <w:p w14:paraId="6D2D5452" w14:textId="77777777" w:rsidR="00F2679F" w:rsidRPr="00C2120C" w:rsidRDefault="00F2679F" w:rsidP="00532FF8">
            <w:pPr>
              <w:spacing w:after="0" w:line="240" w:lineRule="auto"/>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SCVS / BID</w:t>
            </w:r>
          </w:p>
        </w:tc>
        <w:tc>
          <w:tcPr>
            <w:tcW w:w="1117" w:type="dxa"/>
            <w:tcBorders>
              <w:top w:val="nil"/>
              <w:left w:val="nil"/>
              <w:bottom w:val="nil"/>
              <w:right w:val="single" w:sz="8" w:space="0" w:color="auto"/>
            </w:tcBorders>
            <w:shd w:val="clear" w:color="000000" w:fill="FFFFFF"/>
            <w:vAlign w:val="center"/>
            <w:hideMark/>
          </w:tcPr>
          <w:p w14:paraId="7F08BB8E" w14:textId="50F8B071" w:rsidR="00F2679F" w:rsidRPr="00C2120C" w:rsidRDefault="00F2679F" w:rsidP="00532FF8">
            <w:pPr>
              <w:spacing w:after="0" w:line="240" w:lineRule="auto"/>
              <w:jc w:val="center"/>
              <w:rPr>
                <w:rFonts w:ascii="Arial" w:eastAsia="Times New Roman" w:hAnsi="Arial" w:cs="Arial"/>
                <w:color w:val="000000"/>
                <w:sz w:val="18"/>
                <w:szCs w:val="18"/>
                <w:lang w:val="es-PE"/>
              </w:rPr>
            </w:pPr>
            <w:r w:rsidRPr="00C2120C">
              <w:rPr>
                <w:rFonts w:ascii="Arial" w:eastAsia="Times New Roman" w:hAnsi="Arial" w:cs="Arial"/>
                <w:color w:val="000000"/>
                <w:sz w:val="18"/>
                <w:szCs w:val="18"/>
                <w:lang w:val="es-PE"/>
              </w:rPr>
              <w:t>US$7</w:t>
            </w:r>
            <w:r w:rsidR="00061537">
              <w:rPr>
                <w:rFonts w:ascii="Arial" w:eastAsia="Times New Roman" w:hAnsi="Arial" w:cs="Arial"/>
                <w:color w:val="000000"/>
                <w:sz w:val="18"/>
                <w:szCs w:val="18"/>
                <w:lang w:val="es-PE"/>
              </w:rPr>
              <w:t>.</w:t>
            </w:r>
            <w:r w:rsidRPr="00C2120C">
              <w:rPr>
                <w:rFonts w:ascii="Arial" w:eastAsia="Times New Roman" w:hAnsi="Arial" w:cs="Arial"/>
                <w:color w:val="000000"/>
                <w:sz w:val="18"/>
                <w:szCs w:val="18"/>
                <w:lang w:val="es-PE"/>
              </w:rPr>
              <w:t>500</w:t>
            </w:r>
          </w:p>
        </w:tc>
      </w:tr>
      <w:tr w:rsidR="00860B11" w:rsidRPr="00B1147E" w14:paraId="1DF53468" w14:textId="77777777" w:rsidTr="00C2120C">
        <w:trPr>
          <w:trHeight w:val="804"/>
        </w:trPr>
        <w:tc>
          <w:tcPr>
            <w:tcW w:w="1847" w:type="dxa"/>
            <w:tcBorders>
              <w:top w:val="nil"/>
              <w:left w:val="single" w:sz="8" w:space="0" w:color="000000"/>
              <w:bottom w:val="single" w:sz="8" w:space="0" w:color="000000"/>
              <w:right w:val="single" w:sz="8" w:space="0" w:color="000000"/>
            </w:tcBorders>
            <w:shd w:val="clear" w:color="000000" w:fill="FFFFFF"/>
            <w:vAlign w:val="center"/>
          </w:tcPr>
          <w:p w14:paraId="4E182355" w14:textId="0D6795F1" w:rsidR="00F2679F" w:rsidRPr="00C2120C" w:rsidRDefault="00F2679F" w:rsidP="00532FF8">
            <w:pPr>
              <w:spacing w:after="0" w:line="240" w:lineRule="auto"/>
              <w:rPr>
                <w:rFonts w:ascii="Arial" w:eastAsia="Times New Roman" w:hAnsi="Arial" w:cs="Arial"/>
                <w:b/>
                <w:color w:val="000000"/>
                <w:sz w:val="18"/>
                <w:szCs w:val="18"/>
                <w:lang w:val="es-PE"/>
              </w:rPr>
            </w:pPr>
            <w:r w:rsidRPr="00C2120C">
              <w:rPr>
                <w:rFonts w:ascii="Arial" w:eastAsia="Times New Roman" w:hAnsi="Arial" w:cs="Arial"/>
                <w:b/>
                <w:color w:val="000000"/>
                <w:sz w:val="18"/>
                <w:szCs w:val="18"/>
                <w:lang w:val="es-PE"/>
              </w:rPr>
              <w:t>Costo total</w:t>
            </w:r>
          </w:p>
        </w:tc>
        <w:tc>
          <w:tcPr>
            <w:tcW w:w="345" w:type="dxa"/>
            <w:tcBorders>
              <w:top w:val="nil"/>
              <w:left w:val="nil"/>
              <w:bottom w:val="single" w:sz="8" w:space="0" w:color="000000"/>
              <w:right w:val="single" w:sz="8" w:space="0" w:color="000000"/>
            </w:tcBorders>
            <w:shd w:val="clear" w:color="000000" w:fill="FFFFFF"/>
            <w:vAlign w:val="center"/>
          </w:tcPr>
          <w:p w14:paraId="0F1049D3" w14:textId="77777777" w:rsidR="00F2679F" w:rsidRPr="00C2120C" w:rsidRDefault="00F2679F" w:rsidP="00532FF8">
            <w:pPr>
              <w:spacing w:after="0" w:line="240" w:lineRule="auto"/>
              <w:rPr>
                <w:rFonts w:ascii="Arial" w:eastAsia="Times New Roman" w:hAnsi="Arial" w:cs="Arial"/>
                <w:color w:val="000000"/>
                <w:sz w:val="18"/>
                <w:szCs w:val="18"/>
                <w:lang w:val="es-PE"/>
              </w:rPr>
            </w:pPr>
          </w:p>
        </w:tc>
        <w:tc>
          <w:tcPr>
            <w:tcW w:w="346" w:type="dxa"/>
            <w:tcBorders>
              <w:top w:val="nil"/>
              <w:left w:val="nil"/>
              <w:bottom w:val="single" w:sz="8" w:space="0" w:color="000000"/>
              <w:right w:val="single" w:sz="8" w:space="0" w:color="000000"/>
            </w:tcBorders>
            <w:shd w:val="clear" w:color="000000" w:fill="FFFFFF"/>
            <w:vAlign w:val="center"/>
          </w:tcPr>
          <w:p w14:paraId="7EECE43D" w14:textId="77777777" w:rsidR="00F2679F" w:rsidRPr="00C2120C" w:rsidRDefault="00F2679F" w:rsidP="00532FF8">
            <w:pPr>
              <w:spacing w:after="0" w:line="240" w:lineRule="auto"/>
              <w:rPr>
                <w:rFonts w:ascii="Arial" w:eastAsia="Times New Roman" w:hAnsi="Arial" w:cs="Arial"/>
                <w:color w:val="000000"/>
                <w:sz w:val="18"/>
                <w:szCs w:val="18"/>
                <w:lang w:val="es-PE"/>
              </w:rPr>
            </w:pPr>
          </w:p>
        </w:tc>
        <w:tc>
          <w:tcPr>
            <w:tcW w:w="389" w:type="dxa"/>
            <w:tcBorders>
              <w:top w:val="nil"/>
              <w:left w:val="nil"/>
              <w:bottom w:val="single" w:sz="8" w:space="0" w:color="000000"/>
              <w:right w:val="single" w:sz="8" w:space="0" w:color="000000"/>
            </w:tcBorders>
            <w:shd w:val="clear" w:color="000000" w:fill="FFFFFF"/>
            <w:vAlign w:val="center"/>
          </w:tcPr>
          <w:p w14:paraId="60FCE807" w14:textId="77777777" w:rsidR="00F2679F" w:rsidRPr="00C2120C" w:rsidRDefault="00F2679F" w:rsidP="00532FF8">
            <w:pPr>
              <w:spacing w:after="0" w:line="240" w:lineRule="auto"/>
              <w:rPr>
                <w:rFonts w:ascii="Arial" w:eastAsia="Times New Roman" w:hAnsi="Arial" w:cs="Arial"/>
                <w:color w:val="000000"/>
                <w:sz w:val="18"/>
                <w:szCs w:val="18"/>
                <w:lang w:val="es-PE"/>
              </w:rPr>
            </w:pPr>
          </w:p>
        </w:tc>
        <w:tc>
          <w:tcPr>
            <w:tcW w:w="346" w:type="dxa"/>
            <w:tcBorders>
              <w:top w:val="nil"/>
              <w:left w:val="nil"/>
              <w:bottom w:val="single" w:sz="8" w:space="0" w:color="000000"/>
              <w:right w:val="single" w:sz="8" w:space="0" w:color="000000"/>
            </w:tcBorders>
            <w:shd w:val="clear" w:color="000000" w:fill="FFFFFF"/>
            <w:vAlign w:val="center"/>
          </w:tcPr>
          <w:p w14:paraId="615E35B9" w14:textId="77777777" w:rsidR="00F2679F" w:rsidRPr="00C2120C" w:rsidRDefault="00F2679F" w:rsidP="00532FF8">
            <w:pPr>
              <w:spacing w:after="0" w:line="240" w:lineRule="auto"/>
              <w:rPr>
                <w:rFonts w:ascii="Arial" w:eastAsia="Times New Roman" w:hAnsi="Arial" w:cs="Arial"/>
                <w:color w:val="000000"/>
                <w:sz w:val="18"/>
                <w:szCs w:val="18"/>
                <w:lang w:val="es-PE"/>
              </w:rPr>
            </w:pPr>
          </w:p>
        </w:tc>
        <w:tc>
          <w:tcPr>
            <w:tcW w:w="346" w:type="dxa"/>
            <w:tcBorders>
              <w:top w:val="nil"/>
              <w:left w:val="nil"/>
              <w:bottom w:val="single" w:sz="8" w:space="0" w:color="000000"/>
              <w:right w:val="single" w:sz="8" w:space="0" w:color="000000"/>
            </w:tcBorders>
            <w:shd w:val="clear" w:color="000000" w:fill="FFFFFF"/>
            <w:vAlign w:val="center"/>
          </w:tcPr>
          <w:p w14:paraId="763FEA99" w14:textId="77777777" w:rsidR="00F2679F" w:rsidRPr="00C2120C" w:rsidRDefault="00F2679F" w:rsidP="00532FF8">
            <w:pPr>
              <w:spacing w:after="0" w:line="240" w:lineRule="auto"/>
              <w:rPr>
                <w:rFonts w:ascii="Arial" w:eastAsia="Times New Roman" w:hAnsi="Arial" w:cs="Arial"/>
                <w:color w:val="000000"/>
                <w:sz w:val="18"/>
                <w:szCs w:val="18"/>
                <w:lang w:val="es-PE"/>
              </w:rPr>
            </w:pPr>
          </w:p>
        </w:tc>
        <w:tc>
          <w:tcPr>
            <w:tcW w:w="346" w:type="dxa"/>
            <w:tcBorders>
              <w:top w:val="nil"/>
              <w:left w:val="nil"/>
              <w:bottom w:val="single" w:sz="8" w:space="0" w:color="000000"/>
              <w:right w:val="single" w:sz="8" w:space="0" w:color="000000"/>
            </w:tcBorders>
            <w:shd w:val="clear" w:color="000000" w:fill="FFFFFF"/>
            <w:vAlign w:val="center"/>
          </w:tcPr>
          <w:p w14:paraId="0D17DB1C" w14:textId="77777777" w:rsidR="00F2679F" w:rsidRPr="00C2120C" w:rsidRDefault="00F2679F" w:rsidP="00532FF8">
            <w:pPr>
              <w:spacing w:after="0" w:line="240" w:lineRule="auto"/>
              <w:rPr>
                <w:rFonts w:ascii="Arial" w:eastAsia="Times New Roman" w:hAnsi="Arial" w:cs="Arial"/>
                <w:color w:val="000000"/>
                <w:sz w:val="18"/>
                <w:szCs w:val="18"/>
                <w:lang w:val="es-PE"/>
              </w:rPr>
            </w:pPr>
          </w:p>
        </w:tc>
        <w:tc>
          <w:tcPr>
            <w:tcW w:w="346" w:type="dxa"/>
            <w:tcBorders>
              <w:top w:val="nil"/>
              <w:left w:val="nil"/>
              <w:bottom w:val="single" w:sz="8" w:space="0" w:color="000000"/>
              <w:right w:val="single" w:sz="8" w:space="0" w:color="000000"/>
            </w:tcBorders>
            <w:shd w:val="clear" w:color="000000" w:fill="FFFFFF"/>
            <w:vAlign w:val="center"/>
          </w:tcPr>
          <w:p w14:paraId="673D6775" w14:textId="77777777" w:rsidR="00F2679F" w:rsidRPr="00C2120C" w:rsidRDefault="00F2679F" w:rsidP="00532FF8">
            <w:pPr>
              <w:spacing w:after="0" w:line="240" w:lineRule="auto"/>
              <w:rPr>
                <w:rFonts w:ascii="Arial" w:eastAsia="Times New Roman" w:hAnsi="Arial" w:cs="Arial"/>
                <w:color w:val="000000"/>
                <w:sz w:val="18"/>
                <w:szCs w:val="18"/>
                <w:lang w:val="es-PE"/>
              </w:rPr>
            </w:pPr>
          </w:p>
        </w:tc>
        <w:tc>
          <w:tcPr>
            <w:tcW w:w="346" w:type="dxa"/>
            <w:tcBorders>
              <w:top w:val="nil"/>
              <w:left w:val="nil"/>
              <w:bottom w:val="single" w:sz="8" w:space="0" w:color="000000"/>
              <w:right w:val="single" w:sz="8" w:space="0" w:color="000000"/>
            </w:tcBorders>
            <w:shd w:val="clear" w:color="000000" w:fill="FFFFFF"/>
            <w:vAlign w:val="center"/>
          </w:tcPr>
          <w:p w14:paraId="39B6ECBD" w14:textId="77777777" w:rsidR="00F2679F" w:rsidRPr="00C2120C" w:rsidRDefault="00F2679F" w:rsidP="00532FF8">
            <w:pPr>
              <w:spacing w:after="0" w:line="240" w:lineRule="auto"/>
              <w:rPr>
                <w:rFonts w:ascii="Arial" w:eastAsia="Times New Roman" w:hAnsi="Arial" w:cs="Arial"/>
                <w:color w:val="000000"/>
                <w:sz w:val="18"/>
                <w:szCs w:val="18"/>
                <w:lang w:val="es-PE"/>
              </w:rPr>
            </w:pPr>
          </w:p>
        </w:tc>
        <w:tc>
          <w:tcPr>
            <w:tcW w:w="346" w:type="dxa"/>
            <w:tcBorders>
              <w:top w:val="nil"/>
              <w:left w:val="nil"/>
              <w:bottom w:val="single" w:sz="8" w:space="0" w:color="000000"/>
              <w:right w:val="single" w:sz="8" w:space="0" w:color="000000"/>
            </w:tcBorders>
            <w:shd w:val="clear" w:color="000000" w:fill="FFFFFF"/>
            <w:vAlign w:val="center"/>
          </w:tcPr>
          <w:p w14:paraId="39A4E474" w14:textId="77777777" w:rsidR="00F2679F" w:rsidRPr="00C2120C" w:rsidRDefault="00F2679F" w:rsidP="00532FF8">
            <w:pPr>
              <w:spacing w:after="0" w:line="240" w:lineRule="auto"/>
              <w:rPr>
                <w:rFonts w:ascii="Arial" w:eastAsia="Times New Roman" w:hAnsi="Arial" w:cs="Arial"/>
                <w:color w:val="000000"/>
                <w:sz w:val="18"/>
                <w:szCs w:val="18"/>
                <w:lang w:val="es-PE"/>
              </w:rPr>
            </w:pPr>
          </w:p>
        </w:tc>
        <w:tc>
          <w:tcPr>
            <w:tcW w:w="389" w:type="dxa"/>
            <w:tcBorders>
              <w:top w:val="nil"/>
              <w:left w:val="nil"/>
              <w:bottom w:val="single" w:sz="8" w:space="0" w:color="000000"/>
              <w:right w:val="single" w:sz="8" w:space="0" w:color="000000"/>
            </w:tcBorders>
            <w:shd w:val="clear" w:color="000000" w:fill="FFFFFF"/>
            <w:vAlign w:val="center"/>
          </w:tcPr>
          <w:p w14:paraId="05DD0F29" w14:textId="77777777" w:rsidR="00F2679F" w:rsidRPr="00C2120C" w:rsidRDefault="00F2679F" w:rsidP="00532FF8">
            <w:pPr>
              <w:spacing w:after="0" w:line="240" w:lineRule="auto"/>
              <w:rPr>
                <w:rFonts w:ascii="Arial" w:eastAsia="Times New Roman" w:hAnsi="Arial" w:cs="Arial"/>
                <w:color w:val="000000"/>
                <w:sz w:val="18"/>
                <w:szCs w:val="18"/>
                <w:lang w:val="es-PE"/>
              </w:rPr>
            </w:pPr>
          </w:p>
        </w:tc>
        <w:tc>
          <w:tcPr>
            <w:tcW w:w="389" w:type="dxa"/>
            <w:tcBorders>
              <w:top w:val="nil"/>
              <w:left w:val="nil"/>
              <w:bottom w:val="single" w:sz="8" w:space="0" w:color="000000"/>
              <w:right w:val="single" w:sz="8" w:space="0" w:color="000000"/>
            </w:tcBorders>
            <w:shd w:val="clear" w:color="000000" w:fill="FFFFFF"/>
            <w:vAlign w:val="center"/>
          </w:tcPr>
          <w:p w14:paraId="0C9B4348" w14:textId="77777777" w:rsidR="00F2679F" w:rsidRPr="00C2120C" w:rsidRDefault="00F2679F" w:rsidP="00532FF8">
            <w:pPr>
              <w:spacing w:after="0" w:line="240" w:lineRule="auto"/>
              <w:rPr>
                <w:rFonts w:ascii="Arial" w:eastAsia="Times New Roman" w:hAnsi="Arial" w:cs="Arial"/>
                <w:color w:val="000000"/>
                <w:sz w:val="18"/>
                <w:szCs w:val="18"/>
                <w:lang w:val="es-PE"/>
              </w:rPr>
            </w:pPr>
          </w:p>
        </w:tc>
        <w:tc>
          <w:tcPr>
            <w:tcW w:w="389" w:type="dxa"/>
            <w:tcBorders>
              <w:top w:val="nil"/>
              <w:left w:val="nil"/>
              <w:bottom w:val="single" w:sz="8" w:space="0" w:color="000000"/>
              <w:right w:val="nil"/>
            </w:tcBorders>
            <w:shd w:val="clear" w:color="000000" w:fill="FFFFFF"/>
            <w:vAlign w:val="center"/>
          </w:tcPr>
          <w:p w14:paraId="3B70DB27" w14:textId="77777777" w:rsidR="00F2679F" w:rsidRPr="00C2120C" w:rsidRDefault="00F2679F" w:rsidP="00532FF8">
            <w:pPr>
              <w:spacing w:after="0" w:line="240" w:lineRule="auto"/>
              <w:rPr>
                <w:rFonts w:ascii="Arial" w:eastAsia="Times New Roman" w:hAnsi="Arial" w:cs="Arial"/>
                <w:color w:val="000000"/>
                <w:sz w:val="18"/>
                <w:szCs w:val="18"/>
                <w:lang w:val="es-PE"/>
              </w:rPr>
            </w:pPr>
          </w:p>
        </w:tc>
        <w:tc>
          <w:tcPr>
            <w:tcW w:w="1437" w:type="dxa"/>
            <w:tcBorders>
              <w:top w:val="nil"/>
              <w:left w:val="single" w:sz="8" w:space="0" w:color="auto"/>
              <w:bottom w:val="single" w:sz="8" w:space="0" w:color="auto"/>
              <w:right w:val="single" w:sz="8" w:space="0" w:color="auto"/>
            </w:tcBorders>
            <w:shd w:val="clear" w:color="000000" w:fill="FFFFFF"/>
            <w:vAlign w:val="center"/>
          </w:tcPr>
          <w:p w14:paraId="73943145" w14:textId="77777777" w:rsidR="00F2679F" w:rsidRPr="00C2120C" w:rsidRDefault="00F2679F" w:rsidP="00532FF8">
            <w:pPr>
              <w:spacing w:after="0" w:line="240" w:lineRule="auto"/>
              <w:rPr>
                <w:rFonts w:ascii="Arial" w:eastAsia="Times New Roman" w:hAnsi="Arial" w:cs="Arial"/>
                <w:color w:val="000000"/>
                <w:sz w:val="18"/>
                <w:szCs w:val="18"/>
                <w:lang w:val="es-PE"/>
              </w:rPr>
            </w:pPr>
          </w:p>
        </w:tc>
        <w:tc>
          <w:tcPr>
            <w:tcW w:w="1117" w:type="dxa"/>
            <w:tcBorders>
              <w:top w:val="nil"/>
              <w:left w:val="nil"/>
              <w:bottom w:val="single" w:sz="8" w:space="0" w:color="auto"/>
              <w:right w:val="single" w:sz="8" w:space="0" w:color="auto"/>
            </w:tcBorders>
            <w:shd w:val="clear" w:color="000000" w:fill="FFFFFF"/>
            <w:vAlign w:val="center"/>
          </w:tcPr>
          <w:p w14:paraId="1733168F" w14:textId="74248DA8" w:rsidR="00F2679F" w:rsidRPr="00C2120C" w:rsidRDefault="00F2679F" w:rsidP="00532FF8">
            <w:pPr>
              <w:spacing w:after="0" w:line="240" w:lineRule="auto"/>
              <w:jc w:val="center"/>
              <w:rPr>
                <w:rFonts w:ascii="Arial" w:eastAsia="Times New Roman" w:hAnsi="Arial" w:cs="Arial"/>
                <w:b/>
                <w:color w:val="000000"/>
                <w:sz w:val="18"/>
                <w:szCs w:val="18"/>
                <w:lang w:val="es-PE"/>
              </w:rPr>
            </w:pPr>
            <w:r w:rsidRPr="00C2120C">
              <w:rPr>
                <w:rFonts w:ascii="Arial" w:eastAsia="Times New Roman" w:hAnsi="Arial" w:cs="Arial"/>
                <w:b/>
                <w:color w:val="000000"/>
                <w:sz w:val="18"/>
                <w:szCs w:val="18"/>
                <w:lang w:val="es-PE"/>
              </w:rPr>
              <w:t>US$</w:t>
            </w:r>
            <w:r w:rsidR="00DC4BCD">
              <w:rPr>
                <w:rFonts w:ascii="Arial" w:eastAsia="Times New Roman" w:hAnsi="Arial" w:cs="Arial"/>
                <w:b/>
                <w:color w:val="000000"/>
                <w:sz w:val="18"/>
                <w:szCs w:val="18"/>
                <w:lang w:val="es-PE"/>
              </w:rPr>
              <w:t>95</w:t>
            </w:r>
            <w:r w:rsidR="00061537">
              <w:rPr>
                <w:rFonts w:ascii="Arial" w:eastAsia="Times New Roman" w:hAnsi="Arial" w:cs="Arial"/>
                <w:b/>
                <w:color w:val="000000"/>
                <w:sz w:val="18"/>
                <w:szCs w:val="18"/>
                <w:lang w:val="es-PE"/>
              </w:rPr>
              <w:t>.</w:t>
            </w:r>
            <w:r w:rsidR="00DC4BCD">
              <w:rPr>
                <w:rFonts w:ascii="Arial" w:eastAsia="Times New Roman" w:hAnsi="Arial" w:cs="Arial"/>
                <w:b/>
                <w:color w:val="000000"/>
                <w:sz w:val="18"/>
                <w:szCs w:val="18"/>
                <w:lang w:val="es-PE"/>
              </w:rPr>
              <w:t>2</w:t>
            </w:r>
            <w:r w:rsidRPr="00C2120C">
              <w:rPr>
                <w:rFonts w:ascii="Arial" w:eastAsia="Times New Roman" w:hAnsi="Arial" w:cs="Arial"/>
                <w:b/>
                <w:color w:val="000000"/>
                <w:sz w:val="18"/>
                <w:szCs w:val="18"/>
                <w:lang w:val="es-PE"/>
              </w:rPr>
              <w:t>00</w:t>
            </w:r>
          </w:p>
        </w:tc>
      </w:tr>
    </w:tbl>
    <w:p w14:paraId="00D18CE8" w14:textId="02176179" w:rsidR="00F2679F" w:rsidRDefault="00F2679F" w:rsidP="00C2120C">
      <w:pPr>
        <w:spacing w:after="0" w:line="240" w:lineRule="auto"/>
        <w:rPr>
          <w:rFonts w:ascii="Arial" w:hAnsi="Arial" w:cs="Arial"/>
          <w:b/>
          <w:sz w:val="18"/>
          <w:szCs w:val="18"/>
          <w:lang w:val="es-ES_tradnl"/>
        </w:rPr>
      </w:pPr>
    </w:p>
    <w:p w14:paraId="5603137B" w14:textId="4F0F47AF" w:rsidR="00F2679F" w:rsidRDefault="00F2679F">
      <w:pPr>
        <w:spacing w:after="0" w:line="240" w:lineRule="auto"/>
        <w:jc w:val="center"/>
        <w:rPr>
          <w:rFonts w:ascii="Arial" w:hAnsi="Arial" w:cs="Arial"/>
          <w:b/>
          <w:sz w:val="18"/>
          <w:szCs w:val="18"/>
          <w:lang w:val="es-ES_tradnl"/>
        </w:rPr>
      </w:pPr>
    </w:p>
    <w:p w14:paraId="183DE8AE" w14:textId="77777777" w:rsidR="00F2679F" w:rsidRPr="00727955" w:rsidRDefault="00F2679F">
      <w:pPr>
        <w:spacing w:after="0" w:line="240" w:lineRule="auto"/>
        <w:jc w:val="center"/>
        <w:rPr>
          <w:rFonts w:ascii="Arial" w:hAnsi="Arial" w:cs="Arial"/>
          <w:b/>
          <w:sz w:val="18"/>
          <w:szCs w:val="18"/>
          <w:lang w:val="es-ES_tradnl"/>
        </w:rPr>
      </w:pPr>
    </w:p>
    <w:p w14:paraId="2BA3EE0D" w14:textId="7C4FDC1A" w:rsidR="003F3BF1" w:rsidRPr="00727955" w:rsidRDefault="00FF7DFB">
      <w:pPr>
        <w:spacing w:after="0" w:line="240" w:lineRule="auto"/>
        <w:jc w:val="center"/>
        <w:rPr>
          <w:rFonts w:ascii="Arial" w:hAnsi="Arial" w:cs="Arial"/>
          <w:b/>
          <w:sz w:val="18"/>
          <w:szCs w:val="18"/>
          <w:lang w:val="es-ES_tradnl"/>
        </w:rPr>
      </w:pPr>
      <w:r w:rsidRPr="00727955">
        <w:rPr>
          <w:rFonts w:ascii="Arial" w:hAnsi="Arial" w:cs="Arial"/>
          <w:b/>
          <w:sz w:val="20"/>
          <w:szCs w:val="20"/>
          <w:lang w:val="es-ES_tradnl"/>
        </w:rPr>
        <w:t xml:space="preserve">Cuadro </w:t>
      </w:r>
      <w:r w:rsidR="00F2679F">
        <w:rPr>
          <w:rFonts w:ascii="Arial" w:hAnsi="Arial" w:cs="Arial"/>
          <w:b/>
          <w:sz w:val="20"/>
          <w:szCs w:val="20"/>
          <w:lang w:val="es-ES_tradnl"/>
        </w:rPr>
        <w:t>9</w:t>
      </w:r>
      <w:r w:rsidRPr="00727955">
        <w:rPr>
          <w:rFonts w:ascii="Arial" w:hAnsi="Arial" w:cs="Arial"/>
          <w:b/>
          <w:sz w:val="20"/>
          <w:szCs w:val="20"/>
          <w:lang w:val="es-ES_tradnl"/>
        </w:rPr>
        <w:t>. Costo Total de Actividades de Monitoreo, Evaluación y Auditoria</w:t>
      </w:r>
    </w:p>
    <w:tbl>
      <w:tblPr>
        <w:tblpPr w:leftFromText="180" w:rightFromText="180" w:vertAnchor="text" w:horzAnchor="margin" w:tblpXSpec="center" w:tblpY="95"/>
        <w:tblW w:w="7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5"/>
        <w:gridCol w:w="3155"/>
        <w:gridCol w:w="1754"/>
        <w:gridCol w:w="2520"/>
      </w:tblGrid>
      <w:tr w:rsidR="003F3BF1" w:rsidRPr="00727955" w14:paraId="73BF39C8" w14:textId="77777777" w:rsidTr="005027CD">
        <w:trPr>
          <w:trHeight w:val="240"/>
        </w:trPr>
        <w:tc>
          <w:tcPr>
            <w:tcW w:w="535" w:type="dxa"/>
            <w:shd w:val="clear" w:color="000000" w:fill="002060"/>
          </w:tcPr>
          <w:p w14:paraId="2F605806" w14:textId="77777777" w:rsidR="003F3BF1" w:rsidRPr="00727955" w:rsidRDefault="003F3BF1" w:rsidP="005027CD">
            <w:pPr>
              <w:spacing w:after="0" w:line="240" w:lineRule="auto"/>
              <w:jc w:val="center"/>
              <w:rPr>
                <w:rFonts w:ascii="Arial" w:eastAsia="Times New Roman" w:hAnsi="Arial" w:cs="Arial"/>
                <w:b/>
                <w:bCs/>
                <w:color w:val="FFFFFF"/>
                <w:sz w:val="18"/>
                <w:szCs w:val="18"/>
                <w:lang w:val="es-PY" w:eastAsia="es-PY"/>
              </w:rPr>
            </w:pPr>
          </w:p>
        </w:tc>
        <w:tc>
          <w:tcPr>
            <w:tcW w:w="7429" w:type="dxa"/>
            <w:gridSpan w:val="3"/>
            <w:shd w:val="clear" w:color="000000" w:fill="002060"/>
            <w:noWrap/>
            <w:vAlign w:val="center"/>
            <w:hideMark/>
          </w:tcPr>
          <w:p w14:paraId="1E1DAE95" w14:textId="77777777" w:rsidR="003F3BF1" w:rsidRPr="00727955" w:rsidRDefault="003F3BF1" w:rsidP="005027CD">
            <w:pPr>
              <w:spacing w:after="0" w:line="240" w:lineRule="auto"/>
              <w:jc w:val="center"/>
              <w:rPr>
                <w:rFonts w:ascii="Arial" w:eastAsia="Times New Roman" w:hAnsi="Arial" w:cs="Arial"/>
                <w:b/>
                <w:bCs/>
                <w:color w:val="FFFFFF"/>
                <w:sz w:val="18"/>
                <w:szCs w:val="18"/>
                <w:lang w:val="es-PY" w:eastAsia="es-PY"/>
              </w:rPr>
            </w:pPr>
            <w:r w:rsidRPr="00727955">
              <w:rPr>
                <w:rFonts w:ascii="Arial" w:eastAsia="Times New Roman" w:hAnsi="Arial" w:cs="Arial"/>
                <w:b/>
                <w:bCs/>
                <w:color w:val="FFFFFF"/>
                <w:sz w:val="18"/>
                <w:szCs w:val="18"/>
                <w:lang w:val="es-PY" w:eastAsia="es-PY"/>
              </w:rPr>
              <w:t>UEP</w:t>
            </w:r>
          </w:p>
        </w:tc>
      </w:tr>
      <w:tr w:rsidR="003F3BF1" w:rsidRPr="00727955" w14:paraId="47F28D37" w14:textId="77777777" w:rsidTr="005027CD">
        <w:trPr>
          <w:trHeight w:val="240"/>
        </w:trPr>
        <w:tc>
          <w:tcPr>
            <w:tcW w:w="535" w:type="dxa"/>
            <w:shd w:val="clear" w:color="000000" w:fill="002060"/>
          </w:tcPr>
          <w:p w14:paraId="0A189B94" w14:textId="77777777" w:rsidR="003F3BF1" w:rsidRPr="00727955" w:rsidRDefault="003F3BF1" w:rsidP="005027CD">
            <w:pPr>
              <w:spacing w:after="0" w:line="240" w:lineRule="auto"/>
              <w:rPr>
                <w:rFonts w:ascii="Arial" w:eastAsia="Times New Roman" w:hAnsi="Arial" w:cs="Arial"/>
                <w:b/>
                <w:bCs/>
                <w:color w:val="FFFFFF" w:themeColor="background1"/>
                <w:sz w:val="18"/>
                <w:szCs w:val="18"/>
                <w:lang w:val="es-PY" w:eastAsia="es-PY"/>
              </w:rPr>
            </w:pPr>
            <w:r w:rsidRPr="00727955">
              <w:rPr>
                <w:rFonts w:ascii="Arial" w:eastAsia="Times New Roman" w:hAnsi="Arial" w:cs="Arial"/>
                <w:b/>
                <w:bCs/>
                <w:color w:val="FFFFFF"/>
                <w:sz w:val="18"/>
                <w:szCs w:val="18"/>
                <w:lang w:val="es-PY" w:eastAsia="es-PY"/>
              </w:rPr>
              <w:t>#</w:t>
            </w:r>
          </w:p>
        </w:tc>
        <w:tc>
          <w:tcPr>
            <w:tcW w:w="3155" w:type="dxa"/>
            <w:shd w:val="clear" w:color="000000" w:fill="002060"/>
            <w:vAlign w:val="center"/>
            <w:hideMark/>
          </w:tcPr>
          <w:p w14:paraId="6D154239" w14:textId="301DFD8F" w:rsidR="003F3BF1" w:rsidRPr="00727955" w:rsidRDefault="00E2657E" w:rsidP="005027CD">
            <w:pPr>
              <w:spacing w:after="0" w:line="240" w:lineRule="auto"/>
              <w:jc w:val="center"/>
              <w:rPr>
                <w:rFonts w:ascii="Arial" w:eastAsia="Times New Roman" w:hAnsi="Arial" w:cs="Arial"/>
                <w:b/>
                <w:bCs/>
                <w:color w:val="FFFFFF"/>
                <w:sz w:val="18"/>
                <w:szCs w:val="18"/>
                <w:lang w:val="es-PY" w:eastAsia="es-PY"/>
              </w:rPr>
            </w:pPr>
            <w:r w:rsidRPr="00727955">
              <w:rPr>
                <w:rFonts w:ascii="Arial" w:eastAsia="Times New Roman" w:hAnsi="Arial" w:cs="Arial"/>
                <w:b/>
                <w:bCs/>
                <w:color w:val="FFFFFF"/>
                <w:sz w:val="18"/>
                <w:szCs w:val="18"/>
                <w:lang w:val="es-PY" w:eastAsia="es-PY"/>
              </w:rPr>
              <w:t>Actividades</w:t>
            </w:r>
          </w:p>
        </w:tc>
        <w:tc>
          <w:tcPr>
            <w:tcW w:w="1754" w:type="dxa"/>
            <w:shd w:val="clear" w:color="000000" w:fill="002060"/>
            <w:noWrap/>
            <w:vAlign w:val="center"/>
            <w:hideMark/>
          </w:tcPr>
          <w:p w14:paraId="639A6D28" w14:textId="2E51D2FA" w:rsidR="003F3BF1" w:rsidRPr="00727955" w:rsidRDefault="003F3BF1" w:rsidP="005027CD">
            <w:pPr>
              <w:spacing w:after="0" w:line="240" w:lineRule="auto"/>
              <w:jc w:val="center"/>
              <w:rPr>
                <w:rFonts w:ascii="Arial" w:eastAsia="Times New Roman" w:hAnsi="Arial" w:cs="Arial"/>
                <w:b/>
                <w:bCs/>
                <w:color w:val="FFFFFF"/>
                <w:sz w:val="18"/>
                <w:szCs w:val="18"/>
                <w:lang w:val="es-PY" w:eastAsia="es-PY"/>
              </w:rPr>
            </w:pPr>
            <w:r w:rsidRPr="00727955">
              <w:rPr>
                <w:rFonts w:ascii="Arial" w:eastAsia="Times New Roman" w:hAnsi="Arial" w:cs="Arial"/>
                <w:b/>
                <w:bCs/>
                <w:color w:val="FFFFFF"/>
                <w:sz w:val="18"/>
                <w:szCs w:val="18"/>
                <w:lang w:val="es-PY" w:eastAsia="es-PY"/>
              </w:rPr>
              <w:t>Costo (US</w:t>
            </w:r>
            <w:r w:rsidR="0036243C">
              <w:rPr>
                <w:rFonts w:ascii="Arial" w:eastAsia="Times New Roman" w:hAnsi="Arial" w:cs="Arial"/>
                <w:b/>
                <w:bCs/>
                <w:color w:val="FFFFFF"/>
                <w:sz w:val="18"/>
                <w:szCs w:val="18"/>
                <w:lang w:val="es-PY" w:eastAsia="es-PY"/>
              </w:rPr>
              <w:t>$</w:t>
            </w:r>
            <w:r w:rsidRPr="00727955">
              <w:rPr>
                <w:rFonts w:ascii="Arial" w:eastAsia="Times New Roman" w:hAnsi="Arial" w:cs="Arial"/>
                <w:b/>
                <w:bCs/>
                <w:color w:val="FFFFFF"/>
                <w:sz w:val="18"/>
                <w:szCs w:val="18"/>
                <w:lang w:val="es-PY" w:eastAsia="es-PY"/>
              </w:rPr>
              <w:t>)</w:t>
            </w:r>
          </w:p>
        </w:tc>
        <w:tc>
          <w:tcPr>
            <w:tcW w:w="2520" w:type="dxa"/>
            <w:shd w:val="clear" w:color="000000" w:fill="002060"/>
            <w:noWrap/>
            <w:vAlign w:val="center"/>
            <w:hideMark/>
          </w:tcPr>
          <w:p w14:paraId="365A7977" w14:textId="77777777" w:rsidR="003F3BF1" w:rsidRPr="00727955" w:rsidRDefault="003F3BF1" w:rsidP="005027CD">
            <w:pPr>
              <w:spacing w:after="0" w:line="240" w:lineRule="auto"/>
              <w:jc w:val="center"/>
              <w:rPr>
                <w:rFonts w:ascii="Arial" w:eastAsia="Times New Roman" w:hAnsi="Arial" w:cs="Arial"/>
                <w:b/>
                <w:bCs/>
                <w:color w:val="FFFFFF"/>
                <w:sz w:val="18"/>
                <w:szCs w:val="18"/>
                <w:lang w:val="es-PY" w:eastAsia="es-PY"/>
              </w:rPr>
            </w:pPr>
            <w:r w:rsidRPr="00727955">
              <w:rPr>
                <w:rFonts w:ascii="Arial" w:eastAsia="Times New Roman" w:hAnsi="Arial" w:cs="Arial"/>
                <w:b/>
                <w:bCs/>
                <w:color w:val="FFFFFF"/>
                <w:sz w:val="18"/>
                <w:szCs w:val="18"/>
                <w:lang w:val="es-PY" w:eastAsia="es-PY"/>
              </w:rPr>
              <w:t>Financiamiento</w:t>
            </w:r>
          </w:p>
        </w:tc>
      </w:tr>
      <w:tr w:rsidR="003F3BF1" w:rsidRPr="00727955" w14:paraId="7DE15B5A" w14:textId="77777777" w:rsidTr="005027CD">
        <w:trPr>
          <w:trHeight w:val="480"/>
        </w:trPr>
        <w:tc>
          <w:tcPr>
            <w:tcW w:w="535" w:type="dxa"/>
          </w:tcPr>
          <w:p w14:paraId="3F205FA8" w14:textId="77777777" w:rsidR="003F3BF1" w:rsidRPr="00727955" w:rsidRDefault="003F3BF1" w:rsidP="005027CD">
            <w:pPr>
              <w:spacing w:after="0" w:line="240" w:lineRule="auto"/>
              <w:rPr>
                <w:rFonts w:ascii="Arial" w:eastAsia="Times New Roman" w:hAnsi="Arial" w:cs="Arial"/>
                <w:color w:val="000000"/>
                <w:sz w:val="18"/>
                <w:szCs w:val="18"/>
                <w:lang w:val="es-PY" w:eastAsia="es-PY"/>
              </w:rPr>
            </w:pPr>
            <w:r w:rsidRPr="00727955">
              <w:rPr>
                <w:rFonts w:ascii="Arial" w:eastAsia="Times New Roman" w:hAnsi="Arial" w:cs="Arial"/>
                <w:color w:val="000000"/>
                <w:sz w:val="18"/>
                <w:szCs w:val="18"/>
                <w:lang w:val="es-PY" w:eastAsia="es-PY"/>
              </w:rPr>
              <w:t>1</w:t>
            </w:r>
          </w:p>
        </w:tc>
        <w:tc>
          <w:tcPr>
            <w:tcW w:w="3155" w:type="dxa"/>
            <w:shd w:val="clear" w:color="auto" w:fill="auto"/>
            <w:vAlign w:val="center"/>
            <w:hideMark/>
          </w:tcPr>
          <w:p w14:paraId="5802805A" w14:textId="395B52C1" w:rsidR="003F3BF1" w:rsidRPr="00727955" w:rsidRDefault="00D469AC" w:rsidP="005027CD">
            <w:pPr>
              <w:spacing w:after="0" w:line="240" w:lineRule="auto"/>
              <w:rPr>
                <w:rFonts w:ascii="Arial" w:eastAsia="Times New Roman" w:hAnsi="Arial" w:cs="Arial"/>
                <w:color w:val="000000"/>
                <w:sz w:val="18"/>
                <w:szCs w:val="18"/>
                <w:lang w:val="es-PY" w:eastAsia="es-PY"/>
              </w:rPr>
            </w:pPr>
            <w:r w:rsidRPr="00727955">
              <w:rPr>
                <w:rFonts w:ascii="Arial" w:eastAsia="Times New Roman" w:hAnsi="Arial" w:cs="Arial"/>
                <w:color w:val="000000"/>
                <w:sz w:val="18"/>
                <w:szCs w:val="18"/>
                <w:lang w:val="es-PY" w:eastAsia="es-PY"/>
              </w:rPr>
              <w:t>Especialistas en P&amp;M</w:t>
            </w:r>
            <w:r>
              <w:rPr>
                <w:rStyle w:val="FootnoteReference"/>
                <w:rFonts w:ascii="Arial" w:eastAsia="Times New Roman" w:hAnsi="Arial" w:cs="Arial"/>
                <w:color w:val="000000"/>
                <w:sz w:val="18"/>
                <w:szCs w:val="18"/>
                <w:lang w:val="es-PY" w:eastAsia="es-PY"/>
              </w:rPr>
              <w:footnoteReference w:id="19"/>
            </w:r>
          </w:p>
        </w:tc>
        <w:tc>
          <w:tcPr>
            <w:tcW w:w="1754" w:type="dxa"/>
            <w:shd w:val="clear" w:color="auto" w:fill="auto"/>
            <w:noWrap/>
            <w:vAlign w:val="center"/>
            <w:hideMark/>
          </w:tcPr>
          <w:p w14:paraId="7302F21B" w14:textId="63E94CDD" w:rsidR="003F3BF1" w:rsidRPr="00851785" w:rsidRDefault="00027DB9" w:rsidP="00FB6CC5">
            <w:pPr>
              <w:spacing w:after="0" w:line="240" w:lineRule="auto"/>
              <w:jc w:val="center"/>
              <w:rPr>
                <w:rFonts w:ascii="Arial" w:hAnsi="Arial"/>
                <w:b/>
                <w:color w:val="000000"/>
                <w:sz w:val="18"/>
                <w:lang w:val="es-PY"/>
              </w:rPr>
            </w:pPr>
            <w:r w:rsidRPr="00851785">
              <w:rPr>
                <w:rFonts w:ascii="Arial" w:hAnsi="Arial"/>
                <w:b/>
                <w:color w:val="000000"/>
                <w:sz w:val="18"/>
                <w:lang w:val="es-PY"/>
              </w:rPr>
              <w:t>1</w:t>
            </w:r>
            <w:r w:rsidR="00B1147E" w:rsidRPr="00851785">
              <w:rPr>
                <w:rFonts w:ascii="Arial" w:hAnsi="Arial"/>
                <w:b/>
                <w:color w:val="000000"/>
                <w:sz w:val="18"/>
                <w:lang w:val="es-PY"/>
              </w:rPr>
              <w:t>.</w:t>
            </w:r>
            <w:r w:rsidRPr="00851785">
              <w:rPr>
                <w:rFonts w:ascii="Arial" w:hAnsi="Arial"/>
                <w:b/>
                <w:color w:val="000000"/>
                <w:sz w:val="18"/>
                <w:lang w:val="es-PY"/>
              </w:rPr>
              <w:t>072</w:t>
            </w:r>
            <w:r w:rsidR="00B1147E" w:rsidRPr="00851785">
              <w:rPr>
                <w:rFonts w:ascii="Arial" w:hAnsi="Arial"/>
                <w:b/>
                <w:color w:val="000000"/>
                <w:sz w:val="18"/>
                <w:lang w:val="es-PY"/>
              </w:rPr>
              <w:t>.</w:t>
            </w:r>
            <w:r w:rsidRPr="00851785">
              <w:rPr>
                <w:rFonts w:ascii="Arial" w:hAnsi="Arial"/>
                <w:b/>
                <w:color w:val="000000"/>
                <w:sz w:val="18"/>
                <w:lang w:val="es-PY"/>
              </w:rPr>
              <w:t>000</w:t>
            </w:r>
          </w:p>
        </w:tc>
        <w:tc>
          <w:tcPr>
            <w:tcW w:w="2520" w:type="dxa"/>
            <w:shd w:val="clear" w:color="auto" w:fill="auto"/>
            <w:noWrap/>
            <w:vAlign w:val="center"/>
            <w:hideMark/>
          </w:tcPr>
          <w:p w14:paraId="530EE7D9" w14:textId="6AD6AF31" w:rsidR="003F3BF1" w:rsidRPr="00727955" w:rsidRDefault="003F3BF1" w:rsidP="005027CD">
            <w:pPr>
              <w:spacing w:after="0" w:line="240" w:lineRule="auto"/>
              <w:jc w:val="center"/>
              <w:rPr>
                <w:rFonts w:ascii="Arial" w:eastAsia="Times New Roman" w:hAnsi="Arial" w:cs="Arial"/>
                <w:color w:val="000000"/>
                <w:sz w:val="18"/>
                <w:szCs w:val="18"/>
                <w:lang w:val="es-PY" w:eastAsia="es-PY"/>
              </w:rPr>
            </w:pPr>
            <w:r w:rsidRPr="00727955">
              <w:rPr>
                <w:rFonts w:ascii="Arial" w:eastAsia="Times New Roman" w:hAnsi="Arial" w:cs="Arial"/>
                <w:color w:val="000000"/>
                <w:sz w:val="18"/>
                <w:szCs w:val="18"/>
                <w:lang w:val="es-PY" w:eastAsia="es-PY"/>
              </w:rPr>
              <w:t>EC-L12</w:t>
            </w:r>
            <w:r w:rsidR="00027DB9">
              <w:rPr>
                <w:rFonts w:ascii="Arial" w:eastAsia="Times New Roman" w:hAnsi="Arial" w:cs="Arial"/>
                <w:color w:val="000000"/>
                <w:sz w:val="18"/>
                <w:szCs w:val="18"/>
                <w:lang w:val="es-PY" w:eastAsia="es-PY"/>
              </w:rPr>
              <w:t>50</w:t>
            </w:r>
          </w:p>
        </w:tc>
      </w:tr>
      <w:tr w:rsidR="003F3BF1" w:rsidRPr="00727955" w14:paraId="5CD3874E" w14:textId="77777777" w:rsidTr="005027CD">
        <w:trPr>
          <w:trHeight w:val="240"/>
        </w:trPr>
        <w:tc>
          <w:tcPr>
            <w:tcW w:w="535" w:type="dxa"/>
          </w:tcPr>
          <w:p w14:paraId="497A7EA3" w14:textId="77777777" w:rsidR="003F3BF1" w:rsidRPr="00727955" w:rsidRDefault="003F3BF1" w:rsidP="005027CD">
            <w:pPr>
              <w:spacing w:after="0" w:line="240" w:lineRule="auto"/>
              <w:rPr>
                <w:rFonts w:ascii="Arial" w:eastAsia="Times New Roman" w:hAnsi="Arial" w:cs="Arial"/>
                <w:color w:val="000000"/>
                <w:sz w:val="18"/>
                <w:szCs w:val="18"/>
                <w:lang w:val="es-PY" w:eastAsia="es-PY"/>
              </w:rPr>
            </w:pPr>
            <w:r w:rsidRPr="00727955">
              <w:rPr>
                <w:rFonts w:ascii="Arial" w:eastAsia="Times New Roman" w:hAnsi="Arial" w:cs="Arial"/>
                <w:color w:val="000000"/>
                <w:sz w:val="18"/>
                <w:szCs w:val="18"/>
                <w:lang w:val="es-PY" w:eastAsia="es-PY"/>
              </w:rPr>
              <w:t>2</w:t>
            </w:r>
          </w:p>
        </w:tc>
        <w:tc>
          <w:tcPr>
            <w:tcW w:w="3155" w:type="dxa"/>
            <w:shd w:val="clear" w:color="auto" w:fill="auto"/>
            <w:vAlign w:val="center"/>
            <w:hideMark/>
          </w:tcPr>
          <w:p w14:paraId="7B58FF44" w14:textId="77777777" w:rsidR="003F3BF1" w:rsidRPr="00727955" w:rsidRDefault="003F3BF1" w:rsidP="005027CD">
            <w:pPr>
              <w:spacing w:after="0" w:line="240" w:lineRule="auto"/>
              <w:rPr>
                <w:rFonts w:ascii="Arial" w:eastAsia="Times New Roman" w:hAnsi="Arial" w:cs="Arial"/>
                <w:color w:val="000000"/>
                <w:sz w:val="18"/>
                <w:szCs w:val="18"/>
                <w:lang w:val="es-PY" w:eastAsia="es-PY"/>
              </w:rPr>
            </w:pPr>
            <w:r w:rsidRPr="00727955">
              <w:rPr>
                <w:rFonts w:ascii="Arial" w:eastAsia="Times New Roman" w:hAnsi="Arial" w:cs="Arial"/>
                <w:color w:val="000000"/>
                <w:sz w:val="18"/>
                <w:szCs w:val="18"/>
                <w:lang w:val="es-PY" w:eastAsia="es-PY"/>
              </w:rPr>
              <w:t>Auditoría Externa</w:t>
            </w:r>
          </w:p>
        </w:tc>
        <w:tc>
          <w:tcPr>
            <w:tcW w:w="1754" w:type="dxa"/>
            <w:shd w:val="clear" w:color="auto" w:fill="auto"/>
            <w:noWrap/>
            <w:vAlign w:val="center"/>
            <w:hideMark/>
          </w:tcPr>
          <w:p w14:paraId="2045BB8E" w14:textId="0836AE0E" w:rsidR="003F3BF1" w:rsidRPr="00851785" w:rsidRDefault="00027DB9" w:rsidP="00FB6CC5">
            <w:pPr>
              <w:spacing w:after="0" w:line="240" w:lineRule="auto"/>
              <w:jc w:val="center"/>
              <w:rPr>
                <w:rFonts w:ascii="Arial" w:hAnsi="Arial"/>
                <w:b/>
                <w:color w:val="000000"/>
                <w:sz w:val="18"/>
                <w:lang w:val="es-PY"/>
              </w:rPr>
            </w:pPr>
            <w:r w:rsidRPr="00851785">
              <w:rPr>
                <w:rFonts w:ascii="Arial" w:hAnsi="Arial"/>
                <w:b/>
                <w:color w:val="000000"/>
                <w:sz w:val="18"/>
                <w:lang w:val="es-PY"/>
              </w:rPr>
              <w:t>336</w:t>
            </w:r>
            <w:r w:rsidR="00B1147E" w:rsidRPr="00851785">
              <w:rPr>
                <w:rFonts w:ascii="Arial" w:hAnsi="Arial"/>
                <w:b/>
                <w:color w:val="000000"/>
                <w:sz w:val="18"/>
                <w:lang w:val="es-PY"/>
              </w:rPr>
              <w:t>.</w:t>
            </w:r>
            <w:r w:rsidRPr="00851785">
              <w:rPr>
                <w:rFonts w:ascii="Arial" w:hAnsi="Arial"/>
                <w:b/>
                <w:color w:val="000000"/>
                <w:sz w:val="18"/>
                <w:lang w:val="es-PY"/>
              </w:rPr>
              <w:t>000</w:t>
            </w:r>
          </w:p>
        </w:tc>
        <w:tc>
          <w:tcPr>
            <w:tcW w:w="2520" w:type="dxa"/>
            <w:shd w:val="clear" w:color="auto" w:fill="auto"/>
            <w:noWrap/>
            <w:vAlign w:val="center"/>
            <w:hideMark/>
          </w:tcPr>
          <w:p w14:paraId="2E390723" w14:textId="6FEF14EC" w:rsidR="003F3BF1" w:rsidRPr="00727955" w:rsidRDefault="003F3BF1" w:rsidP="005027CD">
            <w:pPr>
              <w:spacing w:after="0" w:line="240" w:lineRule="auto"/>
              <w:jc w:val="center"/>
              <w:rPr>
                <w:rFonts w:ascii="Arial" w:eastAsia="Times New Roman" w:hAnsi="Arial" w:cs="Arial"/>
                <w:color w:val="000000"/>
                <w:sz w:val="18"/>
                <w:szCs w:val="18"/>
                <w:lang w:val="es-PY" w:eastAsia="es-PY"/>
              </w:rPr>
            </w:pPr>
            <w:r w:rsidRPr="00727955">
              <w:rPr>
                <w:rFonts w:ascii="Arial" w:eastAsia="Times New Roman" w:hAnsi="Arial" w:cs="Arial"/>
                <w:color w:val="000000"/>
                <w:sz w:val="18"/>
                <w:szCs w:val="18"/>
                <w:lang w:val="es-PY" w:eastAsia="es-PY"/>
              </w:rPr>
              <w:t>EC-L12</w:t>
            </w:r>
            <w:r w:rsidR="00027DB9">
              <w:rPr>
                <w:rFonts w:ascii="Arial" w:eastAsia="Times New Roman" w:hAnsi="Arial" w:cs="Arial"/>
                <w:color w:val="000000"/>
                <w:sz w:val="18"/>
                <w:szCs w:val="18"/>
                <w:lang w:val="es-PY" w:eastAsia="es-PY"/>
              </w:rPr>
              <w:t>50</w:t>
            </w:r>
          </w:p>
        </w:tc>
      </w:tr>
      <w:tr w:rsidR="00E2657E" w:rsidRPr="00727955" w14:paraId="52E1F4E7" w14:textId="77777777" w:rsidTr="005027CD">
        <w:trPr>
          <w:trHeight w:val="240"/>
        </w:trPr>
        <w:tc>
          <w:tcPr>
            <w:tcW w:w="535" w:type="dxa"/>
          </w:tcPr>
          <w:p w14:paraId="4EA150A4" w14:textId="361994E7" w:rsidR="00E2657E" w:rsidRPr="00727955" w:rsidRDefault="00FF7DFB" w:rsidP="005027CD">
            <w:pPr>
              <w:spacing w:after="0" w:line="240" w:lineRule="auto"/>
              <w:rPr>
                <w:rFonts w:ascii="Arial" w:eastAsia="Times New Roman" w:hAnsi="Arial" w:cs="Arial"/>
                <w:color w:val="000000"/>
                <w:sz w:val="18"/>
                <w:szCs w:val="18"/>
                <w:lang w:val="es-PY" w:eastAsia="es-PY"/>
              </w:rPr>
            </w:pPr>
            <w:r w:rsidRPr="00727955">
              <w:rPr>
                <w:rFonts w:ascii="Arial" w:eastAsia="Times New Roman" w:hAnsi="Arial" w:cs="Arial"/>
                <w:color w:val="000000"/>
                <w:sz w:val="18"/>
                <w:szCs w:val="18"/>
                <w:lang w:val="es-PY" w:eastAsia="es-PY"/>
              </w:rPr>
              <w:t>3</w:t>
            </w:r>
          </w:p>
        </w:tc>
        <w:tc>
          <w:tcPr>
            <w:tcW w:w="3155" w:type="dxa"/>
            <w:shd w:val="clear" w:color="auto" w:fill="auto"/>
            <w:vAlign w:val="center"/>
          </w:tcPr>
          <w:p w14:paraId="1D9F8895" w14:textId="50C5B9AC" w:rsidR="00E2657E" w:rsidRPr="00727955" w:rsidRDefault="00FF7DFB" w:rsidP="005027CD">
            <w:pPr>
              <w:spacing w:after="0" w:line="240" w:lineRule="auto"/>
              <w:rPr>
                <w:rFonts w:ascii="Arial" w:eastAsia="Times New Roman" w:hAnsi="Arial" w:cs="Arial"/>
                <w:color w:val="000000"/>
                <w:sz w:val="18"/>
                <w:szCs w:val="18"/>
                <w:lang w:val="es-PY" w:eastAsia="es-PY"/>
              </w:rPr>
            </w:pPr>
            <w:r w:rsidRPr="00727955">
              <w:rPr>
                <w:rFonts w:ascii="Arial" w:eastAsia="Times New Roman" w:hAnsi="Arial" w:cs="Arial"/>
                <w:color w:val="000000"/>
                <w:sz w:val="18"/>
                <w:szCs w:val="18"/>
                <w:lang w:val="es-PY" w:eastAsia="es-PY"/>
              </w:rPr>
              <w:t>Evaluación</w:t>
            </w:r>
            <w:r w:rsidR="00027DB9">
              <w:rPr>
                <w:rFonts w:ascii="Arial" w:eastAsia="Times New Roman" w:hAnsi="Arial" w:cs="Arial"/>
                <w:color w:val="000000"/>
                <w:sz w:val="18"/>
                <w:szCs w:val="18"/>
                <w:lang w:val="es-PY" w:eastAsia="es-PY"/>
              </w:rPr>
              <w:t xml:space="preserve"> intermedia, final y de impacto</w:t>
            </w:r>
            <w:r w:rsidRPr="00727955">
              <w:rPr>
                <w:rFonts w:ascii="Arial" w:eastAsia="Times New Roman" w:hAnsi="Arial" w:cs="Arial"/>
                <w:color w:val="000000"/>
                <w:sz w:val="18"/>
                <w:szCs w:val="18"/>
                <w:lang w:val="es-PY" w:eastAsia="es-PY"/>
              </w:rPr>
              <w:t xml:space="preserve"> (incluye ACB ex post)</w:t>
            </w:r>
          </w:p>
        </w:tc>
        <w:tc>
          <w:tcPr>
            <w:tcW w:w="1754" w:type="dxa"/>
            <w:shd w:val="clear" w:color="auto" w:fill="auto"/>
            <w:noWrap/>
            <w:vAlign w:val="center"/>
          </w:tcPr>
          <w:p w14:paraId="0C479047" w14:textId="6CCD46CF" w:rsidR="00E2657E" w:rsidRPr="00851785" w:rsidRDefault="00027DB9" w:rsidP="007245FD">
            <w:pPr>
              <w:spacing w:after="0" w:line="240" w:lineRule="auto"/>
              <w:jc w:val="center"/>
              <w:rPr>
                <w:rFonts w:ascii="Arial" w:hAnsi="Arial"/>
                <w:b/>
                <w:color w:val="000000"/>
                <w:sz w:val="18"/>
                <w:lang w:val="es-PY"/>
              </w:rPr>
            </w:pPr>
            <w:r w:rsidRPr="00851785">
              <w:rPr>
                <w:rFonts w:ascii="Arial" w:hAnsi="Arial"/>
                <w:b/>
                <w:color w:val="000000"/>
                <w:sz w:val="18"/>
                <w:lang w:val="es-PY"/>
              </w:rPr>
              <w:t>201</w:t>
            </w:r>
            <w:r w:rsidR="00FF7DFB" w:rsidRPr="00851785">
              <w:rPr>
                <w:rFonts w:ascii="Arial" w:hAnsi="Arial"/>
                <w:b/>
                <w:color w:val="000000"/>
                <w:sz w:val="18"/>
                <w:lang w:val="es-PY"/>
              </w:rPr>
              <w:t>.</w:t>
            </w:r>
            <w:r w:rsidRPr="00851785">
              <w:rPr>
                <w:rFonts w:ascii="Arial" w:hAnsi="Arial"/>
                <w:b/>
                <w:color w:val="000000"/>
                <w:sz w:val="18"/>
                <w:lang w:val="es-PY"/>
              </w:rPr>
              <w:t>6</w:t>
            </w:r>
            <w:r w:rsidR="00FF7DFB" w:rsidRPr="00851785">
              <w:rPr>
                <w:rFonts w:ascii="Arial" w:hAnsi="Arial"/>
                <w:b/>
                <w:color w:val="000000"/>
                <w:sz w:val="18"/>
                <w:lang w:val="es-PY"/>
              </w:rPr>
              <w:t>00</w:t>
            </w:r>
          </w:p>
        </w:tc>
        <w:tc>
          <w:tcPr>
            <w:tcW w:w="2520" w:type="dxa"/>
            <w:shd w:val="clear" w:color="auto" w:fill="auto"/>
            <w:noWrap/>
            <w:vAlign w:val="center"/>
          </w:tcPr>
          <w:p w14:paraId="3076A698" w14:textId="7A93AEE7" w:rsidR="00E2657E" w:rsidRPr="00727955" w:rsidRDefault="007245FD" w:rsidP="005027CD">
            <w:pPr>
              <w:spacing w:after="0" w:line="240" w:lineRule="auto"/>
              <w:jc w:val="center"/>
              <w:rPr>
                <w:rFonts w:ascii="Arial" w:eastAsia="Times New Roman" w:hAnsi="Arial" w:cs="Arial"/>
                <w:color w:val="000000"/>
                <w:sz w:val="18"/>
                <w:szCs w:val="18"/>
                <w:lang w:val="es-PY" w:eastAsia="es-PY"/>
              </w:rPr>
            </w:pPr>
            <w:r w:rsidRPr="00727955">
              <w:rPr>
                <w:rFonts w:ascii="Arial" w:eastAsia="Times New Roman" w:hAnsi="Arial" w:cs="Arial"/>
                <w:color w:val="000000"/>
                <w:sz w:val="18"/>
                <w:szCs w:val="18"/>
                <w:lang w:val="es-PY" w:eastAsia="es-PY"/>
              </w:rPr>
              <w:t>EC-L12</w:t>
            </w:r>
            <w:r w:rsidR="00027DB9">
              <w:rPr>
                <w:rFonts w:ascii="Arial" w:eastAsia="Times New Roman" w:hAnsi="Arial" w:cs="Arial"/>
                <w:color w:val="000000"/>
                <w:sz w:val="18"/>
                <w:szCs w:val="18"/>
                <w:lang w:val="es-PY" w:eastAsia="es-PY"/>
              </w:rPr>
              <w:t>50</w:t>
            </w:r>
          </w:p>
        </w:tc>
      </w:tr>
      <w:tr w:rsidR="00316AD8" w:rsidRPr="00727955" w14:paraId="618C947E" w14:textId="77777777" w:rsidTr="005027CD">
        <w:trPr>
          <w:trHeight w:val="240"/>
        </w:trPr>
        <w:tc>
          <w:tcPr>
            <w:tcW w:w="535" w:type="dxa"/>
          </w:tcPr>
          <w:p w14:paraId="281A4D03" w14:textId="77777777" w:rsidR="00316AD8" w:rsidRPr="00727955" w:rsidRDefault="00316AD8" w:rsidP="00316AD8">
            <w:pPr>
              <w:spacing w:after="0" w:line="240" w:lineRule="auto"/>
              <w:rPr>
                <w:rFonts w:ascii="Arial" w:eastAsia="Times New Roman" w:hAnsi="Arial" w:cs="Arial"/>
                <w:color w:val="000000"/>
                <w:sz w:val="18"/>
                <w:szCs w:val="18"/>
                <w:lang w:val="es-PY" w:eastAsia="es-PY"/>
              </w:rPr>
            </w:pPr>
          </w:p>
        </w:tc>
        <w:tc>
          <w:tcPr>
            <w:tcW w:w="3155" w:type="dxa"/>
            <w:shd w:val="clear" w:color="auto" w:fill="auto"/>
            <w:vAlign w:val="center"/>
          </w:tcPr>
          <w:p w14:paraId="1409269D" w14:textId="34F2377C" w:rsidR="00316AD8" w:rsidRPr="00727955" w:rsidRDefault="00316AD8" w:rsidP="00E41ECC">
            <w:pPr>
              <w:spacing w:after="0" w:line="240" w:lineRule="auto"/>
              <w:jc w:val="right"/>
              <w:rPr>
                <w:rFonts w:ascii="Arial" w:eastAsia="Times New Roman" w:hAnsi="Arial" w:cs="Arial"/>
                <w:color w:val="000000"/>
                <w:sz w:val="18"/>
                <w:szCs w:val="18"/>
                <w:lang w:val="es-PY" w:eastAsia="es-PY"/>
              </w:rPr>
            </w:pPr>
            <w:r>
              <w:rPr>
                <w:rFonts w:ascii="Arial" w:eastAsia="Times New Roman" w:hAnsi="Arial" w:cs="Arial"/>
                <w:color w:val="000000"/>
                <w:sz w:val="18"/>
                <w:szCs w:val="18"/>
                <w:lang w:val="es-PY" w:eastAsia="es-PY"/>
              </w:rPr>
              <w:t>Evaluación Intermedia</w:t>
            </w:r>
          </w:p>
        </w:tc>
        <w:tc>
          <w:tcPr>
            <w:tcW w:w="1754" w:type="dxa"/>
            <w:shd w:val="clear" w:color="auto" w:fill="auto"/>
            <w:noWrap/>
            <w:vAlign w:val="center"/>
          </w:tcPr>
          <w:p w14:paraId="3E1B0331" w14:textId="6113E700" w:rsidR="00316AD8" w:rsidRDefault="00DC4BCD" w:rsidP="00E41ECC">
            <w:pPr>
              <w:spacing w:after="0" w:line="240" w:lineRule="auto"/>
              <w:jc w:val="right"/>
              <w:rPr>
                <w:rFonts w:ascii="Arial" w:eastAsia="Times New Roman" w:hAnsi="Arial" w:cs="Arial"/>
                <w:color w:val="000000"/>
                <w:sz w:val="18"/>
                <w:szCs w:val="18"/>
                <w:lang w:val="es-PY" w:eastAsia="es-PY"/>
              </w:rPr>
            </w:pPr>
            <w:r>
              <w:rPr>
                <w:rFonts w:ascii="Arial" w:eastAsia="Times New Roman" w:hAnsi="Arial" w:cs="Arial"/>
                <w:color w:val="000000"/>
                <w:sz w:val="18"/>
                <w:szCs w:val="18"/>
                <w:lang w:val="es-PY" w:eastAsia="es-PY"/>
              </w:rPr>
              <w:t>44.800</w:t>
            </w:r>
          </w:p>
        </w:tc>
        <w:tc>
          <w:tcPr>
            <w:tcW w:w="2520" w:type="dxa"/>
            <w:shd w:val="clear" w:color="auto" w:fill="auto"/>
            <w:noWrap/>
            <w:vAlign w:val="center"/>
          </w:tcPr>
          <w:p w14:paraId="2D564472" w14:textId="0FA9FEF3" w:rsidR="00316AD8" w:rsidRPr="00727955" w:rsidRDefault="00DC4BCD" w:rsidP="00316AD8">
            <w:pPr>
              <w:spacing w:after="0" w:line="240" w:lineRule="auto"/>
              <w:jc w:val="center"/>
              <w:rPr>
                <w:rFonts w:ascii="Arial" w:eastAsia="Times New Roman" w:hAnsi="Arial" w:cs="Arial"/>
                <w:color w:val="000000"/>
                <w:sz w:val="18"/>
                <w:szCs w:val="18"/>
                <w:lang w:val="es-PY" w:eastAsia="es-PY"/>
              </w:rPr>
            </w:pPr>
            <w:r>
              <w:rPr>
                <w:rFonts w:ascii="Arial" w:eastAsia="Times New Roman" w:hAnsi="Arial" w:cs="Arial"/>
                <w:color w:val="000000"/>
                <w:sz w:val="18"/>
                <w:szCs w:val="18"/>
                <w:lang w:val="es-PY" w:eastAsia="es-PY"/>
              </w:rPr>
              <w:t>EC-L1250</w:t>
            </w:r>
          </w:p>
        </w:tc>
      </w:tr>
      <w:tr w:rsidR="00316AD8" w:rsidRPr="000946E3" w14:paraId="6F1E199D" w14:textId="77777777" w:rsidTr="005027CD">
        <w:trPr>
          <w:trHeight w:val="240"/>
        </w:trPr>
        <w:tc>
          <w:tcPr>
            <w:tcW w:w="535" w:type="dxa"/>
          </w:tcPr>
          <w:p w14:paraId="5538981E" w14:textId="77777777" w:rsidR="00316AD8" w:rsidRPr="00727955" w:rsidRDefault="00316AD8" w:rsidP="00316AD8">
            <w:pPr>
              <w:spacing w:after="0" w:line="240" w:lineRule="auto"/>
              <w:rPr>
                <w:rFonts w:ascii="Arial" w:eastAsia="Times New Roman" w:hAnsi="Arial" w:cs="Arial"/>
                <w:color w:val="000000"/>
                <w:sz w:val="18"/>
                <w:szCs w:val="18"/>
                <w:lang w:val="es-PY" w:eastAsia="es-PY"/>
              </w:rPr>
            </w:pPr>
          </w:p>
        </w:tc>
        <w:tc>
          <w:tcPr>
            <w:tcW w:w="3155" w:type="dxa"/>
            <w:shd w:val="clear" w:color="auto" w:fill="auto"/>
            <w:vAlign w:val="center"/>
          </w:tcPr>
          <w:p w14:paraId="7730978E" w14:textId="4B47550E" w:rsidR="00316AD8" w:rsidRPr="00727955" w:rsidRDefault="00316AD8" w:rsidP="00E41ECC">
            <w:pPr>
              <w:spacing w:after="0" w:line="240" w:lineRule="auto"/>
              <w:jc w:val="right"/>
              <w:rPr>
                <w:rFonts w:ascii="Arial" w:eastAsia="Times New Roman" w:hAnsi="Arial" w:cs="Arial"/>
                <w:color w:val="000000"/>
                <w:sz w:val="18"/>
                <w:szCs w:val="18"/>
                <w:lang w:val="es-PY" w:eastAsia="es-PY"/>
              </w:rPr>
            </w:pPr>
            <w:r>
              <w:rPr>
                <w:rFonts w:ascii="Arial" w:eastAsia="Times New Roman" w:hAnsi="Arial" w:cs="Arial"/>
                <w:color w:val="000000"/>
                <w:sz w:val="18"/>
                <w:szCs w:val="18"/>
                <w:lang w:val="es-PY" w:eastAsia="es-PY"/>
              </w:rPr>
              <w:t>Evaluación Final (incluye ACB ex post)</w:t>
            </w:r>
          </w:p>
        </w:tc>
        <w:tc>
          <w:tcPr>
            <w:tcW w:w="1754" w:type="dxa"/>
            <w:shd w:val="clear" w:color="auto" w:fill="auto"/>
            <w:noWrap/>
            <w:vAlign w:val="center"/>
          </w:tcPr>
          <w:p w14:paraId="1E330891" w14:textId="78857394" w:rsidR="00316AD8" w:rsidRDefault="00DC4BCD" w:rsidP="00E41ECC">
            <w:pPr>
              <w:spacing w:after="0" w:line="240" w:lineRule="auto"/>
              <w:jc w:val="right"/>
              <w:rPr>
                <w:rFonts w:ascii="Arial" w:eastAsia="Times New Roman" w:hAnsi="Arial" w:cs="Arial"/>
                <w:color w:val="000000"/>
                <w:sz w:val="18"/>
                <w:szCs w:val="18"/>
                <w:lang w:val="es-PY" w:eastAsia="es-PY"/>
              </w:rPr>
            </w:pPr>
            <w:r>
              <w:rPr>
                <w:rFonts w:ascii="Arial" w:eastAsia="Times New Roman" w:hAnsi="Arial" w:cs="Arial"/>
                <w:color w:val="000000"/>
                <w:sz w:val="18"/>
                <w:szCs w:val="18"/>
                <w:lang w:val="es-PY" w:eastAsia="es-PY"/>
              </w:rPr>
              <w:t>61.600</w:t>
            </w:r>
          </w:p>
        </w:tc>
        <w:tc>
          <w:tcPr>
            <w:tcW w:w="2520" w:type="dxa"/>
            <w:shd w:val="clear" w:color="auto" w:fill="auto"/>
            <w:noWrap/>
            <w:vAlign w:val="center"/>
          </w:tcPr>
          <w:p w14:paraId="26DC5E65" w14:textId="45166809" w:rsidR="00316AD8" w:rsidRPr="00727955" w:rsidRDefault="00DC4BCD" w:rsidP="00316AD8">
            <w:pPr>
              <w:spacing w:after="0" w:line="240" w:lineRule="auto"/>
              <w:jc w:val="center"/>
              <w:rPr>
                <w:rFonts w:ascii="Arial" w:eastAsia="Times New Roman" w:hAnsi="Arial" w:cs="Arial"/>
                <w:color w:val="000000"/>
                <w:sz w:val="18"/>
                <w:szCs w:val="18"/>
                <w:lang w:val="es-PY" w:eastAsia="es-PY"/>
              </w:rPr>
            </w:pPr>
            <w:r>
              <w:rPr>
                <w:rFonts w:ascii="Arial" w:eastAsia="Times New Roman" w:hAnsi="Arial" w:cs="Arial"/>
                <w:color w:val="000000"/>
                <w:sz w:val="18"/>
                <w:szCs w:val="18"/>
                <w:lang w:val="es-PY" w:eastAsia="es-PY"/>
              </w:rPr>
              <w:t>EC-L1250</w:t>
            </w:r>
          </w:p>
        </w:tc>
      </w:tr>
      <w:tr w:rsidR="00316AD8" w:rsidRPr="00727955" w14:paraId="69FBD8A7" w14:textId="77777777" w:rsidTr="005027CD">
        <w:trPr>
          <w:trHeight w:val="240"/>
        </w:trPr>
        <w:tc>
          <w:tcPr>
            <w:tcW w:w="535" w:type="dxa"/>
          </w:tcPr>
          <w:p w14:paraId="67F92EA8" w14:textId="77777777" w:rsidR="00316AD8" w:rsidRPr="00727955" w:rsidRDefault="00316AD8" w:rsidP="00316AD8">
            <w:pPr>
              <w:spacing w:after="0" w:line="240" w:lineRule="auto"/>
              <w:rPr>
                <w:rFonts w:ascii="Arial" w:eastAsia="Times New Roman" w:hAnsi="Arial" w:cs="Arial"/>
                <w:color w:val="000000"/>
                <w:sz w:val="18"/>
                <w:szCs w:val="18"/>
                <w:lang w:val="es-PY" w:eastAsia="es-PY"/>
              </w:rPr>
            </w:pPr>
          </w:p>
        </w:tc>
        <w:tc>
          <w:tcPr>
            <w:tcW w:w="3155" w:type="dxa"/>
            <w:shd w:val="clear" w:color="auto" w:fill="auto"/>
            <w:vAlign w:val="center"/>
          </w:tcPr>
          <w:p w14:paraId="5D7FCA6E" w14:textId="0A96DF18" w:rsidR="00316AD8" w:rsidRPr="00727955" w:rsidRDefault="00316AD8" w:rsidP="00E41ECC">
            <w:pPr>
              <w:spacing w:after="0" w:line="240" w:lineRule="auto"/>
              <w:jc w:val="right"/>
              <w:rPr>
                <w:rFonts w:ascii="Arial" w:eastAsia="Times New Roman" w:hAnsi="Arial" w:cs="Arial"/>
                <w:color w:val="000000"/>
                <w:sz w:val="18"/>
                <w:szCs w:val="18"/>
                <w:lang w:val="es-PY" w:eastAsia="es-PY"/>
              </w:rPr>
            </w:pPr>
            <w:r>
              <w:rPr>
                <w:rFonts w:ascii="Arial" w:eastAsia="Times New Roman" w:hAnsi="Arial" w:cs="Arial"/>
                <w:color w:val="000000"/>
                <w:sz w:val="18"/>
                <w:szCs w:val="18"/>
                <w:lang w:val="es-PY" w:eastAsia="es-PY"/>
              </w:rPr>
              <w:t>Evaluación de Impacto</w:t>
            </w:r>
          </w:p>
        </w:tc>
        <w:tc>
          <w:tcPr>
            <w:tcW w:w="1754" w:type="dxa"/>
            <w:shd w:val="clear" w:color="auto" w:fill="auto"/>
            <w:noWrap/>
            <w:vAlign w:val="center"/>
          </w:tcPr>
          <w:p w14:paraId="0A85D147" w14:textId="07320BCF" w:rsidR="00316AD8" w:rsidRDefault="00DC4BCD" w:rsidP="00E41ECC">
            <w:pPr>
              <w:spacing w:after="0" w:line="240" w:lineRule="auto"/>
              <w:jc w:val="right"/>
              <w:rPr>
                <w:rFonts w:ascii="Arial" w:eastAsia="Times New Roman" w:hAnsi="Arial" w:cs="Arial"/>
                <w:color w:val="000000"/>
                <w:sz w:val="18"/>
                <w:szCs w:val="18"/>
                <w:lang w:val="es-PY" w:eastAsia="es-PY"/>
              </w:rPr>
            </w:pPr>
            <w:r>
              <w:rPr>
                <w:rFonts w:ascii="Arial" w:eastAsia="Times New Roman" w:hAnsi="Arial" w:cs="Arial"/>
                <w:color w:val="000000"/>
                <w:sz w:val="18"/>
                <w:szCs w:val="18"/>
                <w:lang w:val="es-PY" w:eastAsia="es-PY"/>
              </w:rPr>
              <w:t>95.200</w:t>
            </w:r>
          </w:p>
        </w:tc>
        <w:tc>
          <w:tcPr>
            <w:tcW w:w="2520" w:type="dxa"/>
            <w:shd w:val="clear" w:color="auto" w:fill="auto"/>
            <w:noWrap/>
            <w:vAlign w:val="center"/>
          </w:tcPr>
          <w:p w14:paraId="4ABA592C" w14:textId="49A49D06" w:rsidR="00316AD8" w:rsidRPr="00727955" w:rsidRDefault="00DC4BCD" w:rsidP="00316AD8">
            <w:pPr>
              <w:spacing w:after="0" w:line="240" w:lineRule="auto"/>
              <w:jc w:val="center"/>
              <w:rPr>
                <w:rFonts w:ascii="Arial" w:eastAsia="Times New Roman" w:hAnsi="Arial" w:cs="Arial"/>
                <w:color w:val="000000"/>
                <w:sz w:val="18"/>
                <w:szCs w:val="18"/>
                <w:lang w:val="es-PY" w:eastAsia="es-PY"/>
              </w:rPr>
            </w:pPr>
            <w:r>
              <w:rPr>
                <w:rFonts w:ascii="Arial" w:eastAsia="Times New Roman" w:hAnsi="Arial" w:cs="Arial"/>
                <w:color w:val="000000"/>
                <w:sz w:val="18"/>
                <w:szCs w:val="18"/>
                <w:lang w:val="es-PY" w:eastAsia="es-PY"/>
              </w:rPr>
              <w:t>EC-L1250</w:t>
            </w:r>
          </w:p>
        </w:tc>
      </w:tr>
      <w:tr w:rsidR="003F3BF1" w:rsidRPr="00727955" w14:paraId="53521FBD" w14:textId="77777777" w:rsidTr="005027CD">
        <w:trPr>
          <w:trHeight w:val="240"/>
        </w:trPr>
        <w:tc>
          <w:tcPr>
            <w:tcW w:w="535" w:type="dxa"/>
            <w:shd w:val="clear" w:color="000000" w:fill="F2F2F2"/>
          </w:tcPr>
          <w:p w14:paraId="39FAA104" w14:textId="77777777" w:rsidR="003F3BF1" w:rsidRPr="00727955" w:rsidRDefault="003F3BF1" w:rsidP="005027CD">
            <w:pPr>
              <w:spacing w:after="0" w:line="240" w:lineRule="auto"/>
              <w:jc w:val="right"/>
              <w:rPr>
                <w:rFonts w:ascii="Arial" w:eastAsia="Times New Roman" w:hAnsi="Arial" w:cs="Arial"/>
                <w:b/>
                <w:bCs/>
                <w:color w:val="000000"/>
                <w:sz w:val="18"/>
                <w:szCs w:val="18"/>
                <w:lang w:val="es-PY" w:eastAsia="es-PY"/>
              </w:rPr>
            </w:pPr>
          </w:p>
        </w:tc>
        <w:tc>
          <w:tcPr>
            <w:tcW w:w="3155" w:type="dxa"/>
            <w:shd w:val="clear" w:color="000000" w:fill="F2F2F2"/>
            <w:vAlign w:val="center"/>
            <w:hideMark/>
          </w:tcPr>
          <w:p w14:paraId="5EFFDC96" w14:textId="77777777" w:rsidR="003F3BF1" w:rsidRPr="00727955" w:rsidRDefault="003F3BF1" w:rsidP="005027CD">
            <w:pPr>
              <w:spacing w:after="0" w:line="240" w:lineRule="auto"/>
              <w:jc w:val="right"/>
              <w:rPr>
                <w:rFonts w:ascii="Arial" w:eastAsia="Times New Roman" w:hAnsi="Arial" w:cs="Arial"/>
                <w:b/>
                <w:bCs/>
                <w:color w:val="000000"/>
                <w:sz w:val="18"/>
                <w:szCs w:val="18"/>
                <w:lang w:val="es-PY" w:eastAsia="es-PY"/>
              </w:rPr>
            </w:pPr>
            <w:r w:rsidRPr="00727955">
              <w:rPr>
                <w:rFonts w:ascii="Arial" w:eastAsia="Times New Roman" w:hAnsi="Arial" w:cs="Arial"/>
                <w:b/>
                <w:bCs/>
                <w:color w:val="000000"/>
                <w:sz w:val="18"/>
                <w:szCs w:val="18"/>
                <w:lang w:val="es-PY" w:eastAsia="es-PY"/>
              </w:rPr>
              <w:t>Total</w:t>
            </w:r>
          </w:p>
        </w:tc>
        <w:tc>
          <w:tcPr>
            <w:tcW w:w="1754" w:type="dxa"/>
            <w:shd w:val="clear" w:color="000000" w:fill="F2F2F2"/>
            <w:noWrap/>
            <w:vAlign w:val="center"/>
            <w:hideMark/>
          </w:tcPr>
          <w:p w14:paraId="18BE40EF" w14:textId="4315982B" w:rsidR="003F3BF1" w:rsidRPr="00727955" w:rsidRDefault="00027DB9" w:rsidP="007245FD">
            <w:pPr>
              <w:spacing w:after="0" w:line="240" w:lineRule="auto"/>
              <w:jc w:val="center"/>
              <w:rPr>
                <w:rFonts w:ascii="Arial" w:eastAsia="Times New Roman" w:hAnsi="Arial" w:cs="Arial"/>
                <w:b/>
                <w:bCs/>
                <w:color w:val="000000"/>
                <w:sz w:val="18"/>
                <w:szCs w:val="18"/>
                <w:lang w:val="es-PY" w:eastAsia="es-PY"/>
              </w:rPr>
            </w:pPr>
            <w:r>
              <w:rPr>
                <w:rFonts w:ascii="Arial" w:eastAsia="Times New Roman" w:hAnsi="Arial" w:cs="Arial"/>
                <w:b/>
                <w:bCs/>
                <w:color w:val="000000"/>
                <w:sz w:val="18"/>
                <w:szCs w:val="18"/>
                <w:lang w:val="es-PY" w:eastAsia="es-PY"/>
              </w:rPr>
              <w:t>1</w:t>
            </w:r>
            <w:r w:rsidR="00B1147E">
              <w:rPr>
                <w:rFonts w:ascii="Arial" w:eastAsia="Times New Roman" w:hAnsi="Arial" w:cs="Arial"/>
                <w:b/>
                <w:bCs/>
                <w:color w:val="000000"/>
                <w:sz w:val="18"/>
                <w:szCs w:val="18"/>
                <w:lang w:val="es-PY" w:eastAsia="es-PY"/>
              </w:rPr>
              <w:t>.</w:t>
            </w:r>
            <w:r>
              <w:rPr>
                <w:rFonts w:ascii="Arial" w:eastAsia="Times New Roman" w:hAnsi="Arial" w:cs="Arial"/>
                <w:b/>
                <w:bCs/>
                <w:color w:val="000000"/>
                <w:sz w:val="18"/>
                <w:szCs w:val="18"/>
                <w:lang w:val="es-PY" w:eastAsia="es-PY"/>
              </w:rPr>
              <w:t>609</w:t>
            </w:r>
            <w:r w:rsidR="00B1147E">
              <w:rPr>
                <w:rFonts w:ascii="Arial" w:eastAsia="Times New Roman" w:hAnsi="Arial" w:cs="Arial"/>
                <w:b/>
                <w:bCs/>
                <w:color w:val="000000"/>
                <w:sz w:val="18"/>
                <w:szCs w:val="18"/>
                <w:lang w:val="es-PY" w:eastAsia="es-PY"/>
              </w:rPr>
              <w:t>.</w:t>
            </w:r>
            <w:r>
              <w:rPr>
                <w:rFonts w:ascii="Arial" w:eastAsia="Times New Roman" w:hAnsi="Arial" w:cs="Arial"/>
                <w:b/>
                <w:bCs/>
                <w:color w:val="000000"/>
                <w:sz w:val="18"/>
                <w:szCs w:val="18"/>
                <w:lang w:val="es-PY" w:eastAsia="es-PY"/>
              </w:rPr>
              <w:t>6</w:t>
            </w:r>
            <w:r w:rsidR="00FF7DFB" w:rsidRPr="00727955">
              <w:rPr>
                <w:rFonts w:ascii="Arial" w:eastAsia="Times New Roman" w:hAnsi="Arial" w:cs="Arial"/>
                <w:b/>
                <w:bCs/>
                <w:color w:val="000000"/>
                <w:sz w:val="18"/>
                <w:szCs w:val="18"/>
                <w:lang w:val="es-PY" w:eastAsia="es-PY"/>
              </w:rPr>
              <w:t>00</w:t>
            </w:r>
          </w:p>
        </w:tc>
        <w:tc>
          <w:tcPr>
            <w:tcW w:w="2520" w:type="dxa"/>
            <w:shd w:val="clear" w:color="000000" w:fill="F2F2F2"/>
            <w:noWrap/>
            <w:vAlign w:val="center"/>
            <w:hideMark/>
          </w:tcPr>
          <w:p w14:paraId="55CDCD84" w14:textId="70DC742F" w:rsidR="003F3BF1" w:rsidRPr="00727955" w:rsidRDefault="003F3BF1" w:rsidP="007245FD">
            <w:pPr>
              <w:spacing w:after="0" w:line="240" w:lineRule="auto"/>
              <w:jc w:val="center"/>
              <w:rPr>
                <w:rFonts w:ascii="Arial" w:eastAsia="Times New Roman" w:hAnsi="Arial" w:cs="Arial"/>
                <w:b/>
                <w:bCs/>
                <w:color w:val="000000"/>
                <w:sz w:val="18"/>
                <w:szCs w:val="18"/>
                <w:lang w:val="es-PY" w:eastAsia="es-PY"/>
              </w:rPr>
            </w:pPr>
          </w:p>
        </w:tc>
      </w:tr>
    </w:tbl>
    <w:p w14:paraId="7D506A54" w14:textId="14FECC29" w:rsidR="003F3BF1" w:rsidRPr="00727955" w:rsidRDefault="003F3BF1">
      <w:pPr>
        <w:spacing w:after="0" w:line="240" w:lineRule="auto"/>
        <w:jc w:val="center"/>
        <w:rPr>
          <w:rFonts w:ascii="Arial" w:hAnsi="Arial" w:cs="Arial"/>
          <w:b/>
          <w:sz w:val="18"/>
          <w:szCs w:val="18"/>
          <w:lang w:val="es-ES_tradnl"/>
        </w:rPr>
      </w:pPr>
    </w:p>
    <w:p w14:paraId="0DEAEC35" w14:textId="08746049" w:rsidR="003F3BF1" w:rsidRPr="00727955" w:rsidRDefault="003F3BF1">
      <w:pPr>
        <w:spacing w:after="0" w:line="240" w:lineRule="auto"/>
        <w:jc w:val="center"/>
        <w:rPr>
          <w:rFonts w:ascii="Arial" w:hAnsi="Arial" w:cs="Arial"/>
          <w:b/>
          <w:sz w:val="18"/>
          <w:szCs w:val="18"/>
          <w:lang w:val="es-ES_tradnl"/>
        </w:rPr>
      </w:pPr>
    </w:p>
    <w:p w14:paraId="60BA8D8B" w14:textId="77777777" w:rsidR="00491AB1" w:rsidRPr="00727955" w:rsidRDefault="00491AB1" w:rsidP="00542496">
      <w:pPr>
        <w:pStyle w:val="Paragraph"/>
        <w:numPr>
          <w:ilvl w:val="0"/>
          <w:numId w:val="0"/>
        </w:numPr>
        <w:rPr>
          <w:rFonts w:ascii="Arial" w:hAnsi="Arial" w:cs="Arial"/>
          <w:sz w:val="18"/>
          <w:szCs w:val="18"/>
        </w:rPr>
      </w:pPr>
    </w:p>
    <w:sectPr w:rsidR="00491AB1" w:rsidRPr="00727955" w:rsidSect="00C2120C">
      <w:pgSz w:w="11906" w:h="16838"/>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0D545" w14:textId="77777777" w:rsidR="00AE2163" w:rsidRDefault="00AE2163" w:rsidP="007A4664">
      <w:pPr>
        <w:spacing w:after="0" w:line="240" w:lineRule="auto"/>
      </w:pPr>
      <w:r>
        <w:separator/>
      </w:r>
    </w:p>
  </w:endnote>
  <w:endnote w:type="continuationSeparator" w:id="0">
    <w:p w14:paraId="7A7D6B3F" w14:textId="77777777" w:rsidR="00AE2163" w:rsidRDefault="00AE2163" w:rsidP="007A4664">
      <w:pPr>
        <w:spacing w:after="0" w:line="240" w:lineRule="auto"/>
      </w:pPr>
      <w:r>
        <w:continuationSeparator/>
      </w:r>
    </w:p>
  </w:endnote>
  <w:endnote w:type="continuationNotice" w:id="1">
    <w:p w14:paraId="5E5EAC28" w14:textId="77777777" w:rsidR="00AE2163" w:rsidRDefault="00AE21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161477"/>
      <w:docPartObj>
        <w:docPartGallery w:val="Page Numbers (Bottom of Page)"/>
        <w:docPartUnique/>
      </w:docPartObj>
    </w:sdtPr>
    <w:sdtEndPr>
      <w:rPr>
        <w:rFonts w:ascii="Arial" w:hAnsi="Arial" w:cs="Arial"/>
        <w:noProof/>
        <w:sz w:val="20"/>
        <w:szCs w:val="20"/>
      </w:rPr>
    </w:sdtEndPr>
    <w:sdtContent>
      <w:p w14:paraId="1C0F9DC2" w14:textId="77777777" w:rsidR="003B5315" w:rsidRPr="00542496" w:rsidRDefault="003B5315">
        <w:pPr>
          <w:pStyle w:val="Footer"/>
          <w:jc w:val="center"/>
          <w:rPr>
            <w:rFonts w:ascii="Arial" w:hAnsi="Arial" w:cs="Arial"/>
            <w:sz w:val="20"/>
            <w:szCs w:val="20"/>
          </w:rPr>
        </w:pPr>
        <w:r w:rsidRPr="00542496">
          <w:rPr>
            <w:rFonts w:ascii="Arial" w:hAnsi="Arial" w:cs="Arial"/>
            <w:sz w:val="20"/>
            <w:szCs w:val="20"/>
          </w:rPr>
          <w:fldChar w:fldCharType="begin"/>
        </w:r>
        <w:r w:rsidRPr="00542496">
          <w:rPr>
            <w:rFonts w:ascii="Arial" w:hAnsi="Arial" w:cs="Arial"/>
            <w:sz w:val="20"/>
            <w:szCs w:val="20"/>
          </w:rPr>
          <w:instrText xml:space="preserve"> PAGE   \* MERGEFORMAT </w:instrText>
        </w:r>
        <w:r w:rsidRPr="00542496">
          <w:rPr>
            <w:rFonts w:ascii="Arial" w:hAnsi="Arial" w:cs="Arial"/>
            <w:sz w:val="20"/>
            <w:szCs w:val="20"/>
          </w:rPr>
          <w:fldChar w:fldCharType="separate"/>
        </w:r>
        <w:r w:rsidRPr="00542496">
          <w:rPr>
            <w:rFonts w:ascii="Arial" w:hAnsi="Arial" w:cs="Arial"/>
            <w:noProof/>
            <w:sz w:val="20"/>
            <w:szCs w:val="20"/>
          </w:rPr>
          <w:t>35</w:t>
        </w:r>
        <w:r w:rsidRPr="00542496">
          <w:rPr>
            <w:rFonts w:ascii="Arial" w:hAnsi="Arial" w:cs="Arial"/>
            <w:noProof/>
            <w:sz w:val="20"/>
            <w:szCs w:val="20"/>
          </w:rPr>
          <w:fldChar w:fldCharType="end"/>
        </w:r>
      </w:p>
    </w:sdtContent>
  </w:sdt>
  <w:p w14:paraId="1E23DBD8" w14:textId="77777777" w:rsidR="003B5315" w:rsidRDefault="003B5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71DDF" w14:textId="77777777" w:rsidR="00AE2163" w:rsidRDefault="00AE2163" w:rsidP="007A4664">
      <w:pPr>
        <w:spacing w:after="0" w:line="240" w:lineRule="auto"/>
      </w:pPr>
      <w:r>
        <w:separator/>
      </w:r>
    </w:p>
  </w:footnote>
  <w:footnote w:type="continuationSeparator" w:id="0">
    <w:p w14:paraId="43C466C1" w14:textId="77777777" w:rsidR="00AE2163" w:rsidRDefault="00AE2163" w:rsidP="007A4664">
      <w:pPr>
        <w:spacing w:after="0" w:line="240" w:lineRule="auto"/>
      </w:pPr>
      <w:r>
        <w:continuationSeparator/>
      </w:r>
    </w:p>
  </w:footnote>
  <w:footnote w:type="continuationNotice" w:id="1">
    <w:p w14:paraId="78C82436" w14:textId="77777777" w:rsidR="00AE2163" w:rsidRDefault="00AE2163">
      <w:pPr>
        <w:spacing w:after="0" w:line="240" w:lineRule="auto"/>
      </w:pPr>
    </w:p>
  </w:footnote>
  <w:footnote w:id="2">
    <w:p w14:paraId="0B156607" w14:textId="77377B92" w:rsidR="003B5315" w:rsidRPr="009C76B0" w:rsidRDefault="003B5315" w:rsidP="009C76B0">
      <w:pPr>
        <w:pStyle w:val="FootnoteText"/>
        <w:ind w:left="270" w:hanging="270"/>
        <w:rPr>
          <w:rFonts w:ascii="Arial" w:hAnsi="Arial" w:cs="Arial"/>
          <w:sz w:val="18"/>
          <w:szCs w:val="18"/>
          <w:lang w:val="es-419"/>
        </w:rPr>
      </w:pPr>
      <w:r w:rsidRPr="009C76B0">
        <w:rPr>
          <w:rStyle w:val="FootnoteReference"/>
          <w:rFonts w:ascii="Arial" w:hAnsi="Arial" w:cs="Arial"/>
          <w:sz w:val="18"/>
          <w:szCs w:val="18"/>
        </w:rPr>
        <w:footnoteRef/>
      </w:r>
      <w:r w:rsidRPr="009C76B0">
        <w:rPr>
          <w:rFonts w:ascii="Arial" w:hAnsi="Arial" w:cs="Arial"/>
          <w:sz w:val="18"/>
          <w:szCs w:val="18"/>
          <w:lang w:val="es-419"/>
        </w:rPr>
        <w:t xml:space="preserve"> </w:t>
      </w:r>
      <w:r>
        <w:rPr>
          <w:rFonts w:ascii="Arial" w:hAnsi="Arial" w:cs="Arial"/>
          <w:sz w:val="18"/>
          <w:szCs w:val="18"/>
          <w:lang w:val="es-419"/>
        </w:rPr>
        <w:tab/>
      </w:r>
      <w:r w:rsidRPr="009C76B0">
        <w:rPr>
          <w:rFonts w:ascii="Arial" w:hAnsi="Arial" w:cs="Arial"/>
          <w:sz w:val="18"/>
          <w:szCs w:val="18"/>
          <w:lang w:val="es-419"/>
        </w:rPr>
        <w:t>Corresponde al promedio del período 2013-2018</w:t>
      </w:r>
    </w:p>
  </w:footnote>
  <w:footnote w:id="3">
    <w:p w14:paraId="33740350" w14:textId="29E1724C" w:rsidR="003B5315" w:rsidRPr="002F4727" w:rsidRDefault="003B5315" w:rsidP="002F4727">
      <w:pPr>
        <w:pStyle w:val="FootnoteText"/>
        <w:ind w:left="270" w:hanging="270"/>
        <w:rPr>
          <w:rFonts w:ascii="Arial" w:hAnsi="Arial" w:cs="Arial"/>
          <w:lang w:val="es-EC"/>
        </w:rPr>
      </w:pPr>
      <w:r w:rsidRPr="002F4727">
        <w:rPr>
          <w:rStyle w:val="FootnoteReference"/>
          <w:rFonts w:ascii="Arial" w:hAnsi="Arial" w:cs="Arial"/>
          <w:sz w:val="18"/>
          <w:szCs w:val="18"/>
        </w:rPr>
        <w:footnoteRef/>
      </w:r>
      <w:r w:rsidRPr="002F4727">
        <w:rPr>
          <w:rFonts w:ascii="Arial" w:hAnsi="Arial" w:cs="Arial"/>
          <w:sz w:val="18"/>
          <w:szCs w:val="18"/>
          <w:lang w:val="es-ES"/>
        </w:rPr>
        <w:t xml:space="preserve">  </w:t>
      </w:r>
      <w:r>
        <w:rPr>
          <w:rFonts w:ascii="Arial" w:hAnsi="Arial" w:cs="Arial"/>
          <w:sz w:val="18"/>
          <w:szCs w:val="18"/>
          <w:lang w:val="es-ES"/>
        </w:rPr>
        <w:tab/>
      </w:r>
      <w:r w:rsidRPr="002F4727">
        <w:rPr>
          <w:rFonts w:ascii="Arial" w:hAnsi="Arial" w:cs="Arial"/>
          <w:sz w:val="18"/>
          <w:szCs w:val="18"/>
          <w:lang w:val="es-EC"/>
        </w:rPr>
        <w:t>Las actividades o insumos podrían ajustarse o modificarse en el transcurso de la ejecución de la operación, las cuales se reflejarán en las actualizaciones de las herramientas de gestión (POA, PA) conforme al procedimiento establecido en el ROP.</w:t>
      </w:r>
      <w:r w:rsidRPr="002F4727">
        <w:rPr>
          <w:rFonts w:ascii="Arial" w:hAnsi="Arial" w:cs="Arial"/>
          <w:lang w:val="es-EC"/>
        </w:rPr>
        <w:t xml:space="preserve"> </w:t>
      </w:r>
    </w:p>
  </w:footnote>
  <w:footnote w:id="4">
    <w:p w14:paraId="023EE098" w14:textId="212923CB" w:rsidR="003B5315" w:rsidRPr="00C2120C" w:rsidRDefault="003B5315" w:rsidP="00C2120C">
      <w:pPr>
        <w:pStyle w:val="FootnoteText"/>
        <w:ind w:left="270" w:hanging="270"/>
        <w:jc w:val="both"/>
        <w:rPr>
          <w:rFonts w:ascii="Arial" w:hAnsi="Arial" w:cs="Arial"/>
          <w:sz w:val="18"/>
          <w:szCs w:val="18"/>
          <w:lang w:val="es-419"/>
        </w:rPr>
      </w:pPr>
      <w:r w:rsidRPr="00C2120C">
        <w:rPr>
          <w:rStyle w:val="FootnoteReference"/>
          <w:rFonts w:ascii="Arial" w:hAnsi="Arial" w:cs="Arial"/>
          <w:sz w:val="18"/>
          <w:szCs w:val="18"/>
        </w:rPr>
        <w:footnoteRef/>
      </w:r>
      <w:r w:rsidRPr="00C2120C">
        <w:rPr>
          <w:rFonts w:ascii="Arial" w:hAnsi="Arial" w:cs="Arial"/>
          <w:sz w:val="18"/>
          <w:szCs w:val="18"/>
          <w:lang w:val="es-419"/>
        </w:rPr>
        <w:t xml:space="preserve"> </w:t>
      </w:r>
      <w:r>
        <w:rPr>
          <w:rFonts w:ascii="Arial" w:hAnsi="Arial" w:cs="Arial"/>
          <w:sz w:val="18"/>
          <w:szCs w:val="18"/>
          <w:lang w:val="es-419"/>
        </w:rPr>
        <w:tab/>
      </w:r>
      <w:r w:rsidRPr="00C2120C">
        <w:rPr>
          <w:rFonts w:ascii="Arial" w:hAnsi="Arial" w:cs="Arial"/>
          <w:sz w:val="18"/>
          <w:szCs w:val="18"/>
          <w:lang w:val="es-419"/>
        </w:rPr>
        <w:t>Incluye: coordinador, especialistas en adquisiciones, gestión financiera y planificación y monitoreo</w:t>
      </w:r>
    </w:p>
  </w:footnote>
  <w:footnote w:id="5">
    <w:p w14:paraId="734AA680" w14:textId="77777777" w:rsidR="003B5315" w:rsidRPr="00B636E5" w:rsidRDefault="003B5315" w:rsidP="00C2120C">
      <w:pPr>
        <w:pStyle w:val="FootnoteText"/>
        <w:ind w:left="270" w:hanging="270"/>
        <w:jc w:val="both"/>
        <w:rPr>
          <w:rFonts w:ascii="Arial" w:hAnsi="Arial" w:cs="Arial"/>
          <w:sz w:val="18"/>
          <w:szCs w:val="18"/>
          <w:lang w:val="es-419"/>
        </w:rPr>
      </w:pPr>
      <w:r w:rsidRPr="00A01772">
        <w:rPr>
          <w:rStyle w:val="FootnoteReference"/>
          <w:rFonts w:ascii="Arial" w:hAnsi="Arial" w:cs="Arial"/>
          <w:sz w:val="18"/>
          <w:szCs w:val="18"/>
        </w:rPr>
        <w:footnoteRef/>
      </w:r>
      <w:r w:rsidRPr="00A01772">
        <w:rPr>
          <w:rFonts w:ascii="Arial" w:hAnsi="Arial" w:cs="Arial"/>
          <w:sz w:val="18"/>
          <w:szCs w:val="18"/>
          <w:lang w:val="es-419"/>
        </w:rPr>
        <w:t xml:space="preserve"> </w:t>
      </w:r>
      <w:r w:rsidRPr="00A01772">
        <w:rPr>
          <w:rFonts w:ascii="Arial" w:hAnsi="Arial" w:cs="Arial"/>
          <w:sz w:val="18"/>
          <w:szCs w:val="18"/>
          <w:lang w:val="es-419"/>
        </w:rPr>
        <w:tab/>
        <w:t>Dichos proyectos han apoyado actividades de fortalecimiento institucional, modernización tecnológica, desvinculaciones, entre otros.</w:t>
      </w:r>
    </w:p>
  </w:footnote>
  <w:footnote w:id="6">
    <w:p w14:paraId="79747149" w14:textId="4014C1A7" w:rsidR="003B5315" w:rsidRDefault="003B5315" w:rsidP="001B6FC4">
      <w:pPr>
        <w:pStyle w:val="FootnoteText"/>
        <w:ind w:left="270" w:hanging="270"/>
        <w:jc w:val="both"/>
        <w:rPr>
          <w:rFonts w:ascii="Arial" w:hAnsi="Arial" w:cs="Arial"/>
          <w:sz w:val="18"/>
          <w:szCs w:val="18"/>
          <w:lang w:val="es-ES_tradnl"/>
        </w:rPr>
      </w:pPr>
      <w:r w:rsidRPr="007F4C71">
        <w:rPr>
          <w:rStyle w:val="FootnoteReference"/>
          <w:rFonts w:ascii="Arial" w:hAnsi="Arial" w:cs="Arial"/>
          <w:sz w:val="18"/>
          <w:szCs w:val="18"/>
        </w:rPr>
        <w:footnoteRef/>
      </w:r>
      <w:r w:rsidRPr="007F4C71">
        <w:rPr>
          <w:rFonts w:ascii="Arial" w:hAnsi="Arial" w:cs="Arial"/>
          <w:sz w:val="18"/>
          <w:szCs w:val="18"/>
          <w:lang w:val="es-ES_tradnl"/>
        </w:rPr>
        <w:t xml:space="preserve"> </w:t>
      </w:r>
      <w:r>
        <w:rPr>
          <w:rFonts w:ascii="Arial" w:hAnsi="Arial" w:cs="Arial"/>
          <w:sz w:val="18"/>
          <w:szCs w:val="18"/>
          <w:lang w:val="es-ES_tradnl"/>
        </w:rPr>
        <w:tab/>
      </w:r>
      <w:r w:rsidRPr="007F4C71">
        <w:rPr>
          <w:rFonts w:ascii="Arial" w:hAnsi="Arial" w:cs="Arial"/>
          <w:sz w:val="18"/>
          <w:szCs w:val="18"/>
          <w:lang w:val="es-ES_tradnl"/>
        </w:rPr>
        <w:t>La responsabilidad de la recopilación de toda la información requerida para el cumplimiento de las actividades será del especialista en Planeación y Monitoreo de</w:t>
      </w:r>
      <w:r>
        <w:rPr>
          <w:rFonts w:ascii="Arial" w:hAnsi="Arial" w:cs="Arial"/>
          <w:sz w:val="18"/>
          <w:szCs w:val="18"/>
          <w:lang w:val="es-ES_tradnl"/>
        </w:rPr>
        <w:t>l OE.</w:t>
      </w:r>
      <w:r w:rsidRPr="007F4C71">
        <w:rPr>
          <w:rFonts w:ascii="Arial" w:hAnsi="Arial" w:cs="Arial"/>
          <w:sz w:val="18"/>
          <w:szCs w:val="18"/>
          <w:lang w:val="es-ES_tradnl"/>
        </w:rPr>
        <w:t xml:space="preserve"> La frecuencia de esta recopilación viene señalada en las columnas trimestrales de cada año de ejecución</w:t>
      </w:r>
      <w:r>
        <w:rPr>
          <w:rFonts w:ascii="Arial" w:hAnsi="Arial" w:cs="Arial"/>
          <w:sz w:val="18"/>
          <w:szCs w:val="18"/>
          <w:lang w:val="es-ES_tradnl"/>
        </w:rPr>
        <w:t xml:space="preserve"> del # 4 de este mismo Cuadro 4.</w:t>
      </w:r>
    </w:p>
    <w:p w14:paraId="675984A8" w14:textId="39A3115A" w:rsidR="003B5315" w:rsidRPr="007F4C71" w:rsidRDefault="003B5315" w:rsidP="00D04358">
      <w:pPr>
        <w:pStyle w:val="FootnoteText"/>
        <w:jc w:val="both"/>
        <w:rPr>
          <w:rFonts w:ascii="Arial" w:hAnsi="Arial" w:cs="Arial"/>
          <w:sz w:val="18"/>
          <w:szCs w:val="18"/>
          <w:lang w:val="es-ES_tradnl"/>
        </w:rPr>
      </w:pPr>
    </w:p>
  </w:footnote>
  <w:footnote w:id="7">
    <w:p w14:paraId="73E4F15A" w14:textId="77777777" w:rsidR="003B5315" w:rsidRPr="00C2120C" w:rsidRDefault="003B5315" w:rsidP="00D469AC">
      <w:pPr>
        <w:pStyle w:val="FootnoteText"/>
        <w:ind w:left="270" w:hanging="270"/>
        <w:rPr>
          <w:rFonts w:ascii="Arial" w:hAnsi="Arial" w:cs="Arial"/>
          <w:sz w:val="18"/>
          <w:szCs w:val="18"/>
          <w:lang w:val="es-419"/>
        </w:rPr>
      </w:pPr>
      <w:r w:rsidRPr="00C2120C">
        <w:rPr>
          <w:rStyle w:val="FootnoteReference"/>
          <w:rFonts w:ascii="Arial" w:hAnsi="Arial" w:cs="Arial"/>
          <w:sz w:val="18"/>
          <w:szCs w:val="18"/>
        </w:rPr>
        <w:footnoteRef/>
      </w:r>
      <w:r w:rsidRPr="00C2120C">
        <w:rPr>
          <w:rFonts w:ascii="Arial" w:hAnsi="Arial" w:cs="Arial"/>
          <w:sz w:val="18"/>
          <w:szCs w:val="18"/>
          <w:lang w:val="es-419"/>
        </w:rPr>
        <w:t xml:space="preserve"> </w:t>
      </w:r>
      <w:r>
        <w:rPr>
          <w:rFonts w:ascii="Arial" w:hAnsi="Arial" w:cs="Arial"/>
          <w:sz w:val="18"/>
          <w:szCs w:val="18"/>
          <w:lang w:val="es-419"/>
        </w:rPr>
        <w:tab/>
      </w:r>
      <w:r w:rsidRPr="00C2120C">
        <w:rPr>
          <w:rFonts w:ascii="Arial" w:hAnsi="Arial" w:cs="Arial"/>
          <w:sz w:val="18"/>
          <w:szCs w:val="18"/>
          <w:lang w:val="es-419"/>
        </w:rPr>
        <w:t xml:space="preserve">Incluye a </w:t>
      </w:r>
      <w:r>
        <w:rPr>
          <w:rFonts w:ascii="Arial" w:hAnsi="Arial" w:cs="Arial"/>
          <w:sz w:val="18"/>
          <w:szCs w:val="18"/>
          <w:lang w:val="es-419"/>
        </w:rPr>
        <w:t>cuatro</w:t>
      </w:r>
      <w:r w:rsidRPr="00C2120C">
        <w:rPr>
          <w:rFonts w:ascii="Arial" w:hAnsi="Arial" w:cs="Arial"/>
          <w:sz w:val="18"/>
          <w:szCs w:val="18"/>
          <w:lang w:val="es-419"/>
        </w:rPr>
        <w:t xml:space="preserve"> Especialistas en Planeación y Monitoreo: 2 en el MEF, 1 en la VPR y 1 en la SGP.</w:t>
      </w:r>
    </w:p>
  </w:footnote>
  <w:footnote w:id="8">
    <w:p w14:paraId="6D621343" w14:textId="6BAC5FB1" w:rsidR="003B5315" w:rsidRPr="00C2120C" w:rsidRDefault="003B5315" w:rsidP="002F4727">
      <w:pPr>
        <w:pStyle w:val="FootnoteText"/>
        <w:ind w:left="270" w:hanging="270"/>
        <w:jc w:val="both"/>
        <w:rPr>
          <w:rFonts w:ascii="Arial" w:hAnsi="Arial" w:cs="Arial"/>
          <w:sz w:val="18"/>
          <w:szCs w:val="18"/>
        </w:rPr>
      </w:pPr>
      <w:r w:rsidRPr="00C2120C">
        <w:rPr>
          <w:rStyle w:val="FootnoteReference"/>
          <w:rFonts w:ascii="Arial" w:hAnsi="Arial" w:cs="Arial"/>
          <w:sz w:val="18"/>
          <w:szCs w:val="18"/>
        </w:rPr>
        <w:footnoteRef/>
      </w:r>
      <w:r w:rsidRPr="00C2120C">
        <w:rPr>
          <w:rFonts w:ascii="Arial" w:hAnsi="Arial" w:cs="Arial"/>
          <w:sz w:val="18"/>
          <w:szCs w:val="18"/>
          <w:lang w:val="es-419"/>
        </w:rPr>
        <w:t xml:space="preserve"> </w:t>
      </w:r>
      <w:r>
        <w:rPr>
          <w:rFonts w:ascii="Arial" w:hAnsi="Arial" w:cs="Arial"/>
          <w:sz w:val="18"/>
          <w:szCs w:val="18"/>
          <w:lang w:val="es-419"/>
        </w:rPr>
        <w:tab/>
      </w:r>
      <w:r w:rsidRPr="00C2120C">
        <w:rPr>
          <w:rFonts w:ascii="Arial" w:hAnsi="Arial" w:cs="Arial"/>
          <w:sz w:val="18"/>
          <w:szCs w:val="18"/>
          <w:lang w:val="es-419"/>
        </w:rPr>
        <w:t xml:space="preserve">Diario “La Hora”, 18 de abril del 2019. </w:t>
      </w:r>
      <w:hyperlink r:id="rId1" w:history="1">
        <w:r w:rsidRPr="00C2120C">
          <w:rPr>
            <w:rStyle w:val="Hyperlink"/>
            <w:rFonts w:ascii="Arial" w:hAnsi="Arial" w:cs="Arial"/>
            <w:sz w:val="18"/>
            <w:szCs w:val="18"/>
          </w:rPr>
          <w:t>https://lahora.com.ec/quito/noticia/1102237174/casi-el-60_-de-las-empresas-registradas-en-la-superintendencia-de-companias-estan-inactivas-y-no-presentan-balances</w:t>
        </w:r>
      </w:hyperlink>
    </w:p>
  </w:footnote>
  <w:footnote w:id="9">
    <w:p w14:paraId="01429162" w14:textId="4EDFF246" w:rsidR="003B5315" w:rsidRPr="00C2120C" w:rsidRDefault="003B5315" w:rsidP="002F4727">
      <w:pPr>
        <w:pStyle w:val="FootnoteText"/>
        <w:ind w:left="270" w:hanging="270"/>
        <w:jc w:val="both"/>
        <w:rPr>
          <w:rFonts w:ascii="Arial" w:hAnsi="Arial" w:cs="Arial"/>
          <w:sz w:val="18"/>
          <w:szCs w:val="18"/>
          <w:lang w:val="es-419"/>
        </w:rPr>
      </w:pPr>
      <w:r w:rsidRPr="00C2120C">
        <w:rPr>
          <w:rStyle w:val="FootnoteReference"/>
          <w:rFonts w:ascii="Arial" w:hAnsi="Arial" w:cs="Arial"/>
          <w:sz w:val="18"/>
          <w:szCs w:val="18"/>
        </w:rPr>
        <w:footnoteRef/>
      </w:r>
      <w:r w:rsidRPr="00C2120C">
        <w:rPr>
          <w:rFonts w:ascii="Arial" w:hAnsi="Arial" w:cs="Arial"/>
          <w:sz w:val="18"/>
          <w:szCs w:val="18"/>
          <w:lang w:val="es-419"/>
        </w:rPr>
        <w:t xml:space="preserve"> </w:t>
      </w:r>
      <w:r>
        <w:rPr>
          <w:rFonts w:ascii="Arial" w:hAnsi="Arial" w:cs="Arial"/>
          <w:sz w:val="18"/>
          <w:szCs w:val="18"/>
          <w:lang w:val="es-419"/>
        </w:rPr>
        <w:tab/>
      </w:r>
      <w:r w:rsidRPr="00C2120C">
        <w:rPr>
          <w:rFonts w:ascii="Arial" w:hAnsi="Arial" w:cs="Arial"/>
          <w:sz w:val="18"/>
          <w:szCs w:val="18"/>
          <w:lang w:val="es-419"/>
        </w:rPr>
        <w:t>Empresas creadas por conveniencia contable o legal pero que en la práctica nunca estuvieron activas. Una empresa es activa cuando ha presentado alguna vez ventas mayores a cero.</w:t>
      </w:r>
    </w:p>
  </w:footnote>
  <w:footnote w:id="10">
    <w:p w14:paraId="6D857EEE" w14:textId="005E53B5" w:rsidR="003B5315" w:rsidRPr="00C2120C" w:rsidRDefault="003B5315" w:rsidP="002F4727">
      <w:pPr>
        <w:pStyle w:val="FootnoteText"/>
        <w:ind w:left="270" w:hanging="270"/>
        <w:jc w:val="both"/>
        <w:rPr>
          <w:rFonts w:ascii="Arial" w:hAnsi="Arial" w:cs="Arial"/>
          <w:sz w:val="18"/>
          <w:szCs w:val="18"/>
          <w:lang w:val="es-419"/>
        </w:rPr>
      </w:pPr>
      <w:r w:rsidRPr="00C2120C">
        <w:rPr>
          <w:rStyle w:val="FootnoteReference"/>
          <w:rFonts w:ascii="Arial" w:hAnsi="Arial" w:cs="Arial"/>
          <w:sz w:val="18"/>
          <w:szCs w:val="18"/>
        </w:rPr>
        <w:footnoteRef/>
      </w:r>
      <w:r w:rsidRPr="00C2120C">
        <w:rPr>
          <w:rFonts w:ascii="Arial" w:hAnsi="Arial" w:cs="Arial"/>
          <w:sz w:val="18"/>
          <w:szCs w:val="18"/>
          <w:lang w:val="es-419"/>
        </w:rPr>
        <w:t xml:space="preserve"> </w:t>
      </w:r>
      <w:r>
        <w:rPr>
          <w:rFonts w:ascii="Arial" w:hAnsi="Arial" w:cs="Arial"/>
          <w:sz w:val="18"/>
          <w:szCs w:val="18"/>
          <w:lang w:val="es-419"/>
        </w:rPr>
        <w:tab/>
      </w:r>
      <w:r w:rsidRPr="00C2120C">
        <w:rPr>
          <w:rFonts w:ascii="Arial" w:hAnsi="Arial" w:cs="Arial"/>
          <w:sz w:val="18"/>
          <w:szCs w:val="18"/>
          <w:lang w:val="es-419"/>
        </w:rPr>
        <w:t>Datos provistos por la SCVS.</w:t>
      </w:r>
    </w:p>
  </w:footnote>
  <w:footnote w:id="11">
    <w:p w14:paraId="42280FC8" w14:textId="3DBDE5ED" w:rsidR="003B5315" w:rsidRPr="00C2120C" w:rsidRDefault="003B5315" w:rsidP="002F4727">
      <w:pPr>
        <w:pStyle w:val="FootnoteText"/>
        <w:ind w:left="270" w:hanging="270"/>
        <w:jc w:val="both"/>
        <w:rPr>
          <w:rFonts w:ascii="Arial" w:hAnsi="Arial" w:cs="Arial"/>
          <w:sz w:val="18"/>
          <w:szCs w:val="18"/>
        </w:rPr>
      </w:pPr>
      <w:r w:rsidRPr="00C2120C">
        <w:rPr>
          <w:rStyle w:val="FootnoteReference"/>
          <w:rFonts w:ascii="Arial" w:hAnsi="Arial" w:cs="Arial"/>
          <w:sz w:val="18"/>
          <w:szCs w:val="18"/>
        </w:rPr>
        <w:footnoteRef/>
      </w:r>
      <w:r w:rsidRPr="00C2120C">
        <w:rPr>
          <w:rFonts w:ascii="Arial" w:hAnsi="Arial" w:cs="Arial"/>
          <w:sz w:val="18"/>
          <w:szCs w:val="18"/>
          <w:lang w:val="es-419"/>
        </w:rPr>
        <w:t xml:space="preserve"> </w:t>
      </w:r>
      <w:r>
        <w:rPr>
          <w:rFonts w:ascii="Arial" w:hAnsi="Arial" w:cs="Arial"/>
          <w:sz w:val="18"/>
          <w:szCs w:val="18"/>
          <w:lang w:val="es-419"/>
        </w:rPr>
        <w:tab/>
      </w:r>
      <w:r w:rsidRPr="00C2120C">
        <w:rPr>
          <w:rFonts w:ascii="Arial" w:hAnsi="Arial" w:cs="Arial"/>
          <w:sz w:val="18"/>
          <w:szCs w:val="18"/>
          <w:lang w:val="es-419"/>
        </w:rPr>
        <w:t xml:space="preserve">Diario Expreso, 18 de febrero de 2019. </w:t>
      </w:r>
      <w:hyperlink r:id="rId2" w:history="1">
        <w:r w:rsidRPr="00C2120C">
          <w:rPr>
            <w:rStyle w:val="Hyperlink"/>
            <w:rFonts w:ascii="Arial" w:hAnsi="Arial" w:cs="Arial"/>
            <w:sz w:val="18"/>
            <w:szCs w:val="18"/>
          </w:rPr>
          <w:t>https://www.expreso.ec/economia/economia-empresas-superintendencia-liquidacion-guayas-BK2639939</w:t>
        </w:r>
      </w:hyperlink>
    </w:p>
  </w:footnote>
  <w:footnote w:id="12">
    <w:p w14:paraId="48A14D9F" w14:textId="392A7E28" w:rsidR="003B5315" w:rsidRPr="00C2120C" w:rsidRDefault="003B5315" w:rsidP="002F4727">
      <w:pPr>
        <w:pStyle w:val="FootnoteText"/>
        <w:ind w:left="270" w:hanging="270"/>
        <w:jc w:val="both"/>
        <w:rPr>
          <w:rFonts w:ascii="Arial" w:hAnsi="Arial" w:cs="Arial"/>
          <w:sz w:val="18"/>
          <w:szCs w:val="18"/>
          <w:lang w:val="es-PE"/>
        </w:rPr>
      </w:pPr>
      <w:r w:rsidRPr="00C2120C">
        <w:rPr>
          <w:rStyle w:val="FootnoteReference"/>
          <w:rFonts w:ascii="Arial" w:hAnsi="Arial" w:cs="Arial"/>
          <w:sz w:val="18"/>
          <w:szCs w:val="18"/>
        </w:rPr>
        <w:footnoteRef/>
      </w:r>
      <w:r w:rsidRPr="00C2120C">
        <w:rPr>
          <w:rFonts w:ascii="Arial" w:hAnsi="Arial" w:cs="Arial"/>
          <w:sz w:val="18"/>
          <w:szCs w:val="18"/>
          <w:lang w:val="es-PE"/>
        </w:rPr>
        <w:t xml:space="preserve"> </w:t>
      </w:r>
      <w:r>
        <w:rPr>
          <w:rFonts w:ascii="Arial" w:hAnsi="Arial" w:cs="Arial"/>
          <w:sz w:val="18"/>
          <w:szCs w:val="18"/>
          <w:lang w:val="es-PE"/>
        </w:rPr>
        <w:tab/>
      </w:r>
      <w:r w:rsidRPr="00C2120C">
        <w:rPr>
          <w:rFonts w:ascii="Arial" w:hAnsi="Arial" w:cs="Arial"/>
          <w:sz w:val="18"/>
          <w:szCs w:val="18"/>
          <w:lang w:val="es-PE"/>
        </w:rPr>
        <w:t>Idem.</w:t>
      </w:r>
    </w:p>
  </w:footnote>
  <w:footnote w:id="13">
    <w:p w14:paraId="28266E26" w14:textId="34A10442" w:rsidR="003B5315" w:rsidRPr="00A9193B" w:rsidRDefault="003B5315" w:rsidP="002F4727">
      <w:pPr>
        <w:pStyle w:val="FootnoteText"/>
        <w:ind w:left="270" w:hanging="270"/>
        <w:jc w:val="both"/>
        <w:rPr>
          <w:lang w:val="es-PE"/>
        </w:rPr>
      </w:pPr>
      <w:r w:rsidRPr="00C2120C">
        <w:rPr>
          <w:rStyle w:val="FootnoteReference"/>
          <w:rFonts w:ascii="Arial" w:hAnsi="Arial" w:cs="Arial"/>
          <w:sz w:val="18"/>
          <w:szCs w:val="18"/>
        </w:rPr>
        <w:footnoteRef/>
      </w:r>
      <w:r>
        <w:rPr>
          <w:rFonts w:ascii="Arial" w:hAnsi="Arial" w:cs="Arial"/>
          <w:sz w:val="18"/>
          <w:szCs w:val="18"/>
          <w:lang w:val="es-PE"/>
        </w:rPr>
        <w:t xml:space="preserve"> </w:t>
      </w:r>
      <w:r>
        <w:rPr>
          <w:rFonts w:ascii="Arial" w:hAnsi="Arial" w:cs="Arial"/>
          <w:sz w:val="18"/>
          <w:szCs w:val="18"/>
          <w:lang w:val="es-PE"/>
        </w:rPr>
        <w:tab/>
      </w:r>
      <w:r w:rsidRPr="00C2120C">
        <w:rPr>
          <w:rFonts w:ascii="Arial" w:hAnsi="Arial" w:cs="Arial"/>
          <w:sz w:val="18"/>
          <w:szCs w:val="18"/>
          <w:lang w:val="es-PE"/>
        </w:rPr>
        <w:t>Idem</w:t>
      </w:r>
    </w:p>
  </w:footnote>
  <w:footnote w:id="14">
    <w:p w14:paraId="1ADB7225" w14:textId="73A197CC" w:rsidR="003B5315" w:rsidRPr="00C2120C" w:rsidRDefault="003B5315" w:rsidP="00C2120C">
      <w:pPr>
        <w:pStyle w:val="FootnoteText"/>
        <w:ind w:left="360"/>
        <w:jc w:val="both"/>
        <w:rPr>
          <w:rFonts w:ascii="Arial" w:hAnsi="Arial" w:cs="Arial"/>
          <w:sz w:val="18"/>
          <w:szCs w:val="18"/>
          <w:lang w:val="es-419"/>
        </w:rPr>
      </w:pPr>
      <w:r w:rsidRPr="00C2120C">
        <w:rPr>
          <w:rFonts w:ascii="Arial" w:hAnsi="Arial" w:cs="Arial"/>
          <w:sz w:val="18"/>
          <w:szCs w:val="18"/>
          <w:lang w:val="es-419"/>
        </w:rPr>
        <w:t>El proceso agilizado se podría operacionalizar mediante una plataforma que acelere el saneamiento de activos</w:t>
      </w:r>
      <w:r w:rsidRPr="00C2120C">
        <w:rPr>
          <w:rStyle w:val="FootnoteReference"/>
          <w:rFonts w:ascii="Arial" w:hAnsi="Arial" w:cs="Arial"/>
          <w:sz w:val="18"/>
          <w:szCs w:val="18"/>
        </w:rPr>
        <w:footnoteRef/>
      </w:r>
      <w:r>
        <w:rPr>
          <w:rFonts w:ascii="Arial" w:hAnsi="Arial" w:cs="Arial"/>
          <w:sz w:val="18"/>
          <w:szCs w:val="18"/>
          <w:lang w:val="es-419"/>
        </w:rPr>
        <w:t>.</w:t>
      </w:r>
      <w:r w:rsidRPr="00C2120C">
        <w:rPr>
          <w:rFonts w:ascii="Arial" w:hAnsi="Arial" w:cs="Arial"/>
          <w:sz w:val="18"/>
          <w:szCs w:val="18"/>
          <w:lang w:val="es-419"/>
        </w:rPr>
        <w:t xml:space="preserve"> </w:t>
      </w:r>
    </w:p>
  </w:footnote>
  <w:footnote w:id="15">
    <w:p w14:paraId="0D34F313" w14:textId="640E329D" w:rsidR="003B5315" w:rsidRPr="00575804" w:rsidRDefault="003B5315" w:rsidP="00C2120C">
      <w:pPr>
        <w:pStyle w:val="FootnoteText"/>
        <w:ind w:left="360" w:hanging="360"/>
        <w:jc w:val="both"/>
        <w:rPr>
          <w:lang w:val="es-419"/>
        </w:rPr>
      </w:pPr>
      <w:r w:rsidRPr="00C2120C">
        <w:rPr>
          <w:rStyle w:val="FootnoteReference"/>
          <w:rFonts w:ascii="Arial" w:hAnsi="Arial" w:cs="Arial"/>
          <w:sz w:val="18"/>
          <w:szCs w:val="18"/>
        </w:rPr>
        <w:footnoteRef/>
      </w:r>
      <w:r w:rsidRPr="00C2120C">
        <w:rPr>
          <w:rFonts w:ascii="Arial" w:hAnsi="Arial" w:cs="Arial"/>
          <w:sz w:val="18"/>
          <w:szCs w:val="18"/>
          <w:lang w:val="es-419"/>
        </w:rPr>
        <w:t xml:space="preserve"> </w:t>
      </w:r>
      <w:r>
        <w:rPr>
          <w:rFonts w:ascii="Arial" w:hAnsi="Arial" w:cs="Arial"/>
          <w:sz w:val="18"/>
          <w:szCs w:val="18"/>
          <w:lang w:val="es-419"/>
        </w:rPr>
        <w:tab/>
      </w:r>
      <w:r w:rsidRPr="00C2120C">
        <w:rPr>
          <w:rFonts w:ascii="Arial" w:hAnsi="Arial" w:cs="Arial"/>
          <w:sz w:val="18"/>
          <w:szCs w:val="18"/>
          <w:lang w:val="es-419"/>
        </w:rPr>
        <w:t>El documento también encuentra que las empresas “zombies” (aquellas que ya han sido rescatadas financieramente) son más probable que sobrevivan a pesar de los nuevos incentivos para salir.</w:t>
      </w:r>
    </w:p>
  </w:footnote>
  <w:footnote w:id="16">
    <w:p w14:paraId="6AE14A08" w14:textId="77777777" w:rsidR="003B5315" w:rsidRPr="00C2120C" w:rsidRDefault="003B5315" w:rsidP="00C2120C">
      <w:pPr>
        <w:pStyle w:val="FootnoteText"/>
        <w:ind w:left="360" w:hanging="360"/>
        <w:rPr>
          <w:rFonts w:ascii="Arial" w:hAnsi="Arial" w:cs="Arial"/>
          <w:sz w:val="18"/>
          <w:szCs w:val="18"/>
          <w:lang w:val="es-ES"/>
        </w:rPr>
      </w:pPr>
      <w:r w:rsidRPr="00C2120C">
        <w:rPr>
          <w:rStyle w:val="FootnoteReference"/>
          <w:rFonts w:ascii="Arial" w:hAnsi="Arial" w:cs="Arial"/>
          <w:sz w:val="18"/>
          <w:szCs w:val="18"/>
        </w:rPr>
        <w:footnoteRef/>
      </w:r>
      <w:r w:rsidRPr="00C2120C">
        <w:rPr>
          <w:rFonts w:ascii="Arial" w:hAnsi="Arial" w:cs="Arial"/>
          <w:sz w:val="18"/>
          <w:szCs w:val="18"/>
          <w:lang w:val="es-ES"/>
        </w:rPr>
        <w:t xml:space="preserve"> </w:t>
      </w:r>
      <w:r w:rsidRPr="00C2120C">
        <w:rPr>
          <w:rFonts w:ascii="Arial" w:hAnsi="Arial" w:cs="Arial"/>
          <w:sz w:val="18"/>
          <w:szCs w:val="18"/>
          <w:lang w:val="es-ES"/>
        </w:rPr>
        <w:tab/>
        <w:t xml:space="preserve">Esto Coloca a Ecuador en la posición 86 de 140 países en el Reporte de Competitividad Global 2018 (RCG) del Foro Económico Mundial, de acuerdo con dicho índice, en la actualidad Ecuador está por debajo de Chile (33), Costa Rica (55), Colombia (60) o de Perú (63). </w:t>
      </w:r>
    </w:p>
  </w:footnote>
  <w:footnote w:id="17">
    <w:p w14:paraId="6CA92E1E" w14:textId="0269FFC2" w:rsidR="003B5315" w:rsidRPr="00C2120C" w:rsidRDefault="003B5315" w:rsidP="00C2120C">
      <w:pPr>
        <w:pStyle w:val="FootnoteText"/>
        <w:ind w:left="270" w:hanging="270"/>
        <w:rPr>
          <w:rFonts w:ascii="Arial" w:hAnsi="Arial" w:cs="Arial"/>
          <w:sz w:val="18"/>
          <w:szCs w:val="18"/>
          <w:lang w:val="es-419"/>
        </w:rPr>
      </w:pPr>
      <w:r w:rsidRPr="00C2120C">
        <w:rPr>
          <w:rStyle w:val="FootnoteReference"/>
          <w:rFonts w:ascii="Arial" w:hAnsi="Arial" w:cs="Arial"/>
          <w:sz w:val="18"/>
          <w:szCs w:val="18"/>
        </w:rPr>
        <w:footnoteRef/>
      </w:r>
      <w:r w:rsidRPr="00C2120C">
        <w:rPr>
          <w:rFonts w:ascii="Arial" w:hAnsi="Arial" w:cs="Arial"/>
          <w:sz w:val="18"/>
          <w:szCs w:val="18"/>
          <w:lang w:val="es-419"/>
        </w:rPr>
        <w:t xml:space="preserve"> </w:t>
      </w:r>
      <w:r>
        <w:rPr>
          <w:rFonts w:ascii="Arial" w:hAnsi="Arial" w:cs="Arial"/>
          <w:sz w:val="18"/>
          <w:szCs w:val="18"/>
          <w:lang w:val="es-419"/>
        </w:rPr>
        <w:tab/>
      </w:r>
      <w:r w:rsidRPr="00C2120C">
        <w:rPr>
          <w:rFonts w:ascii="Arial" w:hAnsi="Arial" w:cs="Arial"/>
          <w:sz w:val="18"/>
          <w:szCs w:val="18"/>
          <w:lang w:val="es-419"/>
        </w:rPr>
        <w:t xml:space="preserve">En caso de que se tenga un portal, todos estos datos estarán al alcance de la SCVS. </w:t>
      </w:r>
    </w:p>
    <w:p w14:paraId="1C9E230D" w14:textId="77777777" w:rsidR="003B5315" w:rsidRPr="008940B3" w:rsidRDefault="003B5315" w:rsidP="004D69C6">
      <w:pPr>
        <w:pStyle w:val="FootnoteText"/>
        <w:rPr>
          <w:lang w:val="es-419"/>
        </w:rPr>
      </w:pPr>
    </w:p>
  </w:footnote>
  <w:footnote w:id="18">
    <w:p w14:paraId="05AE9C74" w14:textId="3D6A28F5" w:rsidR="003B5315" w:rsidRPr="00C2120C" w:rsidRDefault="003B5315" w:rsidP="002F4727">
      <w:pPr>
        <w:pStyle w:val="FootnoteText"/>
        <w:ind w:left="270" w:hanging="270"/>
        <w:jc w:val="both"/>
        <w:rPr>
          <w:rFonts w:ascii="Arial" w:hAnsi="Arial" w:cs="Arial"/>
          <w:sz w:val="18"/>
          <w:szCs w:val="18"/>
          <w:lang w:val="es-ES_tradnl"/>
        </w:rPr>
      </w:pPr>
      <w:r w:rsidRPr="002F4727">
        <w:rPr>
          <w:rStyle w:val="FootnoteReference"/>
          <w:rFonts w:ascii="Arial" w:hAnsi="Arial" w:cs="Arial"/>
          <w:sz w:val="18"/>
          <w:szCs w:val="18"/>
        </w:rPr>
        <w:footnoteRef/>
      </w:r>
      <w:r w:rsidRPr="00D42A2F">
        <w:rPr>
          <w:lang w:val="es-419"/>
        </w:rPr>
        <w:t xml:space="preserve"> </w:t>
      </w:r>
      <w:r>
        <w:rPr>
          <w:lang w:val="es-419"/>
        </w:rPr>
        <w:tab/>
      </w:r>
      <w:r w:rsidRPr="00D42A2F">
        <w:rPr>
          <w:rFonts w:ascii="Arial" w:hAnsi="Arial" w:cs="Arial"/>
          <w:sz w:val="18"/>
          <w:szCs w:val="18"/>
          <w:lang w:val="es-419"/>
        </w:rPr>
        <w:t xml:space="preserve">Dado que 500 empresas en riesgo adoptan su disolución cada año, se asume que 250 lo harán en un periodo de seis meses. </w:t>
      </w:r>
      <w:r w:rsidRPr="00C2120C">
        <w:rPr>
          <w:rFonts w:ascii="Arial" w:hAnsi="Arial" w:cs="Arial"/>
          <w:sz w:val="18"/>
          <w:szCs w:val="18"/>
          <w:lang w:val="es-ES_tradnl"/>
        </w:rPr>
        <w:t>Asimismo, se asume un poder estadístico de 80%.</w:t>
      </w:r>
    </w:p>
  </w:footnote>
  <w:footnote w:id="19">
    <w:p w14:paraId="39E28DCF" w14:textId="77777777" w:rsidR="003B5315" w:rsidRPr="00C2120C" w:rsidRDefault="003B5315" w:rsidP="00D469AC">
      <w:pPr>
        <w:pStyle w:val="FootnoteText"/>
        <w:ind w:left="270" w:hanging="270"/>
        <w:rPr>
          <w:rFonts w:ascii="Arial" w:hAnsi="Arial" w:cs="Arial"/>
          <w:sz w:val="18"/>
          <w:szCs w:val="18"/>
          <w:lang w:val="es-419"/>
        </w:rPr>
      </w:pPr>
      <w:r w:rsidRPr="00C2120C">
        <w:rPr>
          <w:rStyle w:val="FootnoteReference"/>
          <w:rFonts w:ascii="Arial" w:hAnsi="Arial" w:cs="Arial"/>
          <w:sz w:val="18"/>
          <w:szCs w:val="18"/>
        </w:rPr>
        <w:footnoteRef/>
      </w:r>
      <w:r w:rsidRPr="00C2120C">
        <w:rPr>
          <w:rFonts w:ascii="Arial" w:hAnsi="Arial" w:cs="Arial"/>
          <w:sz w:val="18"/>
          <w:szCs w:val="18"/>
          <w:lang w:val="es-419"/>
        </w:rPr>
        <w:t xml:space="preserve"> </w:t>
      </w:r>
      <w:r>
        <w:rPr>
          <w:rFonts w:ascii="Arial" w:hAnsi="Arial" w:cs="Arial"/>
          <w:sz w:val="18"/>
          <w:szCs w:val="18"/>
          <w:lang w:val="es-419"/>
        </w:rPr>
        <w:tab/>
      </w:r>
      <w:r w:rsidRPr="00C2120C">
        <w:rPr>
          <w:rFonts w:ascii="Arial" w:hAnsi="Arial" w:cs="Arial"/>
          <w:sz w:val="18"/>
          <w:szCs w:val="18"/>
          <w:lang w:val="es-419"/>
        </w:rPr>
        <w:t xml:space="preserve">Incluye a </w:t>
      </w:r>
      <w:r>
        <w:rPr>
          <w:rFonts w:ascii="Arial" w:hAnsi="Arial" w:cs="Arial"/>
          <w:sz w:val="18"/>
          <w:szCs w:val="18"/>
          <w:lang w:val="es-419"/>
        </w:rPr>
        <w:t>cuatro</w:t>
      </w:r>
      <w:r w:rsidRPr="00C2120C">
        <w:rPr>
          <w:rFonts w:ascii="Arial" w:hAnsi="Arial" w:cs="Arial"/>
          <w:sz w:val="18"/>
          <w:szCs w:val="18"/>
          <w:lang w:val="es-419"/>
        </w:rPr>
        <w:t xml:space="preserve"> Especialistas en Planeación y Monitoreo: 2 en el MEF, 1 en la VPR y 1 en la SGP.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F74CB" w14:textId="77777777" w:rsidR="003B5315" w:rsidRDefault="003B5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3F4B"/>
    <w:multiLevelType w:val="hybridMultilevel"/>
    <w:tmpl w:val="B38C8240"/>
    <w:lvl w:ilvl="0" w:tplc="5E3693E4">
      <w:start w:val="1"/>
      <w:numFmt w:val="lowerRoman"/>
      <w:lvlText w:val="%1."/>
      <w:lvlJc w:val="right"/>
      <w:pPr>
        <w:ind w:left="720" w:hanging="360"/>
      </w:pPr>
      <w:rPr>
        <w:rFonts w:ascii="Arial" w:hAnsi="Arial" w:cs="Arial" w:hint="default"/>
        <w:b w:val="0"/>
      </w:rPr>
    </w:lvl>
    <w:lvl w:ilvl="1" w:tplc="3C0A0019" w:tentative="1">
      <w:start w:val="1"/>
      <w:numFmt w:val="lowerLetter"/>
      <w:lvlText w:val="%2."/>
      <w:lvlJc w:val="left"/>
      <w:pPr>
        <w:ind w:left="1440" w:hanging="360"/>
      </w:pPr>
    </w:lvl>
    <w:lvl w:ilvl="2" w:tplc="3C0A001B">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 w15:restartNumberingAfterBreak="0">
    <w:nsid w:val="03434975"/>
    <w:multiLevelType w:val="hybridMultilevel"/>
    <w:tmpl w:val="A364E0E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6674B4D"/>
    <w:multiLevelType w:val="hybridMultilevel"/>
    <w:tmpl w:val="84C26E72"/>
    <w:lvl w:ilvl="0" w:tplc="6E58C1D0">
      <w:numFmt w:val="bullet"/>
      <w:lvlText w:val="-"/>
      <w:lvlJc w:val="left"/>
      <w:pPr>
        <w:ind w:left="36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F7F37"/>
    <w:multiLevelType w:val="hybridMultilevel"/>
    <w:tmpl w:val="9AC294F4"/>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 w15:restartNumberingAfterBreak="0">
    <w:nsid w:val="08F4187C"/>
    <w:multiLevelType w:val="multilevel"/>
    <w:tmpl w:val="0354F9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9D088C"/>
    <w:multiLevelType w:val="hybridMultilevel"/>
    <w:tmpl w:val="D0A4A56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0DAB7FC9"/>
    <w:multiLevelType w:val="multilevel"/>
    <w:tmpl w:val="A2B2F9A6"/>
    <w:lvl w:ilvl="0">
      <w:start w:val="1"/>
      <w:numFmt w:val="upperRoman"/>
      <w:lvlText w:val="%1."/>
      <w:lvlJc w:val="center"/>
      <w:pPr>
        <w:tabs>
          <w:tab w:val="num" w:pos="648"/>
        </w:tabs>
        <w:ind w:left="0" w:firstLine="288"/>
      </w:pPr>
      <w:rPr>
        <w:b/>
        <w:i w:val="0"/>
      </w:rPr>
    </w:lvl>
    <w:lvl w:ilvl="1">
      <w:start w:val="1"/>
      <w:numFmt w:val="decimal"/>
      <w:isLgl/>
      <w:lvlText w:val="%1.%2"/>
      <w:lvlJc w:val="left"/>
      <w:pPr>
        <w:tabs>
          <w:tab w:val="num" w:pos="720"/>
        </w:tabs>
        <w:ind w:left="720" w:hanging="720"/>
      </w:pPr>
      <w:rPr>
        <w:b w:val="0"/>
        <w:color w:val="auto"/>
        <w:lang w:val="es-ES"/>
      </w:rPr>
    </w:lvl>
    <w:lvl w:ilvl="2">
      <w:start w:val="1"/>
      <w:numFmt w:val="lowerLetter"/>
      <w:lvlText w:val="%3."/>
      <w:lvlJc w:val="left"/>
      <w:pPr>
        <w:tabs>
          <w:tab w:val="num" w:pos="1152"/>
        </w:tabs>
        <w:ind w:left="1152" w:hanging="432"/>
      </w:pPr>
    </w:lvl>
    <w:lvl w:ilvl="3">
      <w:start w:val="1"/>
      <w:numFmt w:val="lowerRoman"/>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7" w15:restartNumberingAfterBreak="0">
    <w:nsid w:val="0E074990"/>
    <w:multiLevelType w:val="hybridMultilevel"/>
    <w:tmpl w:val="6316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27470"/>
    <w:multiLevelType w:val="hybridMultilevel"/>
    <w:tmpl w:val="707A70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6141AF"/>
    <w:multiLevelType w:val="multilevel"/>
    <w:tmpl w:val="2CD8A2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216" w:hanging="216"/>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97F5EE9"/>
    <w:multiLevelType w:val="multilevel"/>
    <w:tmpl w:val="8C04D886"/>
    <w:lvl w:ilvl="0">
      <w:start w:val="3"/>
      <w:numFmt w:val="upperRoman"/>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15:restartNumberingAfterBreak="0">
    <w:nsid w:val="1F6A62E6"/>
    <w:multiLevelType w:val="hybridMultilevel"/>
    <w:tmpl w:val="9ABA4CC8"/>
    <w:lvl w:ilvl="0" w:tplc="40DC91FA">
      <w:start w:val="1"/>
      <w:numFmt w:val="upperRoman"/>
      <w:pStyle w:val="Sections"/>
      <w:lvlText w:val="%1."/>
      <w:lvlJc w:val="left"/>
      <w:pPr>
        <w:ind w:left="1080" w:hanging="720"/>
      </w:pPr>
      <w:rPr>
        <w:rFonts w:ascii="Arial" w:hAnsi="Arial" w:cs="Arial" w:hint="default"/>
        <w:b/>
        <w:sz w:val="24"/>
        <w:szCs w:val="24"/>
      </w:rPr>
    </w:lvl>
    <w:lvl w:ilvl="1" w:tplc="04090015">
      <w:start w:val="1"/>
      <w:numFmt w:val="upperLetter"/>
      <w:pStyle w:val="sub-sections"/>
      <w:lvlText w:val="%2."/>
      <w:lvlJc w:val="left"/>
      <w:pPr>
        <w:ind w:left="1440" w:hanging="360"/>
      </w:pPr>
      <w:rPr>
        <w:rFonts w:hint="default"/>
        <w:b/>
      </w:rPr>
    </w:lvl>
    <w:lvl w:ilvl="2" w:tplc="71624B28">
      <w:start w:val="1"/>
      <w:numFmt w:val="lowerRoman"/>
      <w:lvlText w:val="%3)"/>
      <w:lvlJc w:val="left"/>
      <w:pPr>
        <w:ind w:left="2700" w:hanging="720"/>
      </w:pPr>
      <w:rPr>
        <w:rFonts w:hint="default"/>
      </w:rPr>
    </w:lvl>
    <w:lvl w:ilvl="3" w:tplc="123008DC">
      <w:start w:val="2"/>
      <w:numFmt w:val="decimal"/>
      <w:lvlText w:val="%4."/>
      <w:lvlJc w:val="left"/>
      <w:pPr>
        <w:ind w:left="2880" w:hanging="360"/>
      </w:pPr>
      <w:rPr>
        <w:rFonts w:hint="default"/>
      </w:rPr>
    </w:lvl>
    <w:lvl w:ilvl="4" w:tplc="9CA4DC06">
      <w:start w:val="7"/>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727FCB"/>
    <w:multiLevelType w:val="hybridMultilevel"/>
    <w:tmpl w:val="9AC294F4"/>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3" w15:restartNumberingAfterBreak="0">
    <w:nsid w:val="27BB725C"/>
    <w:multiLevelType w:val="multilevel"/>
    <w:tmpl w:val="8912EA16"/>
    <w:lvl w:ilvl="0">
      <w:start w:val="1"/>
      <w:numFmt w:val="upperRoman"/>
      <w:lvlRestart w:val="0"/>
      <w:pStyle w:val="Chapter"/>
      <w:lvlText w:val="%1."/>
      <w:lvlJc w:val="center"/>
      <w:pPr>
        <w:tabs>
          <w:tab w:val="num" w:pos="2088"/>
        </w:tabs>
        <w:ind w:left="1440" w:firstLine="288"/>
      </w:pPr>
      <w:rPr>
        <w:b/>
        <w:i w:val="0"/>
      </w:rPr>
    </w:lvl>
    <w:lvl w:ilvl="1">
      <w:start w:val="1"/>
      <w:numFmt w:val="decimal"/>
      <w:pStyle w:val="Paragraph"/>
      <w:isLgl/>
      <w:lvlText w:val="%1.%2"/>
      <w:lvlJc w:val="left"/>
      <w:pPr>
        <w:tabs>
          <w:tab w:val="num" w:pos="2736"/>
        </w:tabs>
        <w:ind w:left="2736" w:hanging="1296"/>
      </w:pPr>
      <w:rPr>
        <w:rFonts w:ascii="Arial" w:hAnsi="Arial" w:cs="Arial" w:hint="default"/>
        <w:b w:val="0"/>
        <w:sz w:val="22"/>
        <w:szCs w:val="22"/>
      </w:rPr>
    </w:lvl>
    <w:lvl w:ilvl="2">
      <w:start w:val="1"/>
      <w:numFmt w:val="lowerLetter"/>
      <w:pStyle w:val="subpar"/>
      <w:lvlText w:val="%3."/>
      <w:lvlJc w:val="left"/>
      <w:pPr>
        <w:tabs>
          <w:tab w:val="num" w:pos="2592"/>
        </w:tabs>
        <w:ind w:left="2592" w:hanging="432"/>
      </w:p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14" w15:restartNumberingAfterBreak="0">
    <w:nsid w:val="2B21467A"/>
    <w:multiLevelType w:val="multilevel"/>
    <w:tmpl w:val="FCB20498"/>
    <w:lvl w:ilvl="0">
      <w:start w:val="1"/>
      <w:numFmt w:val="upperRoman"/>
      <w:lvlText w:val="%1."/>
      <w:lvlJc w:val="left"/>
      <w:pPr>
        <w:ind w:left="360" w:hanging="360"/>
      </w:pPr>
      <w:rPr>
        <w:rFonts w:hint="default"/>
      </w:rPr>
    </w:lvl>
    <w:lvl w:ilvl="1">
      <w:start w:val="1"/>
      <w:numFmt w:val="bullet"/>
      <w:pStyle w:val="Vieta"/>
      <w:lvlText w:val=""/>
      <w:lvlJc w:val="left"/>
      <w:pPr>
        <w:ind w:left="72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15:restartNumberingAfterBreak="0">
    <w:nsid w:val="2CC23CE4"/>
    <w:multiLevelType w:val="multilevel"/>
    <w:tmpl w:val="73F044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370ED8"/>
    <w:multiLevelType w:val="hybridMultilevel"/>
    <w:tmpl w:val="1E169202"/>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7" w15:restartNumberingAfterBreak="0">
    <w:nsid w:val="359B4991"/>
    <w:multiLevelType w:val="multilevel"/>
    <w:tmpl w:val="315E654A"/>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rFonts w:ascii="Arial" w:hAnsi="Arial" w:cs="Arial" w:hint="default"/>
        <w:b w:val="0"/>
        <w:color w:val="auto"/>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8" w15:restartNumberingAfterBreak="0">
    <w:nsid w:val="379B79BF"/>
    <w:multiLevelType w:val="hybridMultilevel"/>
    <w:tmpl w:val="85E2C6F6"/>
    <w:lvl w:ilvl="0" w:tplc="9E0E18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FE4504"/>
    <w:multiLevelType w:val="multilevel"/>
    <w:tmpl w:val="FC82C698"/>
    <w:lvl w:ilvl="0">
      <w:start w:val="2"/>
      <w:numFmt w:val="decimal"/>
      <w:lvlText w:val="%1"/>
      <w:lvlJc w:val="left"/>
      <w:pPr>
        <w:ind w:left="360" w:hanging="360"/>
      </w:pPr>
      <w:rPr>
        <w:rFonts w:hint="default"/>
      </w:rPr>
    </w:lvl>
    <w:lvl w:ilvl="1">
      <w:start w:val="1"/>
      <w:numFmt w:val="decimal"/>
      <w:lvlText w:val="%1.%2"/>
      <w:lvlJc w:val="left"/>
      <w:pPr>
        <w:ind w:left="678"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2988" w:hanging="108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3984" w:hanging="1440"/>
      </w:pPr>
      <w:rPr>
        <w:rFonts w:hint="default"/>
      </w:rPr>
    </w:lvl>
  </w:abstractNum>
  <w:abstractNum w:abstractNumId="20" w15:restartNumberingAfterBreak="0">
    <w:nsid w:val="3C803C0E"/>
    <w:multiLevelType w:val="multilevel"/>
    <w:tmpl w:val="A9EC5F2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CDD18E6"/>
    <w:multiLevelType w:val="hybridMultilevel"/>
    <w:tmpl w:val="9AC294F4"/>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2" w15:restartNumberingAfterBreak="0">
    <w:nsid w:val="40827931"/>
    <w:multiLevelType w:val="hybridMultilevel"/>
    <w:tmpl w:val="1E169202"/>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3" w15:restartNumberingAfterBreak="0">
    <w:nsid w:val="4AB83AE8"/>
    <w:multiLevelType w:val="hybridMultilevel"/>
    <w:tmpl w:val="1E169202"/>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4" w15:restartNumberingAfterBreak="0">
    <w:nsid w:val="503F34B9"/>
    <w:multiLevelType w:val="multilevel"/>
    <w:tmpl w:val="C7D4AC68"/>
    <w:lvl w:ilvl="0">
      <w:start w:val="1"/>
      <w:numFmt w:val="upperRoman"/>
      <w:lvlRestart w:val="0"/>
      <w:lvlText w:val="%1."/>
      <w:lvlJc w:val="center"/>
      <w:pPr>
        <w:tabs>
          <w:tab w:val="num" w:pos="1800"/>
        </w:tabs>
        <w:ind w:left="1152" w:firstLine="288"/>
      </w:pPr>
      <w:rPr>
        <w:b/>
        <w:i w:val="0"/>
      </w:rPr>
    </w:lvl>
    <w:lvl w:ilvl="1">
      <w:start w:val="1"/>
      <w:numFmt w:val="lowerLetter"/>
      <w:lvlText w:val="%2."/>
      <w:lvlJc w:val="left"/>
      <w:pPr>
        <w:tabs>
          <w:tab w:val="num" w:pos="2448"/>
        </w:tabs>
        <w:ind w:left="2448" w:hanging="1296"/>
      </w:pPr>
      <w:rPr>
        <w:rFonts w:hint="default"/>
        <w:color w:val="auto"/>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25" w15:restartNumberingAfterBreak="0">
    <w:nsid w:val="503F4731"/>
    <w:multiLevelType w:val="hybridMultilevel"/>
    <w:tmpl w:val="894E1226"/>
    <w:lvl w:ilvl="0" w:tplc="40DC91FA">
      <w:start w:val="1"/>
      <w:numFmt w:val="upperRoman"/>
      <w:lvlText w:val="%1."/>
      <w:lvlJc w:val="left"/>
      <w:pPr>
        <w:ind w:left="1080" w:hanging="720"/>
      </w:pPr>
      <w:rPr>
        <w:rFonts w:ascii="Arial" w:hAnsi="Arial" w:cs="Arial" w:hint="default"/>
        <w:b/>
        <w:sz w:val="24"/>
        <w:szCs w:val="24"/>
      </w:rPr>
    </w:lvl>
    <w:lvl w:ilvl="1" w:tplc="B5169E78">
      <w:start w:val="1"/>
      <w:numFmt w:val="upperLetter"/>
      <w:lvlText w:val="%2."/>
      <w:lvlJc w:val="left"/>
      <w:pPr>
        <w:ind w:left="1440" w:hanging="360"/>
      </w:pPr>
      <w:rPr>
        <w:rFonts w:ascii="Arial" w:hAnsi="Arial" w:cs="Arial" w:hint="default"/>
        <w:b/>
      </w:rPr>
    </w:lvl>
    <w:lvl w:ilvl="2" w:tplc="71624B28">
      <w:start w:val="1"/>
      <w:numFmt w:val="lowerRoman"/>
      <w:lvlText w:val="%3)"/>
      <w:lvlJc w:val="left"/>
      <w:pPr>
        <w:ind w:left="2700" w:hanging="720"/>
      </w:pPr>
      <w:rPr>
        <w:rFonts w:hint="default"/>
      </w:rPr>
    </w:lvl>
    <w:lvl w:ilvl="3" w:tplc="123008DC">
      <w:start w:val="2"/>
      <w:numFmt w:val="decimal"/>
      <w:lvlText w:val="%4."/>
      <w:lvlJc w:val="left"/>
      <w:pPr>
        <w:ind w:left="2880" w:hanging="360"/>
      </w:pPr>
      <w:rPr>
        <w:rFonts w:hint="default"/>
      </w:rPr>
    </w:lvl>
    <w:lvl w:ilvl="4" w:tplc="9CA4DC06">
      <w:start w:val="7"/>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5915DF"/>
    <w:multiLevelType w:val="multilevel"/>
    <w:tmpl w:val="518270AE"/>
    <w:lvl w:ilvl="0">
      <w:start w:val="1"/>
      <w:numFmt w:val="upperRoman"/>
      <w:lvlText w:val="%1."/>
      <w:lvlJc w:val="left"/>
      <w:pPr>
        <w:ind w:left="360" w:hanging="360"/>
      </w:pPr>
      <w:rPr>
        <w:rFonts w:hint="default"/>
      </w:rPr>
    </w:lvl>
    <w:lvl w:ilvl="1">
      <w:start w:val="1"/>
      <w:numFmt w:val="decimal"/>
      <w:isLgl/>
      <w:lvlText w:val="%1.%2"/>
      <w:lvlJc w:val="left"/>
      <w:pPr>
        <w:ind w:left="567" w:hanging="567"/>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7" w15:restartNumberingAfterBreak="0">
    <w:nsid w:val="5DBD61D9"/>
    <w:multiLevelType w:val="hybridMultilevel"/>
    <w:tmpl w:val="CA025CC6"/>
    <w:lvl w:ilvl="0" w:tplc="CD888842">
      <w:start w:val="1"/>
      <w:numFmt w:val="decimal"/>
      <w:lvlText w:val="%1."/>
      <w:lvlJc w:val="left"/>
      <w:pPr>
        <w:ind w:left="585" w:hanging="360"/>
      </w:pPr>
      <w:rPr>
        <w:rFonts w:hint="default"/>
      </w:rPr>
    </w:lvl>
    <w:lvl w:ilvl="1" w:tplc="300A0019" w:tentative="1">
      <w:start w:val="1"/>
      <w:numFmt w:val="lowerLetter"/>
      <w:lvlText w:val="%2."/>
      <w:lvlJc w:val="left"/>
      <w:pPr>
        <w:ind w:left="1305" w:hanging="360"/>
      </w:pPr>
    </w:lvl>
    <w:lvl w:ilvl="2" w:tplc="300A001B" w:tentative="1">
      <w:start w:val="1"/>
      <w:numFmt w:val="lowerRoman"/>
      <w:lvlText w:val="%3."/>
      <w:lvlJc w:val="right"/>
      <w:pPr>
        <w:ind w:left="2025" w:hanging="180"/>
      </w:pPr>
    </w:lvl>
    <w:lvl w:ilvl="3" w:tplc="300A000F" w:tentative="1">
      <w:start w:val="1"/>
      <w:numFmt w:val="decimal"/>
      <w:lvlText w:val="%4."/>
      <w:lvlJc w:val="left"/>
      <w:pPr>
        <w:ind w:left="2745" w:hanging="360"/>
      </w:pPr>
    </w:lvl>
    <w:lvl w:ilvl="4" w:tplc="300A0019" w:tentative="1">
      <w:start w:val="1"/>
      <w:numFmt w:val="lowerLetter"/>
      <w:lvlText w:val="%5."/>
      <w:lvlJc w:val="left"/>
      <w:pPr>
        <w:ind w:left="3465" w:hanging="360"/>
      </w:pPr>
    </w:lvl>
    <w:lvl w:ilvl="5" w:tplc="300A001B" w:tentative="1">
      <w:start w:val="1"/>
      <w:numFmt w:val="lowerRoman"/>
      <w:lvlText w:val="%6."/>
      <w:lvlJc w:val="right"/>
      <w:pPr>
        <w:ind w:left="4185" w:hanging="180"/>
      </w:pPr>
    </w:lvl>
    <w:lvl w:ilvl="6" w:tplc="300A000F" w:tentative="1">
      <w:start w:val="1"/>
      <w:numFmt w:val="decimal"/>
      <w:lvlText w:val="%7."/>
      <w:lvlJc w:val="left"/>
      <w:pPr>
        <w:ind w:left="4905" w:hanging="360"/>
      </w:pPr>
    </w:lvl>
    <w:lvl w:ilvl="7" w:tplc="300A0019" w:tentative="1">
      <w:start w:val="1"/>
      <w:numFmt w:val="lowerLetter"/>
      <w:lvlText w:val="%8."/>
      <w:lvlJc w:val="left"/>
      <w:pPr>
        <w:ind w:left="5625" w:hanging="360"/>
      </w:pPr>
    </w:lvl>
    <w:lvl w:ilvl="8" w:tplc="300A001B" w:tentative="1">
      <w:start w:val="1"/>
      <w:numFmt w:val="lowerRoman"/>
      <w:lvlText w:val="%9."/>
      <w:lvlJc w:val="right"/>
      <w:pPr>
        <w:ind w:left="6345" w:hanging="180"/>
      </w:pPr>
    </w:lvl>
  </w:abstractNum>
  <w:abstractNum w:abstractNumId="28" w15:restartNumberingAfterBreak="0">
    <w:nsid w:val="64572997"/>
    <w:multiLevelType w:val="multilevel"/>
    <w:tmpl w:val="B38C8240"/>
    <w:lvl w:ilvl="0">
      <w:start w:val="1"/>
      <w:numFmt w:val="lowerRoman"/>
      <w:lvlText w:val="%1."/>
      <w:lvlJc w:val="right"/>
      <w:pPr>
        <w:ind w:left="720" w:hanging="360"/>
      </w:pPr>
      <w:rPr>
        <w:rFonts w:ascii="Arial" w:hAnsi="Arial"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8986743"/>
    <w:multiLevelType w:val="multilevel"/>
    <w:tmpl w:val="8326B92E"/>
    <w:lvl w:ilvl="0">
      <w:start w:val="1"/>
      <w:numFmt w:val="upperRoman"/>
      <w:lvlText w:val="%1."/>
      <w:lvlJc w:val="right"/>
      <w:pPr>
        <w:ind w:left="720" w:hanging="360"/>
      </w:pPr>
    </w:lvl>
    <w:lvl w:ilvl="1">
      <w:start w:val="1"/>
      <w:numFmt w:val="decimal"/>
      <w:lvlText w:val="%1.%2"/>
      <w:lvlJc w:val="left"/>
      <w:pPr>
        <w:ind w:left="900" w:hanging="360"/>
      </w:pPr>
      <w:rPr>
        <w:b w:val="0"/>
        <w:bCs/>
      </w:rPr>
    </w:lvl>
    <w:lvl w:ilvl="2">
      <w:start w:val="1"/>
      <w:numFmt w:val="decimal"/>
      <w:isLgl/>
      <w:lvlText w:val="%1.%2.%3"/>
      <w:lvlJc w:val="left"/>
      <w:pPr>
        <w:ind w:left="1440" w:hanging="720"/>
      </w:pPr>
      <w:rPr>
        <w:rFonts w:hint="default"/>
        <w:b/>
      </w:rPr>
    </w:lvl>
    <w:lvl w:ilvl="3">
      <w:start w:val="1"/>
      <w:numFmt w:val="decimal"/>
      <w:isLgl/>
      <w:lvlText w:val="%1.%2.%3.%4"/>
      <w:lvlJc w:val="left"/>
      <w:pPr>
        <w:ind w:left="198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420" w:hanging="1800"/>
      </w:pPr>
      <w:rPr>
        <w:rFonts w:hint="default"/>
        <w:b/>
      </w:rPr>
    </w:lvl>
    <w:lvl w:ilvl="8">
      <w:start w:val="1"/>
      <w:numFmt w:val="decimal"/>
      <w:isLgl/>
      <w:lvlText w:val="%1.%2.%3.%4.%5.%6.%7.%8.%9"/>
      <w:lvlJc w:val="left"/>
      <w:pPr>
        <w:ind w:left="3600" w:hanging="1800"/>
      </w:pPr>
      <w:rPr>
        <w:rFonts w:hint="default"/>
        <w:b/>
      </w:rPr>
    </w:lvl>
  </w:abstractNum>
  <w:abstractNum w:abstractNumId="30" w15:restartNumberingAfterBreak="0">
    <w:nsid w:val="6C1F3B77"/>
    <w:multiLevelType w:val="multilevel"/>
    <w:tmpl w:val="C85E4C52"/>
    <w:lvl w:ilvl="0">
      <w:start w:val="1"/>
      <w:numFmt w:val="decimal"/>
      <w:lvlText w:val="%1."/>
      <w:lvlJc w:val="left"/>
      <w:pPr>
        <w:ind w:left="720" w:hanging="360"/>
      </w:pPr>
    </w:lvl>
    <w:lvl w:ilvl="1">
      <w:start w:val="1"/>
      <w:numFmt w:val="decimal"/>
      <w:lvlText w:val="%1.%2"/>
      <w:lvlJc w:val="left"/>
      <w:pPr>
        <w:ind w:left="450" w:hanging="360"/>
      </w:pPr>
      <w:rPr>
        <w:b w:val="0"/>
        <w:color w:val="000000" w:themeColor="text1"/>
        <w:sz w:val="22"/>
        <w:szCs w:val="22"/>
        <w:lang w:val="es-ES_tradn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EA74BA0"/>
    <w:multiLevelType w:val="multilevel"/>
    <w:tmpl w:val="28E2AE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FAA1B9C"/>
    <w:multiLevelType w:val="hybridMultilevel"/>
    <w:tmpl w:val="C83E95A6"/>
    <w:lvl w:ilvl="0" w:tplc="040A0017">
      <w:start w:val="1"/>
      <w:numFmt w:val="lowerLetter"/>
      <w:lvlText w:val="%1)"/>
      <w:lvlJc w:val="left"/>
      <w:pPr>
        <w:ind w:left="360" w:hanging="360"/>
      </w:pPr>
      <w:rPr>
        <w:rFonts w:cs="Times New Roman"/>
      </w:rPr>
    </w:lvl>
    <w:lvl w:ilvl="1" w:tplc="040A0019" w:tentative="1">
      <w:start w:val="1"/>
      <w:numFmt w:val="lowerLetter"/>
      <w:lvlText w:val="%2."/>
      <w:lvlJc w:val="left"/>
      <w:pPr>
        <w:ind w:left="1080" w:hanging="360"/>
      </w:pPr>
      <w:rPr>
        <w:rFonts w:cs="Times New Roman"/>
      </w:rPr>
    </w:lvl>
    <w:lvl w:ilvl="2" w:tplc="040A001B" w:tentative="1">
      <w:start w:val="1"/>
      <w:numFmt w:val="lowerRoman"/>
      <w:lvlText w:val="%3."/>
      <w:lvlJc w:val="right"/>
      <w:pPr>
        <w:ind w:left="1800" w:hanging="180"/>
      </w:pPr>
      <w:rPr>
        <w:rFonts w:cs="Times New Roman"/>
      </w:rPr>
    </w:lvl>
    <w:lvl w:ilvl="3" w:tplc="040A000F" w:tentative="1">
      <w:start w:val="1"/>
      <w:numFmt w:val="decimal"/>
      <w:lvlText w:val="%4."/>
      <w:lvlJc w:val="left"/>
      <w:pPr>
        <w:ind w:left="2520" w:hanging="360"/>
      </w:pPr>
      <w:rPr>
        <w:rFonts w:cs="Times New Roman"/>
      </w:rPr>
    </w:lvl>
    <w:lvl w:ilvl="4" w:tplc="040A0019" w:tentative="1">
      <w:start w:val="1"/>
      <w:numFmt w:val="lowerLetter"/>
      <w:lvlText w:val="%5."/>
      <w:lvlJc w:val="left"/>
      <w:pPr>
        <w:ind w:left="3240" w:hanging="360"/>
      </w:pPr>
      <w:rPr>
        <w:rFonts w:cs="Times New Roman"/>
      </w:rPr>
    </w:lvl>
    <w:lvl w:ilvl="5" w:tplc="040A001B" w:tentative="1">
      <w:start w:val="1"/>
      <w:numFmt w:val="lowerRoman"/>
      <w:lvlText w:val="%6."/>
      <w:lvlJc w:val="right"/>
      <w:pPr>
        <w:ind w:left="3960" w:hanging="180"/>
      </w:pPr>
      <w:rPr>
        <w:rFonts w:cs="Times New Roman"/>
      </w:rPr>
    </w:lvl>
    <w:lvl w:ilvl="6" w:tplc="040A000F" w:tentative="1">
      <w:start w:val="1"/>
      <w:numFmt w:val="decimal"/>
      <w:lvlText w:val="%7."/>
      <w:lvlJc w:val="left"/>
      <w:pPr>
        <w:ind w:left="4680" w:hanging="360"/>
      </w:pPr>
      <w:rPr>
        <w:rFonts w:cs="Times New Roman"/>
      </w:rPr>
    </w:lvl>
    <w:lvl w:ilvl="7" w:tplc="040A0019" w:tentative="1">
      <w:start w:val="1"/>
      <w:numFmt w:val="lowerLetter"/>
      <w:lvlText w:val="%8."/>
      <w:lvlJc w:val="left"/>
      <w:pPr>
        <w:ind w:left="5400" w:hanging="360"/>
      </w:pPr>
      <w:rPr>
        <w:rFonts w:cs="Times New Roman"/>
      </w:rPr>
    </w:lvl>
    <w:lvl w:ilvl="8" w:tplc="040A001B" w:tentative="1">
      <w:start w:val="1"/>
      <w:numFmt w:val="lowerRoman"/>
      <w:lvlText w:val="%9."/>
      <w:lvlJc w:val="right"/>
      <w:pPr>
        <w:ind w:left="6120" w:hanging="180"/>
      </w:pPr>
      <w:rPr>
        <w:rFonts w:cs="Times New Roman"/>
      </w:rPr>
    </w:lvl>
  </w:abstractNum>
  <w:abstractNum w:abstractNumId="33" w15:restartNumberingAfterBreak="0">
    <w:nsid w:val="71F45ED9"/>
    <w:multiLevelType w:val="hybridMultilevel"/>
    <w:tmpl w:val="9AC294F4"/>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4" w15:restartNumberingAfterBreak="0">
    <w:nsid w:val="76BA08B4"/>
    <w:multiLevelType w:val="hybridMultilevel"/>
    <w:tmpl w:val="1E169202"/>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5" w15:restartNumberingAfterBreak="0">
    <w:nsid w:val="76BE1D1A"/>
    <w:multiLevelType w:val="hybridMultilevel"/>
    <w:tmpl w:val="28DCCBB6"/>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77C33378"/>
    <w:multiLevelType w:val="hybridMultilevel"/>
    <w:tmpl w:val="CA025CC6"/>
    <w:lvl w:ilvl="0" w:tplc="CD888842">
      <w:start w:val="1"/>
      <w:numFmt w:val="decimal"/>
      <w:lvlText w:val="%1."/>
      <w:lvlJc w:val="left"/>
      <w:pPr>
        <w:ind w:left="585" w:hanging="360"/>
      </w:pPr>
      <w:rPr>
        <w:rFonts w:hint="default"/>
      </w:rPr>
    </w:lvl>
    <w:lvl w:ilvl="1" w:tplc="300A0019" w:tentative="1">
      <w:start w:val="1"/>
      <w:numFmt w:val="lowerLetter"/>
      <w:lvlText w:val="%2."/>
      <w:lvlJc w:val="left"/>
      <w:pPr>
        <w:ind w:left="1305" w:hanging="360"/>
      </w:pPr>
    </w:lvl>
    <w:lvl w:ilvl="2" w:tplc="300A001B" w:tentative="1">
      <w:start w:val="1"/>
      <w:numFmt w:val="lowerRoman"/>
      <w:lvlText w:val="%3."/>
      <w:lvlJc w:val="right"/>
      <w:pPr>
        <w:ind w:left="2025" w:hanging="180"/>
      </w:pPr>
    </w:lvl>
    <w:lvl w:ilvl="3" w:tplc="300A000F" w:tentative="1">
      <w:start w:val="1"/>
      <w:numFmt w:val="decimal"/>
      <w:lvlText w:val="%4."/>
      <w:lvlJc w:val="left"/>
      <w:pPr>
        <w:ind w:left="2745" w:hanging="360"/>
      </w:pPr>
    </w:lvl>
    <w:lvl w:ilvl="4" w:tplc="300A0019" w:tentative="1">
      <w:start w:val="1"/>
      <w:numFmt w:val="lowerLetter"/>
      <w:lvlText w:val="%5."/>
      <w:lvlJc w:val="left"/>
      <w:pPr>
        <w:ind w:left="3465" w:hanging="360"/>
      </w:pPr>
    </w:lvl>
    <w:lvl w:ilvl="5" w:tplc="300A001B" w:tentative="1">
      <w:start w:val="1"/>
      <w:numFmt w:val="lowerRoman"/>
      <w:lvlText w:val="%6."/>
      <w:lvlJc w:val="right"/>
      <w:pPr>
        <w:ind w:left="4185" w:hanging="180"/>
      </w:pPr>
    </w:lvl>
    <w:lvl w:ilvl="6" w:tplc="300A000F" w:tentative="1">
      <w:start w:val="1"/>
      <w:numFmt w:val="decimal"/>
      <w:lvlText w:val="%7."/>
      <w:lvlJc w:val="left"/>
      <w:pPr>
        <w:ind w:left="4905" w:hanging="360"/>
      </w:pPr>
    </w:lvl>
    <w:lvl w:ilvl="7" w:tplc="300A0019" w:tentative="1">
      <w:start w:val="1"/>
      <w:numFmt w:val="lowerLetter"/>
      <w:lvlText w:val="%8."/>
      <w:lvlJc w:val="left"/>
      <w:pPr>
        <w:ind w:left="5625" w:hanging="360"/>
      </w:pPr>
    </w:lvl>
    <w:lvl w:ilvl="8" w:tplc="300A001B" w:tentative="1">
      <w:start w:val="1"/>
      <w:numFmt w:val="lowerRoman"/>
      <w:lvlText w:val="%9."/>
      <w:lvlJc w:val="right"/>
      <w:pPr>
        <w:ind w:left="6345" w:hanging="180"/>
      </w:pPr>
    </w:lvl>
  </w:abstractNum>
  <w:num w:numId="1">
    <w:abstractNumId w:val="30"/>
  </w:num>
  <w:num w:numId="2">
    <w:abstractNumId w:val="0"/>
  </w:num>
  <w:num w:numId="3">
    <w:abstractNumId w:val="13"/>
  </w:num>
  <w:num w:numId="4">
    <w:abstractNumId w:val="11"/>
  </w:num>
  <w:num w:numId="5">
    <w:abstractNumId w:val="9"/>
  </w:num>
  <w:num w:numId="6">
    <w:abstractNumId w:val="35"/>
  </w:num>
  <w:num w:numId="7">
    <w:abstractNumId w:val="2"/>
  </w:num>
  <w:num w:numId="8">
    <w:abstractNumId w:val="31"/>
  </w:num>
  <w:num w:numId="9">
    <w:abstractNumId w:val="29"/>
  </w:num>
  <w:num w:numId="10">
    <w:abstractNumId w:val="25"/>
  </w:num>
  <w:num w:numId="11">
    <w:abstractNumId w:val="8"/>
  </w:num>
  <w:num w:numId="12">
    <w:abstractNumId w:val="24"/>
  </w:num>
  <w:num w:numId="13">
    <w:abstractNumId w:val="17"/>
  </w:num>
  <w:num w:numId="14">
    <w:abstractNumId w:val="32"/>
  </w:num>
  <w:num w:numId="15">
    <w:abstractNumId w:val="36"/>
  </w:num>
  <w:num w:numId="16">
    <w:abstractNumId w:val="27"/>
  </w:num>
  <w:num w:numId="17">
    <w:abstractNumId w:val="5"/>
  </w:num>
  <w:num w:numId="18">
    <w:abstractNumId w:val="1"/>
  </w:num>
  <w:num w:numId="19">
    <w:abstractNumId w:val="28"/>
  </w:num>
  <w:num w:numId="20">
    <w:abstractNumId w:val="26"/>
  </w:num>
  <w:num w:numId="21">
    <w:abstractNumId w:val="6"/>
  </w:num>
  <w:num w:numId="22">
    <w:abstractNumId w:val="13"/>
  </w:num>
  <w:num w:numId="23">
    <w:abstractNumId w:val="13"/>
  </w:num>
  <w:num w:numId="24">
    <w:abstractNumId w:val="13"/>
  </w:num>
  <w:num w:numId="25">
    <w:abstractNumId w:val="13"/>
  </w:num>
  <w:num w:numId="26">
    <w:abstractNumId w:val="14"/>
  </w:num>
  <w:num w:numId="27">
    <w:abstractNumId w:val="10"/>
  </w:num>
  <w:num w:numId="28">
    <w:abstractNumId w:val="13"/>
  </w:num>
  <w:num w:numId="29">
    <w:abstractNumId w:val="13"/>
  </w:num>
  <w:num w:numId="30">
    <w:abstractNumId w:val="13"/>
  </w:num>
  <w:num w:numId="31">
    <w:abstractNumId w:val="13"/>
  </w:num>
  <w:num w:numId="32">
    <w:abstractNumId w:val="21"/>
  </w:num>
  <w:num w:numId="33">
    <w:abstractNumId w:val="12"/>
  </w:num>
  <w:num w:numId="34">
    <w:abstractNumId w:val="3"/>
  </w:num>
  <w:num w:numId="35">
    <w:abstractNumId w:val="33"/>
  </w:num>
  <w:num w:numId="36">
    <w:abstractNumId w:val="16"/>
  </w:num>
  <w:num w:numId="37">
    <w:abstractNumId w:val="23"/>
  </w:num>
  <w:num w:numId="38">
    <w:abstractNumId w:val="34"/>
  </w:num>
  <w:num w:numId="39">
    <w:abstractNumId w:val="22"/>
  </w:num>
  <w:num w:numId="40">
    <w:abstractNumId w:val="7"/>
  </w:num>
  <w:num w:numId="41">
    <w:abstractNumId w:val="4"/>
  </w:num>
  <w:num w:numId="42">
    <w:abstractNumId w:val="11"/>
  </w:num>
  <w:num w:numId="43">
    <w:abstractNumId w:val="11"/>
  </w:num>
  <w:num w:numId="44">
    <w:abstractNumId w:val="13"/>
  </w:num>
  <w:num w:numId="45">
    <w:abstractNumId w:val="18"/>
  </w:num>
  <w:num w:numId="46">
    <w:abstractNumId w:val="15"/>
  </w:num>
  <w:num w:numId="47">
    <w:abstractNumId w:val="19"/>
  </w:num>
  <w:num w:numId="48">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FAB"/>
    <w:rsid w:val="0000389B"/>
    <w:rsid w:val="00006005"/>
    <w:rsid w:val="00006494"/>
    <w:rsid w:val="00007229"/>
    <w:rsid w:val="0000795A"/>
    <w:rsid w:val="0001263D"/>
    <w:rsid w:val="000143A3"/>
    <w:rsid w:val="00017679"/>
    <w:rsid w:val="0002414D"/>
    <w:rsid w:val="00025511"/>
    <w:rsid w:val="00025E6A"/>
    <w:rsid w:val="0002610E"/>
    <w:rsid w:val="00027DB9"/>
    <w:rsid w:val="0003083C"/>
    <w:rsid w:val="0003216C"/>
    <w:rsid w:val="00035143"/>
    <w:rsid w:val="00035AB4"/>
    <w:rsid w:val="00036548"/>
    <w:rsid w:val="0003778C"/>
    <w:rsid w:val="00037F11"/>
    <w:rsid w:val="000408C2"/>
    <w:rsid w:val="00040E90"/>
    <w:rsid w:val="00041207"/>
    <w:rsid w:val="0004173E"/>
    <w:rsid w:val="00046183"/>
    <w:rsid w:val="00046B64"/>
    <w:rsid w:val="00052486"/>
    <w:rsid w:val="00053C95"/>
    <w:rsid w:val="00060EA0"/>
    <w:rsid w:val="00061537"/>
    <w:rsid w:val="0006190D"/>
    <w:rsid w:val="00063612"/>
    <w:rsid w:val="00063672"/>
    <w:rsid w:val="000651C6"/>
    <w:rsid w:val="0006698A"/>
    <w:rsid w:val="00067038"/>
    <w:rsid w:val="000702D7"/>
    <w:rsid w:val="00073F83"/>
    <w:rsid w:val="00076BC7"/>
    <w:rsid w:val="00077B97"/>
    <w:rsid w:val="00084D35"/>
    <w:rsid w:val="00086040"/>
    <w:rsid w:val="00086B0C"/>
    <w:rsid w:val="0009162F"/>
    <w:rsid w:val="00091D62"/>
    <w:rsid w:val="00093918"/>
    <w:rsid w:val="00093C33"/>
    <w:rsid w:val="000946E3"/>
    <w:rsid w:val="00095193"/>
    <w:rsid w:val="000960AF"/>
    <w:rsid w:val="000A01B4"/>
    <w:rsid w:val="000A1959"/>
    <w:rsid w:val="000A3663"/>
    <w:rsid w:val="000B0DEE"/>
    <w:rsid w:val="000B3483"/>
    <w:rsid w:val="000B433C"/>
    <w:rsid w:val="000B4A36"/>
    <w:rsid w:val="000C014E"/>
    <w:rsid w:val="000C12D1"/>
    <w:rsid w:val="000C1820"/>
    <w:rsid w:val="000C1952"/>
    <w:rsid w:val="000C3424"/>
    <w:rsid w:val="000D06EE"/>
    <w:rsid w:val="000D3FB5"/>
    <w:rsid w:val="000D5546"/>
    <w:rsid w:val="000D586E"/>
    <w:rsid w:val="000D73E1"/>
    <w:rsid w:val="000D7DDE"/>
    <w:rsid w:val="000E264F"/>
    <w:rsid w:val="000E4690"/>
    <w:rsid w:val="000E481C"/>
    <w:rsid w:val="000E498E"/>
    <w:rsid w:val="000E724D"/>
    <w:rsid w:val="000E7737"/>
    <w:rsid w:val="000F1643"/>
    <w:rsid w:val="000F1E8A"/>
    <w:rsid w:val="000F4A29"/>
    <w:rsid w:val="000F4A42"/>
    <w:rsid w:val="000F7163"/>
    <w:rsid w:val="00101F5A"/>
    <w:rsid w:val="00102804"/>
    <w:rsid w:val="00104260"/>
    <w:rsid w:val="00105C0E"/>
    <w:rsid w:val="0010673C"/>
    <w:rsid w:val="001118E2"/>
    <w:rsid w:val="001133AF"/>
    <w:rsid w:val="001213B9"/>
    <w:rsid w:val="00121809"/>
    <w:rsid w:val="001221B4"/>
    <w:rsid w:val="001275E4"/>
    <w:rsid w:val="00135EF1"/>
    <w:rsid w:val="00136CB2"/>
    <w:rsid w:val="0014104A"/>
    <w:rsid w:val="00141EE6"/>
    <w:rsid w:val="00142092"/>
    <w:rsid w:val="0014283C"/>
    <w:rsid w:val="00144ADE"/>
    <w:rsid w:val="0014636F"/>
    <w:rsid w:val="00146BE7"/>
    <w:rsid w:val="00147F67"/>
    <w:rsid w:val="00153F34"/>
    <w:rsid w:val="00154185"/>
    <w:rsid w:val="0015472A"/>
    <w:rsid w:val="001579E0"/>
    <w:rsid w:val="00161C3F"/>
    <w:rsid w:val="00163847"/>
    <w:rsid w:val="00163F39"/>
    <w:rsid w:val="00170EE3"/>
    <w:rsid w:val="00171EAE"/>
    <w:rsid w:val="00171F53"/>
    <w:rsid w:val="00172396"/>
    <w:rsid w:val="00172C00"/>
    <w:rsid w:val="00172F3E"/>
    <w:rsid w:val="00173532"/>
    <w:rsid w:val="001736EF"/>
    <w:rsid w:val="001740F0"/>
    <w:rsid w:val="00174EEE"/>
    <w:rsid w:val="00176BD5"/>
    <w:rsid w:val="00180923"/>
    <w:rsid w:val="001817CA"/>
    <w:rsid w:val="00181DC9"/>
    <w:rsid w:val="001833A9"/>
    <w:rsid w:val="00184B66"/>
    <w:rsid w:val="00186C89"/>
    <w:rsid w:val="0018757A"/>
    <w:rsid w:val="001900DC"/>
    <w:rsid w:val="0019185B"/>
    <w:rsid w:val="00194678"/>
    <w:rsid w:val="00194F4B"/>
    <w:rsid w:val="001967D8"/>
    <w:rsid w:val="001977F6"/>
    <w:rsid w:val="001A0E08"/>
    <w:rsid w:val="001A13E8"/>
    <w:rsid w:val="001A59BC"/>
    <w:rsid w:val="001A6341"/>
    <w:rsid w:val="001B1D66"/>
    <w:rsid w:val="001B2117"/>
    <w:rsid w:val="001B2B34"/>
    <w:rsid w:val="001B6CE3"/>
    <w:rsid w:val="001B6FC4"/>
    <w:rsid w:val="001B72BA"/>
    <w:rsid w:val="001C11FB"/>
    <w:rsid w:val="001C7642"/>
    <w:rsid w:val="001D1BA0"/>
    <w:rsid w:val="001D4378"/>
    <w:rsid w:val="001D58C8"/>
    <w:rsid w:val="001D771D"/>
    <w:rsid w:val="001D7C7C"/>
    <w:rsid w:val="001E29CA"/>
    <w:rsid w:val="001E3012"/>
    <w:rsid w:val="001E3E54"/>
    <w:rsid w:val="001E51D5"/>
    <w:rsid w:val="001E5F3A"/>
    <w:rsid w:val="001E6DD7"/>
    <w:rsid w:val="001E7864"/>
    <w:rsid w:val="001F02B8"/>
    <w:rsid w:val="001F0F85"/>
    <w:rsid w:val="001F1651"/>
    <w:rsid w:val="001F4F74"/>
    <w:rsid w:val="001F5AE6"/>
    <w:rsid w:val="001F6FEC"/>
    <w:rsid w:val="001F7481"/>
    <w:rsid w:val="0020063A"/>
    <w:rsid w:val="00201CC1"/>
    <w:rsid w:val="00201DAA"/>
    <w:rsid w:val="00202C5A"/>
    <w:rsid w:val="00203048"/>
    <w:rsid w:val="00204B06"/>
    <w:rsid w:val="00206E57"/>
    <w:rsid w:val="0020797E"/>
    <w:rsid w:val="00210B3B"/>
    <w:rsid w:val="00210B66"/>
    <w:rsid w:val="0021237E"/>
    <w:rsid w:val="00213ADA"/>
    <w:rsid w:val="00214FA9"/>
    <w:rsid w:val="002151B9"/>
    <w:rsid w:val="00216669"/>
    <w:rsid w:val="00216A76"/>
    <w:rsid w:val="00217A04"/>
    <w:rsid w:val="002206B4"/>
    <w:rsid w:val="00223BED"/>
    <w:rsid w:val="0022446F"/>
    <w:rsid w:val="00225A9A"/>
    <w:rsid w:val="00227F84"/>
    <w:rsid w:val="00230034"/>
    <w:rsid w:val="0023107D"/>
    <w:rsid w:val="002336D3"/>
    <w:rsid w:val="00233B4C"/>
    <w:rsid w:val="00233C92"/>
    <w:rsid w:val="00233E89"/>
    <w:rsid w:val="00235455"/>
    <w:rsid w:val="00235981"/>
    <w:rsid w:val="00241381"/>
    <w:rsid w:val="0024158F"/>
    <w:rsid w:val="00244584"/>
    <w:rsid w:val="0024778F"/>
    <w:rsid w:val="00247A35"/>
    <w:rsid w:val="00250130"/>
    <w:rsid w:val="0025238F"/>
    <w:rsid w:val="00253B0D"/>
    <w:rsid w:val="00256F3B"/>
    <w:rsid w:val="0025763D"/>
    <w:rsid w:val="00257DDA"/>
    <w:rsid w:val="002625B7"/>
    <w:rsid w:val="002643B7"/>
    <w:rsid w:val="00264714"/>
    <w:rsid w:val="0026625A"/>
    <w:rsid w:val="00270BC6"/>
    <w:rsid w:val="00271E53"/>
    <w:rsid w:val="00272B4C"/>
    <w:rsid w:val="00273B92"/>
    <w:rsid w:val="002740EF"/>
    <w:rsid w:val="002741A8"/>
    <w:rsid w:val="00274802"/>
    <w:rsid w:val="00277EE6"/>
    <w:rsid w:val="00281A64"/>
    <w:rsid w:val="00282809"/>
    <w:rsid w:val="00286B7F"/>
    <w:rsid w:val="002875BC"/>
    <w:rsid w:val="002921B6"/>
    <w:rsid w:val="00294DB7"/>
    <w:rsid w:val="002966AB"/>
    <w:rsid w:val="00297A88"/>
    <w:rsid w:val="00297D48"/>
    <w:rsid w:val="002A10FE"/>
    <w:rsid w:val="002A1748"/>
    <w:rsid w:val="002A3479"/>
    <w:rsid w:val="002A58CF"/>
    <w:rsid w:val="002B10B2"/>
    <w:rsid w:val="002B4D24"/>
    <w:rsid w:val="002B51CE"/>
    <w:rsid w:val="002B7526"/>
    <w:rsid w:val="002C1F6B"/>
    <w:rsid w:val="002C4923"/>
    <w:rsid w:val="002C66DC"/>
    <w:rsid w:val="002C77FB"/>
    <w:rsid w:val="002C7C38"/>
    <w:rsid w:val="002C7DBA"/>
    <w:rsid w:val="002C7FC5"/>
    <w:rsid w:val="002D02E1"/>
    <w:rsid w:val="002D4294"/>
    <w:rsid w:val="002D4838"/>
    <w:rsid w:val="002D4C22"/>
    <w:rsid w:val="002D76C5"/>
    <w:rsid w:val="002E08D8"/>
    <w:rsid w:val="002E0962"/>
    <w:rsid w:val="002E3116"/>
    <w:rsid w:val="002E37CB"/>
    <w:rsid w:val="002E56EA"/>
    <w:rsid w:val="002F0A0D"/>
    <w:rsid w:val="002F3B71"/>
    <w:rsid w:val="002F4727"/>
    <w:rsid w:val="002F513D"/>
    <w:rsid w:val="002F5F39"/>
    <w:rsid w:val="00300361"/>
    <w:rsid w:val="0030084D"/>
    <w:rsid w:val="00303149"/>
    <w:rsid w:val="00304B07"/>
    <w:rsid w:val="003063DD"/>
    <w:rsid w:val="003072FE"/>
    <w:rsid w:val="00307610"/>
    <w:rsid w:val="0031374A"/>
    <w:rsid w:val="00313A63"/>
    <w:rsid w:val="00316581"/>
    <w:rsid w:val="00316AD8"/>
    <w:rsid w:val="003208FC"/>
    <w:rsid w:val="00321235"/>
    <w:rsid w:val="003220B6"/>
    <w:rsid w:val="0032249C"/>
    <w:rsid w:val="00323A4A"/>
    <w:rsid w:val="00324205"/>
    <w:rsid w:val="00327C81"/>
    <w:rsid w:val="003319AE"/>
    <w:rsid w:val="00334906"/>
    <w:rsid w:val="003350CC"/>
    <w:rsid w:val="0033582E"/>
    <w:rsid w:val="00336B22"/>
    <w:rsid w:val="003405E9"/>
    <w:rsid w:val="00340A28"/>
    <w:rsid w:val="00343C2B"/>
    <w:rsid w:val="00343E26"/>
    <w:rsid w:val="003444F6"/>
    <w:rsid w:val="00344708"/>
    <w:rsid w:val="00345D19"/>
    <w:rsid w:val="003466EF"/>
    <w:rsid w:val="003475F8"/>
    <w:rsid w:val="003504F0"/>
    <w:rsid w:val="003521E4"/>
    <w:rsid w:val="00354876"/>
    <w:rsid w:val="003576EE"/>
    <w:rsid w:val="00360EB6"/>
    <w:rsid w:val="00361203"/>
    <w:rsid w:val="0036243C"/>
    <w:rsid w:val="003637ED"/>
    <w:rsid w:val="00365966"/>
    <w:rsid w:val="00366663"/>
    <w:rsid w:val="00367963"/>
    <w:rsid w:val="00370A74"/>
    <w:rsid w:val="003716C6"/>
    <w:rsid w:val="003723F3"/>
    <w:rsid w:val="00373C8D"/>
    <w:rsid w:val="003753DF"/>
    <w:rsid w:val="003774A2"/>
    <w:rsid w:val="003809E2"/>
    <w:rsid w:val="003840D6"/>
    <w:rsid w:val="0038571E"/>
    <w:rsid w:val="003860D0"/>
    <w:rsid w:val="00387315"/>
    <w:rsid w:val="00387C4A"/>
    <w:rsid w:val="003910D5"/>
    <w:rsid w:val="00391AD2"/>
    <w:rsid w:val="003936A0"/>
    <w:rsid w:val="003951CE"/>
    <w:rsid w:val="003965F6"/>
    <w:rsid w:val="00396C5E"/>
    <w:rsid w:val="003972C3"/>
    <w:rsid w:val="003973FF"/>
    <w:rsid w:val="003A0843"/>
    <w:rsid w:val="003A4E3F"/>
    <w:rsid w:val="003A4F18"/>
    <w:rsid w:val="003A54B8"/>
    <w:rsid w:val="003B27DF"/>
    <w:rsid w:val="003B5315"/>
    <w:rsid w:val="003B736A"/>
    <w:rsid w:val="003C00D3"/>
    <w:rsid w:val="003C0C82"/>
    <w:rsid w:val="003C2BCC"/>
    <w:rsid w:val="003C6619"/>
    <w:rsid w:val="003C664B"/>
    <w:rsid w:val="003D0E5A"/>
    <w:rsid w:val="003D1809"/>
    <w:rsid w:val="003D2286"/>
    <w:rsid w:val="003D4E25"/>
    <w:rsid w:val="003D54A0"/>
    <w:rsid w:val="003D6900"/>
    <w:rsid w:val="003E0A6A"/>
    <w:rsid w:val="003E2F55"/>
    <w:rsid w:val="003E3D87"/>
    <w:rsid w:val="003E54E6"/>
    <w:rsid w:val="003E58FC"/>
    <w:rsid w:val="003E7F16"/>
    <w:rsid w:val="003F2B1A"/>
    <w:rsid w:val="003F3BF1"/>
    <w:rsid w:val="00400F6F"/>
    <w:rsid w:val="004012CB"/>
    <w:rsid w:val="004017B7"/>
    <w:rsid w:val="0040211D"/>
    <w:rsid w:val="004026A5"/>
    <w:rsid w:val="00403EA3"/>
    <w:rsid w:val="004049F1"/>
    <w:rsid w:val="00407367"/>
    <w:rsid w:val="0040769E"/>
    <w:rsid w:val="004101B8"/>
    <w:rsid w:val="00413EF6"/>
    <w:rsid w:val="00414469"/>
    <w:rsid w:val="00415DA3"/>
    <w:rsid w:val="00416D52"/>
    <w:rsid w:val="004172B8"/>
    <w:rsid w:val="004205AE"/>
    <w:rsid w:val="00423034"/>
    <w:rsid w:val="00425AF8"/>
    <w:rsid w:val="004261F0"/>
    <w:rsid w:val="004304E2"/>
    <w:rsid w:val="00430ED5"/>
    <w:rsid w:val="00432F08"/>
    <w:rsid w:val="004333E4"/>
    <w:rsid w:val="00434484"/>
    <w:rsid w:val="0043611B"/>
    <w:rsid w:val="0043620F"/>
    <w:rsid w:val="00440E84"/>
    <w:rsid w:val="004438C8"/>
    <w:rsid w:val="00446199"/>
    <w:rsid w:val="00450B1B"/>
    <w:rsid w:val="0045116B"/>
    <w:rsid w:val="004511B7"/>
    <w:rsid w:val="00454034"/>
    <w:rsid w:val="0045672F"/>
    <w:rsid w:val="004627CF"/>
    <w:rsid w:val="004654BD"/>
    <w:rsid w:val="00466094"/>
    <w:rsid w:val="0047134B"/>
    <w:rsid w:val="004719CE"/>
    <w:rsid w:val="00471E1A"/>
    <w:rsid w:val="0047539D"/>
    <w:rsid w:val="004755B0"/>
    <w:rsid w:val="00476639"/>
    <w:rsid w:val="00476824"/>
    <w:rsid w:val="00484D26"/>
    <w:rsid w:val="00485778"/>
    <w:rsid w:val="00485B67"/>
    <w:rsid w:val="00487508"/>
    <w:rsid w:val="00487B52"/>
    <w:rsid w:val="004900A2"/>
    <w:rsid w:val="00490409"/>
    <w:rsid w:val="0049122A"/>
    <w:rsid w:val="00491AB1"/>
    <w:rsid w:val="00491BA8"/>
    <w:rsid w:val="00492E8E"/>
    <w:rsid w:val="00497219"/>
    <w:rsid w:val="00497A47"/>
    <w:rsid w:val="00497CBB"/>
    <w:rsid w:val="004A1D9B"/>
    <w:rsid w:val="004A2464"/>
    <w:rsid w:val="004A2B4E"/>
    <w:rsid w:val="004A5AC5"/>
    <w:rsid w:val="004A7D75"/>
    <w:rsid w:val="004B3DD7"/>
    <w:rsid w:val="004B597B"/>
    <w:rsid w:val="004B6739"/>
    <w:rsid w:val="004C1ACA"/>
    <w:rsid w:val="004C29AF"/>
    <w:rsid w:val="004C2F48"/>
    <w:rsid w:val="004C341D"/>
    <w:rsid w:val="004C3A5B"/>
    <w:rsid w:val="004C4A50"/>
    <w:rsid w:val="004C5B35"/>
    <w:rsid w:val="004C7A03"/>
    <w:rsid w:val="004D4903"/>
    <w:rsid w:val="004D4C86"/>
    <w:rsid w:val="004D5689"/>
    <w:rsid w:val="004D69C6"/>
    <w:rsid w:val="004E0BB7"/>
    <w:rsid w:val="004E0F47"/>
    <w:rsid w:val="004E1F77"/>
    <w:rsid w:val="004E2298"/>
    <w:rsid w:val="004E2466"/>
    <w:rsid w:val="004E31EB"/>
    <w:rsid w:val="004E4F30"/>
    <w:rsid w:val="004E6CFA"/>
    <w:rsid w:val="004F1F26"/>
    <w:rsid w:val="004F3048"/>
    <w:rsid w:val="004F3240"/>
    <w:rsid w:val="004F4507"/>
    <w:rsid w:val="004F4560"/>
    <w:rsid w:val="004F6AF2"/>
    <w:rsid w:val="005018D8"/>
    <w:rsid w:val="005027CD"/>
    <w:rsid w:val="00502BB2"/>
    <w:rsid w:val="00503167"/>
    <w:rsid w:val="0050358F"/>
    <w:rsid w:val="00503F25"/>
    <w:rsid w:val="005046E1"/>
    <w:rsid w:val="00506339"/>
    <w:rsid w:val="00506D43"/>
    <w:rsid w:val="00507606"/>
    <w:rsid w:val="00511EB4"/>
    <w:rsid w:val="00512A39"/>
    <w:rsid w:val="0051332C"/>
    <w:rsid w:val="00516E70"/>
    <w:rsid w:val="0052340A"/>
    <w:rsid w:val="00524267"/>
    <w:rsid w:val="00525FB1"/>
    <w:rsid w:val="00527C22"/>
    <w:rsid w:val="00530678"/>
    <w:rsid w:val="00530BCB"/>
    <w:rsid w:val="00532893"/>
    <w:rsid w:val="00532FF8"/>
    <w:rsid w:val="0053498C"/>
    <w:rsid w:val="00536CE1"/>
    <w:rsid w:val="00541B6B"/>
    <w:rsid w:val="005420ED"/>
    <w:rsid w:val="00542496"/>
    <w:rsid w:val="00544B9F"/>
    <w:rsid w:val="005474A4"/>
    <w:rsid w:val="005478A4"/>
    <w:rsid w:val="00547CD7"/>
    <w:rsid w:val="00547D46"/>
    <w:rsid w:val="00552CD5"/>
    <w:rsid w:val="005530A8"/>
    <w:rsid w:val="00553327"/>
    <w:rsid w:val="0055488A"/>
    <w:rsid w:val="00554BAE"/>
    <w:rsid w:val="005572AD"/>
    <w:rsid w:val="005602A3"/>
    <w:rsid w:val="00560AB8"/>
    <w:rsid w:val="00560DE4"/>
    <w:rsid w:val="0056198A"/>
    <w:rsid w:val="00561D54"/>
    <w:rsid w:val="00561E31"/>
    <w:rsid w:val="00563852"/>
    <w:rsid w:val="00564815"/>
    <w:rsid w:val="00564D94"/>
    <w:rsid w:val="0057149E"/>
    <w:rsid w:val="005736FA"/>
    <w:rsid w:val="005741DF"/>
    <w:rsid w:val="00575804"/>
    <w:rsid w:val="00585B1E"/>
    <w:rsid w:val="00585F8B"/>
    <w:rsid w:val="0059060E"/>
    <w:rsid w:val="005912BE"/>
    <w:rsid w:val="005912F9"/>
    <w:rsid w:val="00592735"/>
    <w:rsid w:val="00592BAC"/>
    <w:rsid w:val="00593439"/>
    <w:rsid w:val="00593FCA"/>
    <w:rsid w:val="005940E5"/>
    <w:rsid w:val="00595623"/>
    <w:rsid w:val="00595CFB"/>
    <w:rsid w:val="0059610D"/>
    <w:rsid w:val="005A23C5"/>
    <w:rsid w:val="005A3A21"/>
    <w:rsid w:val="005A56A1"/>
    <w:rsid w:val="005A5DF2"/>
    <w:rsid w:val="005A6731"/>
    <w:rsid w:val="005B0A89"/>
    <w:rsid w:val="005B18AA"/>
    <w:rsid w:val="005B4435"/>
    <w:rsid w:val="005B56EE"/>
    <w:rsid w:val="005B7060"/>
    <w:rsid w:val="005B7868"/>
    <w:rsid w:val="005C0936"/>
    <w:rsid w:val="005C1D18"/>
    <w:rsid w:val="005C1F5A"/>
    <w:rsid w:val="005C2440"/>
    <w:rsid w:val="005C72EA"/>
    <w:rsid w:val="005D3208"/>
    <w:rsid w:val="005D496D"/>
    <w:rsid w:val="005E0FB0"/>
    <w:rsid w:val="005E405D"/>
    <w:rsid w:val="005E6CBC"/>
    <w:rsid w:val="005E6D9B"/>
    <w:rsid w:val="005E728B"/>
    <w:rsid w:val="005F1393"/>
    <w:rsid w:val="005F291E"/>
    <w:rsid w:val="005F38E4"/>
    <w:rsid w:val="005F619F"/>
    <w:rsid w:val="005F7627"/>
    <w:rsid w:val="005F79DA"/>
    <w:rsid w:val="006003CB"/>
    <w:rsid w:val="006015A7"/>
    <w:rsid w:val="006030C5"/>
    <w:rsid w:val="00603DAD"/>
    <w:rsid w:val="00603F43"/>
    <w:rsid w:val="006065E7"/>
    <w:rsid w:val="00611305"/>
    <w:rsid w:val="0061229D"/>
    <w:rsid w:val="006151E3"/>
    <w:rsid w:val="006175C6"/>
    <w:rsid w:val="00622B9E"/>
    <w:rsid w:val="0062424D"/>
    <w:rsid w:val="00625E69"/>
    <w:rsid w:val="006265A8"/>
    <w:rsid w:val="0062671F"/>
    <w:rsid w:val="0062787E"/>
    <w:rsid w:val="00630F40"/>
    <w:rsid w:val="006318D3"/>
    <w:rsid w:val="00633142"/>
    <w:rsid w:val="00636E03"/>
    <w:rsid w:val="00637C69"/>
    <w:rsid w:val="006415D0"/>
    <w:rsid w:val="00642C90"/>
    <w:rsid w:val="006433A4"/>
    <w:rsid w:val="00646B4D"/>
    <w:rsid w:val="006509F8"/>
    <w:rsid w:val="00650DCE"/>
    <w:rsid w:val="006512CF"/>
    <w:rsid w:val="00651CBB"/>
    <w:rsid w:val="00654E35"/>
    <w:rsid w:val="00656E28"/>
    <w:rsid w:val="00660D4F"/>
    <w:rsid w:val="006610DE"/>
    <w:rsid w:val="006628CE"/>
    <w:rsid w:val="00662F6B"/>
    <w:rsid w:val="00664F06"/>
    <w:rsid w:val="00666148"/>
    <w:rsid w:val="006709B1"/>
    <w:rsid w:val="00671C37"/>
    <w:rsid w:val="006745C5"/>
    <w:rsid w:val="0067509D"/>
    <w:rsid w:val="006754EB"/>
    <w:rsid w:val="00676FF4"/>
    <w:rsid w:val="0067728D"/>
    <w:rsid w:val="00682078"/>
    <w:rsid w:val="00683F4E"/>
    <w:rsid w:val="0068409B"/>
    <w:rsid w:val="006850E9"/>
    <w:rsid w:val="006909B8"/>
    <w:rsid w:val="006926E6"/>
    <w:rsid w:val="00692A02"/>
    <w:rsid w:val="00692E95"/>
    <w:rsid w:val="006A07A4"/>
    <w:rsid w:val="006A11ED"/>
    <w:rsid w:val="006A1FDE"/>
    <w:rsid w:val="006A360D"/>
    <w:rsid w:val="006A7FBA"/>
    <w:rsid w:val="006B1516"/>
    <w:rsid w:val="006B2DD4"/>
    <w:rsid w:val="006B49AB"/>
    <w:rsid w:val="006B6224"/>
    <w:rsid w:val="006B66BC"/>
    <w:rsid w:val="006B6B4E"/>
    <w:rsid w:val="006B6E31"/>
    <w:rsid w:val="006B729F"/>
    <w:rsid w:val="006B7E2B"/>
    <w:rsid w:val="006C01CE"/>
    <w:rsid w:val="006C0BB8"/>
    <w:rsid w:val="006C379C"/>
    <w:rsid w:val="006C4CD8"/>
    <w:rsid w:val="006C510C"/>
    <w:rsid w:val="006C7CEF"/>
    <w:rsid w:val="006D09EC"/>
    <w:rsid w:val="006D0A44"/>
    <w:rsid w:val="006D254B"/>
    <w:rsid w:val="006D42BA"/>
    <w:rsid w:val="006E028F"/>
    <w:rsid w:val="006E254D"/>
    <w:rsid w:val="006E2EE7"/>
    <w:rsid w:val="006E3526"/>
    <w:rsid w:val="006E6964"/>
    <w:rsid w:val="006E6BBC"/>
    <w:rsid w:val="006E7B7A"/>
    <w:rsid w:val="006F0476"/>
    <w:rsid w:val="006F068A"/>
    <w:rsid w:val="006F0F44"/>
    <w:rsid w:val="006F1974"/>
    <w:rsid w:val="006F21B0"/>
    <w:rsid w:val="006F2916"/>
    <w:rsid w:val="006F34C6"/>
    <w:rsid w:val="006F3811"/>
    <w:rsid w:val="006F456B"/>
    <w:rsid w:val="006F7FE3"/>
    <w:rsid w:val="00701777"/>
    <w:rsid w:val="00701C79"/>
    <w:rsid w:val="00702EF1"/>
    <w:rsid w:val="00707B38"/>
    <w:rsid w:val="00707E3F"/>
    <w:rsid w:val="00710174"/>
    <w:rsid w:val="00711498"/>
    <w:rsid w:val="00712B37"/>
    <w:rsid w:val="00715848"/>
    <w:rsid w:val="00715CF6"/>
    <w:rsid w:val="00716C19"/>
    <w:rsid w:val="00717737"/>
    <w:rsid w:val="00720CA9"/>
    <w:rsid w:val="007245FD"/>
    <w:rsid w:val="00727955"/>
    <w:rsid w:val="00732D81"/>
    <w:rsid w:val="00733064"/>
    <w:rsid w:val="00734DF5"/>
    <w:rsid w:val="00735B65"/>
    <w:rsid w:val="00735F6A"/>
    <w:rsid w:val="007426BC"/>
    <w:rsid w:val="00742E20"/>
    <w:rsid w:val="00750B58"/>
    <w:rsid w:val="00754839"/>
    <w:rsid w:val="007551E1"/>
    <w:rsid w:val="007576CD"/>
    <w:rsid w:val="007636D8"/>
    <w:rsid w:val="00764345"/>
    <w:rsid w:val="00765733"/>
    <w:rsid w:val="00766B65"/>
    <w:rsid w:val="00770E4B"/>
    <w:rsid w:val="0077460D"/>
    <w:rsid w:val="00776966"/>
    <w:rsid w:val="00776DBD"/>
    <w:rsid w:val="007776C7"/>
    <w:rsid w:val="00777EE1"/>
    <w:rsid w:val="00780253"/>
    <w:rsid w:val="00783E1C"/>
    <w:rsid w:val="00785DE6"/>
    <w:rsid w:val="007870CE"/>
    <w:rsid w:val="007914B4"/>
    <w:rsid w:val="00791A07"/>
    <w:rsid w:val="007929F4"/>
    <w:rsid w:val="00793525"/>
    <w:rsid w:val="0079402D"/>
    <w:rsid w:val="007943B3"/>
    <w:rsid w:val="007A0DD5"/>
    <w:rsid w:val="007A2DD3"/>
    <w:rsid w:val="007A2E4D"/>
    <w:rsid w:val="007A39EF"/>
    <w:rsid w:val="007A3DE4"/>
    <w:rsid w:val="007A4664"/>
    <w:rsid w:val="007A58A9"/>
    <w:rsid w:val="007B1032"/>
    <w:rsid w:val="007B1814"/>
    <w:rsid w:val="007B1D74"/>
    <w:rsid w:val="007B20D3"/>
    <w:rsid w:val="007B233C"/>
    <w:rsid w:val="007B2A22"/>
    <w:rsid w:val="007B2A30"/>
    <w:rsid w:val="007B397D"/>
    <w:rsid w:val="007B50D3"/>
    <w:rsid w:val="007B5261"/>
    <w:rsid w:val="007B6B0D"/>
    <w:rsid w:val="007C0D33"/>
    <w:rsid w:val="007C2324"/>
    <w:rsid w:val="007C398B"/>
    <w:rsid w:val="007C4955"/>
    <w:rsid w:val="007C6967"/>
    <w:rsid w:val="007C7B2E"/>
    <w:rsid w:val="007D0957"/>
    <w:rsid w:val="007D095E"/>
    <w:rsid w:val="007D18CC"/>
    <w:rsid w:val="007D1F00"/>
    <w:rsid w:val="007D4FC4"/>
    <w:rsid w:val="007D59F1"/>
    <w:rsid w:val="007E0103"/>
    <w:rsid w:val="007E3A92"/>
    <w:rsid w:val="007F4414"/>
    <w:rsid w:val="007F4C71"/>
    <w:rsid w:val="00800D38"/>
    <w:rsid w:val="008014CD"/>
    <w:rsid w:val="0080365D"/>
    <w:rsid w:val="00803FF4"/>
    <w:rsid w:val="008040CA"/>
    <w:rsid w:val="008047A1"/>
    <w:rsid w:val="0080529F"/>
    <w:rsid w:val="00806ADD"/>
    <w:rsid w:val="00807D11"/>
    <w:rsid w:val="00807E3A"/>
    <w:rsid w:val="00810A94"/>
    <w:rsid w:val="0081287A"/>
    <w:rsid w:val="008146F1"/>
    <w:rsid w:val="00815282"/>
    <w:rsid w:val="00820D4F"/>
    <w:rsid w:val="0082193F"/>
    <w:rsid w:val="00821FA3"/>
    <w:rsid w:val="00822214"/>
    <w:rsid w:val="00823D16"/>
    <w:rsid w:val="00824AFB"/>
    <w:rsid w:val="00824CB8"/>
    <w:rsid w:val="0082783D"/>
    <w:rsid w:val="008315A8"/>
    <w:rsid w:val="0083292F"/>
    <w:rsid w:val="008333EF"/>
    <w:rsid w:val="00836661"/>
    <w:rsid w:val="008373D5"/>
    <w:rsid w:val="00840326"/>
    <w:rsid w:val="008421EA"/>
    <w:rsid w:val="0084232E"/>
    <w:rsid w:val="00845702"/>
    <w:rsid w:val="00846BC7"/>
    <w:rsid w:val="00851785"/>
    <w:rsid w:val="00851786"/>
    <w:rsid w:val="00860B11"/>
    <w:rsid w:val="008637A6"/>
    <w:rsid w:val="00864528"/>
    <w:rsid w:val="008648FC"/>
    <w:rsid w:val="00865C81"/>
    <w:rsid w:val="00866B2D"/>
    <w:rsid w:val="0087266E"/>
    <w:rsid w:val="00875E3F"/>
    <w:rsid w:val="0087603F"/>
    <w:rsid w:val="008775F4"/>
    <w:rsid w:val="008838B4"/>
    <w:rsid w:val="0088474A"/>
    <w:rsid w:val="00885F25"/>
    <w:rsid w:val="00887CE9"/>
    <w:rsid w:val="008922C9"/>
    <w:rsid w:val="008922DF"/>
    <w:rsid w:val="0089381B"/>
    <w:rsid w:val="00893B0A"/>
    <w:rsid w:val="008A1171"/>
    <w:rsid w:val="008A1A6F"/>
    <w:rsid w:val="008A1F65"/>
    <w:rsid w:val="008A2FE6"/>
    <w:rsid w:val="008A3ADF"/>
    <w:rsid w:val="008A3BA1"/>
    <w:rsid w:val="008A6994"/>
    <w:rsid w:val="008B0FA6"/>
    <w:rsid w:val="008B115D"/>
    <w:rsid w:val="008B2242"/>
    <w:rsid w:val="008B3BD8"/>
    <w:rsid w:val="008B3CAD"/>
    <w:rsid w:val="008B3DE3"/>
    <w:rsid w:val="008B43E5"/>
    <w:rsid w:val="008B52AF"/>
    <w:rsid w:val="008B72ED"/>
    <w:rsid w:val="008C3AFC"/>
    <w:rsid w:val="008C76A5"/>
    <w:rsid w:val="008D1F0C"/>
    <w:rsid w:val="008D227B"/>
    <w:rsid w:val="008D7805"/>
    <w:rsid w:val="008E0CA7"/>
    <w:rsid w:val="008E327B"/>
    <w:rsid w:val="008E5DEB"/>
    <w:rsid w:val="008E68E8"/>
    <w:rsid w:val="008E7007"/>
    <w:rsid w:val="008F7983"/>
    <w:rsid w:val="00900075"/>
    <w:rsid w:val="00900210"/>
    <w:rsid w:val="00900CD0"/>
    <w:rsid w:val="009018BA"/>
    <w:rsid w:val="009024CB"/>
    <w:rsid w:val="009029E9"/>
    <w:rsid w:val="00904477"/>
    <w:rsid w:val="00905647"/>
    <w:rsid w:val="00905C23"/>
    <w:rsid w:val="0090650C"/>
    <w:rsid w:val="00913EC6"/>
    <w:rsid w:val="00921160"/>
    <w:rsid w:val="00925349"/>
    <w:rsid w:val="00926C0A"/>
    <w:rsid w:val="009270F3"/>
    <w:rsid w:val="009301D3"/>
    <w:rsid w:val="00930BEB"/>
    <w:rsid w:val="009356B1"/>
    <w:rsid w:val="00941D83"/>
    <w:rsid w:val="00941E80"/>
    <w:rsid w:val="00942878"/>
    <w:rsid w:val="009436F8"/>
    <w:rsid w:val="00944B83"/>
    <w:rsid w:val="009502B6"/>
    <w:rsid w:val="00951E1B"/>
    <w:rsid w:val="00952408"/>
    <w:rsid w:val="009531E8"/>
    <w:rsid w:val="00953C01"/>
    <w:rsid w:val="00953E1E"/>
    <w:rsid w:val="009554EB"/>
    <w:rsid w:val="00956B81"/>
    <w:rsid w:val="00960165"/>
    <w:rsid w:val="009604FA"/>
    <w:rsid w:val="009605BD"/>
    <w:rsid w:val="00962FBF"/>
    <w:rsid w:val="0096480F"/>
    <w:rsid w:val="009651E7"/>
    <w:rsid w:val="009666ED"/>
    <w:rsid w:val="0096686A"/>
    <w:rsid w:val="00967D97"/>
    <w:rsid w:val="00970B11"/>
    <w:rsid w:val="00971EED"/>
    <w:rsid w:val="009721DB"/>
    <w:rsid w:val="00972D05"/>
    <w:rsid w:val="00972FE1"/>
    <w:rsid w:val="00973CC7"/>
    <w:rsid w:val="00973EC0"/>
    <w:rsid w:val="0097481C"/>
    <w:rsid w:val="0097507E"/>
    <w:rsid w:val="009770E4"/>
    <w:rsid w:val="00980217"/>
    <w:rsid w:val="00980E8A"/>
    <w:rsid w:val="00982C6B"/>
    <w:rsid w:val="00984DD3"/>
    <w:rsid w:val="00985017"/>
    <w:rsid w:val="009900D3"/>
    <w:rsid w:val="00990ACD"/>
    <w:rsid w:val="009912CC"/>
    <w:rsid w:val="00994C4E"/>
    <w:rsid w:val="009952EA"/>
    <w:rsid w:val="00995779"/>
    <w:rsid w:val="009A01E9"/>
    <w:rsid w:val="009A06FD"/>
    <w:rsid w:val="009A11A1"/>
    <w:rsid w:val="009A2A7D"/>
    <w:rsid w:val="009A4BB7"/>
    <w:rsid w:val="009A50A1"/>
    <w:rsid w:val="009A52E1"/>
    <w:rsid w:val="009A6631"/>
    <w:rsid w:val="009A74A2"/>
    <w:rsid w:val="009B1D62"/>
    <w:rsid w:val="009B2335"/>
    <w:rsid w:val="009B2F6F"/>
    <w:rsid w:val="009B36FC"/>
    <w:rsid w:val="009B5AD6"/>
    <w:rsid w:val="009B678E"/>
    <w:rsid w:val="009B6B10"/>
    <w:rsid w:val="009B6EE4"/>
    <w:rsid w:val="009B716E"/>
    <w:rsid w:val="009B7315"/>
    <w:rsid w:val="009C2939"/>
    <w:rsid w:val="009C6E18"/>
    <w:rsid w:val="009C76B0"/>
    <w:rsid w:val="009C7C34"/>
    <w:rsid w:val="009D1AD8"/>
    <w:rsid w:val="009D33FE"/>
    <w:rsid w:val="009D37F1"/>
    <w:rsid w:val="009D4445"/>
    <w:rsid w:val="009D4EA6"/>
    <w:rsid w:val="009D60C6"/>
    <w:rsid w:val="009D772A"/>
    <w:rsid w:val="009D7B94"/>
    <w:rsid w:val="009E0034"/>
    <w:rsid w:val="009E01EE"/>
    <w:rsid w:val="009E0327"/>
    <w:rsid w:val="009E0D8F"/>
    <w:rsid w:val="009E367C"/>
    <w:rsid w:val="009F1D38"/>
    <w:rsid w:val="009F2CDC"/>
    <w:rsid w:val="009F355D"/>
    <w:rsid w:val="009F38C9"/>
    <w:rsid w:val="009F5EE5"/>
    <w:rsid w:val="009F723D"/>
    <w:rsid w:val="00A001EC"/>
    <w:rsid w:val="00A01772"/>
    <w:rsid w:val="00A037F4"/>
    <w:rsid w:val="00A048ED"/>
    <w:rsid w:val="00A1054F"/>
    <w:rsid w:val="00A10DA5"/>
    <w:rsid w:val="00A120CA"/>
    <w:rsid w:val="00A12617"/>
    <w:rsid w:val="00A13A3C"/>
    <w:rsid w:val="00A14E52"/>
    <w:rsid w:val="00A150EC"/>
    <w:rsid w:val="00A152E6"/>
    <w:rsid w:val="00A20826"/>
    <w:rsid w:val="00A2217C"/>
    <w:rsid w:val="00A22955"/>
    <w:rsid w:val="00A22D83"/>
    <w:rsid w:val="00A230ED"/>
    <w:rsid w:val="00A24086"/>
    <w:rsid w:val="00A27FFD"/>
    <w:rsid w:val="00A30F02"/>
    <w:rsid w:val="00A325ED"/>
    <w:rsid w:val="00A35DC2"/>
    <w:rsid w:val="00A35F81"/>
    <w:rsid w:val="00A37C22"/>
    <w:rsid w:val="00A43F3D"/>
    <w:rsid w:val="00A450CC"/>
    <w:rsid w:val="00A45376"/>
    <w:rsid w:val="00A50DB1"/>
    <w:rsid w:val="00A51A37"/>
    <w:rsid w:val="00A51DC8"/>
    <w:rsid w:val="00A530D2"/>
    <w:rsid w:val="00A552D1"/>
    <w:rsid w:val="00A56F9B"/>
    <w:rsid w:val="00A57566"/>
    <w:rsid w:val="00A6006B"/>
    <w:rsid w:val="00A60DD5"/>
    <w:rsid w:val="00A63481"/>
    <w:rsid w:val="00A6358E"/>
    <w:rsid w:val="00A6528F"/>
    <w:rsid w:val="00A66010"/>
    <w:rsid w:val="00A6689D"/>
    <w:rsid w:val="00A66D9F"/>
    <w:rsid w:val="00A678C9"/>
    <w:rsid w:val="00A70E94"/>
    <w:rsid w:val="00A715CB"/>
    <w:rsid w:val="00A71EBB"/>
    <w:rsid w:val="00A72490"/>
    <w:rsid w:val="00A7591E"/>
    <w:rsid w:val="00A75B95"/>
    <w:rsid w:val="00A77846"/>
    <w:rsid w:val="00A802CF"/>
    <w:rsid w:val="00A82759"/>
    <w:rsid w:val="00A82BCB"/>
    <w:rsid w:val="00A85698"/>
    <w:rsid w:val="00A85F9D"/>
    <w:rsid w:val="00A9193B"/>
    <w:rsid w:val="00A932E1"/>
    <w:rsid w:val="00A94182"/>
    <w:rsid w:val="00A94647"/>
    <w:rsid w:val="00A94812"/>
    <w:rsid w:val="00A95CD5"/>
    <w:rsid w:val="00A96B62"/>
    <w:rsid w:val="00AA0123"/>
    <w:rsid w:val="00AA1357"/>
    <w:rsid w:val="00AA1CE6"/>
    <w:rsid w:val="00AA4AD7"/>
    <w:rsid w:val="00AA519D"/>
    <w:rsid w:val="00AB3512"/>
    <w:rsid w:val="00AB44FF"/>
    <w:rsid w:val="00AD111D"/>
    <w:rsid w:val="00AD2955"/>
    <w:rsid w:val="00AD3398"/>
    <w:rsid w:val="00AD465E"/>
    <w:rsid w:val="00AD50E8"/>
    <w:rsid w:val="00AD51DB"/>
    <w:rsid w:val="00AD703C"/>
    <w:rsid w:val="00AD7B77"/>
    <w:rsid w:val="00AE0297"/>
    <w:rsid w:val="00AE2163"/>
    <w:rsid w:val="00AE3C69"/>
    <w:rsid w:val="00AE507A"/>
    <w:rsid w:val="00AE53BE"/>
    <w:rsid w:val="00AE6632"/>
    <w:rsid w:val="00AE7C6C"/>
    <w:rsid w:val="00AF0866"/>
    <w:rsid w:val="00AF306D"/>
    <w:rsid w:val="00AF35D5"/>
    <w:rsid w:val="00AF4883"/>
    <w:rsid w:val="00AF6A3C"/>
    <w:rsid w:val="00B00914"/>
    <w:rsid w:val="00B0177B"/>
    <w:rsid w:val="00B02785"/>
    <w:rsid w:val="00B02C64"/>
    <w:rsid w:val="00B03739"/>
    <w:rsid w:val="00B04DF6"/>
    <w:rsid w:val="00B0737D"/>
    <w:rsid w:val="00B07A98"/>
    <w:rsid w:val="00B07E27"/>
    <w:rsid w:val="00B10B40"/>
    <w:rsid w:val="00B1147E"/>
    <w:rsid w:val="00B13825"/>
    <w:rsid w:val="00B13E26"/>
    <w:rsid w:val="00B16737"/>
    <w:rsid w:val="00B17D5F"/>
    <w:rsid w:val="00B22BF6"/>
    <w:rsid w:val="00B23961"/>
    <w:rsid w:val="00B24016"/>
    <w:rsid w:val="00B247AC"/>
    <w:rsid w:val="00B262F4"/>
    <w:rsid w:val="00B26973"/>
    <w:rsid w:val="00B270FC"/>
    <w:rsid w:val="00B2747E"/>
    <w:rsid w:val="00B32614"/>
    <w:rsid w:val="00B336F2"/>
    <w:rsid w:val="00B34503"/>
    <w:rsid w:val="00B36707"/>
    <w:rsid w:val="00B3692E"/>
    <w:rsid w:val="00B3715B"/>
    <w:rsid w:val="00B41CB0"/>
    <w:rsid w:val="00B4246B"/>
    <w:rsid w:val="00B42FC8"/>
    <w:rsid w:val="00B46047"/>
    <w:rsid w:val="00B463D0"/>
    <w:rsid w:val="00B4650B"/>
    <w:rsid w:val="00B51E57"/>
    <w:rsid w:val="00B51F9C"/>
    <w:rsid w:val="00B52554"/>
    <w:rsid w:val="00B52F25"/>
    <w:rsid w:val="00B556BD"/>
    <w:rsid w:val="00B575AD"/>
    <w:rsid w:val="00B57917"/>
    <w:rsid w:val="00B606D5"/>
    <w:rsid w:val="00B62425"/>
    <w:rsid w:val="00B636E5"/>
    <w:rsid w:val="00B65066"/>
    <w:rsid w:val="00B6553A"/>
    <w:rsid w:val="00B65D4B"/>
    <w:rsid w:val="00B667E7"/>
    <w:rsid w:val="00B66F8B"/>
    <w:rsid w:val="00B7034B"/>
    <w:rsid w:val="00B7080C"/>
    <w:rsid w:val="00B72D07"/>
    <w:rsid w:val="00B7320C"/>
    <w:rsid w:val="00B76FF9"/>
    <w:rsid w:val="00B7728C"/>
    <w:rsid w:val="00B829E1"/>
    <w:rsid w:val="00B83AD7"/>
    <w:rsid w:val="00B86385"/>
    <w:rsid w:val="00B87F5E"/>
    <w:rsid w:val="00B95E9F"/>
    <w:rsid w:val="00B96953"/>
    <w:rsid w:val="00B96AE4"/>
    <w:rsid w:val="00B9707A"/>
    <w:rsid w:val="00BA0696"/>
    <w:rsid w:val="00BA382A"/>
    <w:rsid w:val="00BA60B1"/>
    <w:rsid w:val="00BA66BF"/>
    <w:rsid w:val="00BA6F30"/>
    <w:rsid w:val="00BB14F2"/>
    <w:rsid w:val="00BB434A"/>
    <w:rsid w:val="00BB47E2"/>
    <w:rsid w:val="00BB6FCD"/>
    <w:rsid w:val="00BC10F1"/>
    <w:rsid w:val="00BC2496"/>
    <w:rsid w:val="00BC27B5"/>
    <w:rsid w:val="00BC2DA1"/>
    <w:rsid w:val="00BC4C46"/>
    <w:rsid w:val="00BC69F1"/>
    <w:rsid w:val="00BC7EA0"/>
    <w:rsid w:val="00BD6919"/>
    <w:rsid w:val="00BD7189"/>
    <w:rsid w:val="00BE07AF"/>
    <w:rsid w:val="00BE2C87"/>
    <w:rsid w:val="00BE5F5C"/>
    <w:rsid w:val="00BF0A50"/>
    <w:rsid w:val="00BF13BB"/>
    <w:rsid w:val="00BF1883"/>
    <w:rsid w:val="00BF1C25"/>
    <w:rsid w:val="00BF2184"/>
    <w:rsid w:val="00BF3017"/>
    <w:rsid w:val="00BF325E"/>
    <w:rsid w:val="00BF52BD"/>
    <w:rsid w:val="00BF65F0"/>
    <w:rsid w:val="00C002E9"/>
    <w:rsid w:val="00C00D43"/>
    <w:rsid w:val="00C03039"/>
    <w:rsid w:val="00C0308A"/>
    <w:rsid w:val="00C03C1C"/>
    <w:rsid w:val="00C068C4"/>
    <w:rsid w:val="00C068E5"/>
    <w:rsid w:val="00C114EF"/>
    <w:rsid w:val="00C15295"/>
    <w:rsid w:val="00C154AB"/>
    <w:rsid w:val="00C16C44"/>
    <w:rsid w:val="00C16CB8"/>
    <w:rsid w:val="00C16F5A"/>
    <w:rsid w:val="00C2120C"/>
    <w:rsid w:val="00C22A08"/>
    <w:rsid w:val="00C2376E"/>
    <w:rsid w:val="00C265CF"/>
    <w:rsid w:val="00C31696"/>
    <w:rsid w:val="00C32E69"/>
    <w:rsid w:val="00C3469A"/>
    <w:rsid w:val="00C41953"/>
    <w:rsid w:val="00C4295D"/>
    <w:rsid w:val="00C42CB8"/>
    <w:rsid w:val="00C43447"/>
    <w:rsid w:val="00C43B10"/>
    <w:rsid w:val="00C4690A"/>
    <w:rsid w:val="00C46D63"/>
    <w:rsid w:val="00C52D3C"/>
    <w:rsid w:val="00C57C2B"/>
    <w:rsid w:val="00C66157"/>
    <w:rsid w:val="00C6652F"/>
    <w:rsid w:val="00C668CB"/>
    <w:rsid w:val="00C6769A"/>
    <w:rsid w:val="00C719B7"/>
    <w:rsid w:val="00C73D88"/>
    <w:rsid w:val="00C74367"/>
    <w:rsid w:val="00C75B9F"/>
    <w:rsid w:val="00C803B0"/>
    <w:rsid w:val="00C8469E"/>
    <w:rsid w:val="00C84FAB"/>
    <w:rsid w:val="00C85B6F"/>
    <w:rsid w:val="00C876B2"/>
    <w:rsid w:val="00C938A0"/>
    <w:rsid w:val="00C95391"/>
    <w:rsid w:val="00C95B58"/>
    <w:rsid w:val="00C95DA0"/>
    <w:rsid w:val="00C96A1D"/>
    <w:rsid w:val="00C97E55"/>
    <w:rsid w:val="00CA053F"/>
    <w:rsid w:val="00CA2BEA"/>
    <w:rsid w:val="00CA5E24"/>
    <w:rsid w:val="00CA5EA6"/>
    <w:rsid w:val="00CA6BB2"/>
    <w:rsid w:val="00CB0B4E"/>
    <w:rsid w:val="00CB1523"/>
    <w:rsid w:val="00CB2C10"/>
    <w:rsid w:val="00CB555A"/>
    <w:rsid w:val="00CC0432"/>
    <w:rsid w:val="00CC0B34"/>
    <w:rsid w:val="00CC1630"/>
    <w:rsid w:val="00CC1A4F"/>
    <w:rsid w:val="00CD0945"/>
    <w:rsid w:val="00CD15F9"/>
    <w:rsid w:val="00CD1F53"/>
    <w:rsid w:val="00CD2495"/>
    <w:rsid w:val="00CD34D5"/>
    <w:rsid w:val="00CD66C7"/>
    <w:rsid w:val="00CD6C2E"/>
    <w:rsid w:val="00CE0125"/>
    <w:rsid w:val="00CE0495"/>
    <w:rsid w:val="00CE28B5"/>
    <w:rsid w:val="00CE45C8"/>
    <w:rsid w:val="00CE5652"/>
    <w:rsid w:val="00CE612B"/>
    <w:rsid w:val="00CE7814"/>
    <w:rsid w:val="00CF63A0"/>
    <w:rsid w:val="00D00282"/>
    <w:rsid w:val="00D02A69"/>
    <w:rsid w:val="00D033A7"/>
    <w:rsid w:val="00D03637"/>
    <w:rsid w:val="00D03B5C"/>
    <w:rsid w:val="00D04358"/>
    <w:rsid w:val="00D05151"/>
    <w:rsid w:val="00D05B15"/>
    <w:rsid w:val="00D075E1"/>
    <w:rsid w:val="00D07D79"/>
    <w:rsid w:val="00D16819"/>
    <w:rsid w:val="00D21A19"/>
    <w:rsid w:val="00D259D5"/>
    <w:rsid w:val="00D27710"/>
    <w:rsid w:val="00D27A62"/>
    <w:rsid w:val="00D32467"/>
    <w:rsid w:val="00D32EC1"/>
    <w:rsid w:val="00D338F3"/>
    <w:rsid w:val="00D339AC"/>
    <w:rsid w:val="00D33A61"/>
    <w:rsid w:val="00D34140"/>
    <w:rsid w:val="00D4019C"/>
    <w:rsid w:val="00D40387"/>
    <w:rsid w:val="00D40555"/>
    <w:rsid w:val="00D4123A"/>
    <w:rsid w:val="00D41374"/>
    <w:rsid w:val="00D42A2F"/>
    <w:rsid w:val="00D43247"/>
    <w:rsid w:val="00D44012"/>
    <w:rsid w:val="00D46968"/>
    <w:rsid w:val="00D469AC"/>
    <w:rsid w:val="00D51AB9"/>
    <w:rsid w:val="00D55266"/>
    <w:rsid w:val="00D55BCA"/>
    <w:rsid w:val="00D57393"/>
    <w:rsid w:val="00D604C8"/>
    <w:rsid w:val="00D6137C"/>
    <w:rsid w:val="00D61A6D"/>
    <w:rsid w:val="00D62E7B"/>
    <w:rsid w:val="00D63E8D"/>
    <w:rsid w:val="00D65499"/>
    <w:rsid w:val="00D65F71"/>
    <w:rsid w:val="00D65FB6"/>
    <w:rsid w:val="00D664BF"/>
    <w:rsid w:val="00D67064"/>
    <w:rsid w:val="00D675A2"/>
    <w:rsid w:val="00D70DF4"/>
    <w:rsid w:val="00D7329E"/>
    <w:rsid w:val="00D75628"/>
    <w:rsid w:val="00D75834"/>
    <w:rsid w:val="00D810E0"/>
    <w:rsid w:val="00D84C4A"/>
    <w:rsid w:val="00D86625"/>
    <w:rsid w:val="00D866DB"/>
    <w:rsid w:val="00D86766"/>
    <w:rsid w:val="00D87D28"/>
    <w:rsid w:val="00D922E4"/>
    <w:rsid w:val="00D97094"/>
    <w:rsid w:val="00DA1F45"/>
    <w:rsid w:val="00DA2829"/>
    <w:rsid w:val="00DA35E8"/>
    <w:rsid w:val="00DA4044"/>
    <w:rsid w:val="00DA4A6E"/>
    <w:rsid w:val="00DA6525"/>
    <w:rsid w:val="00DA7718"/>
    <w:rsid w:val="00DA7B65"/>
    <w:rsid w:val="00DB0144"/>
    <w:rsid w:val="00DB0E64"/>
    <w:rsid w:val="00DB1EFE"/>
    <w:rsid w:val="00DB30D0"/>
    <w:rsid w:val="00DB4B46"/>
    <w:rsid w:val="00DB63C9"/>
    <w:rsid w:val="00DB6DEB"/>
    <w:rsid w:val="00DB7AEE"/>
    <w:rsid w:val="00DC04CE"/>
    <w:rsid w:val="00DC1F80"/>
    <w:rsid w:val="00DC27B8"/>
    <w:rsid w:val="00DC3BB5"/>
    <w:rsid w:val="00DC4BCD"/>
    <w:rsid w:val="00DD0B3C"/>
    <w:rsid w:val="00DD0CDC"/>
    <w:rsid w:val="00DD0E5F"/>
    <w:rsid w:val="00DD2239"/>
    <w:rsid w:val="00DD24F0"/>
    <w:rsid w:val="00DD5F0F"/>
    <w:rsid w:val="00DD67EF"/>
    <w:rsid w:val="00DE2018"/>
    <w:rsid w:val="00DE3B2F"/>
    <w:rsid w:val="00DE4712"/>
    <w:rsid w:val="00DE51C0"/>
    <w:rsid w:val="00DF1F7D"/>
    <w:rsid w:val="00DF2069"/>
    <w:rsid w:val="00DF6AFE"/>
    <w:rsid w:val="00E0069F"/>
    <w:rsid w:val="00E03A04"/>
    <w:rsid w:val="00E03B38"/>
    <w:rsid w:val="00E14B01"/>
    <w:rsid w:val="00E16512"/>
    <w:rsid w:val="00E16F5B"/>
    <w:rsid w:val="00E223B1"/>
    <w:rsid w:val="00E241A0"/>
    <w:rsid w:val="00E24288"/>
    <w:rsid w:val="00E2657E"/>
    <w:rsid w:val="00E26755"/>
    <w:rsid w:val="00E26A72"/>
    <w:rsid w:val="00E27283"/>
    <w:rsid w:val="00E279C2"/>
    <w:rsid w:val="00E27C8A"/>
    <w:rsid w:val="00E33457"/>
    <w:rsid w:val="00E33A71"/>
    <w:rsid w:val="00E33DD1"/>
    <w:rsid w:val="00E35AAA"/>
    <w:rsid w:val="00E36CC3"/>
    <w:rsid w:val="00E37318"/>
    <w:rsid w:val="00E40386"/>
    <w:rsid w:val="00E40A23"/>
    <w:rsid w:val="00E41ECC"/>
    <w:rsid w:val="00E44102"/>
    <w:rsid w:val="00E468D9"/>
    <w:rsid w:val="00E4707C"/>
    <w:rsid w:val="00E4724D"/>
    <w:rsid w:val="00E50AB3"/>
    <w:rsid w:val="00E510D8"/>
    <w:rsid w:val="00E520BB"/>
    <w:rsid w:val="00E52C33"/>
    <w:rsid w:val="00E52D03"/>
    <w:rsid w:val="00E57A8A"/>
    <w:rsid w:val="00E6167F"/>
    <w:rsid w:val="00E61805"/>
    <w:rsid w:val="00E62C58"/>
    <w:rsid w:val="00E701A6"/>
    <w:rsid w:val="00E7037E"/>
    <w:rsid w:val="00E704FA"/>
    <w:rsid w:val="00E712DB"/>
    <w:rsid w:val="00E71D31"/>
    <w:rsid w:val="00E72092"/>
    <w:rsid w:val="00E728FD"/>
    <w:rsid w:val="00E73062"/>
    <w:rsid w:val="00E735BC"/>
    <w:rsid w:val="00E73C7A"/>
    <w:rsid w:val="00E74EB6"/>
    <w:rsid w:val="00E76BB3"/>
    <w:rsid w:val="00E8262A"/>
    <w:rsid w:val="00E90C3B"/>
    <w:rsid w:val="00E9348F"/>
    <w:rsid w:val="00E94CCB"/>
    <w:rsid w:val="00E96260"/>
    <w:rsid w:val="00E9700D"/>
    <w:rsid w:val="00EA163C"/>
    <w:rsid w:val="00EA1712"/>
    <w:rsid w:val="00EA3204"/>
    <w:rsid w:val="00EA3842"/>
    <w:rsid w:val="00EA615A"/>
    <w:rsid w:val="00EA6862"/>
    <w:rsid w:val="00EA77CD"/>
    <w:rsid w:val="00EB11AC"/>
    <w:rsid w:val="00EB134E"/>
    <w:rsid w:val="00EB1D84"/>
    <w:rsid w:val="00EB3C44"/>
    <w:rsid w:val="00EB4169"/>
    <w:rsid w:val="00EB5477"/>
    <w:rsid w:val="00EB565B"/>
    <w:rsid w:val="00EC0F08"/>
    <w:rsid w:val="00EC19E5"/>
    <w:rsid w:val="00EC23BB"/>
    <w:rsid w:val="00EC4B79"/>
    <w:rsid w:val="00EC5231"/>
    <w:rsid w:val="00EC62F1"/>
    <w:rsid w:val="00EC6934"/>
    <w:rsid w:val="00EC7944"/>
    <w:rsid w:val="00EC7D10"/>
    <w:rsid w:val="00ED04D7"/>
    <w:rsid w:val="00ED34BA"/>
    <w:rsid w:val="00ED3E21"/>
    <w:rsid w:val="00ED4C10"/>
    <w:rsid w:val="00ED7ECB"/>
    <w:rsid w:val="00EE3A88"/>
    <w:rsid w:val="00EE4A34"/>
    <w:rsid w:val="00EE4A3B"/>
    <w:rsid w:val="00EE4A59"/>
    <w:rsid w:val="00EF3F9C"/>
    <w:rsid w:val="00EF46C0"/>
    <w:rsid w:val="00EF5694"/>
    <w:rsid w:val="00EF73F9"/>
    <w:rsid w:val="00EF7562"/>
    <w:rsid w:val="00EF7E3E"/>
    <w:rsid w:val="00F0027A"/>
    <w:rsid w:val="00F03155"/>
    <w:rsid w:val="00F033FC"/>
    <w:rsid w:val="00F05ABC"/>
    <w:rsid w:val="00F06B0B"/>
    <w:rsid w:val="00F07BED"/>
    <w:rsid w:val="00F07C0C"/>
    <w:rsid w:val="00F11370"/>
    <w:rsid w:val="00F13E51"/>
    <w:rsid w:val="00F13F08"/>
    <w:rsid w:val="00F15DC3"/>
    <w:rsid w:val="00F16524"/>
    <w:rsid w:val="00F174F6"/>
    <w:rsid w:val="00F17E08"/>
    <w:rsid w:val="00F22C93"/>
    <w:rsid w:val="00F22E8A"/>
    <w:rsid w:val="00F23868"/>
    <w:rsid w:val="00F23906"/>
    <w:rsid w:val="00F242FF"/>
    <w:rsid w:val="00F249A2"/>
    <w:rsid w:val="00F25B6E"/>
    <w:rsid w:val="00F2679F"/>
    <w:rsid w:val="00F30174"/>
    <w:rsid w:val="00F30188"/>
    <w:rsid w:val="00F30292"/>
    <w:rsid w:val="00F30557"/>
    <w:rsid w:val="00F30E32"/>
    <w:rsid w:val="00F32DFD"/>
    <w:rsid w:val="00F3613D"/>
    <w:rsid w:val="00F36F15"/>
    <w:rsid w:val="00F3798A"/>
    <w:rsid w:val="00F405CA"/>
    <w:rsid w:val="00F41781"/>
    <w:rsid w:val="00F41F97"/>
    <w:rsid w:val="00F43512"/>
    <w:rsid w:val="00F447C3"/>
    <w:rsid w:val="00F44F5B"/>
    <w:rsid w:val="00F4517E"/>
    <w:rsid w:val="00F460C9"/>
    <w:rsid w:val="00F46AE1"/>
    <w:rsid w:val="00F51C30"/>
    <w:rsid w:val="00F52D86"/>
    <w:rsid w:val="00F5649B"/>
    <w:rsid w:val="00F63898"/>
    <w:rsid w:val="00F66740"/>
    <w:rsid w:val="00F74C8F"/>
    <w:rsid w:val="00F77921"/>
    <w:rsid w:val="00F81455"/>
    <w:rsid w:val="00F8146F"/>
    <w:rsid w:val="00F81B95"/>
    <w:rsid w:val="00F83B19"/>
    <w:rsid w:val="00F84C0E"/>
    <w:rsid w:val="00F870A0"/>
    <w:rsid w:val="00F87728"/>
    <w:rsid w:val="00F903E2"/>
    <w:rsid w:val="00F90DDB"/>
    <w:rsid w:val="00F918C1"/>
    <w:rsid w:val="00F92718"/>
    <w:rsid w:val="00F93B62"/>
    <w:rsid w:val="00F94E7C"/>
    <w:rsid w:val="00F951A8"/>
    <w:rsid w:val="00FA12E1"/>
    <w:rsid w:val="00FA157F"/>
    <w:rsid w:val="00FA3191"/>
    <w:rsid w:val="00FA55A3"/>
    <w:rsid w:val="00FB2526"/>
    <w:rsid w:val="00FB2958"/>
    <w:rsid w:val="00FB45CF"/>
    <w:rsid w:val="00FB4B0A"/>
    <w:rsid w:val="00FB68D2"/>
    <w:rsid w:val="00FB6CC5"/>
    <w:rsid w:val="00FB7866"/>
    <w:rsid w:val="00FC2319"/>
    <w:rsid w:val="00FC604D"/>
    <w:rsid w:val="00FC7C4F"/>
    <w:rsid w:val="00FD059E"/>
    <w:rsid w:val="00FD05FE"/>
    <w:rsid w:val="00FD0927"/>
    <w:rsid w:val="00FD1284"/>
    <w:rsid w:val="00FD37A7"/>
    <w:rsid w:val="00FD72FA"/>
    <w:rsid w:val="00FD7E0C"/>
    <w:rsid w:val="00FE02DB"/>
    <w:rsid w:val="00FE0762"/>
    <w:rsid w:val="00FE1D97"/>
    <w:rsid w:val="00FE4C92"/>
    <w:rsid w:val="00FF4738"/>
    <w:rsid w:val="00FF53E4"/>
    <w:rsid w:val="00FF5B73"/>
    <w:rsid w:val="00FF7DFB"/>
    <w:rsid w:val="0E9AFA17"/>
    <w:rsid w:val="7679B09A"/>
  </w:rsids>
  <m:mathPr>
    <m:mathFont m:val="Cambria Math"/>
    <m:brkBin m:val="before"/>
    <m:brkBinSub m:val="--"/>
    <m:smallFrac m:val="0"/>
    <m:dispDef/>
    <m:lMargin m:val="0"/>
    <m:rMargin m:val="0"/>
    <m:defJc m:val="centerGroup"/>
    <m:wrapIndent m:val="1440"/>
    <m:intLim m:val="subSup"/>
    <m:naryLim m:val="undOvr"/>
  </m:mathPr>
  <w:themeFontLang w:val="es-P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9B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0AB3"/>
    <w:pPr>
      <w:spacing w:after="200" w:line="276" w:lineRule="auto"/>
    </w:pPr>
    <w:rPr>
      <w:rFonts w:eastAsiaTheme="minorEastAsia"/>
      <w:lang w:eastAsia="zh-CN"/>
    </w:rPr>
  </w:style>
  <w:style w:type="paragraph" w:styleId="Heading1">
    <w:name w:val="heading 1"/>
    <w:aliases w:val="Heading 1.I"/>
    <w:basedOn w:val="Normal"/>
    <w:next w:val="Normal"/>
    <w:link w:val="Heading1Char"/>
    <w:qFormat/>
    <w:rsid w:val="00C84F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4F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aliases w:val="Heading 4.a"/>
    <w:next w:val="Normal"/>
    <w:link w:val="Heading4Char"/>
    <w:qFormat/>
    <w:rsid w:val="00671C37"/>
    <w:pPr>
      <w:keepNext/>
      <w:tabs>
        <w:tab w:val="left" w:pos="1440"/>
        <w:tab w:val="num" w:pos="1800"/>
      </w:tabs>
      <w:spacing w:before="120" w:after="120" w:line="240" w:lineRule="auto"/>
      <w:ind w:left="1800" w:hanging="360"/>
      <w:jc w:val="both"/>
      <w:outlineLvl w:val="3"/>
    </w:pPr>
    <w:rPr>
      <w:rFonts w:ascii="Times New Roman Bold" w:eastAsia="Times New Roman" w:hAnsi="Times New Roman Bold" w:cs="Times New Roman"/>
      <w:b/>
      <w:noProof/>
      <w:sz w:val="24"/>
      <w:szCs w:val="20"/>
      <w:lang w:val="es-AR" w:eastAsia="es-AR"/>
    </w:rPr>
  </w:style>
  <w:style w:type="paragraph" w:styleId="Heading5">
    <w:name w:val="heading 5"/>
    <w:aliases w:val="Heading 5.(i)"/>
    <w:next w:val="Normal"/>
    <w:link w:val="Heading5Char"/>
    <w:qFormat/>
    <w:rsid w:val="00671C37"/>
    <w:pPr>
      <w:keepNext/>
      <w:tabs>
        <w:tab w:val="num" w:pos="2088"/>
      </w:tabs>
      <w:spacing w:before="120" w:after="120" w:line="240" w:lineRule="auto"/>
      <w:ind w:left="2088" w:hanging="288"/>
      <w:jc w:val="both"/>
      <w:outlineLvl w:val="4"/>
    </w:pPr>
    <w:rPr>
      <w:rFonts w:ascii="Times New Roman Bold" w:eastAsia="Times New Roman" w:hAnsi="Times New Roman Bold" w:cs="Times New Roman"/>
      <w:b/>
      <w:noProof/>
      <w:sz w:val="24"/>
      <w:szCs w:val="20"/>
      <w:lang w:val="es-AR" w:eastAsia="es-AR"/>
    </w:rPr>
  </w:style>
  <w:style w:type="paragraph" w:styleId="Heading6">
    <w:name w:val="heading 6"/>
    <w:basedOn w:val="Normal"/>
    <w:next w:val="Normal"/>
    <w:link w:val="Heading6Char"/>
    <w:qFormat/>
    <w:rsid w:val="003B27DF"/>
    <w:pPr>
      <w:spacing w:before="240" w:after="60"/>
      <w:ind w:left="5256" w:hanging="432"/>
      <w:outlineLvl w:val="5"/>
    </w:pPr>
    <w:rPr>
      <w:rFonts w:ascii="Calibri" w:eastAsia="Times New Roman" w:hAnsi="Calibri" w:cs="Times New Roman"/>
      <w:b/>
      <w:bCs/>
      <w:lang w:val="x-none" w:eastAsia="x-none"/>
    </w:rPr>
  </w:style>
  <w:style w:type="paragraph" w:styleId="Heading7">
    <w:name w:val="heading 7"/>
    <w:basedOn w:val="Normal"/>
    <w:next w:val="Normal"/>
    <w:link w:val="Heading7Char"/>
    <w:qFormat/>
    <w:rsid w:val="003B27DF"/>
    <w:pPr>
      <w:spacing w:before="240" w:after="60"/>
      <w:ind w:left="5400" w:hanging="288"/>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qFormat/>
    <w:rsid w:val="003B27DF"/>
    <w:pPr>
      <w:spacing w:before="240" w:after="60"/>
      <w:ind w:left="5544" w:hanging="432"/>
      <w:outlineLvl w:val="7"/>
    </w:pPr>
    <w:rPr>
      <w:rFonts w:ascii="Calibri" w:eastAsia="Times New Roman" w:hAnsi="Calibri" w:cs="Times New Roman"/>
      <w:i/>
      <w:iCs/>
      <w:sz w:val="24"/>
      <w:szCs w:val="24"/>
      <w:lang w:val="x-none" w:eastAsia="x-none"/>
    </w:rPr>
  </w:style>
  <w:style w:type="paragraph" w:styleId="Heading9">
    <w:name w:val="heading 9"/>
    <w:basedOn w:val="Normal"/>
    <w:next w:val="Normal"/>
    <w:link w:val="Heading9Char"/>
    <w:qFormat/>
    <w:rsid w:val="003B27DF"/>
    <w:pPr>
      <w:spacing w:before="240" w:after="60"/>
      <w:ind w:left="5688" w:hanging="144"/>
      <w:outlineLvl w:val="8"/>
    </w:pPr>
    <w:rPr>
      <w:rFonts w:ascii="Cambria" w:eastAsia="Times New Roman" w:hAnsi="Cambria"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5"/>
    <w:basedOn w:val="Normal"/>
    <w:link w:val="ListParagraphChar"/>
    <w:uiPriority w:val="34"/>
    <w:qFormat/>
    <w:rsid w:val="00C84FAB"/>
    <w:pPr>
      <w:ind w:left="720"/>
      <w:contextualSpacing/>
    </w:pPr>
  </w:style>
  <w:style w:type="paragraph" w:styleId="NoSpacing">
    <w:name w:val="No Spacing"/>
    <w:link w:val="NoSpacingChar"/>
    <w:uiPriority w:val="99"/>
    <w:qFormat/>
    <w:rsid w:val="00C84FAB"/>
    <w:pPr>
      <w:spacing w:after="0" w:line="240" w:lineRule="auto"/>
    </w:pPr>
    <w:rPr>
      <w:rFonts w:eastAsiaTheme="minorEastAsia"/>
      <w:lang w:eastAsia="zh-CN"/>
    </w:rPr>
  </w:style>
  <w:style w:type="character" w:customStyle="1" w:styleId="NoSpacingChar">
    <w:name w:val="No Spacing Char"/>
    <w:basedOn w:val="DefaultParagraphFont"/>
    <w:link w:val="NoSpacing"/>
    <w:uiPriority w:val="99"/>
    <w:rsid w:val="00C84FAB"/>
    <w:rPr>
      <w:rFonts w:eastAsiaTheme="minorEastAsia"/>
      <w:lang w:eastAsia="zh-CN"/>
    </w:rPr>
  </w:style>
  <w:style w:type="paragraph" w:customStyle="1" w:styleId="ColorfulList-Accent11">
    <w:name w:val="Colorful List - Accent 11"/>
    <w:basedOn w:val="Normal"/>
    <w:link w:val="ColorfulList-Accent1Char"/>
    <w:uiPriority w:val="34"/>
    <w:qFormat/>
    <w:rsid w:val="00C84FAB"/>
    <w:pPr>
      <w:suppressAutoHyphens/>
      <w:ind w:left="720"/>
    </w:pPr>
    <w:rPr>
      <w:rFonts w:ascii="Calibri" w:eastAsia="Calibri" w:hAnsi="Calibri" w:cs="Calibri"/>
      <w:lang w:eastAsia="ar-SA"/>
    </w:rPr>
  </w:style>
  <w:style w:type="character" w:customStyle="1" w:styleId="ListParagraphChar">
    <w:name w:val="List Paragraph Char"/>
    <w:aliases w:val="titulo 5 Char"/>
    <w:link w:val="ListParagraph"/>
    <w:uiPriority w:val="34"/>
    <w:rsid w:val="00C84FAB"/>
    <w:rPr>
      <w:rFonts w:eastAsiaTheme="minorEastAsia"/>
      <w:lang w:eastAsia="zh-CN"/>
    </w:rPr>
  </w:style>
  <w:style w:type="paragraph" w:styleId="Title">
    <w:name w:val="Title"/>
    <w:basedOn w:val="Normal"/>
    <w:link w:val="TitleChar"/>
    <w:qFormat/>
    <w:rsid w:val="00C84FAB"/>
    <w:pPr>
      <w:tabs>
        <w:tab w:val="left" w:pos="1440"/>
        <w:tab w:val="left" w:pos="3060"/>
      </w:tabs>
      <w:suppressAutoHyphens/>
      <w:autoSpaceDN w:val="0"/>
      <w:spacing w:after="0" w:line="240" w:lineRule="auto"/>
      <w:jc w:val="center"/>
      <w:textAlignment w:val="baseline"/>
      <w:outlineLvl w:val="0"/>
    </w:pPr>
    <w:rPr>
      <w:rFonts w:ascii="Times New Roman" w:eastAsia="Times New Roman" w:hAnsi="Times New Roman" w:cs="Times New Roman"/>
      <w:sz w:val="24"/>
      <w:szCs w:val="20"/>
      <w:lang w:val="es-ES_tradnl" w:eastAsia="en-US"/>
    </w:rPr>
  </w:style>
  <w:style w:type="character" w:customStyle="1" w:styleId="TitleChar">
    <w:name w:val="Title Char"/>
    <w:basedOn w:val="DefaultParagraphFont"/>
    <w:link w:val="Title"/>
    <w:rsid w:val="00C84FAB"/>
    <w:rPr>
      <w:rFonts w:ascii="Times New Roman" w:eastAsia="Times New Roman" w:hAnsi="Times New Roman" w:cs="Times New Roman"/>
      <w:sz w:val="24"/>
      <w:szCs w:val="20"/>
      <w:lang w:val="es-ES_tradnl"/>
    </w:rPr>
  </w:style>
  <w:style w:type="paragraph" w:styleId="BodyText">
    <w:name w:val="Body Text"/>
    <w:basedOn w:val="Normal"/>
    <w:link w:val="BodyTextChar"/>
    <w:uiPriority w:val="99"/>
    <w:unhideWhenUsed/>
    <w:rsid w:val="00C84FAB"/>
    <w:pPr>
      <w:spacing w:after="120"/>
    </w:pPr>
  </w:style>
  <w:style w:type="character" w:customStyle="1" w:styleId="BodyTextChar">
    <w:name w:val="Body Text Char"/>
    <w:basedOn w:val="DefaultParagraphFont"/>
    <w:link w:val="BodyText"/>
    <w:uiPriority w:val="99"/>
    <w:rsid w:val="00C84FAB"/>
    <w:rPr>
      <w:rFonts w:eastAsiaTheme="minorEastAsia"/>
      <w:lang w:eastAsia="zh-CN"/>
    </w:rPr>
  </w:style>
  <w:style w:type="character" w:customStyle="1" w:styleId="Heading1Char">
    <w:name w:val="Heading 1 Char"/>
    <w:aliases w:val="Heading 1.I Char"/>
    <w:basedOn w:val="DefaultParagraphFont"/>
    <w:link w:val="Heading1"/>
    <w:uiPriority w:val="9"/>
    <w:rsid w:val="00C84FAB"/>
    <w:rPr>
      <w:rFonts w:asciiTheme="majorHAnsi" w:eastAsiaTheme="majorEastAsia" w:hAnsiTheme="majorHAnsi" w:cstheme="majorBidi"/>
      <w:color w:val="2F5496" w:themeColor="accent1" w:themeShade="BF"/>
      <w:sz w:val="32"/>
      <w:szCs w:val="32"/>
      <w:lang w:eastAsia="zh-CN"/>
    </w:rPr>
  </w:style>
  <w:style w:type="character" w:customStyle="1" w:styleId="Heading2Char">
    <w:name w:val="Heading 2 Char"/>
    <w:basedOn w:val="DefaultParagraphFont"/>
    <w:link w:val="Heading2"/>
    <w:uiPriority w:val="9"/>
    <w:rsid w:val="00C84FAB"/>
    <w:rPr>
      <w:rFonts w:asciiTheme="majorHAnsi" w:eastAsiaTheme="majorEastAsia" w:hAnsiTheme="majorHAnsi" w:cstheme="majorBidi"/>
      <w:color w:val="2F5496" w:themeColor="accent1" w:themeShade="BF"/>
      <w:sz w:val="26"/>
      <w:szCs w:val="26"/>
      <w:lang w:eastAsia="zh-CN"/>
    </w:rPr>
  </w:style>
  <w:style w:type="paragraph" w:styleId="BalloonText">
    <w:name w:val="Balloon Text"/>
    <w:basedOn w:val="Normal"/>
    <w:link w:val="BalloonTextChar"/>
    <w:uiPriority w:val="99"/>
    <w:semiHidden/>
    <w:unhideWhenUsed/>
    <w:rsid w:val="00C8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FAB"/>
    <w:rPr>
      <w:rFonts w:ascii="Segoe UI" w:eastAsiaTheme="minorEastAsia" w:hAnsi="Segoe UI" w:cs="Segoe UI"/>
      <w:sz w:val="18"/>
      <w:szCs w:val="18"/>
      <w:lang w:eastAsia="zh-CN"/>
    </w:rPr>
  </w:style>
  <w:style w:type="paragraph" w:styleId="TOCHeading">
    <w:name w:val="TOC Heading"/>
    <w:basedOn w:val="Heading1"/>
    <w:next w:val="Normal"/>
    <w:uiPriority w:val="39"/>
    <w:unhideWhenUsed/>
    <w:qFormat/>
    <w:rsid w:val="00C84FAB"/>
    <w:pPr>
      <w:spacing w:line="259" w:lineRule="auto"/>
      <w:outlineLvl w:val="9"/>
    </w:pPr>
    <w:rPr>
      <w:lang w:val="es-PY" w:eastAsia="es-PY"/>
    </w:rPr>
  </w:style>
  <w:style w:type="paragraph" w:styleId="TOC1">
    <w:name w:val="toc 1"/>
    <w:basedOn w:val="Normal"/>
    <w:next w:val="Normal"/>
    <w:autoRedefine/>
    <w:uiPriority w:val="39"/>
    <w:unhideWhenUsed/>
    <w:rsid w:val="00F46AE1"/>
    <w:pPr>
      <w:tabs>
        <w:tab w:val="left" w:pos="440"/>
        <w:tab w:val="right" w:leader="dot" w:pos="8270"/>
      </w:tabs>
      <w:spacing w:after="100"/>
    </w:pPr>
  </w:style>
  <w:style w:type="paragraph" w:styleId="TOC2">
    <w:name w:val="toc 2"/>
    <w:basedOn w:val="Normal"/>
    <w:next w:val="Normal"/>
    <w:autoRedefine/>
    <w:uiPriority w:val="39"/>
    <w:unhideWhenUsed/>
    <w:rsid w:val="00C84FAB"/>
    <w:pPr>
      <w:spacing w:after="100"/>
      <w:ind w:left="220"/>
    </w:pPr>
  </w:style>
  <w:style w:type="character" w:styleId="Hyperlink">
    <w:name w:val="Hyperlink"/>
    <w:basedOn w:val="DefaultParagraphFont"/>
    <w:uiPriority w:val="99"/>
    <w:unhideWhenUsed/>
    <w:rsid w:val="00C84FAB"/>
    <w:rPr>
      <w:color w:val="0563C1" w:themeColor="hyperlink"/>
      <w:u w:val="single"/>
    </w:rPr>
  </w:style>
  <w:style w:type="paragraph" w:styleId="FootnoteText">
    <w:name w:val="footnote text"/>
    <w:aliases w:val="single space,footnote text,fn,Texto nota pie IIRSA,foottextfra,Texto de rodapé,nota_rodapé,nota de rodapé,Texto de rodapé1,Texto de rodapé2,Texto de rodapé3,Texto de rodapé4,Texto de rodapé5,Texto de rodapé6,ft,Footnote,ADB,FOOTNOTES,F"/>
    <w:basedOn w:val="Normal"/>
    <w:link w:val="FootnoteTextChar"/>
    <w:uiPriority w:val="99"/>
    <w:qFormat/>
    <w:rsid w:val="007A4664"/>
    <w:pPr>
      <w:spacing w:after="0" w:line="240" w:lineRule="auto"/>
    </w:pPr>
    <w:rPr>
      <w:rFonts w:ascii="Times New Roman" w:eastAsia="Arial Unicode MS" w:hAnsi="Times New Roman" w:cs="Times New Roman"/>
      <w:sz w:val="20"/>
      <w:szCs w:val="20"/>
    </w:rPr>
  </w:style>
  <w:style w:type="character" w:customStyle="1" w:styleId="FootnoteTextChar">
    <w:name w:val="Footnote Text Char"/>
    <w:aliases w:val="single space Char,footnote text Char,fn Char,Texto nota pie IIRSA Char,foottextfra Char,Texto de rodapé Char,nota_rodapé Char,nota de rodapé Char,Texto de rodapé1 Char,Texto de rodapé2 Char,Texto de rodapé3 Char,Texto de rodapé4 Char"/>
    <w:basedOn w:val="DefaultParagraphFont"/>
    <w:link w:val="FootnoteText"/>
    <w:uiPriority w:val="99"/>
    <w:rsid w:val="007A4664"/>
    <w:rPr>
      <w:rFonts w:ascii="Times New Roman" w:eastAsia="Arial Unicode MS" w:hAnsi="Times New Roman" w:cs="Times New Roman"/>
      <w:sz w:val="20"/>
      <w:szCs w:val="20"/>
      <w:lang w:eastAsia="zh-CN"/>
    </w:rPr>
  </w:style>
  <w:style w:type="character" w:styleId="FootnoteReference">
    <w:name w:val="footnote reference"/>
    <w:aliases w:val="Ref. de nota al pie.,Footnote Referencefra,Referência de rodapé,ftref,FC,referencia nota al pie,titulo 2,Style 24,pie pddes,16 Point,Superscript 6 Point,(Ref. de nota al pie),Ref,de nota al pie,Ref. de nota al pie EDEP,BVI fnr,fr,FO"/>
    <w:basedOn w:val="DefaultParagraphFont"/>
    <w:link w:val="Char2"/>
    <w:uiPriority w:val="99"/>
    <w:qFormat/>
    <w:rsid w:val="007A4664"/>
    <w:rPr>
      <w:vertAlign w:val="superscript"/>
    </w:rPr>
  </w:style>
  <w:style w:type="paragraph" w:customStyle="1" w:styleId="Sinespaciado1">
    <w:name w:val="Sin espaciado1"/>
    <w:uiPriority w:val="1"/>
    <w:qFormat/>
    <w:rsid w:val="007A4664"/>
    <w:pPr>
      <w:spacing w:after="0" w:line="240" w:lineRule="auto"/>
    </w:pPr>
    <w:rPr>
      <w:rFonts w:ascii="Times New Roman" w:eastAsia="Times New Roman" w:hAnsi="Times New Roman" w:cs="Times New Roman"/>
      <w:sz w:val="24"/>
      <w:szCs w:val="24"/>
      <w:lang w:val="es-ES" w:eastAsia="es-ES"/>
    </w:rPr>
  </w:style>
  <w:style w:type="paragraph" w:customStyle="1" w:styleId="Prrafodelista1">
    <w:name w:val="Párrafo de lista1"/>
    <w:basedOn w:val="Normal"/>
    <w:rsid w:val="007A4664"/>
    <w:pPr>
      <w:ind w:left="720"/>
      <w:contextualSpacing/>
    </w:pPr>
    <w:rPr>
      <w:rFonts w:ascii="Calibri" w:eastAsia="Times New Roman" w:hAnsi="Calibri" w:cs="Times New Roman"/>
      <w:lang w:val="es-AR" w:eastAsia="en-US"/>
    </w:rPr>
  </w:style>
  <w:style w:type="paragraph" w:styleId="PlainText">
    <w:name w:val="Plain Text"/>
    <w:basedOn w:val="Normal"/>
    <w:link w:val="PlainTextChar"/>
    <w:uiPriority w:val="99"/>
    <w:unhideWhenUsed/>
    <w:rsid w:val="007A466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7A4664"/>
    <w:rPr>
      <w:rFonts w:ascii="Calibri" w:eastAsiaTheme="minorEastAsia" w:hAnsi="Calibri" w:cs="Consolas"/>
      <w:szCs w:val="21"/>
      <w:lang w:eastAsia="zh-CN"/>
    </w:rPr>
  </w:style>
  <w:style w:type="character" w:customStyle="1" w:styleId="longtext">
    <w:name w:val="long_text"/>
    <w:basedOn w:val="DefaultParagraphFont"/>
    <w:rsid w:val="00E9348F"/>
  </w:style>
  <w:style w:type="paragraph" w:customStyle="1" w:styleId="Chapter">
    <w:name w:val="Chapter"/>
    <w:basedOn w:val="Normal"/>
    <w:next w:val="Normal"/>
    <w:rsid w:val="00084D35"/>
    <w:pPr>
      <w:keepNext/>
      <w:numPr>
        <w:numId w:val="3"/>
      </w:numPr>
      <w:tabs>
        <w:tab w:val="left" w:pos="1440"/>
      </w:tabs>
      <w:spacing w:before="240" w:after="240" w:line="240" w:lineRule="auto"/>
      <w:jc w:val="center"/>
    </w:pPr>
    <w:rPr>
      <w:rFonts w:ascii="Times New Roman" w:eastAsia="Calibri" w:hAnsi="Times New Roman" w:cs="Times New Roman"/>
      <w:b/>
      <w:smallCaps/>
      <w:sz w:val="24"/>
      <w:lang w:val="es-ES_tradnl" w:eastAsia="en-US"/>
    </w:rPr>
  </w:style>
  <w:style w:type="paragraph" w:customStyle="1" w:styleId="Paragraph">
    <w:name w:val="Paragraph"/>
    <w:aliases w:val="paragraph,p,PARAGRAPH,PG,pa,at,paragraph+1"/>
    <w:basedOn w:val="BodyTextIndent"/>
    <w:link w:val="ParagraphChar"/>
    <w:qFormat/>
    <w:rsid w:val="00084D35"/>
    <w:pPr>
      <w:numPr>
        <w:ilvl w:val="1"/>
        <w:numId w:val="3"/>
      </w:numPr>
      <w:spacing w:before="120" w:line="240" w:lineRule="auto"/>
      <w:jc w:val="both"/>
      <w:outlineLvl w:val="1"/>
    </w:pPr>
    <w:rPr>
      <w:rFonts w:ascii="Times New Roman" w:eastAsia="Calibri" w:hAnsi="Times New Roman" w:cs="Times New Roman"/>
      <w:sz w:val="24"/>
      <w:lang w:val="es-ES_tradnl" w:eastAsia="en-US"/>
    </w:rPr>
  </w:style>
  <w:style w:type="paragraph" w:customStyle="1" w:styleId="subpar">
    <w:name w:val="subpar"/>
    <w:basedOn w:val="BodyTextIndent3"/>
    <w:link w:val="subparChar"/>
    <w:rsid w:val="00084D35"/>
    <w:pPr>
      <w:numPr>
        <w:ilvl w:val="2"/>
        <w:numId w:val="3"/>
      </w:numPr>
      <w:tabs>
        <w:tab w:val="clear" w:pos="2592"/>
        <w:tab w:val="num" w:pos="360"/>
      </w:tabs>
      <w:spacing w:before="120" w:line="240" w:lineRule="auto"/>
      <w:ind w:left="283" w:firstLine="0"/>
      <w:jc w:val="both"/>
      <w:outlineLvl w:val="2"/>
    </w:pPr>
    <w:rPr>
      <w:rFonts w:ascii="Times New Roman" w:eastAsia="Calibri" w:hAnsi="Times New Roman" w:cs="Times New Roman"/>
      <w:sz w:val="24"/>
      <w:lang w:val="es-ES_tradnl" w:eastAsia="en-US"/>
    </w:rPr>
  </w:style>
  <w:style w:type="character" w:customStyle="1" w:styleId="subparChar">
    <w:name w:val="subpar Char"/>
    <w:link w:val="subpar"/>
    <w:rsid w:val="00084D35"/>
    <w:rPr>
      <w:rFonts w:ascii="Times New Roman" w:eastAsia="Calibri" w:hAnsi="Times New Roman" w:cs="Times New Roman"/>
      <w:sz w:val="24"/>
      <w:szCs w:val="16"/>
      <w:lang w:val="es-ES_tradnl"/>
    </w:rPr>
  </w:style>
  <w:style w:type="paragraph" w:customStyle="1" w:styleId="SubSubPar">
    <w:name w:val="SubSubPar"/>
    <w:basedOn w:val="subpar"/>
    <w:rsid w:val="00084D35"/>
    <w:pPr>
      <w:numPr>
        <w:ilvl w:val="0"/>
        <w:numId w:val="0"/>
      </w:numPr>
      <w:tabs>
        <w:tab w:val="left" w:pos="0"/>
      </w:tabs>
    </w:pPr>
  </w:style>
  <w:style w:type="paragraph" w:styleId="BodyTextIndent">
    <w:name w:val="Body Text Indent"/>
    <w:basedOn w:val="Normal"/>
    <w:link w:val="BodyTextIndentChar"/>
    <w:uiPriority w:val="99"/>
    <w:semiHidden/>
    <w:unhideWhenUsed/>
    <w:rsid w:val="00084D35"/>
    <w:pPr>
      <w:spacing w:after="120"/>
      <w:ind w:left="283"/>
    </w:pPr>
  </w:style>
  <w:style w:type="character" w:customStyle="1" w:styleId="BodyTextIndentChar">
    <w:name w:val="Body Text Indent Char"/>
    <w:basedOn w:val="DefaultParagraphFont"/>
    <w:link w:val="BodyTextIndent"/>
    <w:uiPriority w:val="99"/>
    <w:semiHidden/>
    <w:rsid w:val="00084D35"/>
    <w:rPr>
      <w:rFonts w:eastAsiaTheme="minorEastAsia"/>
      <w:lang w:eastAsia="zh-CN"/>
    </w:rPr>
  </w:style>
  <w:style w:type="paragraph" w:styleId="BodyTextIndent3">
    <w:name w:val="Body Text Indent 3"/>
    <w:basedOn w:val="Normal"/>
    <w:link w:val="BodyTextIndent3Char"/>
    <w:uiPriority w:val="99"/>
    <w:semiHidden/>
    <w:unhideWhenUsed/>
    <w:rsid w:val="00084D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84D35"/>
    <w:rPr>
      <w:rFonts w:eastAsiaTheme="minorEastAsia"/>
      <w:sz w:val="16"/>
      <w:szCs w:val="16"/>
      <w:lang w:eastAsia="zh-CN"/>
    </w:rPr>
  </w:style>
  <w:style w:type="table" w:styleId="TableGrid">
    <w:name w:val="Table Grid"/>
    <w:basedOn w:val="TableNormal"/>
    <w:uiPriority w:val="59"/>
    <w:rsid w:val="00A60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Char">
    <w:name w:val="Paragraph Char"/>
    <w:aliases w:val="paragraph Char,p Char,PARAGRAPH Char,PG Char,pa Char,at Char"/>
    <w:link w:val="Paragraph"/>
    <w:rsid w:val="00B04DF6"/>
    <w:rPr>
      <w:rFonts w:ascii="Times New Roman" w:eastAsia="Calibri" w:hAnsi="Times New Roman" w:cs="Times New Roman"/>
      <w:sz w:val="24"/>
      <w:lang w:val="es-ES_tradnl"/>
    </w:rPr>
  </w:style>
  <w:style w:type="paragraph" w:styleId="Header">
    <w:name w:val="header"/>
    <w:basedOn w:val="Normal"/>
    <w:link w:val="HeaderChar"/>
    <w:uiPriority w:val="99"/>
    <w:unhideWhenUsed/>
    <w:rsid w:val="008838B4"/>
    <w:pPr>
      <w:tabs>
        <w:tab w:val="center" w:pos="4252"/>
        <w:tab w:val="right" w:pos="8504"/>
      </w:tabs>
      <w:spacing w:after="0" w:line="240" w:lineRule="auto"/>
    </w:pPr>
  </w:style>
  <w:style w:type="character" w:customStyle="1" w:styleId="HeaderChar">
    <w:name w:val="Header Char"/>
    <w:basedOn w:val="DefaultParagraphFont"/>
    <w:link w:val="Header"/>
    <w:uiPriority w:val="99"/>
    <w:rsid w:val="008838B4"/>
    <w:rPr>
      <w:rFonts w:eastAsiaTheme="minorEastAsia"/>
      <w:lang w:eastAsia="zh-CN"/>
    </w:rPr>
  </w:style>
  <w:style w:type="paragraph" w:styleId="Footer">
    <w:name w:val="footer"/>
    <w:basedOn w:val="Normal"/>
    <w:link w:val="FooterChar"/>
    <w:uiPriority w:val="99"/>
    <w:unhideWhenUsed/>
    <w:rsid w:val="008838B4"/>
    <w:pPr>
      <w:tabs>
        <w:tab w:val="center" w:pos="4252"/>
        <w:tab w:val="right" w:pos="8504"/>
      </w:tabs>
      <w:spacing w:after="0" w:line="240" w:lineRule="auto"/>
    </w:pPr>
  </w:style>
  <w:style w:type="character" w:customStyle="1" w:styleId="FooterChar">
    <w:name w:val="Footer Char"/>
    <w:basedOn w:val="DefaultParagraphFont"/>
    <w:link w:val="Footer"/>
    <w:uiPriority w:val="99"/>
    <w:rsid w:val="008838B4"/>
    <w:rPr>
      <w:rFonts w:eastAsiaTheme="minorEastAsia"/>
      <w:lang w:eastAsia="zh-CN"/>
    </w:rPr>
  </w:style>
  <w:style w:type="character" w:customStyle="1" w:styleId="Mention1">
    <w:name w:val="Mention1"/>
    <w:basedOn w:val="DefaultParagraphFont"/>
    <w:uiPriority w:val="99"/>
    <w:semiHidden/>
    <w:unhideWhenUsed/>
    <w:rsid w:val="009A4BB7"/>
    <w:rPr>
      <w:color w:val="2B579A"/>
      <w:shd w:val="clear" w:color="auto" w:fill="E6E6E6"/>
    </w:rPr>
  </w:style>
  <w:style w:type="character" w:customStyle="1" w:styleId="Ttulodelibro">
    <w:name w:val="Título de libro"/>
    <w:uiPriority w:val="33"/>
    <w:qFormat/>
    <w:rsid w:val="00273B92"/>
    <w:rPr>
      <w:b/>
      <w:bCs/>
      <w:smallCaps/>
      <w:spacing w:val="5"/>
    </w:rPr>
  </w:style>
  <w:style w:type="character" w:styleId="CommentReference">
    <w:name w:val="annotation reference"/>
    <w:basedOn w:val="DefaultParagraphFont"/>
    <w:uiPriority w:val="99"/>
    <w:unhideWhenUsed/>
    <w:rsid w:val="003208FC"/>
    <w:rPr>
      <w:sz w:val="18"/>
      <w:szCs w:val="18"/>
    </w:rPr>
  </w:style>
  <w:style w:type="paragraph" w:styleId="CommentText">
    <w:name w:val="annotation text"/>
    <w:basedOn w:val="Normal"/>
    <w:link w:val="CommentTextChar"/>
    <w:uiPriority w:val="99"/>
    <w:unhideWhenUsed/>
    <w:rsid w:val="003208FC"/>
    <w:pPr>
      <w:spacing w:line="240" w:lineRule="auto"/>
    </w:pPr>
    <w:rPr>
      <w:sz w:val="24"/>
      <w:szCs w:val="24"/>
    </w:rPr>
  </w:style>
  <w:style w:type="character" w:customStyle="1" w:styleId="CommentTextChar">
    <w:name w:val="Comment Text Char"/>
    <w:basedOn w:val="DefaultParagraphFont"/>
    <w:link w:val="CommentText"/>
    <w:uiPriority w:val="99"/>
    <w:rsid w:val="003208FC"/>
    <w:rPr>
      <w:rFonts w:eastAsiaTheme="minorEastAsia"/>
      <w:sz w:val="24"/>
      <w:szCs w:val="24"/>
      <w:lang w:eastAsia="zh-CN"/>
    </w:rPr>
  </w:style>
  <w:style w:type="paragraph" w:styleId="CommentSubject">
    <w:name w:val="annotation subject"/>
    <w:basedOn w:val="CommentText"/>
    <w:next w:val="CommentText"/>
    <w:link w:val="CommentSubjectChar"/>
    <w:uiPriority w:val="99"/>
    <w:semiHidden/>
    <w:unhideWhenUsed/>
    <w:rsid w:val="003208FC"/>
    <w:rPr>
      <w:b/>
      <w:bCs/>
      <w:sz w:val="20"/>
      <w:szCs w:val="20"/>
    </w:rPr>
  </w:style>
  <w:style w:type="character" w:customStyle="1" w:styleId="CommentSubjectChar">
    <w:name w:val="Comment Subject Char"/>
    <w:basedOn w:val="CommentTextChar"/>
    <w:link w:val="CommentSubject"/>
    <w:uiPriority w:val="99"/>
    <w:semiHidden/>
    <w:rsid w:val="003208FC"/>
    <w:rPr>
      <w:rFonts w:eastAsiaTheme="minorEastAsia"/>
      <w:b/>
      <w:bCs/>
      <w:sz w:val="20"/>
      <w:szCs w:val="20"/>
      <w:lang w:eastAsia="zh-CN"/>
    </w:rPr>
  </w:style>
  <w:style w:type="character" w:customStyle="1" w:styleId="Heading4Char">
    <w:name w:val="Heading 4 Char"/>
    <w:aliases w:val="Heading 4.a Char"/>
    <w:basedOn w:val="DefaultParagraphFont"/>
    <w:link w:val="Heading4"/>
    <w:rsid w:val="00671C37"/>
    <w:rPr>
      <w:rFonts w:ascii="Times New Roman Bold" w:eastAsia="Times New Roman" w:hAnsi="Times New Roman Bold" w:cs="Times New Roman"/>
      <w:b/>
      <w:noProof/>
      <w:sz w:val="24"/>
      <w:szCs w:val="20"/>
      <w:lang w:val="es-AR" w:eastAsia="es-AR"/>
    </w:rPr>
  </w:style>
  <w:style w:type="character" w:customStyle="1" w:styleId="Heading5Char">
    <w:name w:val="Heading 5 Char"/>
    <w:aliases w:val="Heading 5.(i) Char"/>
    <w:basedOn w:val="DefaultParagraphFont"/>
    <w:link w:val="Heading5"/>
    <w:rsid w:val="00671C37"/>
    <w:rPr>
      <w:rFonts w:ascii="Times New Roman Bold" w:eastAsia="Times New Roman" w:hAnsi="Times New Roman Bold" w:cs="Times New Roman"/>
      <w:b/>
      <w:noProof/>
      <w:sz w:val="24"/>
      <w:szCs w:val="20"/>
      <w:lang w:val="es-AR" w:eastAsia="es-AR"/>
    </w:rPr>
  </w:style>
  <w:style w:type="paragraph" w:customStyle="1" w:styleId="AutoNumpara">
    <w:name w:val="AutoNumpara"/>
    <w:basedOn w:val="BodyTextIndent"/>
    <w:rsid w:val="00671C37"/>
    <w:pPr>
      <w:tabs>
        <w:tab w:val="num" w:pos="720"/>
      </w:tabs>
      <w:spacing w:before="120" w:line="240" w:lineRule="auto"/>
      <w:ind w:left="720" w:hanging="720"/>
      <w:jc w:val="both"/>
    </w:pPr>
    <w:rPr>
      <w:rFonts w:ascii="Times New Roman" w:eastAsia="Times New Roman" w:hAnsi="Times New Roman" w:cs="Times New Roman"/>
      <w:noProof/>
      <w:spacing w:val="-2"/>
      <w:sz w:val="24"/>
      <w:szCs w:val="20"/>
      <w:lang w:val="es-ES_tradnl" w:eastAsia="en-US"/>
    </w:rPr>
  </w:style>
  <w:style w:type="character" w:styleId="FollowedHyperlink">
    <w:name w:val="FollowedHyperlink"/>
    <w:basedOn w:val="DefaultParagraphFont"/>
    <w:uiPriority w:val="99"/>
    <w:semiHidden/>
    <w:unhideWhenUsed/>
    <w:rsid w:val="00B07E27"/>
    <w:rPr>
      <w:color w:val="954F72" w:themeColor="followedHyperlink"/>
      <w:u w:val="single"/>
    </w:rPr>
  </w:style>
  <w:style w:type="paragraph" w:styleId="Revision">
    <w:name w:val="Revision"/>
    <w:hidden/>
    <w:uiPriority w:val="99"/>
    <w:semiHidden/>
    <w:rsid w:val="00692E95"/>
    <w:pPr>
      <w:spacing w:after="0" w:line="240" w:lineRule="auto"/>
    </w:pPr>
    <w:rPr>
      <w:rFonts w:eastAsiaTheme="minorEastAsia"/>
      <w:lang w:eastAsia="zh-CN"/>
    </w:rPr>
  </w:style>
  <w:style w:type="character" w:styleId="Mention">
    <w:name w:val="Mention"/>
    <w:basedOn w:val="DefaultParagraphFont"/>
    <w:uiPriority w:val="99"/>
    <w:semiHidden/>
    <w:unhideWhenUsed/>
    <w:rsid w:val="00EA1712"/>
    <w:rPr>
      <w:color w:val="2B579A"/>
      <w:shd w:val="clear" w:color="auto" w:fill="E6E6E6"/>
    </w:rPr>
  </w:style>
  <w:style w:type="paragraph" w:styleId="TOC3">
    <w:name w:val="toc 3"/>
    <w:basedOn w:val="Normal"/>
    <w:next w:val="Normal"/>
    <w:autoRedefine/>
    <w:uiPriority w:val="39"/>
    <w:unhideWhenUsed/>
    <w:rsid w:val="00E50AB3"/>
    <w:pPr>
      <w:spacing w:after="100" w:line="259" w:lineRule="auto"/>
      <w:ind w:left="440"/>
    </w:pPr>
    <w:rPr>
      <w:lang w:eastAsia="en-US"/>
    </w:rPr>
  </w:style>
  <w:style w:type="paragraph" w:styleId="TOC4">
    <w:name w:val="toc 4"/>
    <w:basedOn w:val="Normal"/>
    <w:next w:val="Normal"/>
    <w:autoRedefine/>
    <w:uiPriority w:val="39"/>
    <w:unhideWhenUsed/>
    <w:rsid w:val="00E50AB3"/>
    <w:pPr>
      <w:spacing w:after="100" w:line="259" w:lineRule="auto"/>
      <w:ind w:left="660"/>
    </w:pPr>
    <w:rPr>
      <w:lang w:eastAsia="en-US"/>
    </w:rPr>
  </w:style>
  <w:style w:type="paragraph" w:styleId="TOC5">
    <w:name w:val="toc 5"/>
    <w:basedOn w:val="Normal"/>
    <w:next w:val="Normal"/>
    <w:autoRedefine/>
    <w:uiPriority w:val="39"/>
    <w:unhideWhenUsed/>
    <w:rsid w:val="00E50AB3"/>
    <w:pPr>
      <w:spacing w:after="100" w:line="259" w:lineRule="auto"/>
      <w:ind w:left="880"/>
    </w:pPr>
    <w:rPr>
      <w:lang w:eastAsia="en-US"/>
    </w:rPr>
  </w:style>
  <w:style w:type="paragraph" w:styleId="TOC6">
    <w:name w:val="toc 6"/>
    <w:basedOn w:val="Normal"/>
    <w:next w:val="Normal"/>
    <w:autoRedefine/>
    <w:uiPriority w:val="39"/>
    <w:unhideWhenUsed/>
    <w:rsid w:val="00E50AB3"/>
    <w:pPr>
      <w:spacing w:after="100" w:line="259" w:lineRule="auto"/>
      <w:ind w:left="1100"/>
    </w:pPr>
    <w:rPr>
      <w:lang w:eastAsia="en-US"/>
    </w:rPr>
  </w:style>
  <w:style w:type="paragraph" w:styleId="TOC7">
    <w:name w:val="toc 7"/>
    <w:basedOn w:val="Normal"/>
    <w:next w:val="Normal"/>
    <w:autoRedefine/>
    <w:uiPriority w:val="39"/>
    <w:unhideWhenUsed/>
    <w:rsid w:val="00E50AB3"/>
    <w:pPr>
      <w:spacing w:after="100" w:line="259" w:lineRule="auto"/>
      <w:ind w:left="1320"/>
    </w:pPr>
    <w:rPr>
      <w:lang w:eastAsia="en-US"/>
    </w:rPr>
  </w:style>
  <w:style w:type="paragraph" w:styleId="TOC8">
    <w:name w:val="toc 8"/>
    <w:basedOn w:val="Normal"/>
    <w:next w:val="Normal"/>
    <w:autoRedefine/>
    <w:uiPriority w:val="39"/>
    <w:unhideWhenUsed/>
    <w:rsid w:val="00E50AB3"/>
    <w:pPr>
      <w:spacing w:after="100" w:line="259" w:lineRule="auto"/>
      <w:ind w:left="1540"/>
    </w:pPr>
    <w:rPr>
      <w:lang w:eastAsia="en-US"/>
    </w:rPr>
  </w:style>
  <w:style w:type="paragraph" w:styleId="TOC9">
    <w:name w:val="toc 9"/>
    <w:basedOn w:val="Normal"/>
    <w:next w:val="Normal"/>
    <w:autoRedefine/>
    <w:uiPriority w:val="39"/>
    <w:unhideWhenUsed/>
    <w:rsid w:val="00E50AB3"/>
    <w:pPr>
      <w:spacing w:after="100" w:line="259" w:lineRule="auto"/>
      <w:ind w:left="1760"/>
    </w:pPr>
    <w:rPr>
      <w:lang w:eastAsia="en-US"/>
    </w:rPr>
  </w:style>
  <w:style w:type="paragraph" w:customStyle="1" w:styleId="Newpage">
    <w:name w:val="Newpage"/>
    <w:basedOn w:val="Chapter"/>
    <w:rsid w:val="00C03C1C"/>
    <w:pPr>
      <w:numPr>
        <w:numId w:val="0"/>
      </w:numPr>
      <w:tabs>
        <w:tab w:val="clear" w:pos="1440"/>
        <w:tab w:val="left" w:pos="3060"/>
      </w:tabs>
      <w:spacing w:after="0"/>
    </w:pPr>
    <w:rPr>
      <w:rFonts w:eastAsia="Times New Roman"/>
      <w:szCs w:val="20"/>
      <w:lang w:val="es-ES"/>
    </w:rPr>
  </w:style>
  <w:style w:type="paragraph" w:customStyle="1" w:styleId="Default">
    <w:name w:val="Default"/>
    <w:rsid w:val="00B0177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0177B"/>
    <w:pPr>
      <w:spacing w:before="100" w:beforeAutospacing="1" w:after="100" w:afterAutospacing="1" w:line="240" w:lineRule="auto"/>
    </w:pPr>
    <w:rPr>
      <w:rFonts w:ascii="Times New Roman" w:eastAsia="Times New Roman" w:hAnsi="Times New Roman" w:cs="Times New Roman"/>
      <w:sz w:val="24"/>
      <w:szCs w:val="24"/>
      <w:lang w:val="es-PY" w:eastAsia="es-PY"/>
    </w:rPr>
  </w:style>
  <w:style w:type="character" w:customStyle="1" w:styleId="Heading6Char">
    <w:name w:val="Heading 6 Char"/>
    <w:basedOn w:val="DefaultParagraphFont"/>
    <w:link w:val="Heading6"/>
    <w:rsid w:val="003B27DF"/>
    <w:rPr>
      <w:rFonts w:ascii="Calibri" w:eastAsia="Times New Roman" w:hAnsi="Calibri" w:cs="Times New Roman"/>
      <w:b/>
      <w:bCs/>
      <w:lang w:val="x-none" w:eastAsia="x-none"/>
    </w:rPr>
  </w:style>
  <w:style w:type="character" w:customStyle="1" w:styleId="Heading7Char">
    <w:name w:val="Heading 7 Char"/>
    <w:basedOn w:val="DefaultParagraphFont"/>
    <w:link w:val="Heading7"/>
    <w:rsid w:val="003B27DF"/>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rsid w:val="003B27DF"/>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rsid w:val="003B27DF"/>
    <w:rPr>
      <w:rFonts w:ascii="Cambria" w:eastAsia="Times New Roman" w:hAnsi="Cambria" w:cs="Times New Roman"/>
      <w:lang w:val="x-none" w:eastAsia="x-none"/>
    </w:rPr>
  </w:style>
  <w:style w:type="paragraph" w:customStyle="1" w:styleId="FirstHeading">
    <w:name w:val="FirstHeading"/>
    <w:basedOn w:val="Normal"/>
    <w:next w:val="Normal"/>
    <w:link w:val="FirstHeadingChar"/>
    <w:rsid w:val="003B27DF"/>
    <w:pPr>
      <w:keepNext/>
      <w:tabs>
        <w:tab w:val="left" w:pos="0"/>
        <w:tab w:val="left" w:pos="86"/>
      </w:tabs>
      <w:spacing w:before="120" w:after="120" w:line="240" w:lineRule="auto"/>
      <w:ind w:left="720" w:hanging="720"/>
    </w:pPr>
    <w:rPr>
      <w:rFonts w:ascii="Arial" w:eastAsia="Calibri" w:hAnsi="Arial" w:cs="Arial"/>
      <w:b/>
      <w:sz w:val="24"/>
      <w:lang w:val="x-none" w:eastAsia="x-none"/>
    </w:rPr>
  </w:style>
  <w:style w:type="character" w:customStyle="1" w:styleId="FirstHeadingChar">
    <w:name w:val="FirstHeading Char"/>
    <w:link w:val="FirstHeading"/>
    <w:rsid w:val="003B27DF"/>
    <w:rPr>
      <w:rFonts w:ascii="Arial" w:eastAsia="Calibri" w:hAnsi="Arial" w:cs="Arial"/>
      <w:b/>
      <w:sz w:val="24"/>
      <w:lang w:val="x-none" w:eastAsia="x-none"/>
    </w:rPr>
  </w:style>
  <w:style w:type="paragraph" w:customStyle="1" w:styleId="SecHeading">
    <w:name w:val="SecHeading"/>
    <w:basedOn w:val="Normal"/>
    <w:next w:val="Paragraph"/>
    <w:rsid w:val="003B27DF"/>
    <w:pPr>
      <w:keepNext/>
      <w:tabs>
        <w:tab w:val="num" w:pos="1296"/>
      </w:tabs>
      <w:spacing w:before="120" w:after="120" w:line="240" w:lineRule="auto"/>
      <w:ind w:left="1296" w:hanging="576"/>
    </w:pPr>
    <w:rPr>
      <w:rFonts w:ascii="Arial" w:eastAsia="Calibri" w:hAnsi="Arial" w:cs="Arial"/>
      <w:b/>
      <w:sz w:val="24"/>
      <w:lang w:val="x-none" w:eastAsia="x-none"/>
    </w:rPr>
  </w:style>
  <w:style w:type="paragraph" w:customStyle="1" w:styleId="SubHeading1">
    <w:name w:val="SubHeading1"/>
    <w:basedOn w:val="SecHeading"/>
    <w:rsid w:val="003B27DF"/>
    <w:pPr>
      <w:tabs>
        <w:tab w:val="clear" w:pos="1296"/>
        <w:tab w:val="num" w:pos="1872"/>
      </w:tabs>
      <w:ind w:left="1872"/>
    </w:pPr>
  </w:style>
  <w:style w:type="paragraph" w:customStyle="1" w:styleId="Subheading2">
    <w:name w:val="Subheading2"/>
    <w:basedOn w:val="SecHeading"/>
    <w:rsid w:val="003B27DF"/>
    <w:pPr>
      <w:tabs>
        <w:tab w:val="clear" w:pos="1296"/>
        <w:tab w:val="num" w:pos="2376"/>
      </w:tabs>
      <w:ind w:left="2376" w:hanging="288"/>
    </w:pPr>
  </w:style>
  <w:style w:type="paragraph" w:styleId="HTMLPreformatted">
    <w:name w:val="HTML Preformatted"/>
    <w:basedOn w:val="Normal"/>
    <w:link w:val="HTMLPreformattedChar"/>
    <w:uiPriority w:val="99"/>
    <w:semiHidden/>
    <w:unhideWhenUsed/>
    <w:rsid w:val="00CE4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CE45C8"/>
    <w:rPr>
      <w:rFonts w:ascii="Courier New" w:eastAsia="Times New Roman" w:hAnsi="Courier New" w:cs="Courier New"/>
      <w:sz w:val="20"/>
      <w:szCs w:val="20"/>
    </w:rPr>
  </w:style>
  <w:style w:type="paragraph" w:customStyle="1" w:styleId="Sections">
    <w:name w:val="Sections"/>
    <w:link w:val="SectionsChar"/>
    <w:qFormat/>
    <w:rsid w:val="003860D0"/>
    <w:pPr>
      <w:numPr>
        <w:numId w:val="4"/>
      </w:numPr>
      <w:spacing w:after="0" w:line="240" w:lineRule="auto"/>
      <w:jc w:val="both"/>
    </w:pPr>
    <w:rPr>
      <w:rFonts w:ascii="Times New Roman" w:eastAsia="Calibri" w:hAnsi="Times New Roman" w:cs="Times New Roman"/>
      <w:b/>
    </w:rPr>
  </w:style>
  <w:style w:type="paragraph" w:customStyle="1" w:styleId="sub-sections">
    <w:name w:val="sub-sections"/>
    <w:qFormat/>
    <w:rsid w:val="003860D0"/>
    <w:pPr>
      <w:numPr>
        <w:ilvl w:val="1"/>
        <w:numId w:val="4"/>
      </w:numPr>
      <w:spacing w:after="0" w:line="240" w:lineRule="auto"/>
      <w:jc w:val="both"/>
    </w:pPr>
    <w:rPr>
      <w:rFonts w:ascii="Times New Roman" w:eastAsia="Calibri" w:hAnsi="Times New Roman" w:cs="Times New Roman"/>
      <w:b/>
    </w:rPr>
  </w:style>
  <w:style w:type="character" w:customStyle="1" w:styleId="SectionsChar">
    <w:name w:val="Sections Char"/>
    <w:link w:val="Sections"/>
    <w:rsid w:val="003860D0"/>
    <w:rPr>
      <w:rFonts w:ascii="Times New Roman" w:eastAsia="Calibri" w:hAnsi="Times New Roman" w:cs="Times New Roman"/>
      <w:b/>
    </w:rPr>
  </w:style>
  <w:style w:type="character" w:styleId="Strong">
    <w:name w:val="Strong"/>
    <w:basedOn w:val="DefaultParagraphFont"/>
    <w:uiPriority w:val="22"/>
    <w:qFormat/>
    <w:rsid w:val="003951CE"/>
    <w:rPr>
      <w:b/>
      <w:bCs/>
    </w:rPr>
  </w:style>
  <w:style w:type="character" w:customStyle="1" w:styleId="normaltextrun">
    <w:name w:val="normaltextrun"/>
    <w:basedOn w:val="DefaultParagraphFont"/>
    <w:rsid w:val="00FD05FE"/>
  </w:style>
  <w:style w:type="character" w:styleId="UnresolvedMention">
    <w:name w:val="Unresolved Mention"/>
    <w:basedOn w:val="DefaultParagraphFont"/>
    <w:uiPriority w:val="99"/>
    <w:semiHidden/>
    <w:unhideWhenUsed/>
    <w:rsid w:val="001D1BA0"/>
    <w:rPr>
      <w:color w:val="605E5C"/>
      <w:shd w:val="clear" w:color="auto" w:fill="E1DFDD"/>
    </w:rPr>
  </w:style>
  <w:style w:type="table" w:customStyle="1" w:styleId="Sombreadoclaro-nfasis12">
    <w:name w:val="Sombreado claro - Énfasis 12"/>
    <w:basedOn w:val="TableNormal"/>
    <w:uiPriority w:val="60"/>
    <w:rsid w:val="004B3DD7"/>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Vieta">
    <w:name w:val="Viñeta"/>
    <w:basedOn w:val="Paragraph"/>
    <w:link w:val="VietaCar"/>
    <w:qFormat/>
    <w:rsid w:val="004B3DD7"/>
    <w:pPr>
      <w:numPr>
        <w:numId w:val="26"/>
      </w:numPr>
      <w:spacing w:before="0" w:after="0" w:line="480" w:lineRule="auto"/>
    </w:pPr>
    <w:rPr>
      <w:rFonts w:eastAsia="Times New Roman"/>
      <w:kern w:val="28"/>
      <w:szCs w:val="20"/>
      <w:lang w:val="es-ES"/>
    </w:rPr>
  </w:style>
  <w:style w:type="character" w:customStyle="1" w:styleId="VietaCar">
    <w:name w:val="Viñeta Car"/>
    <w:basedOn w:val="ParagraphChar"/>
    <w:link w:val="Vieta"/>
    <w:rsid w:val="004B3DD7"/>
    <w:rPr>
      <w:rFonts w:ascii="Times New Roman" w:eastAsia="Times New Roman" w:hAnsi="Times New Roman" w:cs="Times New Roman"/>
      <w:kern w:val="28"/>
      <w:sz w:val="24"/>
      <w:szCs w:val="20"/>
      <w:lang w:val="es-ES"/>
    </w:rPr>
  </w:style>
  <w:style w:type="table" w:customStyle="1" w:styleId="NoteLevel31">
    <w:name w:val="Note Level 31"/>
    <w:basedOn w:val="TableNormal"/>
    <w:uiPriority w:val="60"/>
    <w:rsid w:val="00A27FF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har2">
    <w:name w:val="Char2"/>
    <w:basedOn w:val="Normal"/>
    <w:link w:val="FootnoteReference"/>
    <w:uiPriority w:val="99"/>
    <w:pPr>
      <w:spacing w:before="120" w:after="160" w:line="240" w:lineRule="exact"/>
      <w:jc w:val="both"/>
    </w:pPr>
    <w:rPr>
      <w:rFonts w:eastAsiaTheme="minorHAnsi"/>
      <w:vertAlign w:val="superscript"/>
      <w:lang w:eastAsia="en-US"/>
    </w:rPr>
  </w:style>
  <w:style w:type="character" w:customStyle="1" w:styleId="ColorfulList-Accent1Char">
    <w:name w:val="Colorful List - Accent 1 Char"/>
    <w:link w:val="ColorfulList-Accent11"/>
    <w:uiPriority w:val="34"/>
    <w:rsid w:val="007943B3"/>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60524">
      <w:bodyDiv w:val="1"/>
      <w:marLeft w:val="0"/>
      <w:marRight w:val="0"/>
      <w:marTop w:val="0"/>
      <w:marBottom w:val="0"/>
      <w:divBdr>
        <w:top w:val="none" w:sz="0" w:space="0" w:color="auto"/>
        <w:left w:val="none" w:sz="0" w:space="0" w:color="auto"/>
        <w:bottom w:val="none" w:sz="0" w:space="0" w:color="auto"/>
        <w:right w:val="none" w:sz="0" w:space="0" w:color="auto"/>
      </w:divBdr>
      <w:divsChild>
        <w:div w:id="1100680687">
          <w:marLeft w:val="547"/>
          <w:marRight w:val="0"/>
          <w:marTop w:val="0"/>
          <w:marBottom w:val="0"/>
          <w:divBdr>
            <w:top w:val="none" w:sz="0" w:space="0" w:color="auto"/>
            <w:left w:val="none" w:sz="0" w:space="0" w:color="auto"/>
            <w:bottom w:val="none" w:sz="0" w:space="0" w:color="auto"/>
            <w:right w:val="none" w:sz="0" w:space="0" w:color="auto"/>
          </w:divBdr>
        </w:div>
      </w:divsChild>
    </w:div>
    <w:div w:id="164592187">
      <w:bodyDiv w:val="1"/>
      <w:marLeft w:val="0"/>
      <w:marRight w:val="0"/>
      <w:marTop w:val="0"/>
      <w:marBottom w:val="0"/>
      <w:divBdr>
        <w:top w:val="none" w:sz="0" w:space="0" w:color="auto"/>
        <w:left w:val="none" w:sz="0" w:space="0" w:color="auto"/>
        <w:bottom w:val="none" w:sz="0" w:space="0" w:color="auto"/>
        <w:right w:val="none" w:sz="0" w:space="0" w:color="auto"/>
      </w:divBdr>
    </w:div>
    <w:div w:id="274485160">
      <w:bodyDiv w:val="1"/>
      <w:marLeft w:val="0"/>
      <w:marRight w:val="0"/>
      <w:marTop w:val="0"/>
      <w:marBottom w:val="0"/>
      <w:divBdr>
        <w:top w:val="none" w:sz="0" w:space="0" w:color="auto"/>
        <w:left w:val="none" w:sz="0" w:space="0" w:color="auto"/>
        <w:bottom w:val="none" w:sz="0" w:space="0" w:color="auto"/>
        <w:right w:val="none" w:sz="0" w:space="0" w:color="auto"/>
      </w:divBdr>
      <w:divsChild>
        <w:div w:id="1859807466">
          <w:marLeft w:val="547"/>
          <w:marRight w:val="0"/>
          <w:marTop w:val="0"/>
          <w:marBottom w:val="0"/>
          <w:divBdr>
            <w:top w:val="none" w:sz="0" w:space="0" w:color="auto"/>
            <w:left w:val="none" w:sz="0" w:space="0" w:color="auto"/>
            <w:bottom w:val="none" w:sz="0" w:space="0" w:color="auto"/>
            <w:right w:val="none" w:sz="0" w:space="0" w:color="auto"/>
          </w:divBdr>
        </w:div>
      </w:divsChild>
    </w:div>
    <w:div w:id="303317850">
      <w:bodyDiv w:val="1"/>
      <w:marLeft w:val="0"/>
      <w:marRight w:val="0"/>
      <w:marTop w:val="0"/>
      <w:marBottom w:val="0"/>
      <w:divBdr>
        <w:top w:val="none" w:sz="0" w:space="0" w:color="auto"/>
        <w:left w:val="none" w:sz="0" w:space="0" w:color="auto"/>
        <w:bottom w:val="none" w:sz="0" w:space="0" w:color="auto"/>
        <w:right w:val="none" w:sz="0" w:space="0" w:color="auto"/>
      </w:divBdr>
    </w:div>
    <w:div w:id="412553807">
      <w:bodyDiv w:val="1"/>
      <w:marLeft w:val="0"/>
      <w:marRight w:val="0"/>
      <w:marTop w:val="0"/>
      <w:marBottom w:val="0"/>
      <w:divBdr>
        <w:top w:val="none" w:sz="0" w:space="0" w:color="auto"/>
        <w:left w:val="none" w:sz="0" w:space="0" w:color="auto"/>
        <w:bottom w:val="none" w:sz="0" w:space="0" w:color="auto"/>
        <w:right w:val="none" w:sz="0" w:space="0" w:color="auto"/>
      </w:divBdr>
    </w:div>
    <w:div w:id="655765326">
      <w:bodyDiv w:val="1"/>
      <w:marLeft w:val="0"/>
      <w:marRight w:val="0"/>
      <w:marTop w:val="0"/>
      <w:marBottom w:val="0"/>
      <w:divBdr>
        <w:top w:val="none" w:sz="0" w:space="0" w:color="auto"/>
        <w:left w:val="none" w:sz="0" w:space="0" w:color="auto"/>
        <w:bottom w:val="none" w:sz="0" w:space="0" w:color="auto"/>
        <w:right w:val="none" w:sz="0" w:space="0" w:color="auto"/>
      </w:divBdr>
    </w:div>
    <w:div w:id="741870871">
      <w:bodyDiv w:val="1"/>
      <w:marLeft w:val="0"/>
      <w:marRight w:val="0"/>
      <w:marTop w:val="0"/>
      <w:marBottom w:val="0"/>
      <w:divBdr>
        <w:top w:val="none" w:sz="0" w:space="0" w:color="auto"/>
        <w:left w:val="none" w:sz="0" w:space="0" w:color="auto"/>
        <w:bottom w:val="none" w:sz="0" w:space="0" w:color="auto"/>
        <w:right w:val="none" w:sz="0" w:space="0" w:color="auto"/>
      </w:divBdr>
    </w:div>
    <w:div w:id="787309824">
      <w:bodyDiv w:val="1"/>
      <w:marLeft w:val="0"/>
      <w:marRight w:val="0"/>
      <w:marTop w:val="0"/>
      <w:marBottom w:val="0"/>
      <w:divBdr>
        <w:top w:val="none" w:sz="0" w:space="0" w:color="auto"/>
        <w:left w:val="none" w:sz="0" w:space="0" w:color="auto"/>
        <w:bottom w:val="none" w:sz="0" w:space="0" w:color="auto"/>
        <w:right w:val="none" w:sz="0" w:space="0" w:color="auto"/>
      </w:divBdr>
    </w:div>
    <w:div w:id="798760474">
      <w:bodyDiv w:val="1"/>
      <w:marLeft w:val="0"/>
      <w:marRight w:val="0"/>
      <w:marTop w:val="0"/>
      <w:marBottom w:val="0"/>
      <w:divBdr>
        <w:top w:val="none" w:sz="0" w:space="0" w:color="auto"/>
        <w:left w:val="none" w:sz="0" w:space="0" w:color="auto"/>
        <w:bottom w:val="none" w:sz="0" w:space="0" w:color="auto"/>
        <w:right w:val="none" w:sz="0" w:space="0" w:color="auto"/>
      </w:divBdr>
      <w:divsChild>
        <w:div w:id="425229203">
          <w:marLeft w:val="360"/>
          <w:marRight w:val="0"/>
          <w:marTop w:val="200"/>
          <w:marBottom w:val="0"/>
          <w:divBdr>
            <w:top w:val="none" w:sz="0" w:space="0" w:color="auto"/>
            <w:left w:val="none" w:sz="0" w:space="0" w:color="auto"/>
            <w:bottom w:val="none" w:sz="0" w:space="0" w:color="auto"/>
            <w:right w:val="none" w:sz="0" w:space="0" w:color="auto"/>
          </w:divBdr>
        </w:div>
        <w:div w:id="582380332">
          <w:marLeft w:val="360"/>
          <w:marRight w:val="0"/>
          <w:marTop w:val="200"/>
          <w:marBottom w:val="0"/>
          <w:divBdr>
            <w:top w:val="none" w:sz="0" w:space="0" w:color="auto"/>
            <w:left w:val="none" w:sz="0" w:space="0" w:color="auto"/>
            <w:bottom w:val="none" w:sz="0" w:space="0" w:color="auto"/>
            <w:right w:val="none" w:sz="0" w:space="0" w:color="auto"/>
          </w:divBdr>
        </w:div>
        <w:div w:id="1365863115">
          <w:marLeft w:val="360"/>
          <w:marRight w:val="0"/>
          <w:marTop w:val="200"/>
          <w:marBottom w:val="0"/>
          <w:divBdr>
            <w:top w:val="none" w:sz="0" w:space="0" w:color="auto"/>
            <w:left w:val="none" w:sz="0" w:space="0" w:color="auto"/>
            <w:bottom w:val="none" w:sz="0" w:space="0" w:color="auto"/>
            <w:right w:val="none" w:sz="0" w:space="0" w:color="auto"/>
          </w:divBdr>
        </w:div>
        <w:div w:id="1545747918">
          <w:marLeft w:val="360"/>
          <w:marRight w:val="0"/>
          <w:marTop w:val="200"/>
          <w:marBottom w:val="0"/>
          <w:divBdr>
            <w:top w:val="none" w:sz="0" w:space="0" w:color="auto"/>
            <w:left w:val="none" w:sz="0" w:space="0" w:color="auto"/>
            <w:bottom w:val="none" w:sz="0" w:space="0" w:color="auto"/>
            <w:right w:val="none" w:sz="0" w:space="0" w:color="auto"/>
          </w:divBdr>
        </w:div>
        <w:div w:id="1560021668">
          <w:marLeft w:val="360"/>
          <w:marRight w:val="0"/>
          <w:marTop w:val="200"/>
          <w:marBottom w:val="0"/>
          <w:divBdr>
            <w:top w:val="none" w:sz="0" w:space="0" w:color="auto"/>
            <w:left w:val="none" w:sz="0" w:space="0" w:color="auto"/>
            <w:bottom w:val="none" w:sz="0" w:space="0" w:color="auto"/>
            <w:right w:val="none" w:sz="0" w:space="0" w:color="auto"/>
          </w:divBdr>
        </w:div>
        <w:div w:id="1825008910">
          <w:marLeft w:val="360"/>
          <w:marRight w:val="0"/>
          <w:marTop w:val="200"/>
          <w:marBottom w:val="0"/>
          <w:divBdr>
            <w:top w:val="none" w:sz="0" w:space="0" w:color="auto"/>
            <w:left w:val="none" w:sz="0" w:space="0" w:color="auto"/>
            <w:bottom w:val="none" w:sz="0" w:space="0" w:color="auto"/>
            <w:right w:val="none" w:sz="0" w:space="0" w:color="auto"/>
          </w:divBdr>
        </w:div>
        <w:div w:id="2081368905">
          <w:marLeft w:val="360"/>
          <w:marRight w:val="0"/>
          <w:marTop w:val="200"/>
          <w:marBottom w:val="0"/>
          <w:divBdr>
            <w:top w:val="none" w:sz="0" w:space="0" w:color="auto"/>
            <w:left w:val="none" w:sz="0" w:space="0" w:color="auto"/>
            <w:bottom w:val="none" w:sz="0" w:space="0" w:color="auto"/>
            <w:right w:val="none" w:sz="0" w:space="0" w:color="auto"/>
          </w:divBdr>
        </w:div>
      </w:divsChild>
    </w:div>
    <w:div w:id="1122772235">
      <w:bodyDiv w:val="1"/>
      <w:marLeft w:val="0"/>
      <w:marRight w:val="0"/>
      <w:marTop w:val="0"/>
      <w:marBottom w:val="0"/>
      <w:divBdr>
        <w:top w:val="none" w:sz="0" w:space="0" w:color="auto"/>
        <w:left w:val="none" w:sz="0" w:space="0" w:color="auto"/>
        <w:bottom w:val="none" w:sz="0" w:space="0" w:color="auto"/>
        <w:right w:val="none" w:sz="0" w:space="0" w:color="auto"/>
      </w:divBdr>
      <w:divsChild>
        <w:div w:id="722413142">
          <w:marLeft w:val="806"/>
          <w:marRight w:val="0"/>
          <w:marTop w:val="200"/>
          <w:marBottom w:val="0"/>
          <w:divBdr>
            <w:top w:val="none" w:sz="0" w:space="0" w:color="auto"/>
            <w:left w:val="none" w:sz="0" w:space="0" w:color="auto"/>
            <w:bottom w:val="none" w:sz="0" w:space="0" w:color="auto"/>
            <w:right w:val="none" w:sz="0" w:space="0" w:color="auto"/>
          </w:divBdr>
        </w:div>
      </w:divsChild>
    </w:div>
    <w:div w:id="1198616656">
      <w:bodyDiv w:val="1"/>
      <w:marLeft w:val="0"/>
      <w:marRight w:val="0"/>
      <w:marTop w:val="0"/>
      <w:marBottom w:val="0"/>
      <w:divBdr>
        <w:top w:val="none" w:sz="0" w:space="0" w:color="auto"/>
        <w:left w:val="none" w:sz="0" w:space="0" w:color="auto"/>
        <w:bottom w:val="none" w:sz="0" w:space="0" w:color="auto"/>
        <w:right w:val="none" w:sz="0" w:space="0" w:color="auto"/>
      </w:divBdr>
    </w:div>
    <w:div w:id="1514804650">
      <w:bodyDiv w:val="1"/>
      <w:marLeft w:val="0"/>
      <w:marRight w:val="0"/>
      <w:marTop w:val="0"/>
      <w:marBottom w:val="0"/>
      <w:divBdr>
        <w:top w:val="none" w:sz="0" w:space="0" w:color="auto"/>
        <w:left w:val="none" w:sz="0" w:space="0" w:color="auto"/>
        <w:bottom w:val="none" w:sz="0" w:space="0" w:color="auto"/>
        <w:right w:val="none" w:sz="0" w:space="0" w:color="auto"/>
      </w:divBdr>
    </w:div>
    <w:div w:id="1736665488">
      <w:bodyDiv w:val="1"/>
      <w:marLeft w:val="0"/>
      <w:marRight w:val="0"/>
      <w:marTop w:val="0"/>
      <w:marBottom w:val="0"/>
      <w:divBdr>
        <w:top w:val="none" w:sz="0" w:space="0" w:color="auto"/>
        <w:left w:val="none" w:sz="0" w:space="0" w:color="auto"/>
        <w:bottom w:val="none" w:sz="0" w:space="0" w:color="auto"/>
        <w:right w:val="none" w:sz="0" w:space="0" w:color="auto"/>
      </w:divBdr>
      <w:divsChild>
        <w:div w:id="269361624">
          <w:marLeft w:val="547"/>
          <w:marRight w:val="0"/>
          <w:marTop w:val="0"/>
          <w:marBottom w:val="0"/>
          <w:divBdr>
            <w:top w:val="none" w:sz="0" w:space="0" w:color="auto"/>
            <w:left w:val="none" w:sz="0" w:space="0" w:color="auto"/>
            <w:bottom w:val="none" w:sz="0" w:space="0" w:color="auto"/>
            <w:right w:val="none" w:sz="0" w:space="0" w:color="auto"/>
          </w:divBdr>
        </w:div>
      </w:divsChild>
    </w:div>
    <w:div w:id="1764379527">
      <w:bodyDiv w:val="1"/>
      <w:marLeft w:val="0"/>
      <w:marRight w:val="0"/>
      <w:marTop w:val="0"/>
      <w:marBottom w:val="0"/>
      <w:divBdr>
        <w:top w:val="none" w:sz="0" w:space="0" w:color="auto"/>
        <w:left w:val="none" w:sz="0" w:space="0" w:color="auto"/>
        <w:bottom w:val="none" w:sz="0" w:space="0" w:color="auto"/>
        <w:right w:val="none" w:sz="0" w:space="0" w:color="auto"/>
      </w:divBdr>
    </w:div>
    <w:div w:id="1879775139">
      <w:bodyDiv w:val="1"/>
      <w:marLeft w:val="0"/>
      <w:marRight w:val="0"/>
      <w:marTop w:val="0"/>
      <w:marBottom w:val="0"/>
      <w:divBdr>
        <w:top w:val="none" w:sz="0" w:space="0" w:color="auto"/>
        <w:left w:val="none" w:sz="0" w:space="0" w:color="auto"/>
        <w:bottom w:val="none" w:sz="0" w:space="0" w:color="auto"/>
        <w:right w:val="none" w:sz="0" w:space="0" w:color="auto"/>
      </w:divBdr>
      <w:divsChild>
        <w:div w:id="490482687">
          <w:marLeft w:val="547"/>
          <w:marRight w:val="0"/>
          <w:marTop w:val="0"/>
          <w:marBottom w:val="0"/>
          <w:divBdr>
            <w:top w:val="none" w:sz="0" w:space="0" w:color="auto"/>
            <w:left w:val="none" w:sz="0" w:space="0" w:color="auto"/>
            <w:bottom w:val="none" w:sz="0" w:space="0" w:color="auto"/>
            <w:right w:val="none" w:sz="0" w:space="0" w:color="auto"/>
          </w:divBdr>
        </w:div>
      </w:divsChild>
    </w:div>
    <w:div w:id="1901164597">
      <w:bodyDiv w:val="1"/>
      <w:marLeft w:val="0"/>
      <w:marRight w:val="0"/>
      <w:marTop w:val="0"/>
      <w:marBottom w:val="0"/>
      <w:divBdr>
        <w:top w:val="none" w:sz="0" w:space="0" w:color="auto"/>
        <w:left w:val="none" w:sz="0" w:space="0" w:color="auto"/>
        <w:bottom w:val="none" w:sz="0" w:space="0" w:color="auto"/>
        <w:right w:val="none" w:sz="0" w:space="0" w:color="auto"/>
      </w:divBdr>
      <w:divsChild>
        <w:div w:id="19513525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3.weforum.org/docs/GCR2018/05FullReport/TheGlobalCompetitivenessReport2018.pdf" TargetMode="External"/><Relationship Id="rId3" Type="http://schemas.openxmlformats.org/officeDocument/2006/relationships/customXml" Target="../customXml/item3.xml"/><Relationship Id="rId21" Type="http://schemas.openxmlformats.org/officeDocument/2006/relationships/customXml" Target="../customXml/item9.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idbdocs.iadb.org/wsdocs/getDocument.aspx?DOCNUM=EZSHARE-572666339-26" TargetMode="External"/><Relationship Id="rId2" Type="http://schemas.openxmlformats.org/officeDocument/2006/relationships/customXml" Target="../customXml/item2.xml"/><Relationship Id="rId16" Type="http://schemas.openxmlformats.org/officeDocument/2006/relationships/hyperlink" Target="file:///C:/Users/mauriciogar/AppData/Local/Microsoft/Windows/INetCache/Content.Outlook/9BEO7U0Y/La%20consulta%20p&#250;blica%20es%20una%20de%20las%20principales%20herramientas%20que%20los%20pa&#237;ses%20miembros%20de%20la%20OCDE%20utilizan%20para%20dar%20trans-parencia%20al%20proceso%20de%20elabo-raci&#243;n%20de%20regulaciones" TargetMode="External"/><Relationship Id="rId20" Type="http://schemas.openxmlformats.org/officeDocument/2006/relationships/theme" Target="theme/theme1.xml"/><Relationship Id="rId11" Type="http://schemas.openxmlformats.org/officeDocument/2006/relationships/webSettings" Target="webSettings.xml"/><Relationship Id="rId6" Type="http://schemas.openxmlformats.org/officeDocument/2006/relationships/customXml" Target="../customXml/item6.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expreso.ec/economia/economia-empresas-superintendencia-liquidacion-guayas-BK2639939" TargetMode="External"/><Relationship Id="rId1" Type="http://schemas.openxmlformats.org/officeDocument/2006/relationships/hyperlink" Target="https://lahora.com.ec/quito/noticia/1102237174/casi-el-60_-de-las-empresas-registradas-en-la-superintendencia-de-companias-estan-inactivas-y-no-presentan-balanc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ez-Operations" ma:contentTypeID="0x010100ACF722E9F6B0B149B0CD8BE2560A667200F377E2C784629641A1E5FC06B29117EC" ma:contentTypeVersion="3020" ma:contentTypeDescription="The base project type from which other project content types inherit their information." ma:contentTypeScope="" ma:versionID="27e238a3fedcb5729554920fa2583629">
  <xsd:schema xmlns:xsd="http://www.w3.org/2001/XMLSchema" xmlns:xs="http://www.w3.org/2001/XMLSchema" xmlns:p="http://schemas.microsoft.com/office/2006/metadata/properties" xmlns:ns2="cdc7663a-08f0-4737-9e8c-148ce897a09c" targetNamespace="http://schemas.microsoft.com/office/2006/metadata/properties" ma:root="true" ma:fieldsID="58f651783cfe384d70c92a095132f2cc"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EC</TermName>
          <TermId xmlns="http://schemas.microsoft.com/office/infopath/2007/PartnerControls">8f163189-00fa-4e7c-827d-28fb5798781c</TermId>
        </TermInfo>
      </Terms>
    </ic46d7e087fd4a108fb86518ca413cc6>
    <IDBDocs_x0020_Number xmlns="cdc7663a-08f0-4737-9e8c-148ce897a09c" xsi:nil="true"/>
    <Division_x0020_or_x0020_Unit xmlns="cdc7663a-08f0-4737-9e8c-148ce897a09c">IFD/ICS</Division_x0020_or_x0020_Unit>
    <Fiscal_x0020_Year_x0020_IDB xmlns="cdc7663a-08f0-4737-9e8c-148ce897a09c">2019</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Mahfouz, Giovanna L.</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RM-PUB</TermName>
          <TermId xmlns="http://schemas.microsoft.com/office/infopath/2007/PartnerControls">6679f56e-8b55-402b-90a0-8fe4c41c00ba</TermId>
        </TermInfo>
      </Terms>
    </b2ec7cfb18674cb8803df6b262e8b107>
    <Business_x0020_Area xmlns="cdc7663a-08f0-4737-9e8c-148ce897a09c" xsi:nil="true"/>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Related_x0020_SisCor_x0020_Number xmlns="cdc7663a-08f0-4737-9e8c-148ce897a09c" xsi:nil="true"/>
    <TaxCatchAll xmlns="cdc7663a-08f0-4737-9e8c-148ce897a09c">
      <Value>46</Value>
      <Value>45</Value>
      <Value>30</Value>
      <Value>1</Value>
      <Value>32</Value>
    </TaxCatchAll>
    <Operation_x0020_Type xmlns="cdc7663a-08f0-4737-9e8c-148ce897a09c">LON</Operation_x0020_Type>
    <Package_x0020_Code xmlns="cdc7663a-08f0-4737-9e8c-148ce897a09c" xsi:nil="true"/>
    <Identifier xmlns="cdc7663a-08f0-4737-9e8c-148ce897a09c" xsi:nil="true"/>
    <Project_x0020_Number xmlns="cdc7663a-08f0-4737-9e8c-148ce897a09c">EC-L1250</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RM</TermName>
          <TermId xmlns="http://schemas.microsoft.com/office/infopath/2007/PartnerControls">c8fda4a7-691a-4c65-b227-9825197b5cd2</TermId>
        </TermInfo>
      </Terms>
    </nddeef1749674d76abdbe4b239a70bc6>
    <Record_x0020_Number xmlns="cdc7663a-08f0-4737-9e8c-148ce897a09c" xsi:nil="true"/>
    <_dlc_DocId xmlns="cdc7663a-08f0-4737-9e8c-148ce897a09c">EZSHARE-572666339-31</_dlc_DocId>
    <_dlc_DocIdUrl xmlns="cdc7663a-08f0-4737-9e8c-148ce897a09c">
      <Url>https://idbg.sharepoint.com/teams/EZ-EC-LON/EC-L1250/_layouts/15/DocIdRedir.aspx?ID=EZSHARE-572666339-31</Url>
      <Description>EZSHARE-572666339-31</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2E33AE3169F5B84381602D320376D788" ma:contentTypeVersion="3030" ma:contentTypeDescription="A content type to manage public (operations) IDB documents" ma:contentTypeScope="" ma:versionID="fa51d3967d6b97ae3cabec9762d32b1c">
  <xsd:schema xmlns:xsd="http://www.w3.org/2001/XMLSchema" xmlns:xs="http://www.w3.org/2001/XMLSchema" xmlns:p="http://schemas.microsoft.com/office/2006/metadata/properties" xmlns:ns2="cdc7663a-08f0-4737-9e8c-148ce897a09c" targetNamespace="http://schemas.microsoft.com/office/2006/metadata/properties" ma:root="true" ma:fieldsID="9d6c7bf6aa4c0f55b5fc02b7f099a77c"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ae61f9b1-e23d-4f49-b3d7-56b991556c4b" ContentTypeId="0x010100ACF722E9F6B0B149B0CD8BE2560A667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mso-contentType ?>
<FormUrls xmlns="http://schemas.microsoft.com/sharepoint/v3/contenttype/forms/url">
  <Display>_catalogs/masterpage/ECMForms/OperationsCT/View.aspx</Display>
  <Edit>_catalogs/masterpage/ECMForms/OperationsCT/Edit.aspx</Edit>
</FormUrls>
</file>

<file path=customXml/item9.xml><?xml version="1.0" encoding="utf-8"?>
<?mso-contentType ?>
<SharedContentType xmlns="Microsoft.SharePoint.Taxonomy.ContentTypeSync" SourceId="ae61f9b1-e23d-4f49-b3d7-56b991556c4b" ContentTypeId="0x0101001A458A224826124E8B45B1D613300CFC" PreviousValue="false"/>
</file>

<file path=customXml/itemProps1.xml><?xml version="1.0" encoding="utf-8"?>
<ds:datastoreItem xmlns:ds="http://schemas.openxmlformats.org/officeDocument/2006/customXml" ds:itemID="{58040A1E-BB7B-4FA6-9C16-9B7666EA4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8E9569-F49D-4141-9FA4-AC2AB6463985}">
  <ds:schemaRefs>
    <ds:schemaRef ds:uri="http://schemas.microsoft.com/office/2006/metadata/properties"/>
    <ds:schemaRef ds:uri="http://schemas.microsoft.com/office/infopath/2007/PartnerControls"/>
    <ds:schemaRef ds:uri="cdc7663a-08f0-4737-9e8c-148ce897a09c"/>
  </ds:schemaRefs>
</ds:datastoreItem>
</file>

<file path=customXml/itemProps3.xml><?xml version="1.0" encoding="utf-8"?>
<ds:datastoreItem xmlns:ds="http://schemas.openxmlformats.org/officeDocument/2006/customXml" ds:itemID="{3083B8A0-8B83-4467-81D6-8E56F834C99A}"/>
</file>

<file path=customXml/itemProps4.xml><?xml version="1.0" encoding="utf-8"?>
<ds:datastoreItem xmlns:ds="http://schemas.openxmlformats.org/officeDocument/2006/customXml" ds:itemID="{B7302DCE-04E4-44A6-B010-CE0CD03738DF}">
  <ds:schemaRefs>
    <ds:schemaRef ds:uri="http://schemas.microsoft.com/sharepoint/v3/contenttype/forms"/>
  </ds:schemaRefs>
</ds:datastoreItem>
</file>

<file path=customXml/itemProps5.xml><?xml version="1.0" encoding="utf-8"?>
<ds:datastoreItem xmlns:ds="http://schemas.openxmlformats.org/officeDocument/2006/customXml" ds:itemID="{92E1A01D-A713-4C21-9DD3-55407869D37F}">
  <ds:schemaRefs>
    <ds:schemaRef ds:uri="Microsoft.SharePoint.Taxonomy.ContentTypeSync"/>
  </ds:schemaRefs>
</ds:datastoreItem>
</file>

<file path=customXml/itemProps6.xml><?xml version="1.0" encoding="utf-8"?>
<ds:datastoreItem xmlns:ds="http://schemas.openxmlformats.org/officeDocument/2006/customXml" ds:itemID="{6FA1E2A2-1AD1-4430-8694-57535A1C518D}">
  <ds:schemaRefs>
    <ds:schemaRef ds:uri="http://schemas.microsoft.com/sharepoint/events"/>
  </ds:schemaRefs>
</ds:datastoreItem>
</file>

<file path=customXml/itemProps7.xml><?xml version="1.0" encoding="utf-8"?>
<ds:datastoreItem xmlns:ds="http://schemas.openxmlformats.org/officeDocument/2006/customXml" ds:itemID="{4C65B815-8A76-4B63-B787-744767D75DD6}">
  <ds:schemaRefs>
    <ds:schemaRef ds:uri="http://schemas.openxmlformats.org/officeDocument/2006/bibliography"/>
  </ds:schemaRefs>
</ds:datastoreItem>
</file>

<file path=customXml/itemProps8.xml><?xml version="1.0" encoding="utf-8"?>
<ds:datastoreItem xmlns:ds="http://schemas.openxmlformats.org/officeDocument/2006/customXml" ds:itemID="{E5B8912A-DA80-4638-A675-9EA4BC81556E}"/>
</file>

<file path=customXml/itemProps9.xml><?xml version="1.0" encoding="utf-8"?>
<ds:datastoreItem xmlns:ds="http://schemas.openxmlformats.org/officeDocument/2006/customXml" ds:itemID="{03A1ABDE-DB8D-442F-B085-7211FF6A3490}"/>
</file>

<file path=docProps/app.xml><?xml version="1.0" encoding="utf-8"?>
<Properties xmlns="http://schemas.openxmlformats.org/officeDocument/2006/extended-properties" xmlns:vt="http://schemas.openxmlformats.org/officeDocument/2006/docPropsVTypes">
  <Template>Normal.dotm</Template>
  <TotalTime>0</TotalTime>
  <Pages>40</Pages>
  <Words>12229</Words>
  <Characters>67265</Characters>
  <Application>Microsoft Office Word</Application>
  <DocSecurity>0</DocSecurity>
  <Lines>560</Lines>
  <Paragraphs>158</Paragraphs>
  <ScaleCrop>false</ScaleCrop>
  <Company/>
  <LinksUpToDate>false</LinksUpToDate>
  <CharactersWithSpaces>79336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2019-11-06T18:41:00Z</dcterms:created>
  <dcterms:modified xsi:type="dcterms:W3CDTF">2019-11-08T15:37:00Z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46;#RM-PUB|6679f56e-8b55-402b-90a0-8fe4c41c00ba</vt:lpwstr>
  </property>
  <property fmtid="{D5CDD505-2E9C-101B-9397-08002B2CF9AE}" pid="7" name="Country">
    <vt:lpwstr>32;#EC|8f163189-00fa-4e7c-827d-28fb5798781c</vt:lpwstr>
  </property>
  <property fmtid="{D5CDD505-2E9C-101B-9397-08002B2CF9AE}" pid="8" name="Fund IDB">
    <vt:lpwstr>30;#ORC|c028a4b2-ad8b-4cf4-9cac-a2ae6a778e23</vt:lpwstr>
  </property>
  <property fmtid="{D5CDD505-2E9C-101B-9397-08002B2CF9AE}" pid="9" name="_dlc_DocIdItemGuid">
    <vt:lpwstr>a84cd8d6-0ae3-40c1-8e73-e4a08f456744</vt:lpwstr>
  </property>
  <property fmtid="{D5CDD505-2E9C-101B-9397-08002B2CF9AE}" pid="10" name="Sector IDB">
    <vt:lpwstr>45;#RM|c8fda4a7-691a-4c65-b227-9825197b5cd2</vt:lpwstr>
  </property>
  <property fmtid="{D5CDD505-2E9C-101B-9397-08002B2CF9AE}" pid="11" name="Function Operations IDB">
    <vt:lpwstr>1;#Project Preparation, Planning and Design|29ca0c72-1fc4-435f-a09c-28585cb5eac9</vt:lpwstr>
  </property>
  <property fmtid="{D5CDD505-2E9C-101B-9397-08002B2CF9AE}" pid="12" name="ContentTypeId">
    <vt:lpwstr>0x0101001A458A224826124E8B45B1D613300CFC002E33AE3169F5B84381602D320376D788</vt:lpwstr>
  </property>
</Properties>
</file>