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A7C6D" w14:textId="77777777" w:rsidR="00F1165D" w:rsidRPr="00F6783E" w:rsidRDefault="00F1165D" w:rsidP="00F1165D">
      <w:pPr>
        <w:jc w:val="left"/>
        <w:rPr>
          <w:b/>
          <w:bCs/>
          <w:caps/>
        </w:rPr>
      </w:pPr>
      <w:bookmarkStart w:id="0" w:name="_GoBack"/>
      <w:bookmarkEnd w:id="0"/>
    </w:p>
    <w:p w14:paraId="6D044B52" w14:textId="77777777" w:rsidR="008472D0" w:rsidRDefault="008472D0" w:rsidP="00F1165D">
      <w:pPr>
        <w:jc w:val="left"/>
        <w:rPr>
          <w:b/>
          <w:bCs/>
          <w:caps/>
          <w:lang w:val="es-ES_tradnl"/>
        </w:rPr>
      </w:pPr>
    </w:p>
    <w:p w14:paraId="58CA6DF1" w14:textId="77777777" w:rsidR="00F1165D" w:rsidRPr="00F1165D" w:rsidRDefault="00F1165D" w:rsidP="00F1165D">
      <w:pPr>
        <w:jc w:val="left"/>
        <w:rPr>
          <w:b/>
          <w:bCs/>
          <w:caps/>
          <w:lang w:val="es-ES_tradnl"/>
        </w:rPr>
      </w:pPr>
    </w:p>
    <w:p w14:paraId="68E898C8" w14:textId="77777777" w:rsidR="00F1165D" w:rsidRDefault="00F1165D" w:rsidP="00F1165D">
      <w:pPr>
        <w:jc w:val="left"/>
        <w:rPr>
          <w:b/>
          <w:bCs/>
          <w:caps/>
          <w:lang w:val="es-ES_tradnl"/>
        </w:rPr>
      </w:pPr>
    </w:p>
    <w:p w14:paraId="3E3A0F84" w14:textId="77777777" w:rsidR="008472D0" w:rsidRDefault="008472D0" w:rsidP="00F1165D">
      <w:pPr>
        <w:jc w:val="left"/>
        <w:rPr>
          <w:b/>
          <w:bCs/>
          <w:caps/>
          <w:lang w:val="es-ES_tradnl"/>
        </w:rPr>
      </w:pPr>
    </w:p>
    <w:p w14:paraId="54721325" w14:textId="77777777" w:rsidR="008472D0" w:rsidRPr="00F1165D" w:rsidRDefault="008472D0" w:rsidP="00F1165D">
      <w:pPr>
        <w:jc w:val="left"/>
        <w:rPr>
          <w:b/>
          <w:bCs/>
          <w:caps/>
          <w:lang w:val="es-ES_tradnl"/>
        </w:rPr>
      </w:pPr>
    </w:p>
    <w:p w14:paraId="37554444" w14:textId="77777777" w:rsidR="00F1165D" w:rsidRPr="00F1165D" w:rsidRDefault="00F1165D" w:rsidP="00F1165D">
      <w:pPr>
        <w:jc w:val="left"/>
        <w:rPr>
          <w:b/>
          <w:bCs/>
          <w:caps/>
          <w:lang w:val="es-ES_tradnl"/>
        </w:rPr>
      </w:pPr>
    </w:p>
    <w:p w14:paraId="5D28A5AA" w14:textId="77777777" w:rsidR="00F1165D" w:rsidRDefault="00F1165D" w:rsidP="00F1165D">
      <w:pPr>
        <w:jc w:val="left"/>
        <w:rPr>
          <w:b/>
          <w:bCs/>
          <w:caps/>
          <w:lang w:val="es-ES_tradnl"/>
        </w:rPr>
      </w:pPr>
    </w:p>
    <w:p w14:paraId="7B68571A" w14:textId="77777777" w:rsidR="00F1165D" w:rsidRPr="00F1165D" w:rsidRDefault="00F1165D" w:rsidP="00F1165D">
      <w:pPr>
        <w:jc w:val="left"/>
        <w:rPr>
          <w:b/>
          <w:bCs/>
          <w:caps/>
          <w:lang w:val="es-ES_tradnl"/>
        </w:rPr>
      </w:pPr>
    </w:p>
    <w:p w14:paraId="0F35F215" w14:textId="77777777" w:rsidR="00151697" w:rsidRDefault="00151697" w:rsidP="00151697">
      <w:pPr>
        <w:pStyle w:val="Textoindependiente"/>
        <w:jc w:val="center"/>
        <w:rPr>
          <w:b/>
          <w:sz w:val="28"/>
          <w:lang w:val="es-ES_tradnl"/>
        </w:rPr>
      </w:pPr>
      <w:r w:rsidRPr="000B3C1D">
        <w:rPr>
          <w:b/>
          <w:sz w:val="28"/>
          <w:lang w:val="es-ES_tradnl"/>
        </w:rPr>
        <w:t xml:space="preserve">INFORME DE ANALISIS </w:t>
      </w:r>
      <w:r>
        <w:rPr>
          <w:b/>
          <w:sz w:val="28"/>
          <w:lang w:val="es-ES_tradnl"/>
        </w:rPr>
        <w:t xml:space="preserve">DE CAPACIDAD </w:t>
      </w:r>
      <w:r w:rsidRPr="000B3C1D">
        <w:rPr>
          <w:b/>
          <w:sz w:val="28"/>
          <w:lang w:val="es-ES_tradnl"/>
        </w:rPr>
        <w:t>INSTITUCIONAL</w:t>
      </w:r>
    </w:p>
    <w:p w14:paraId="2394C521" w14:textId="37F7730D" w:rsidR="00151697" w:rsidRPr="000B3C1D" w:rsidRDefault="00151697" w:rsidP="00151697">
      <w:pPr>
        <w:pStyle w:val="Textoindependiente"/>
        <w:jc w:val="center"/>
        <w:rPr>
          <w:b/>
          <w:lang w:val="es-ES_tradnl"/>
        </w:rPr>
      </w:pPr>
      <w:r w:rsidRPr="000B3C1D">
        <w:rPr>
          <w:b/>
          <w:lang w:val="es-ES_tradnl"/>
        </w:rPr>
        <w:t xml:space="preserve"> </w:t>
      </w:r>
      <w:r w:rsidRPr="00575DCC">
        <w:rPr>
          <w:b/>
          <w:lang w:val="es-ES_tradnl"/>
        </w:rPr>
        <w:t>“</w:t>
      </w:r>
      <w:r w:rsidR="00526E35" w:rsidRPr="00526E35">
        <w:rPr>
          <w:b/>
          <w:smallCaps/>
          <w:sz w:val="22"/>
          <w:lang w:val="es-ES_tradnl"/>
        </w:rPr>
        <w:t>PRO</w:t>
      </w:r>
      <w:r w:rsidR="00A81A23">
        <w:rPr>
          <w:b/>
          <w:smallCaps/>
          <w:sz w:val="22"/>
          <w:lang w:val="es-ES_tradnl"/>
        </w:rPr>
        <w:t xml:space="preserve">GRAMA DE </w:t>
      </w:r>
      <w:r w:rsidR="00526E35" w:rsidRPr="00526E35">
        <w:rPr>
          <w:b/>
          <w:smallCaps/>
          <w:sz w:val="22"/>
          <w:lang w:val="es-ES_tradnl"/>
        </w:rPr>
        <w:t>FORTALECIMIENTO INSTITUCIONAL PARA LA COMPETITIVIDAD (EC-L1250)</w:t>
      </w:r>
      <w:r w:rsidRPr="00575DCC">
        <w:rPr>
          <w:b/>
          <w:lang w:val="es-ES_tradnl"/>
        </w:rPr>
        <w:t>”</w:t>
      </w:r>
    </w:p>
    <w:p w14:paraId="1D5B50FE" w14:textId="302F82A2" w:rsidR="00151697" w:rsidRPr="00DA3EC5" w:rsidRDefault="00151697" w:rsidP="00151697">
      <w:pPr>
        <w:jc w:val="center"/>
      </w:pPr>
      <w:r w:rsidRPr="00DA3EC5">
        <w:t>VERSIÓN</w:t>
      </w:r>
      <w:r>
        <w:t xml:space="preserve">  </w:t>
      </w:r>
      <w:r w:rsidRPr="00DA3EC5">
        <w:t xml:space="preserve"> </w:t>
      </w:r>
      <w:r w:rsidR="00B01A03">
        <w:t>JUNIO</w:t>
      </w:r>
      <w:r w:rsidR="00526E35">
        <w:t xml:space="preserve"> 2019</w:t>
      </w:r>
    </w:p>
    <w:p w14:paraId="5F26F482" w14:textId="77777777" w:rsidR="00F1165D" w:rsidRPr="00F1165D" w:rsidRDefault="00F1165D" w:rsidP="00F1165D">
      <w:pPr>
        <w:jc w:val="center"/>
        <w:rPr>
          <w:b/>
          <w:bCs/>
          <w:caps/>
          <w:sz w:val="24"/>
          <w:lang w:val="es-ES_tradnl"/>
        </w:rPr>
      </w:pPr>
    </w:p>
    <w:p w14:paraId="747F1AA1" w14:textId="77777777" w:rsidR="00F1165D" w:rsidRPr="00F1165D" w:rsidRDefault="00F1165D" w:rsidP="00F1165D">
      <w:pPr>
        <w:jc w:val="center"/>
        <w:rPr>
          <w:b/>
          <w:bCs/>
          <w:caps/>
          <w:sz w:val="24"/>
          <w:lang w:val="es-ES_tradnl"/>
        </w:rPr>
      </w:pPr>
    </w:p>
    <w:p w14:paraId="4B2D98E9" w14:textId="77777777" w:rsidR="00F1165D" w:rsidRPr="00F1165D" w:rsidRDefault="00F1165D" w:rsidP="00F1165D">
      <w:pPr>
        <w:jc w:val="center"/>
        <w:rPr>
          <w:b/>
          <w:bCs/>
          <w:caps/>
          <w:lang w:val="es-ES_tradnl"/>
        </w:rPr>
      </w:pPr>
    </w:p>
    <w:p w14:paraId="2F4FF764" w14:textId="77777777" w:rsidR="00F1165D" w:rsidRDefault="00F1165D" w:rsidP="00F1165D">
      <w:pPr>
        <w:jc w:val="center"/>
        <w:rPr>
          <w:b/>
          <w:bCs/>
          <w:caps/>
          <w:lang w:val="es-ES_tradnl"/>
        </w:rPr>
      </w:pPr>
    </w:p>
    <w:p w14:paraId="74935BDF" w14:textId="77777777" w:rsidR="0078415A" w:rsidRPr="00F1165D" w:rsidRDefault="0078415A" w:rsidP="00F1165D">
      <w:pPr>
        <w:jc w:val="center"/>
        <w:rPr>
          <w:b/>
          <w:bCs/>
          <w:caps/>
          <w:lang w:val="es-ES_tradnl"/>
        </w:rPr>
      </w:pPr>
    </w:p>
    <w:p w14:paraId="29D27B84" w14:textId="77777777" w:rsidR="00F1165D" w:rsidRPr="00F1165D" w:rsidRDefault="00F1165D" w:rsidP="00F1165D">
      <w:pPr>
        <w:jc w:val="center"/>
        <w:rPr>
          <w:b/>
          <w:bCs/>
          <w:caps/>
          <w:lang w:val="es-ES_tradnl"/>
        </w:rPr>
      </w:pPr>
    </w:p>
    <w:p w14:paraId="47DE0824" w14:textId="756BF01C" w:rsidR="00860BB1" w:rsidRPr="00DA3EC5" w:rsidRDefault="00860BB1" w:rsidP="008472D0">
      <w:pPr>
        <w:pStyle w:val="Sinespaciado"/>
        <w:rPr>
          <w:b/>
          <w:sz w:val="22"/>
        </w:rPr>
      </w:pPr>
      <w:r w:rsidRPr="00DA3EC5">
        <w:rPr>
          <w:b/>
          <w:sz w:val="22"/>
        </w:rPr>
        <w:t>Organización Analizada:</w:t>
      </w:r>
    </w:p>
    <w:p w14:paraId="44F1FE2A" w14:textId="24DB52E0" w:rsidR="008472D0" w:rsidRPr="00721CF0" w:rsidRDefault="00526E35" w:rsidP="008472D0">
      <w:pPr>
        <w:pStyle w:val="Sinespaciado"/>
        <w:rPr>
          <w:b/>
          <w:sz w:val="24"/>
        </w:rPr>
      </w:pPr>
      <w:r>
        <w:rPr>
          <w:b/>
          <w:sz w:val="24"/>
        </w:rPr>
        <w:t>VICEPRESIDENCIA DE LA REPUBLICA</w:t>
      </w:r>
      <w:r w:rsidR="00B01A03">
        <w:rPr>
          <w:b/>
          <w:sz w:val="24"/>
        </w:rPr>
        <w:t xml:space="preserve"> / CNC</w:t>
      </w:r>
    </w:p>
    <w:p w14:paraId="339BA19A" w14:textId="77777777" w:rsidR="0078415A" w:rsidRPr="00F1165D" w:rsidRDefault="0078415A" w:rsidP="008472D0">
      <w:pPr>
        <w:jc w:val="left"/>
        <w:rPr>
          <w:b/>
          <w:bCs/>
          <w:caps/>
          <w:lang w:val="es-ES_tradnl"/>
        </w:rPr>
      </w:pPr>
    </w:p>
    <w:p w14:paraId="144038CF" w14:textId="77777777" w:rsidR="00F1165D" w:rsidRPr="00F1165D" w:rsidRDefault="00F1165D" w:rsidP="00F1165D">
      <w:pPr>
        <w:jc w:val="center"/>
        <w:rPr>
          <w:b/>
          <w:bCs/>
          <w:caps/>
          <w:lang w:val="es-ES_tradnl"/>
        </w:rPr>
      </w:pPr>
    </w:p>
    <w:p w14:paraId="7ED02427" w14:textId="77777777" w:rsidR="00F1165D" w:rsidRDefault="00F1165D" w:rsidP="00F1165D">
      <w:pPr>
        <w:jc w:val="center"/>
        <w:rPr>
          <w:b/>
          <w:bCs/>
          <w:caps/>
          <w:lang w:val="es-ES_tradnl"/>
        </w:rPr>
      </w:pPr>
    </w:p>
    <w:p w14:paraId="1207ECE6" w14:textId="77777777" w:rsidR="00382BCF" w:rsidRPr="00F1165D" w:rsidRDefault="00382BCF" w:rsidP="00F1165D">
      <w:pPr>
        <w:jc w:val="center"/>
        <w:rPr>
          <w:b/>
          <w:bCs/>
          <w:caps/>
          <w:lang w:val="es-ES_tradnl"/>
        </w:rPr>
      </w:pPr>
    </w:p>
    <w:p w14:paraId="5517E96D" w14:textId="77777777" w:rsidR="008472D0" w:rsidRPr="00721CF0" w:rsidRDefault="008472D0" w:rsidP="000B3C1D">
      <w:pPr>
        <w:pStyle w:val="Textoindependiente"/>
      </w:pPr>
      <w:r>
        <w:br/>
      </w:r>
      <w:r w:rsidRPr="00721CF0">
        <w:rPr>
          <w:b/>
        </w:rPr>
        <w:t>Consultor:</w:t>
      </w:r>
      <w:r w:rsidRPr="00721CF0">
        <w:t xml:space="preserve">   Francisco Xavier Bedoya Martínez</w:t>
      </w:r>
    </w:p>
    <w:p w14:paraId="1162EB71" w14:textId="77777777" w:rsidR="008472D0" w:rsidRDefault="008472D0" w:rsidP="008472D0">
      <w:pPr>
        <w:jc w:val="left"/>
      </w:pPr>
    </w:p>
    <w:p w14:paraId="1AEF16A9" w14:textId="6DFC8F54" w:rsidR="008472D0" w:rsidRDefault="008472D0" w:rsidP="000B3C1D">
      <w:pPr>
        <w:pStyle w:val="Textoindependiente"/>
      </w:pPr>
      <w:r w:rsidRPr="00721CF0">
        <w:t xml:space="preserve">Quito DM, </w:t>
      </w:r>
      <w:r w:rsidR="00DE7EF0">
        <w:t>junio</w:t>
      </w:r>
      <w:r w:rsidR="00526E35">
        <w:t xml:space="preserve"> 2019</w:t>
      </w:r>
    </w:p>
    <w:p w14:paraId="2CCF989B" w14:textId="77777777" w:rsidR="00151697" w:rsidRDefault="00151697" w:rsidP="000B3C1D">
      <w:pPr>
        <w:pStyle w:val="Textoindependiente"/>
      </w:pPr>
    </w:p>
    <w:p w14:paraId="0796CDA4" w14:textId="77777777" w:rsidR="00DA3EC5" w:rsidRDefault="00DA3EC5" w:rsidP="000B3C1D">
      <w:pPr>
        <w:pStyle w:val="Textoindependiente"/>
      </w:pPr>
    </w:p>
    <w:p w14:paraId="3F5BB351" w14:textId="77777777" w:rsidR="00DA3EC5" w:rsidRDefault="00DA3EC5" w:rsidP="000B3C1D">
      <w:pPr>
        <w:pStyle w:val="Textoindependiente"/>
      </w:pPr>
    </w:p>
    <w:p w14:paraId="3BFB0C3F" w14:textId="77777777" w:rsidR="00DA3EC5" w:rsidRDefault="00DA3EC5" w:rsidP="000B3C1D">
      <w:pPr>
        <w:pStyle w:val="Textoindependiente"/>
      </w:pPr>
    </w:p>
    <w:p w14:paraId="29119891" w14:textId="77777777" w:rsidR="00DA3EC5" w:rsidRDefault="00DA3EC5" w:rsidP="000B3C1D">
      <w:pPr>
        <w:pStyle w:val="Textoindependiente"/>
      </w:pPr>
    </w:p>
    <w:p w14:paraId="4E5F146B" w14:textId="77777777" w:rsidR="00F1165D" w:rsidRDefault="00F1165D" w:rsidP="00B01A03">
      <w:pPr>
        <w:pStyle w:val="TDC1"/>
      </w:pPr>
    </w:p>
    <w:p w14:paraId="3412CBD4" w14:textId="4791999B" w:rsidR="00E73166" w:rsidRDefault="00980298">
      <w:pPr>
        <w:pStyle w:val="TDC1"/>
        <w:rPr>
          <w:rFonts w:eastAsiaTheme="minorEastAsia" w:cstheme="minorBidi"/>
          <w:b w:val="0"/>
          <w:bCs w:val="0"/>
          <w:caps w:val="0"/>
          <w:noProof/>
          <w:spacing w:val="0"/>
          <w:sz w:val="22"/>
          <w:szCs w:val="22"/>
          <w:lang w:eastAsia="es-EC"/>
        </w:rPr>
      </w:pPr>
      <w:r>
        <w:fldChar w:fldCharType="begin"/>
      </w:r>
      <w:r>
        <w:instrText xml:space="preserve"> TOC \o "1-2" \h \z \u </w:instrText>
      </w:r>
      <w:r>
        <w:fldChar w:fldCharType="separate"/>
      </w:r>
      <w:hyperlink w:anchor="_Toc12543938" w:history="1">
        <w:r w:rsidR="00E73166" w:rsidRPr="0026498A">
          <w:rPr>
            <w:rStyle w:val="Hipervnculo"/>
            <w:noProof/>
          </w:rPr>
          <w:t>ABREVIATURAS</w:t>
        </w:r>
        <w:r w:rsidR="00E73166">
          <w:rPr>
            <w:noProof/>
            <w:webHidden/>
          </w:rPr>
          <w:tab/>
        </w:r>
        <w:r w:rsidR="00E73166">
          <w:rPr>
            <w:noProof/>
            <w:webHidden/>
          </w:rPr>
          <w:fldChar w:fldCharType="begin"/>
        </w:r>
        <w:r w:rsidR="00E73166">
          <w:rPr>
            <w:noProof/>
            <w:webHidden/>
          </w:rPr>
          <w:instrText xml:space="preserve"> PAGEREF _Toc12543938 \h </w:instrText>
        </w:r>
        <w:r w:rsidR="00E73166">
          <w:rPr>
            <w:noProof/>
            <w:webHidden/>
          </w:rPr>
        </w:r>
        <w:r w:rsidR="00E73166">
          <w:rPr>
            <w:noProof/>
            <w:webHidden/>
          </w:rPr>
          <w:fldChar w:fldCharType="separate"/>
        </w:r>
        <w:r w:rsidR="00E73166">
          <w:rPr>
            <w:noProof/>
            <w:webHidden/>
          </w:rPr>
          <w:t>iii</w:t>
        </w:r>
        <w:r w:rsidR="00E73166">
          <w:rPr>
            <w:noProof/>
            <w:webHidden/>
          </w:rPr>
          <w:fldChar w:fldCharType="end"/>
        </w:r>
      </w:hyperlink>
    </w:p>
    <w:p w14:paraId="502259F5" w14:textId="249DE252" w:rsidR="00E73166" w:rsidRDefault="00E73166">
      <w:pPr>
        <w:pStyle w:val="TDC1"/>
        <w:rPr>
          <w:rFonts w:eastAsiaTheme="minorEastAsia" w:cstheme="minorBidi"/>
          <w:b w:val="0"/>
          <w:bCs w:val="0"/>
          <w:caps w:val="0"/>
          <w:noProof/>
          <w:spacing w:val="0"/>
          <w:sz w:val="22"/>
          <w:szCs w:val="22"/>
          <w:lang w:eastAsia="es-EC"/>
        </w:rPr>
      </w:pPr>
      <w:hyperlink w:anchor="_Toc12543939" w:history="1">
        <w:r w:rsidRPr="0026498A">
          <w:rPr>
            <w:rStyle w:val="Hipervnculo"/>
            <w:noProof/>
          </w:rPr>
          <w:t>I.</w:t>
        </w:r>
        <w:r>
          <w:rPr>
            <w:rFonts w:eastAsiaTheme="minorEastAsia" w:cstheme="minorBidi"/>
            <w:b w:val="0"/>
            <w:bCs w:val="0"/>
            <w:caps w:val="0"/>
            <w:noProof/>
            <w:spacing w:val="0"/>
            <w:sz w:val="22"/>
            <w:szCs w:val="22"/>
            <w:lang w:eastAsia="es-EC"/>
          </w:rPr>
          <w:tab/>
        </w:r>
        <w:r w:rsidRPr="0026498A">
          <w:rPr>
            <w:rStyle w:val="Hipervnculo"/>
            <w:noProof/>
          </w:rPr>
          <w:t>Información Básica</w:t>
        </w:r>
        <w:r>
          <w:rPr>
            <w:noProof/>
            <w:webHidden/>
          </w:rPr>
          <w:tab/>
        </w:r>
        <w:r>
          <w:rPr>
            <w:noProof/>
            <w:webHidden/>
          </w:rPr>
          <w:fldChar w:fldCharType="begin"/>
        </w:r>
        <w:r>
          <w:rPr>
            <w:noProof/>
            <w:webHidden/>
          </w:rPr>
          <w:instrText xml:space="preserve"> PAGEREF _Toc12543939 \h </w:instrText>
        </w:r>
        <w:r>
          <w:rPr>
            <w:noProof/>
            <w:webHidden/>
          </w:rPr>
        </w:r>
        <w:r>
          <w:rPr>
            <w:noProof/>
            <w:webHidden/>
          </w:rPr>
          <w:fldChar w:fldCharType="separate"/>
        </w:r>
        <w:r>
          <w:rPr>
            <w:noProof/>
            <w:webHidden/>
          </w:rPr>
          <w:t>1</w:t>
        </w:r>
        <w:r>
          <w:rPr>
            <w:noProof/>
            <w:webHidden/>
          </w:rPr>
          <w:fldChar w:fldCharType="end"/>
        </w:r>
      </w:hyperlink>
    </w:p>
    <w:p w14:paraId="50E1F2F4" w14:textId="07A89D7F" w:rsidR="00E73166" w:rsidRDefault="00E73166">
      <w:pPr>
        <w:pStyle w:val="TDC2"/>
        <w:tabs>
          <w:tab w:val="left" w:pos="600"/>
          <w:tab w:val="right" w:leader="dot" w:pos="9060"/>
        </w:tabs>
        <w:rPr>
          <w:rFonts w:eastAsiaTheme="minorEastAsia" w:cstheme="minorBidi"/>
          <w:smallCaps w:val="0"/>
          <w:noProof/>
          <w:spacing w:val="0"/>
          <w:sz w:val="22"/>
          <w:szCs w:val="22"/>
          <w:lang w:eastAsia="es-EC"/>
        </w:rPr>
      </w:pPr>
      <w:hyperlink w:anchor="_Toc12543940" w:history="1">
        <w:r w:rsidRPr="0026498A">
          <w:rPr>
            <w:rStyle w:val="Hipervnculo"/>
            <w:noProof/>
          </w:rPr>
          <w:t>a.</w:t>
        </w:r>
        <w:r>
          <w:rPr>
            <w:rFonts w:eastAsiaTheme="minorEastAsia" w:cstheme="minorBidi"/>
            <w:smallCaps w:val="0"/>
            <w:noProof/>
            <w:spacing w:val="0"/>
            <w:sz w:val="22"/>
            <w:szCs w:val="22"/>
            <w:lang w:eastAsia="es-EC"/>
          </w:rPr>
          <w:tab/>
        </w:r>
        <w:r w:rsidRPr="0026498A">
          <w:rPr>
            <w:rStyle w:val="Hipervnculo"/>
            <w:noProof/>
          </w:rPr>
          <w:t>Información básica de la Vicepresidencia de la República (VPR)</w:t>
        </w:r>
        <w:r>
          <w:rPr>
            <w:noProof/>
            <w:webHidden/>
          </w:rPr>
          <w:tab/>
        </w:r>
        <w:r>
          <w:rPr>
            <w:noProof/>
            <w:webHidden/>
          </w:rPr>
          <w:fldChar w:fldCharType="begin"/>
        </w:r>
        <w:r>
          <w:rPr>
            <w:noProof/>
            <w:webHidden/>
          </w:rPr>
          <w:instrText xml:space="preserve"> PAGEREF _Toc12543940 \h </w:instrText>
        </w:r>
        <w:r>
          <w:rPr>
            <w:noProof/>
            <w:webHidden/>
          </w:rPr>
        </w:r>
        <w:r>
          <w:rPr>
            <w:noProof/>
            <w:webHidden/>
          </w:rPr>
          <w:fldChar w:fldCharType="separate"/>
        </w:r>
        <w:r>
          <w:rPr>
            <w:noProof/>
            <w:webHidden/>
          </w:rPr>
          <w:t>1</w:t>
        </w:r>
        <w:r>
          <w:rPr>
            <w:noProof/>
            <w:webHidden/>
          </w:rPr>
          <w:fldChar w:fldCharType="end"/>
        </w:r>
      </w:hyperlink>
    </w:p>
    <w:p w14:paraId="07326A83" w14:textId="19EDE9EE" w:rsidR="00E73166" w:rsidRDefault="00E73166">
      <w:pPr>
        <w:pStyle w:val="TDC2"/>
        <w:tabs>
          <w:tab w:val="left" w:pos="600"/>
          <w:tab w:val="right" w:leader="dot" w:pos="9060"/>
        </w:tabs>
        <w:rPr>
          <w:rFonts w:eastAsiaTheme="minorEastAsia" w:cstheme="minorBidi"/>
          <w:smallCaps w:val="0"/>
          <w:noProof/>
          <w:spacing w:val="0"/>
          <w:sz w:val="22"/>
          <w:szCs w:val="22"/>
          <w:lang w:eastAsia="es-EC"/>
        </w:rPr>
      </w:pPr>
      <w:hyperlink w:anchor="_Toc12543941" w:history="1">
        <w:r w:rsidRPr="0026498A">
          <w:rPr>
            <w:rStyle w:val="Hipervnculo"/>
            <w:noProof/>
          </w:rPr>
          <w:t>b.</w:t>
        </w:r>
        <w:r>
          <w:rPr>
            <w:rFonts w:eastAsiaTheme="minorEastAsia" w:cstheme="minorBidi"/>
            <w:smallCaps w:val="0"/>
            <w:noProof/>
            <w:spacing w:val="0"/>
            <w:sz w:val="22"/>
            <w:szCs w:val="22"/>
            <w:lang w:eastAsia="es-EC"/>
          </w:rPr>
          <w:tab/>
        </w:r>
        <w:r w:rsidRPr="0026498A">
          <w:rPr>
            <w:rStyle w:val="Hipervnculo"/>
            <w:noProof/>
          </w:rPr>
          <w:t>Información Básica del Programa</w:t>
        </w:r>
        <w:r>
          <w:rPr>
            <w:noProof/>
            <w:webHidden/>
          </w:rPr>
          <w:tab/>
        </w:r>
        <w:r>
          <w:rPr>
            <w:noProof/>
            <w:webHidden/>
          </w:rPr>
          <w:fldChar w:fldCharType="begin"/>
        </w:r>
        <w:r>
          <w:rPr>
            <w:noProof/>
            <w:webHidden/>
          </w:rPr>
          <w:instrText xml:space="preserve"> PAGEREF _Toc12543941 \h </w:instrText>
        </w:r>
        <w:r>
          <w:rPr>
            <w:noProof/>
            <w:webHidden/>
          </w:rPr>
        </w:r>
        <w:r>
          <w:rPr>
            <w:noProof/>
            <w:webHidden/>
          </w:rPr>
          <w:fldChar w:fldCharType="separate"/>
        </w:r>
        <w:r>
          <w:rPr>
            <w:noProof/>
            <w:webHidden/>
          </w:rPr>
          <w:t>2</w:t>
        </w:r>
        <w:r>
          <w:rPr>
            <w:noProof/>
            <w:webHidden/>
          </w:rPr>
          <w:fldChar w:fldCharType="end"/>
        </w:r>
      </w:hyperlink>
    </w:p>
    <w:p w14:paraId="342CDE56" w14:textId="36416E80" w:rsidR="00E73166" w:rsidRDefault="00E73166">
      <w:pPr>
        <w:pStyle w:val="TDC2"/>
        <w:tabs>
          <w:tab w:val="left" w:pos="600"/>
          <w:tab w:val="right" w:leader="dot" w:pos="9060"/>
        </w:tabs>
        <w:rPr>
          <w:rFonts w:eastAsiaTheme="minorEastAsia" w:cstheme="minorBidi"/>
          <w:smallCaps w:val="0"/>
          <w:noProof/>
          <w:spacing w:val="0"/>
          <w:sz w:val="22"/>
          <w:szCs w:val="22"/>
          <w:lang w:eastAsia="es-EC"/>
        </w:rPr>
      </w:pPr>
      <w:hyperlink w:anchor="_Toc12543942" w:history="1">
        <w:r w:rsidRPr="0026498A">
          <w:rPr>
            <w:rStyle w:val="Hipervnculo"/>
            <w:noProof/>
          </w:rPr>
          <w:t>c.</w:t>
        </w:r>
        <w:r>
          <w:rPr>
            <w:rFonts w:eastAsiaTheme="minorEastAsia" w:cstheme="minorBidi"/>
            <w:smallCaps w:val="0"/>
            <w:noProof/>
            <w:spacing w:val="0"/>
            <w:sz w:val="22"/>
            <w:szCs w:val="22"/>
            <w:lang w:eastAsia="es-EC"/>
          </w:rPr>
          <w:tab/>
        </w:r>
        <w:r w:rsidRPr="0026498A">
          <w:rPr>
            <w:rStyle w:val="Hipervnculo"/>
            <w:noProof/>
          </w:rPr>
          <w:t>La VPR y el Mecanismo de Ejecución</w:t>
        </w:r>
        <w:r>
          <w:rPr>
            <w:noProof/>
            <w:webHidden/>
          </w:rPr>
          <w:tab/>
        </w:r>
        <w:r>
          <w:rPr>
            <w:noProof/>
            <w:webHidden/>
          </w:rPr>
          <w:fldChar w:fldCharType="begin"/>
        </w:r>
        <w:r>
          <w:rPr>
            <w:noProof/>
            <w:webHidden/>
          </w:rPr>
          <w:instrText xml:space="preserve"> PAGEREF _Toc12543942 \h </w:instrText>
        </w:r>
        <w:r>
          <w:rPr>
            <w:noProof/>
            <w:webHidden/>
          </w:rPr>
        </w:r>
        <w:r>
          <w:rPr>
            <w:noProof/>
            <w:webHidden/>
          </w:rPr>
          <w:fldChar w:fldCharType="separate"/>
        </w:r>
        <w:r>
          <w:rPr>
            <w:noProof/>
            <w:webHidden/>
          </w:rPr>
          <w:t>3</w:t>
        </w:r>
        <w:r>
          <w:rPr>
            <w:noProof/>
            <w:webHidden/>
          </w:rPr>
          <w:fldChar w:fldCharType="end"/>
        </w:r>
      </w:hyperlink>
    </w:p>
    <w:p w14:paraId="385A4C4E" w14:textId="642B1124" w:rsidR="00E73166" w:rsidRDefault="00E73166">
      <w:pPr>
        <w:pStyle w:val="TDC1"/>
        <w:rPr>
          <w:rFonts w:eastAsiaTheme="minorEastAsia" w:cstheme="minorBidi"/>
          <w:b w:val="0"/>
          <w:bCs w:val="0"/>
          <w:caps w:val="0"/>
          <w:noProof/>
          <w:spacing w:val="0"/>
          <w:sz w:val="22"/>
          <w:szCs w:val="22"/>
          <w:lang w:eastAsia="es-EC"/>
        </w:rPr>
      </w:pPr>
      <w:hyperlink w:anchor="_Toc12543943" w:history="1">
        <w:r w:rsidRPr="0026498A">
          <w:rPr>
            <w:rStyle w:val="Hipervnculo"/>
            <w:noProof/>
          </w:rPr>
          <w:t>II.</w:t>
        </w:r>
        <w:r>
          <w:rPr>
            <w:rFonts w:eastAsiaTheme="minorEastAsia" w:cstheme="minorBidi"/>
            <w:b w:val="0"/>
            <w:bCs w:val="0"/>
            <w:caps w:val="0"/>
            <w:noProof/>
            <w:spacing w:val="0"/>
            <w:sz w:val="22"/>
            <w:szCs w:val="22"/>
            <w:lang w:eastAsia="es-EC"/>
          </w:rPr>
          <w:tab/>
        </w:r>
        <w:r w:rsidRPr="0026498A">
          <w:rPr>
            <w:rStyle w:val="Hipervnculo"/>
            <w:noProof/>
          </w:rPr>
          <w:t>Conclusiones del Análisis</w:t>
        </w:r>
        <w:r>
          <w:rPr>
            <w:noProof/>
            <w:webHidden/>
          </w:rPr>
          <w:tab/>
        </w:r>
        <w:r>
          <w:rPr>
            <w:noProof/>
            <w:webHidden/>
          </w:rPr>
          <w:fldChar w:fldCharType="begin"/>
        </w:r>
        <w:r>
          <w:rPr>
            <w:noProof/>
            <w:webHidden/>
          </w:rPr>
          <w:instrText xml:space="preserve"> PAGEREF _Toc12543943 \h </w:instrText>
        </w:r>
        <w:r>
          <w:rPr>
            <w:noProof/>
            <w:webHidden/>
          </w:rPr>
        </w:r>
        <w:r>
          <w:rPr>
            <w:noProof/>
            <w:webHidden/>
          </w:rPr>
          <w:fldChar w:fldCharType="separate"/>
        </w:r>
        <w:r>
          <w:rPr>
            <w:noProof/>
            <w:webHidden/>
          </w:rPr>
          <w:t>4</w:t>
        </w:r>
        <w:r>
          <w:rPr>
            <w:noProof/>
            <w:webHidden/>
          </w:rPr>
          <w:fldChar w:fldCharType="end"/>
        </w:r>
      </w:hyperlink>
    </w:p>
    <w:p w14:paraId="7B2E159D" w14:textId="1EF095D5" w:rsidR="00E73166" w:rsidRDefault="00E73166">
      <w:pPr>
        <w:pStyle w:val="TDC1"/>
        <w:rPr>
          <w:rFonts w:eastAsiaTheme="minorEastAsia" w:cstheme="minorBidi"/>
          <w:b w:val="0"/>
          <w:bCs w:val="0"/>
          <w:caps w:val="0"/>
          <w:noProof/>
          <w:spacing w:val="0"/>
          <w:sz w:val="22"/>
          <w:szCs w:val="22"/>
          <w:lang w:eastAsia="es-EC"/>
        </w:rPr>
      </w:pPr>
      <w:hyperlink w:anchor="_Toc12543944" w:history="1">
        <w:r w:rsidRPr="0026498A">
          <w:rPr>
            <w:rStyle w:val="Hipervnculo"/>
            <w:noProof/>
          </w:rPr>
          <w:t>III.</w:t>
        </w:r>
        <w:r>
          <w:rPr>
            <w:rFonts w:eastAsiaTheme="minorEastAsia" w:cstheme="minorBidi"/>
            <w:b w:val="0"/>
            <w:bCs w:val="0"/>
            <w:caps w:val="0"/>
            <w:noProof/>
            <w:spacing w:val="0"/>
            <w:sz w:val="22"/>
            <w:szCs w:val="22"/>
            <w:lang w:eastAsia="es-EC"/>
          </w:rPr>
          <w:tab/>
        </w:r>
        <w:r w:rsidRPr="0026498A">
          <w:rPr>
            <w:rStyle w:val="Hipervnculo"/>
            <w:noProof/>
          </w:rPr>
          <w:t>Acciones Básicas de Fortalecimiento Institucional</w:t>
        </w:r>
        <w:r>
          <w:rPr>
            <w:noProof/>
            <w:webHidden/>
          </w:rPr>
          <w:tab/>
        </w:r>
        <w:r>
          <w:rPr>
            <w:noProof/>
            <w:webHidden/>
          </w:rPr>
          <w:fldChar w:fldCharType="begin"/>
        </w:r>
        <w:r>
          <w:rPr>
            <w:noProof/>
            <w:webHidden/>
          </w:rPr>
          <w:instrText xml:space="preserve"> PAGEREF _Toc12543944 \h </w:instrText>
        </w:r>
        <w:r>
          <w:rPr>
            <w:noProof/>
            <w:webHidden/>
          </w:rPr>
        </w:r>
        <w:r>
          <w:rPr>
            <w:noProof/>
            <w:webHidden/>
          </w:rPr>
          <w:fldChar w:fldCharType="separate"/>
        </w:r>
        <w:r>
          <w:rPr>
            <w:noProof/>
            <w:webHidden/>
          </w:rPr>
          <w:t>1</w:t>
        </w:r>
        <w:r>
          <w:rPr>
            <w:noProof/>
            <w:webHidden/>
          </w:rPr>
          <w:fldChar w:fldCharType="end"/>
        </w:r>
      </w:hyperlink>
    </w:p>
    <w:p w14:paraId="32001A9A" w14:textId="14AF7F69" w:rsidR="00E73166" w:rsidRDefault="00E73166">
      <w:pPr>
        <w:pStyle w:val="TDC1"/>
        <w:rPr>
          <w:rFonts w:eastAsiaTheme="minorEastAsia" w:cstheme="minorBidi"/>
          <w:b w:val="0"/>
          <w:bCs w:val="0"/>
          <w:caps w:val="0"/>
          <w:noProof/>
          <w:spacing w:val="0"/>
          <w:sz w:val="22"/>
          <w:szCs w:val="22"/>
          <w:lang w:eastAsia="es-EC"/>
        </w:rPr>
      </w:pPr>
      <w:hyperlink w:anchor="_Toc12543945" w:history="1">
        <w:r w:rsidRPr="0026498A">
          <w:rPr>
            <w:rStyle w:val="Hipervnculo"/>
            <w:noProof/>
          </w:rPr>
          <w:t>IV.</w:t>
        </w:r>
        <w:r>
          <w:rPr>
            <w:rFonts w:eastAsiaTheme="minorEastAsia" w:cstheme="minorBidi"/>
            <w:b w:val="0"/>
            <w:bCs w:val="0"/>
            <w:caps w:val="0"/>
            <w:noProof/>
            <w:spacing w:val="0"/>
            <w:sz w:val="22"/>
            <w:szCs w:val="22"/>
            <w:lang w:eastAsia="es-EC"/>
          </w:rPr>
          <w:tab/>
        </w:r>
        <w:r w:rsidRPr="0026498A">
          <w:rPr>
            <w:rStyle w:val="Hipervnculo"/>
            <w:noProof/>
          </w:rPr>
          <w:t>Condiciones de Ejecutabilidad</w:t>
        </w:r>
        <w:r>
          <w:rPr>
            <w:noProof/>
            <w:webHidden/>
          </w:rPr>
          <w:tab/>
        </w:r>
        <w:r>
          <w:rPr>
            <w:noProof/>
            <w:webHidden/>
          </w:rPr>
          <w:fldChar w:fldCharType="begin"/>
        </w:r>
        <w:r>
          <w:rPr>
            <w:noProof/>
            <w:webHidden/>
          </w:rPr>
          <w:instrText xml:space="preserve"> PAGEREF _Toc12543945 \h </w:instrText>
        </w:r>
        <w:r>
          <w:rPr>
            <w:noProof/>
            <w:webHidden/>
          </w:rPr>
        </w:r>
        <w:r>
          <w:rPr>
            <w:noProof/>
            <w:webHidden/>
          </w:rPr>
          <w:fldChar w:fldCharType="separate"/>
        </w:r>
        <w:r>
          <w:rPr>
            <w:noProof/>
            <w:webHidden/>
          </w:rPr>
          <w:t>2</w:t>
        </w:r>
        <w:r>
          <w:rPr>
            <w:noProof/>
            <w:webHidden/>
          </w:rPr>
          <w:fldChar w:fldCharType="end"/>
        </w:r>
      </w:hyperlink>
    </w:p>
    <w:p w14:paraId="49095572" w14:textId="190BFF40" w:rsidR="00E73166" w:rsidRDefault="00E73166">
      <w:pPr>
        <w:pStyle w:val="TDC1"/>
        <w:rPr>
          <w:rFonts w:eastAsiaTheme="minorEastAsia" w:cstheme="minorBidi"/>
          <w:b w:val="0"/>
          <w:bCs w:val="0"/>
          <w:caps w:val="0"/>
          <w:noProof/>
          <w:spacing w:val="0"/>
          <w:sz w:val="22"/>
          <w:szCs w:val="22"/>
          <w:lang w:eastAsia="es-EC"/>
        </w:rPr>
      </w:pPr>
      <w:hyperlink w:anchor="_Toc12543946" w:history="1">
        <w:r w:rsidRPr="0026498A">
          <w:rPr>
            <w:rStyle w:val="Hipervnculo"/>
            <w:noProof/>
          </w:rPr>
          <w:t>V.</w:t>
        </w:r>
        <w:r>
          <w:rPr>
            <w:rFonts w:eastAsiaTheme="minorEastAsia" w:cstheme="minorBidi"/>
            <w:b w:val="0"/>
            <w:bCs w:val="0"/>
            <w:caps w:val="0"/>
            <w:noProof/>
            <w:spacing w:val="0"/>
            <w:sz w:val="22"/>
            <w:szCs w:val="22"/>
            <w:lang w:eastAsia="es-EC"/>
          </w:rPr>
          <w:tab/>
        </w:r>
        <w:r w:rsidRPr="0026498A">
          <w:rPr>
            <w:rStyle w:val="Hipervnculo"/>
            <w:noProof/>
          </w:rPr>
          <w:t>Enlaces y Anexos</w:t>
        </w:r>
        <w:r>
          <w:rPr>
            <w:noProof/>
            <w:webHidden/>
          </w:rPr>
          <w:tab/>
        </w:r>
        <w:r>
          <w:rPr>
            <w:noProof/>
            <w:webHidden/>
          </w:rPr>
          <w:fldChar w:fldCharType="begin"/>
        </w:r>
        <w:r>
          <w:rPr>
            <w:noProof/>
            <w:webHidden/>
          </w:rPr>
          <w:instrText xml:space="preserve"> PAGEREF _Toc12543946 \h </w:instrText>
        </w:r>
        <w:r>
          <w:rPr>
            <w:noProof/>
            <w:webHidden/>
          </w:rPr>
        </w:r>
        <w:r>
          <w:rPr>
            <w:noProof/>
            <w:webHidden/>
          </w:rPr>
          <w:fldChar w:fldCharType="separate"/>
        </w:r>
        <w:r>
          <w:rPr>
            <w:noProof/>
            <w:webHidden/>
          </w:rPr>
          <w:t>9</w:t>
        </w:r>
        <w:r>
          <w:rPr>
            <w:noProof/>
            <w:webHidden/>
          </w:rPr>
          <w:fldChar w:fldCharType="end"/>
        </w:r>
      </w:hyperlink>
    </w:p>
    <w:p w14:paraId="061FC58B" w14:textId="22C33F39" w:rsidR="00E73166" w:rsidRDefault="00E73166">
      <w:pPr>
        <w:pStyle w:val="TDC2"/>
        <w:tabs>
          <w:tab w:val="left" w:pos="600"/>
          <w:tab w:val="right" w:leader="dot" w:pos="9060"/>
        </w:tabs>
        <w:rPr>
          <w:rFonts w:eastAsiaTheme="minorEastAsia" w:cstheme="minorBidi"/>
          <w:smallCaps w:val="0"/>
          <w:noProof/>
          <w:spacing w:val="0"/>
          <w:sz w:val="22"/>
          <w:szCs w:val="22"/>
          <w:lang w:eastAsia="es-EC"/>
        </w:rPr>
      </w:pPr>
      <w:hyperlink w:anchor="_Toc12543947" w:history="1">
        <w:r w:rsidRPr="0026498A">
          <w:rPr>
            <w:rStyle w:val="Hipervnculo"/>
            <w:noProof/>
          </w:rPr>
          <w:t>a.</w:t>
        </w:r>
        <w:r>
          <w:rPr>
            <w:rFonts w:eastAsiaTheme="minorEastAsia" w:cstheme="minorBidi"/>
            <w:smallCaps w:val="0"/>
            <w:noProof/>
            <w:spacing w:val="0"/>
            <w:sz w:val="22"/>
            <w:szCs w:val="22"/>
            <w:lang w:eastAsia="es-EC"/>
          </w:rPr>
          <w:tab/>
        </w:r>
        <w:r w:rsidRPr="0026498A">
          <w:rPr>
            <w:rStyle w:val="Hipervnculo"/>
            <w:noProof/>
          </w:rPr>
          <w:t>Enlaces digitales</w:t>
        </w:r>
        <w:r>
          <w:rPr>
            <w:noProof/>
            <w:webHidden/>
          </w:rPr>
          <w:tab/>
        </w:r>
        <w:r>
          <w:rPr>
            <w:noProof/>
            <w:webHidden/>
          </w:rPr>
          <w:fldChar w:fldCharType="begin"/>
        </w:r>
        <w:r>
          <w:rPr>
            <w:noProof/>
            <w:webHidden/>
          </w:rPr>
          <w:instrText xml:space="preserve"> PAGEREF _Toc12543947 \h </w:instrText>
        </w:r>
        <w:r>
          <w:rPr>
            <w:noProof/>
            <w:webHidden/>
          </w:rPr>
        </w:r>
        <w:r>
          <w:rPr>
            <w:noProof/>
            <w:webHidden/>
          </w:rPr>
          <w:fldChar w:fldCharType="separate"/>
        </w:r>
        <w:r>
          <w:rPr>
            <w:noProof/>
            <w:webHidden/>
          </w:rPr>
          <w:t>9</w:t>
        </w:r>
        <w:r>
          <w:rPr>
            <w:noProof/>
            <w:webHidden/>
          </w:rPr>
          <w:fldChar w:fldCharType="end"/>
        </w:r>
      </w:hyperlink>
    </w:p>
    <w:p w14:paraId="0BEA11C8" w14:textId="0E8B4757" w:rsidR="00E73166" w:rsidRDefault="00E73166">
      <w:pPr>
        <w:pStyle w:val="TDC2"/>
        <w:tabs>
          <w:tab w:val="left" w:pos="600"/>
          <w:tab w:val="right" w:leader="dot" w:pos="9060"/>
        </w:tabs>
        <w:rPr>
          <w:rFonts w:eastAsiaTheme="minorEastAsia" w:cstheme="minorBidi"/>
          <w:smallCaps w:val="0"/>
          <w:noProof/>
          <w:spacing w:val="0"/>
          <w:sz w:val="22"/>
          <w:szCs w:val="22"/>
          <w:lang w:eastAsia="es-EC"/>
        </w:rPr>
      </w:pPr>
      <w:hyperlink w:anchor="_Toc12543948" w:history="1">
        <w:r w:rsidRPr="0026498A">
          <w:rPr>
            <w:rStyle w:val="Hipervnculo"/>
            <w:noProof/>
          </w:rPr>
          <w:t>b.</w:t>
        </w:r>
        <w:r>
          <w:rPr>
            <w:rFonts w:eastAsiaTheme="minorEastAsia" w:cstheme="minorBidi"/>
            <w:smallCaps w:val="0"/>
            <w:noProof/>
            <w:spacing w:val="0"/>
            <w:sz w:val="22"/>
            <w:szCs w:val="22"/>
            <w:lang w:eastAsia="es-EC"/>
          </w:rPr>
          <w:tab/>
        </w:r>
        <w:r w:rsidRPr="0026498A">
          <w:rPr>
            <w:rStyle w:val="Hipervnculo"/>
            <w:noProof/>
          </w:rPr>
          <w:t>Archivos adjuntos</w:t>
        </w:r>
        <w:r>
          <w:rPr>
            <w:noProof/>
            <w:webHidden/>
          </w:rPr>
          <w:tab/>
        </w:r>
        <w:r>
          <w:rPr>
            <w:noProof/>
            <w:webHidden/>
          </w:rPr>
          <w:fldChar w:fldCharType="begin"/>
        </w:r>
        <w:r>
          <w:rPr>
            <w:noProof/>
            <w:webHidden/>
          </w:rPr>
          <w:instrText xml:space="preserve"> PAGEREF _Toc12543948 \h </w:instrText>
        </w:r>
        <w:r>
          <w:rPr>
            <w:noProof/>
            <w:webHidden/>
          </w:rPr>
        </w:r>
        <w:r>
          <w:rPr>
            <w:noProof/>
            <w:webHidden/>
          </w:rPr>
          <w:fldChar w:fldCharType="separate"/>
        </w:r>
        <w:r>
          <w:rPr>
            <w:noProof/>
            <w:webHidden/>
          </w:rPr>
          <w:t>9</w:t>
        </w:r>
        <w:r>
          <w:rPr>
            <w:noProof/>
            <w:webHidden/>
          </w:rPr>
          <w:fldChar w:fldCharType="end"/>
        </w:r>
      </w:hyperlink>
    </w:p>
    <w:p w14:paraId="2DB8E68C" w14:textId="6F4AFC82" w:rsidR="00E73166" w:rsidRDefault="00E73166">
      <w:pPr>
        <w:pStyle w:val="TDC2"/>
        <w:tabs>
          <w:tab w:val="left" w:pos="600"/>
          <w:tab w:val="right" w:leader="dot" w:pos="9060"/>
        </w:tabs>
        <w:rPr>
          <w:rFonts w:eastAsiaTheme="minorEastAsia" w:cstheme="minorBidi"/>
          <w:smallCaps w:val="0"/>
          <w:noProof/>
          <w:spacing w:val="0"/>
          <w:sz w:val="22"/>
          <w:szCs w:val="22"/>
          <w:lang w:eastAsia="es-EC"/>
        </w:rPr>
      </w:pPr>
      <w:hyperlink w:anchor="_Toc12543949" w:history="1">
        <w:r w:rsidRPr="0026498A">
          <w:rPr>
            <w:rStyle w:val="Hipervnculo"/>
            <w:noProof/>
          </w:rPr>
          <w:t>c.</w:t>
        </w:r>
        <w:r>
          <w:rPr>
            <w:rFonts w:eastAsiaTheme="minorEastAsia" w:cstheme="minorBidi"/>
            <w:smallCaps w:val="0"/>
            <w:noProof/>
            <w:spacing w:val="0"/>
            <w:sz w:val="22"/>
            <w:szCs w:val="22"/>
            <w:lang w:eastAsia="es-EC"/>
          </w:rPr>
          <w:tab/>
        </w:r>
        <w:r w:rsidRPr="0026498A">
          <w:rPr>
            <w:rStyle w:val="Hipervnculo"/>
            <w:noProof/>
          </w:rPr>
          <w:t>Anexos</w:t>
        </w:r>
        <w:r>
          <w:rPr>
            <w:noProof/>
            <w:webHidden/>
          </w:rPr>
          <w:tab/>
        </w:r>
        <w:r>
          <w:rPr>
            <w:noProof/>
            <w:webHidden/>
          </w:rPr>
          <w:fldChar w:fldCharType="begin"/>
        </w:r>
        <w:r>
          <w:rPr>
            <w:noProof/>
            <w:webHidden/>
          </w:rPr>
          <w:instrText xml:space="preserve"> PAGEREF _Toc12543949 \h </w:instrText>
        </w:r>
        <w:r>
          <w:rPr>
            <w:noProof/>
            <w:webHidden/>
          </w:rPr>
        </w:r>
        <w:r>
          <w:rPr>
            <w:noProof/>
            <w:webHidden/>
          </w:rPr>
          <w:fldChar w:fldCharType="separate"/>
        </w:r>
        <w:r>
          <w:rPr>
            <w:noProof/>
            <w:webHidden/>
          </w:rPr>
          <w:t>9</w:t>
        </w:r>
        <w:r>
          <w:rPr>
            <w:noProof/>
            <w:webHidden/>
          </w:rPr>
          <w:fldChar w:fldCharType="end"/>
        </w:r>
      </w:hyperlink>
    </w:p>
    <w:p w14:paraId="7259CF1B" w14:textId="7C21B467" w:rsidR="00A32F1F" w:rsidRDefault="00980298">
      <w:pPr>
        <w:jc w:val="left"/>
        <w:rPr>
          <w:rFonts w:cstheme="minorHAnsi"/>
          <w:b/>
          <w:bCs/>
          <w:caps/>
          <w:szCs w:val="20"/>
        </w:rPr>
      </w:pPr>
      <w:r>
        <w:rPr>
          <w:rFonts w:cstheme="minorHAnsi"/>
          <w:b/>
          <w:bCs/>
          <w:caps/>
          <w:szCs w:val="20"/>
        </w:rPr>
        <w:fldChar w:fldCharType="end"/>
      </w:r>
    </w:p>
    <w:p w14:paraId="7A6B29BA" w14:textId="15875001" w:rsidR="00E87FE6" w:rsidRDefault="00DA3EC5" w:rsidP="00DA3EC5">
      <w:pPr>
        <w:pStyle w:val="TtuloTDC"/>
      </w:pPr>
      <w:r>
        <w:t>T</w:t>
      </w:r>
      <w:r w:rsidR="00E87FE6">
        <w:t>ablas</w:t>
      </w:r>
    </w:p>
    <w:p w14:paraId="1B69CDB8" w14:textId="70EBA2A4" w:rsidR="00E73166" w:rsidRDefault="00E87FE6">
      <w:pPr>
        <w:pStyle w:val="Tabladeilustraciones"/>
        <w:tabs>
          <w:tab w:val="right" w:leader="dot" w:pos="9060"/>
        </w:tabs>
        <w:rPr>
          <w:rFonts w:eastAsiaTheme="minorEastAsia"/>
          <w:noProof/>
          <w:spacing w:val="0"/>
          <w:sz w:val="22"/>
          <w:lang w:eastAsia="es-EC"/>
        </w:rPr>
      </w:pPr>
      <w:r>
        <w:rPr>
          <w:rFonts w:cstheme="minorHAnsi"/>
          <w:b/>
          <w:bCs/>
          <w:caps/>
          <w:szCs w:val="20"/>
        </w:rPr>
        <w:fldChar w:fldCharType="begin"/>
      </w:r>
      <w:r>
        <w:rPr>
          <w:rFonts w:cstheme="minorHAnsi"/>
          <w:b/>
          <w:bCs/>
          <w:caps/>
          <w:szCs w:val="20"/>
        </w:rPr>
        <w:instrText xml:space="preserve"> TOC \h \z \c "Tabla" </w:instrText>
      </w:r>
      <w:r>
        <w:rPr>
          <w:rFonts w:cstheme="minorHAnsi"/>
          <w:b/>
          <w:bCs/>
          <w:caps/>
          <w:szCs w:val="20"/>
        </w:rPr>
        <w:fldChar w:fldCharType="separate"/>
      </w:r>
      <w:hyperlink w:anchor="_Toc12543950" w:history="1">
        <w:r w:rsidR="00E73166" w:rsidRPr="0047507A">
          <w:rPr>
            <w:rStyle w:val="Hipervnculo"/>
            <w:noProof/>
          </w:rPr>
          <w:t>Tabla 1. Información Básica de la Vicepresidencia de la República.</w:t>
        </w:r>
        <w:r w:rsidR="00E73166">
          <w:rPr>
            <w:noProof/>
            <w:webHidden/>
          </w:rPr>
          <w:tab/>
        </w:r>
        <w:r w:rsidR="00E73166">
          <w:rPr>
            <w:noProof/>
            <w:webHidden/>
          </w:rPr>
          <w:fldChar w:fldCharType="begin"/>
        </w:r>
        <w:r w:rsidR="00E73166">
          <w:rPr>
            <w:noProof/>
            <w:webHidden/>
          </w:rPr>
          <w:instrText xml:space="preserve"> PAGEREF _Toc12543950 \h </w:instrText>
        </w:r>
        <w:r w:rsidR="00E73166">
          <w:rPr>
            <w:noProof/>
            <w:webHidden/>
          </w:rPr>
        </w:r>
        <w:r w:rsidR="00E73166">
          <w:rPr>
            <w:noProof/>
            <w:webHidden/>
          </w:rPr>
          <w:fldChar w:fldCharType="separate"/>
        </w:r>
        <w:r w:rsidR="00E73166">
          <w:rPr>
            <w:noProof/>
            <w:webHidden/>
          </w:rPr>
          <w:t>1</w:t>
        </w:r>
        <w:r w:rsidR="00E73166">
          <w:rPr>
            <w:noProof/>
            <w:webHidden/>
          </w:rPr>
          <w:fldChar w:fldCharType="end"/>
        </w:r>
      </w:hyperlink>
    </w:p>
    <w:p w14:paraId="4505C3BE" w14:textId="61A5C378" w:rsidR="00E73166" w:rsidRDefault="00E73166">
      <w:pPr>
        <w:pStyle w:val="Tabladeilustraciones"/>
        <w:tabs>
          <w:tab w:val="right" w:leader="dot" w:pos="9060"/>
        </w:tabs>
        <w:rPr>
          <w:rFonts w:eastAsiaTheme="minorEastAsia"/>
          <w:noProof/>
          <w:spacing w:val="0"/>
          <w:sz w:val="22"/>
          <w:lang w:eastAsia="es-EC"/>
        </w:rPr>
      </w:pPr>
      <w:hyperlink w:anchor="_Toc12543951" w:history="1">
        <w:r w:rsidRPr="0047507A">
          <w:rPr>
            <w:rStyle w:val="Hipervnculo"/>
            <w:noProof/>
          </w:rPr>
          <w:t>Tabla 2. Información Básica del Programa</w:t>
        </w:r>
        <w:r>
          <w:rPr>
            <w:noProof/>
            <w:webHidden/>
          </w:rPr>
          <w:tab/>
        </w:r>
        <w:r>
          <w:rPr>
            <w:noProof/>
            <w:webHidden/>
          </w:rPr>
          <w:fldChar w:fldCharType="begin"/>
        </w:r>
        <w:r>
          <w:rPr>
            <w:noProof/>
            <w:webHidden/>
          </w:rPr>
          <w:instrText xml:space="preserve"> PAGEREF _Toc12543951 \h </w:instrText>
        </w:r>
        <w:r>
          <w:rPr>
            <w:noProof/>
            <w:webHidden/>
          </w:rPr>
        </w:r>
        <w:r>
          <w:rPr>
            <w:noProof/>
            <w:webHidden/>
          </w:rPr>
          <w:fldChar w:fldCharType="separate"/>
        </w:r>
        <w:r>
          <w:rPr>
            <w:noProof/>
            <w:webHidden/>
          </w:rPr>
          <w:t>2</w:t>
        </w:r>
        <w:r>
          <w:rPr>
            <w:noProof/>
            <w:webHidden/>
          </w:rPr>
          <w:fldChar w:fldCharType="end"/>
        </w:r>
      </w:hyperlink>
    </w:p>
    <w:p w14:paraId="093316D6" w14:textId="5A23A2E4" w:rsidR="00E73166" w:rsidRDefault="00E73166">
      <w:pPr>
        <w:pStyle w:val="Tabladeilustraciones"/>
        <w:tabs>
          <w:tab w:val="right" w:leader="dot" w:pos="9060"/>
        </w:tabs>
        <w:rPr>
          <w:rFonts w:eastAsiaTheme="minorEastAsia"/>
          <w:noProof/>
          <w:spacing w:val="0"/>
          <w:sz w:val="22"/>
          <w:lang w:eastAsia="es-EC"/>
        </w:rPr>
      </w:pPr>
      <w:hyperlink w:anchor="_Toc12543952" w:history="1">
        <w:r w:rsidRPr="0047507A">
          <w:rPr>
            <w:rStyle w:val="Hipervnculo"/>
            <w:noProof/>
          </w:rPr>
          <w:t>Tabla 4. Acciones Básicas de Fortalecimiento Institucional Identificadas para la Ejecución del Programa</w:t>
        </w:r>
        <w:r>
          <w:rPr>
            <w:noProof/>
            <w:webHidden/>
          </w:rPr>
          <w:tab/>
        </w:r>
        <w:r>
          <w:rPr>
            <w:noProof/>
            <w:webHidden/>
          </w:rPr>
          <w:fldChar w:fldCharType="begin"/>
        </w:r>
        <w:r>
          <w:rPr>
            <w:noProof/>
            <w:webHidden/>
          </w:rPr>
          <w:instrText xml:space="preserve"> PAGEREF _Toc12543952 \h </w:instrText>
        </w:r>
        <w:r>
          <w:rPr>
            <w:noProof/>
            <w:webHidden/>
          </w:rPr>
        </w:r>
        <w:r>
          <w:rPr>
            <w:noProof/>
            <w:webHidden/>
          </w:rPr>
          <w:fldChar w:fldCharType="separate"/>
        </w:r>
        <w:r>
          <w:rPr>
            <w:noProof/>
            <w:webHidden/>
          </w:rPr>
          <w:t>1</w:t>
        </w:r>
        <w:r>
          <w:rPr>
            <w:noProof/>
            <w:webHidden/>
          </w:rPr>
          <w:fldChar w:fldCharType="end"/>
        </w:r>
      </w:hyperlink>
    </w:p>
    <w:p w14:paraId="07FFB5CF" w14:textId="1E02D4DB" w:rsidR="00E73166" w:rsidRDefault="00E73166">
      <w:pPr>
        <w:pStyle w:val="Tabladeilustraciones"/>
        <w:tabs>
          <w:tab w:val="right" w:leader="dot" w:pos="9060"/>
        </w:tabs>
        <w:rPr>
          <w:rFonts w:eastAsiaTheme="minorEastAsia"/>
          <w:noProof/>
          <w:spacing w:val="0"/>
          <w:sz w:val="22"/>
          <w:lang w:eastAsia="es-EC"/>
        </w:rPr>
      </w:pPr>
      <w:hyperlink w:anchor="_Toc12543953" w:history="1">
        <w:r w:rsidRPr="0047507A">
          <w:rPr>
            <w:rStyle w:val="Hipervnculo"/>
            <w:noProof/>
          </w:rPr>
          <w:t>Tabla 5. Análisis Condiciones de Ejecutabilidad</w:t>
        </w:r>
        <w:r>
          <w:rPr>
            <w:noProof/>
            <w:webHidden/>
          </w:rPr>
          <w:tab/>
        </w:r>
        <w:r>
          <w:rPr>
            <w:noProof/>
            <w:webHidden/>
          </w:rPr>
          <w:fldChar w:fldCharType="begin"/>
        </w:r>
        <w:r>
          <w:rPr>
            <w:noProof/>
            <w:webHidden/>
          </w:rPr>
          <w:instrText xml:space="preserve"> PAGEREF _Toc12543953 \h </w:instrText>
        </w:r>
        <w:r>
          <w:rPr>
            <w:noProof/>
            <w:webHidden/>
          </w:rPr>
        </w:r>
        <w:r>
          <w:rPr>
            <w:noProof/>
            <w:webHidden/>
          </w:rPr>
          <w:fldChar w:fldCharType="separate"/>
        </w:r>
        <w:r>
          <w:rPr>
            <w:noProof/>
            <w:webHidden/>
          </w:rPr>
          <w:t>2</w:t>
        </w:r>
        <w:r>
          <w:rPr>
            <w:noProof/>
            <w:webHidden/>
          </w:rPr>
          <w:fldChar w:fldCharType="end"/>
        </w:r>
      </w:hyperlink>
    </w:p>
    <w:p w14:paraId="77EE8429" w14:textId="26887DC6" w:rsidR="00E73166" w:rsidRDefault="00E73166">
      <w:pPr>
        <w:pStyle w:val="Tabladeilustraciones"/>
        <w:tabs>
          <w:tab w:val="right" w:leader="dot" w:pos="9060"/>
        </w:tabs>
        <w:rPr>
          <w:rFonts w:eastAsiaTheme="minorEastAsia"/>
          <w:noProof/>
          <w:spacing w:val="0"/>
          <w:sz w:val="22"/>
          <w:lang w:eastAsia="es-EC"/>
        </w:rPr>
      </w:pPr>
      <w:hyperlink w:anchor="_Toc12543954" w:history="1">
        <w:r w:rsidRPr="0047507A">
          <w:rPr>
            <w:rStyle w:val="Hipervnculo"/>
            <w:noProof/>
          </w:rPr>
          <w:t>Tabla 5. Identificación de requerimiento de fortalecimiento para la ejecución – análisis causa efecto</w:t>
        </w:r>
        <w:r>
          <w:rPr>
            <w:noProof/>
            <w:webHidden/>
          </w:rPr>
          <w:tab/>
        </w:r>
        <w:r>
          <w:rPr>
            <w:noProof/>
            <w:webHidden/>
          </w:rPr>
          <w:fldChar w:fldCharType="begin"/>
        </w:r>
        <w:r>
          <w:rPr>
            <w:noProof/>
            <w:webHidden/>
          </w:rPr>
          <w:instrText xml:space="preserve"> PAGEREF _Toc12543954 \h </w:instrText>
        </w:r>
        <w:r>
          <w:rPr>
            <w:noProof/>
            <w:webHidden/>
          </w:rPr>
        </w:r>
        <w:r>
          <w:rPr>
            <w:noProof/>
            <w:webHidden/>
          </w:rPr>
          <w:fldChar w:fldCharType="separate"/>
        </w:r>
        <w:r>
          <w:rPr>
            <w:noProof/>
            <w:webHidden/>
          </w:rPr>
          <w:t>10</w:t>
        </w:r>
        <w:r>
          <w:rPr>
            <w:noProof/>
            <w:webHidden/>
          </w:rPr>
          <w:fldChar w:fldCharType="end"/>
        </w:r>
      </w:hyperlink>
    </w:p>
    <w:p w14:paraId="1451216B" w14:textId="6BF276D2" w:rsidR="00E73166" w:rsidRDefault="00E73166">
      <w:pPr>
        <w:pStyle w:val="Tabladeilustraciones"/>
        <w:tabs>
          <w:tab w:val="right" w:leader="dot" w:pos="9060"/>
        </w:tabs>
        <w:rPr>
          <w:rFonts w:eastAsiaTheme="minorEastAsia"/>
          <w:noProof/>
          <w:spacing w:val="0"/>
          <w:sz w:val="22"/>
          <w:lang w:eastAsia="es-EC"/>
        </w:rPr>
      </w:pPr>
      <w:hyperlink w:anchor="_Toc12543955" w:history="1">
        <w:r w:rsidRPr="0047507A">
          <w:rPr>
            <w:rStyle w:val="Hipervnculo"/>
            <w:noProof/>
          </w:rPr>
          <w:t>Tabla 7. Proyectos de inversión ejecutados por la VPR registrados en el SIPeIP</w:t>
        </w:r>
        <w:r>
          <w:rPr>
            <w:noProof/>
            <w:webHidden/>
          </w:rPr>
          <w:tab/>
        </w:r>
        <w:r>
          <w:rPr>
            <w:noProof/>
            <w:webHidden/>
          </w:rPr>
          <w:fldChar w:fldCharType="begin"/>
        </w:r>
        <w:r>
          <w:rPr>
            <w:noProof/>
            <w:webHidden/>
          </w:rPr>
          <w:instrText xml:space="preserve"> PAGEREF _Toc12543955 \h </w:instrText>
        </w:r>
        <w:r>
          <w:rPr>
            <w:noProof/>
            <w:webHidden/>
          </w:rPr>
        </w:r>
        <w:r>
          <w:rPr>
            <w:noProof/>
            <w:webHidden/>
          </w:rPr>
          <w:fldChar w:fldCharType="separate"/>
        </w:r>
        <w:r>
          <w:rPr>
            <w:noProof/>
            <w:webHidden/>
          </w:rPr>
          <w:t>13</w:t>
        </w:r>
        <w:r>
          <w:rPr>
            <w:noProof/>
            <w:webHidden/>
          </w:rPr>
          <w:fldChar w:fldCharType="end"/>
        </w:r>
      </w:hyperlink>
    </w:p>
    <w:p w14:paraId="077BB78D" w14:textId="46714F7B" w:rsidR="00E73166" w:rsidRDefault="00E73166">
      <w:pPr>
        <w:pStyle w:val="Tabladeilustraciones"/>
        <w:tabs>
          <w:tab w:val="right" w:leader="dot" w:pos="9060"/>
        </w:tabs>
        <w:rPr>
          <w:rFonts w:eastAsiaTheme="minorEastAsia"/>
          <w:noProof/>
          <w:spacing w:val="0"/>
          <w:sz w:val="22"/>
          <w:lang w:eastAsia="es-EC"/>
        </w:rPr>
      </w:pPr>
      <w:hyperlink w:anchor="_Toc12543956" w:history="1">
        <w:r w:rsidRPr="0047507A">
          <w:rPr>
            <w:rStyle w:val="Hipervnculo"/>
            <w:noProof/>
          </w:rPr>
          <w:t>Tabla 6. Proyectos ejecutados por la VPR registrados en el GPR (proyectos internos VPR- no se tiene CUP)</w:t>
        </w:r>
        <w:r>
          <w:rPr>
            <w:noProof/>
            <w:webHidden/>
          </w:rPr>
          <w:tab/>
        </w:r>
        <w:r>
          <w:rPr>
            <w:noProof/>
            <w:webHidden/>
          </w:rPr>
          <w:fldChar w:fldCharType="begin"/>
        </w:r>
        <w:r>
          <w:rPr>
            <w:noProof/>
            <w:webHidden/>
          </w:rPr>
          <w:instrText xml:space="preserve"> PAGEREF _Toc12543956 \h </w:instrText>
        </w:r>
        <w:r>
          <w:rPr>
            <w:noProof/>
            <w:webHidden/>
          </w:rPr>
        </w:r>
        <w:r>
          <w:rPr>
            <w:noProof/>
            <w:webHidden/>
          </w:rPr>
          <w:fldChar w:fldCharType="separate"/>
        </w:r>
        <w:r>
          <w:rPr>
            <w:noProof/>
            <w:webHidden/>
          </w:rPr>
          <w:t>14</w:t>
        </w:r>
        <w:r>
          <w:rPr>
            <w:noProof/>
            <w:webHidden/>
          </w:rPr>
          <w:fldChar w:fldCharType="end"/>
        </w:r>
      </w:hyperlink>
    </w:p>
    <w:p w14:paraId="6AD38790" w14:textId="22E3E235" w:rsidR="007D56FA" w:rsidRDefault="00E87FE6" w:rsidP="007D56FA">
      <w:pPr>
        <w:jc w:val="left"/>
        <w:rPr>
          <w:rFonts w:cstheme="minorHAnsi"/>
          <w:b/>
          <w:bCs/>
          <w:caps/>
          <w:szCs w:val="20"/>
        </w:rPr>
      </w:pPr>
      <w:r>
        <w:rPr>
          <w:rFonts w:cstheme="minorHAnsi"/>
          <w:b/>
          <w:bCs/>
          <w:caps/>
          <w:szCs w:val="20"/>
        </w:rPr>
        <w:fldChar w:fldCharType="end"/>
      </w:r>
      <w:r w:rsidR="007D56FA" w:rsidRPr="007D56FA">
        <w:rPr>
          <w:rFonts w:cstheme="minorHAnsi"/>
          <w:b/>
          <w:bCs/>
          <w:caps/>
          <w:szCs w:val="20"/>
        </w:rPr>
        <w:t xml:space="preserve"> </w:t>
      </w:r>
    </w:p>
    <w:p w14:paraId="5004989F" w14:textId="77777777" w:rsidR="00BC1617" w:rsidRDefault="00BC1617" w:rsidP="007D56FA">
      <w:pPr>
        <w:jc w:val="left"/>
        <w:rPr>
          <w:rFonts w:cstheme="minorHAnsi"/>
          <w:b/>
          <w:bCs/>
          <w:caps/>
          <w:szCs w:val="20"/>
        </w:rPr>
      </w:pPr>
    </w:p>
    <w:p w14:paraId="3EFD9A77" w14:textId="16D72352" w:rsidR="002B3E2E" w:rsidRDefault="002B3E2E" w:rsidP="007D56FA">
      <w:pPr>
        <w:jc w:val="left"/>
        <w:rPr>
          <w:rFonts w:cstheme="minorHAnsi"/>
          <w:b/>
          <w:bCs/>
          <w:caps/>
          <w:szCs w:val="20"/>
        </w:rPr>
      </w:pPr>
      <w:r>
        <w:rPr>
          <w:rFonts w:cstheme="minorHAnsi"/>
          <w:b/>
          <w:bCs/>
          <w:caps/>
          <w:szCs w:val="20"/>
        </w:rPr>
        <w:br w:type="page"/>
      </w:r>
    </w:p>
    <w:p w14:paraId="221B8DF7" w14:textId="77777777" w:rsidR="002B3E2E" w:rsidRDefault="002B3E2E" w:rsidP="002B3E2E">
      <w:pPr>
        <w:pStyle w:val="Ttulo1"/>
        <w:numPr>
          <w:ilvl w:val="0"/>
          <w:numId w:val="0"/>
        </w:numPr>
        <w:ind w:left="360"/>
      </w:pPr>
      <w:bookmarkStart w:id="1" w:name="_Toc442905262"/>
      <w:bookmarkStart w:id="2" w:name="_Toc12543938"/>
      <w:r>
        <w:lastRenderedPageBreak/>
        <w:t>ABREVIATURAS</w:t>
      </w:r>
      <w:bookmarkEnd w:id="1"/>
      <w:bookmarkEnd w:id="2"/>
    </w:p>
    <w:tbl>
      <w:tblPr>
        <w:tblStyle w:val="Tablaconcuadrcula"/>
        <w:tblW w:w="8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701"/>
        <w:gridCol w:w="7218"/>
      </w:tblGrid>
      <w:tr w:rsidR="00151697" w:rsidRPr="006904CD" w14:paraId="4093FD3C" w14:textId="77777777" w:rsidTr="009140F9">
        <w:trPr>
          <w:trHeight w:val="20"/>
        </w:trPr>
        <w:tc>
          <w:tcPr>
            <w:tcW w:w="1701" w:type="dxa"/>
            <w:shd w:val="clear" w:color="auto" w:fill="auto"/>
            <w:vAlign w:val="center"/>
          </w:tcPr>
          <w:p w14:paraId="534BB27D" w14:textId="60ED3245" w:rsidR="00151697" w:rsidRPr="006904CD" w:rsidRDefault="00151697" w:rsidP="00151697">
            <w:pPr>
              <w:pStyle w:val="Sinespaciado"/>
              <w:jc w:val="left"/>
              <w:rPr>
                <w:rFonts w:ascii="Arial Narrow" w:hAnsi="Arial Narrow"/>
                <w:lang w:eastAsia="es-EC"/>
              </w:rPr>
            </w:pPr>
            <w:r>
              <w:rPr>
                <w:rFonts w:ascii="Arial Narrow" w:hAnsi="Arial Narrow"/>
                <w:lang w:eastAsia="es-EC"/>
              </w:rPr>
              <w:t xml:space="preserve">ACI </w:t>
            </w:r>
          </w:p>
        </w:tc>
        <w:tc>
          <w:tcPr>
            <w:tcW w:w="7218" w:type="dxa"/>
            <w:shd w:val="clear" w:color="auto" w:fill="auto"/>
            <w:vAlign w:val="center"/>
          </w:tcPr>
          <w:p w14:paraId="1A0B5A4D" w14:textId="210EE2FE" w:rsidR="00151697" w:rsidRPr="006904CD" w:rsidRDefault="00151697" w:rsidP="00151697">
            <w:pPr>
              <w:pStyle w:val="Sinespaciado"/>
              <w:jc w:val="left"/>
              <w:rPr>
                <w:rFonts w:ascii="Arial Narrow" w:hAnsi="Arial Narrow"/>
                <w:szCs w:val="20"/>
              </w:rPr>
            </w:pPr>
            <w:r>
              <w:rPr>
                <w:rFonts w:ascii="Arial Narrow" w:hAnsi="Arial Narrow"/>
                <w:szCs w:val="20"/>
              </w:rPr>
              <w:t xml:space="preserve">Análisis de Capacidad Institucional </w:t>
            </w:r>
          </w:p>
        </w:tc>
      </w:tr>
      <w:tr w:rsidR="00151697" w:rsidRPr="006904CD" w14:paraId="786C03CD" w14:textId="77777777" w:rsidTr="009140F9">
        <w:trPr>
          <w:trHeight w:val="20"/>
        </w:trPr>
        <w:tc>
          <w:tcPr>
            <w:tcW w:w="1701" w:type="dxa"/>
            <w:shd w:val="clear" w:color="auto" w:fill="auto"/>
            <w:vAlign w:val="center"/>
          </w:tcPr>
          <w:p w14:paraId="4555322C" w14:textId="62DACEED" w:rsidR="00151697" w:rsidRDefault="00151697" w:rsidP="00151697">
            <w:pPr>
              <w:pStyle w:val="Sinespaciado"/>
              <w:jc w:val="left"/>
              <w:rPr>
                <w:rFonts w:ascii="Arial Narrow" w:hAnsi="Arial Narrow"/>
                <w:lang w:eastAsia="es-EC"/>
              </w:rPr>
            </w:pPr>
            <w:r>
              <w:rPr>
                <w:rFonts w:ascii="Arial Narrow" w:hAnsi="Arial Narrow"/>
                <w:lang w:eastAsia="es-EC"/>
              </w:rPr>
              <w:t>BCE</w:t>
            </w:r>
          </w:p>
        </w:tc>
        <w:tc>
          <w:tcPr>
            <w:tcW w:w="7218" w:type="dxa"/>
            <w:shd w:val="clear" w:color="auto" w:fill="auto"/>
            <w:vAlign w:val="center"/>
          </w:tcPr>
          <w:p w14:paraId="70729FDE" w14:textId="7F4132E2" w:rsidR="00151697" w:rsidRDefault="00151697" w:rsidP="00151697">
            <w:pPr>
              <w:pStyle w:val="Sinespaciado"/>
              <w:jc w:val="left"/>
              <w:rPr>
                <w:rFonts w:ascii="Arial Narrow" w:hAnsi="Arial Narrow"/>
                <w:szCs w:val="20"/>
              </w:rPr>
            </w:pPr>
            <w:r>
              <w:rPr>
                <w:rFonts w:ascii="Arial Narrow" w:hAnsi="Arial Narrow"/>
                <w:szCs w:val="20"/>
              </w:rPr>
              <w:t>Banco Central del Ecuador</w:t>
            </w:r>
          </w:p>
        </w:tc>
      </w:tr>
      <w:tr w:rsidR="00151697" w:rsidRPr="006904CD" w14:paraId="4AC56628" w14:textId="77777777" w:rsidTr="009140F9">
        <w:trPr>
          <w:trHeight w:val="20"/>
        </w:trPr>
        <w:tc>
          <w:tcPr>
            <w:tcW w:w="1701" w:type="dxa"/>
            <w:shd w:val="clear" w:color="auto" w:fill="auto"/>
            <w:vAlign w:val="center"/>
          </w:tcPr>
          <w:p w14:paraId="0866C8A8" w14:textId="77777777" w:rsidR="00151697" w:rsidRPr="006904CD" w:rsidRDefault="00151697" w:rsidP="00151697">
            <w:pPr>
              <w:pStyle w:val="Sinespaciado"/>
              <w:jc w:val="left"/>
              <w:rPr>
                <w:rFonts w:ascii="Arial Narrow" w:hAnsi="Arial Narrow"/>
                <w:lang w:eastAsia="es-EC"/>
              </w:rPr>
            </w:pPr>
            <w:r w:rsidRPr="006904CD">
              <w:rPr>
                <w:rFonts w:ascii="Arial Narrow" w:hAnsi="Arial Narrow"/>
                <w:lang w:eastAsia="es-EC"/>
              </w:rPr>
              <w:t>BID</w:t>
            </w:r>
          </w:p>
        </w:tc>
        <w:tc>
          <w:tcPr>
            <w:tcW w:w="7218" w:type="dxa"/>
            <w:shd w:val="clear" w:color="auto" w:fill="auto"/>
            <w:vAlign w:val="center"/>
          </w:tcPr>
          <w:p w14:paraId="6A2C910C" w14:textId="77777777" w:rsidR="00151697" w:rsidRPr="006904CD" w:rsidRDefault="00151697" w:rsidP="00151697">
            <w:pPr>
              <w:pStyle w:val="Default"/>
              <w:rPr>
                <w:rFonts w:ascii="Arial Narrow" w:hAnsi="Arial Narrow"/>
                <w:lang w:eastAsia="es-EC"/>
              </w:rPr>
            </w:pPr>
            <w:r w:rsidRPr="006904CD">
              <w:rPr>
                <w:rFonts w:ascii="Arial Narrow" w:hAnsi="Arial Narrow"/>
                <w:sz w:val="20"/>
                <w:szCs w:val="20"/>
              </w:rPr>
              <w:t xml:space="preserve">Banco Interamericano de Desarrollo </w:t>
            </w:r>
          </w:p>
        </w:tc>
      </w:tr>
      <w:tr w:rsidR="00151697" w:rsidRPr="006904CD" w14:paraId="6FD84E01" w14:textId="77777777" w:rsidTr="009140F9">
        <w:trPr>
          <w:trHeight w:val="20"/>
        </w:trPr>
        <w:tc>
          <w:tcPr>
            <w:tcW w:w="1701" w:type="dxa"/>
            <w:shd w:val="clear" w:color="auto" w:fill="auto"/>
            <w:vAlign w:val="center"/>
          </w:tcPr>
          <w:p w14:paraId="029B8865" w14:textId="6A310DCD" w:rsidR="00151697" w:rsidRPr="006904CD" w:rsidRDefault="00151697" w:rsidP="00151697">
            <w:pPr>
              <w:pStyle w:val="Sinespaciado"/>
              <w:jc w:val="left"/>
              <w:rPr>
                <w:rFonts w:ascii="Arial Narrow" w:hAnsi="Arial Narrow"/>
                <w:lang w:eastAsia="es-EC"/>
              </w:rPr>
            </w:pPr>
            <w:r w:rsidRPr="004C78C6">
              <w:rPr>
                <w:rFonts w:ascii="Arial Narrow" w:hAnsi="Arial Narrow"/>
                <w:lang w:eastAsia="es-EC"/>
              </w:rPr>
              <w:t>CGE</w:t>
            </w:r>
          </w:p>
        </w:tc>
        <w:tc>
          <w:tcPr>
            <w:tcW w:w="7218" w:type="dxa"/>
            <w:shd w:val="clear" w:color="auto" w:fill="auto"/>
            <w:vAlign w:val="center"/>
          </w:tcPr>
          <w:p w14:paraId="23CC4DFB" w14:textId="0D343BA9" w:rsidR="00151697" w:rsidRPr="006904CD" w:rsidRDefault="00151697" w:rsidP="00151697">
            <w:pPr>
              <w:pStyle w:val="Default"/>
              <w:rPr>
                <w:rFonts w:ascii="Arial Narrow" w:hAnsi="Arial Narrow"/>
                <w:sz w:val="20"/>
                <w:szCs w:val="20"/>
              </w:rPr>
            </w:pPr>
            <w:r w:rsidRPr="004C78C6">
              <w:rPr>
                <w:rFonts w:ascii="Arial Narrow" w:hAnsi="Arial Narrow"/>
                <w:sz w:val="20"/>
                <w:szCs w:val="20"/>
              </w:rPr>
              <w:t>Contraloría General del Estado</w:t>
            </w:r>
          </w:p>
        </w:tc>
      </w:tr>
      <w:tr w:rsidR="00E73166" w:rsidRPr="006904CD" w14:paraId="67AB0BB7" w14:textId="77777777" w:rsidTr="009140F9">
        <w:trPr>
          <w:trHeight w:val="20"/>
        </w:trPr>
        <w:tc>
          <w:tcPr>
            <w:tcW w:w="1701" w:type="dxa"/>
            <w:shd w:val="clear" w:color="auto" w:fill="auto"/>
            <w:vAlign w:val="center"/>
          </w:tcPr>
          <w:p w14:paraId="30CFD2CF" w14:textId="25446278" w:rsidR="00E73166" w:rsidRPr="004C78C6" w:rsidRDefault="00E73166" w:rsidP="00151697">
            <w:pPr>
              <w:pStyle w:val="Sinespaciado"/>
              <w:jc w:val="left"/>
              <w:rPr>
                <w:rFonts w:ascii="Arial Narrow" w:hAnsi="Arial Narrow"/>
                <w:lang w:eastAsia="es-EC"/>
              </w:rPr>
            </w:pPr>
            <w:r>
              <w:rPr>
                <w:rFonts w:ascii="Arial Narrow" w:hAnsi="Arial Narrow"/>
                <w:lang w:eastAsia="es-EC"/>
              </w:rPr>
              <w:t>CNC</w:t>
            </w:r>
          </w:p>
        </w:tc>
        <w:tc>
          <w:tcPr>
            <w:tcW w:w="7218" w:type="dxa"/>
            <w:shd w:val="clear" w:color="auto" w:fill="auto"/>
            <w:vAlign w:val="center"/>
          </w:tcPr>
          <w:p w14:paraId="2FD70A18" w14:textId="75C34921" w:rsidR="00E73166" w:rsidRPr="004C78C6" w:rsidRDefault="00E73166" w:rsidP="00151697">
            <w:pPr>
              <w:pStyle w:val="Default"/>
              <w:rPr>
                <w:rFonts w:ascii="Arial Narrow" w:hAnsi="Arial Narrow"/>
                <w:sz w:val="20"/>
                <w:szCs w:val="20"/>
              </w:rPr>
            </w:pPr>
            <w:r>
              <w:rPr>
                <w:rFonts w:ascii="Arial Narrow" w:hAnsi="Arial Narrow"/>
                <w:sz w:val="20"/>
                <w:szCs w:val="20"/>
              </w:rPr>
              <w:t>Consejo Nacional de Competitividad</w:t>
            </w:r>
          </w:p>
        </w:tc>
      </w:tr>
      <w:tr w:rsidR="00151697" w:rsidRPr="006904CD" w14:paraId="73017D04" w14:textId="77777777" w:rsidTr="009140F9">
        <w:trPr>
          <w:trHeight w:val="20"/>
        </w:trPr>
        <w:tc>
          <w:tcPr>
            <w:tcW w:w="1701" w:type="dxa"/>
            <w:shd w:val="clear" w:color="auto" w:fill="auto"/>
            <w:vAlign w:val="center"/>
          </w:tcPr>
          <w:p w14:paraId="148C8A4F" w14:textId="48236037" w:rsidR="00151697" w:rsidRPr="006904CD" w:rsidRDefault="00151697" w:rsidP="00151697">
            <w:pPr>
              <w:pStyle w:val="Sinespaciado"/>
              <w:jc w:val="left"/>
              <w:rPr>
                <w:rFonts w:ascii="Arial Narrow" w:hAnsi="Arial Narrow"/>
                <w:lang w:eastAsia="es-EC"/>
              </w:rPr>
            </w:pPr>
            <w:r w:rsidRPr="00D3130A">
              <w:rPr>
                <w:rFonts w:ascii="Arial Narrow" w:hAnsi="Arial Narrow"/>
                <w:lang w:eastAsia="es-EC"/>
              </w:rPr>
              <w:t>C</w:t>
            </w:r>
            <w:r w:rsidR="00E73166">
              <w:rPr>
                <w:rFonts w:ascii="Arial Narrow" w:hAnsi="Arial Narrow"/>
                <w:lang w:eastAsia="es-EC"/>
              </w:rPr>
              <w:t>O</w:t>
            </w:r>
            <w:r w:rsidRPr="00D3130A">
              <w:rPr>
                <w:rFonts w:ascii="Arial Narrow" w:hAnsi="Arial Narrow"/>
                <w:lang w:eastAsia="es-EC"/>
              </w:rPr>
              <w:t>PFP</w:t>
            </w:r>
          </w:p>
        </w:tc>
        <w:tc>
          <w:tcPr>
            <w:tcW w:w="7218" w:type="dxa"/>
            <w:shd w:val="clear" w:color="auto" w:fill="auto"/>
            <w:vAlign w:val="center"/>
          </w:tcPr>
          <w:p w14:paraId="6EA2B4DD" w14:textId="648D669F" w:rsidR="00151697" w:rsidRPr="006904CD" w:rsidRDefault="00151697" w:rsidP="00151697">
            <w:pPr>
              <w:pStyle w:val="Default"/>
              <w:rPr>
                <w:rFonts w:ascii="Arial Narrow" w:hAnsi="Arial Narrow"/>
                <w:sz w:val="20"/>
                <w:szCs w:val="20"/>
              </w:rPr>
            </w:pPr>
            <w:r w:rsidRPr="004C78C6">
              <w:rPr>
                <w:rFonts w:ascii="Arial Narrow" w:hAnsi="Arial Narrow"/>
                <w:sz w:val="20"/>
                <w:szCs w:val="20"/>
              </w:rPr>
              <w:t>Código Orgánico de Planificación y Finanzas Públicas</w:t>
            </w:r>
          </w:p>
        </w:tc>
      </w:tr>
      <w:tr w:rsidR="00106D1D" w:rsidRPr="006904CD" w14:paraId="30A5CD4A" w14:textId="77777777" w:rsidTr="009140F9">
        <w:trPr>
          <w:trHeight w:val="20"/>
        </w:trPr>
        <w:tc>
          <w:tcPr>
            <w:tcW w:w="1701" w:type="dxa"/>
            <w:shd w:val="clear" w:color="auto" w:fill="auto"/>
            <w:vAlign w:val="center"/>
          </w:tcPr>
          <w:p w14:paraId="009BE8D1" w14:textId="215C5760" w:rsidR="00106D1D" w:rsidRPr="00D3130A" w:rsidRDefault="00106D1D" w:rsidP="00151697">
            <w:pPr>
              <w:pStyle w:val="Sinespaciado"/>
              <w:jc w:val="left"/>
              <w:rPr>
                <w:rFonts w:ascii="Arial Narrow" w:hAnsi="Arial Narrow"/>
                <w:lang w:eastAsia="es-EC"/>
              </w:rPr>
            </w:pPr>
            <w:r>
              <w:rPr>
                <w:rFonts w:ascii="Arial Narrow" w:hAnsi="Arial Narrow"/>
                <w:lang w:eastAsia="es-EC"/>
              </w:rPr>
              <w:t>EDG</w:t>
            </w:r>
          </w:p>
        </w:tc>
        <w:tc>
          <w:tcPr>
            <w:tcW w:w="7218" w:type="dxa"/>
            <w:shd w:val="clear" w:color="auto" w:fill="auto"/>
            <w:vAlign w:val="center"/>
          </w:tcPr>
          <w:p w14:paraId="783F54D1" w14:textId="2020F299" w:rsidR="00106D1D" w:rsidRPr="004C78C6" w:rsidRDefault="00106D1D" w:rsidP="00151697">
            <w:pPr>
              <w:pStyle w:val="Default"/>
              <w:rPr>
                <w:rFonts w:ascii="Arial Narrow" w:hAnsi="Arial Narrow"/>
                <w:sz w:val="20"/>
                <w:szCs w:val="20"/>
              </w:rPr>
            </w:pPr>
            <w:r>
              <w:rPr>
                <w:rFonts w:ascii="Arial Narrow" w:hAnsi="Arial Narrow"/>
                <w:sz w:val="20"/>
                <w:szCs w:val="20"/>
              </w:rPr>
              <w:t>Equipo de Gestión</w:t>
            </w:r>
          </w:p>
        </w:tc>
      </w:tr>
      <w:tr w:rsidR="00151697" w:rsidRPr="006904CD" w14:paraId="268C549A" w14:textId="77777777" w:rsidTr="009140F9">
        <w:trPr>
          <w:trHeight w:val="20"/>
        </w:trPr>
        <w:tc>
          <w:tcPr>
            <w:tcW w:w="1701" w:type="dxa"/>
            <w:shd w:val="clear" w:color="auto" w:fill="auto"/>
            <w:vAlign w:val="center"/>
          </w:tcPr>
          <w:p w14:paraId="7CA882B3" w14:textId="04A5C9C3" w:rsidR="00151697" w:rsidRPr="00825DB2" w:rsidRDefault="00151697" w:rsidP="00151697">
            <w:pPr>
              <w:pStyle w:val="Sinespaciado"/>
              <w:jc w:val="left"/>
            </w:pPr>
            <w:r w:rsidRPr="00FF5C8A">
              <w:t>e-Sigef</w:t>
            </w:r>
          </w:p>
        </w:tc>
        <w:tc>
          <w:tcPr>
            <w:tcW w:w="7218" w:type="dxa"/>
            <w:shd w:val="clear" w:color="auto" w:fill="auto"/>
            <w:vAlign w:val="center"/>
          </w:tcPr>
          <w:p w14:paraId="67AB0283" w14:textId="47B9FB84" w:rsidR="00151697" w:rsidRPr="004C78C6" w:rsidRDefault="00151697" w:rsidP="00151697">
            <w:pPr>
              <w:pStyle w:val="Default"/>
              <w:rPr>
                <w:rFonts w:ascii="Arial Narrow" w:hAnsi="Arial Narrow"/>
                <w:sz w:val="20"/>
                <w:szCs w:val="20"/>
              </w:rPr>
            </w:pPr>
            <w:r w:rsidRPr="00FF5C8A">
              <w:rPr>
                <w:rFonts w:ascii="Arial Narrow" w:hAnsi="Arial Narrow"/>
                <w:sz w:val="20"/>
                <w:szCs w:val="20"/>
              </w:rPr>
              <w:t>Sistema de Administración Financiera del Sector Público</w:t>
            </w:r>
          </w:p>
        </w:tc>
      </w:tr>
      <w:tr w:rsidR="00151697" w:rsidRPr="006904CD" w14:paraId="4EB232E3" w14:textId="77777777" w:rsidTr="009140F9">
        <w:trPr>
          <w:trHeight w:val="20"/>
        </w:trPr>
        <w:tc>
          <w:tcPr>
            <w:tcW w:w="1701" w:type="dxa"/>
            <w:shd w:val="clear" w:color="auto" w:fill="auto"/>
            <w:vAlign w:val="center"/>
          </w:tcPr>
          <w:p w14:paraId="6A0E0C69" w14:textId="2556FBB8" w:rsidR="00151697" w:rsidRPr="006904CD" w:rsidRDefault="00151697" w:rsidP="00151697">
            <w:pPr>
              <w:pStyle w:val="Default"/>
              <w:rPr>
                <w:rFonts w:ascii="Arial Narrow" w:hAnsi="Arial Narrow"/>
                <w:sz w:val="20"/>
                <w:szCs w:val="20"/>
              </w:rPr>
            </w:pPr>
            <w:r>
              <w:rPr>
                <w:rFonts w:ascii="Arial Narrow" w:hAnsi="Arial Narrow"/>
                <w:sz w:val="20"/>
                <w:szCs w:val="20"/>
              </w:rPr>
              <w:t>LOSNCP</w:t>
            </w:r>
          </w:p>
        </w:tc>
        <w:tc>
          <w:tcPr>
            <w:tcW w:w="7218" w:type="dxa"/>
            <w:shd w:val="clear" w:color="auto" w:fill="auto"/>
            <w:vAlign w:val="center"/>
          </w:tcPr>
          <w:p w14:paraId="37FF0D68" w14:textId="4EAEDA76" w:rsidR="00151697" w:rsidRPr="006904CD" w:rsidRDefault="00151697" w:rsidP="00151697">
            <w:pPr>
              <w:pStyle w:val="Default"/>
              <w:rPr>
                <w:rFonts w:ascii="Arial Narrow" w:hAnsi="Arial Narrow"/>
                <w:sz w:val="20"/>
                <w:szCs w:val="20"/>
              </w:rPr>
            </w:pPr>
            <w:r w:rsidRPr="004C78C6">
              <w:rPr>
                <w:rFonts w:ascii="Arial Narrow" w:hAnsi="Arial Narrow"/>
                <w:sz w:val="20"/>
                <w:szCs w:val="20"/>
              </w:rPr>
              <w:t>Ley Orgánica del Sistema Nacional de Contratación Pública</w:t>
            </w:r>
          </w:p>
        </w:tc>
      </w:tr>
      <w:tr w:rsidR="00EF2F1A" w:rsidRPr="006904CD" w14:paraId="5B655764" w14:textId="77777777" w:rsidTr="009140F9">
        <w:trPr>
          <w:trHeight w:val="20"/>
        </w:trPr>
        <w:tc>
          <w:tcPr>
            <w:tcW w:w="1701" w:type="dxa"/>
            <w:shd w:val="clear" w:color="auto" w:fill="auto"/>
            <w:vAlign w:val="center"/>
          </w:tcPr>
          <w:p w14:paraId="1FD02A5A" w14:textId="74EE4292" w:rsidR="00EF2F1A" w:rsidRDefault="00EF2F1A" w:rsidP="00151697">
            <w:pPr>
              <w:pStyle w:val="Default"/>
              <w:rPr>
                <w:rFonts w:ascii="Arial Narrow" w:hAnsi="Arial Narrow"/>
                <w:sz w:val="20"/>
                <w:szCs w:val="20"/>
              </w:rPr>
            </w:pPr>
            <w:r>
              <w:rPr>
                <w:rFonts w:ascii="Arial Narrow" w:hAnsi="Arial Narrow"/>
                <w:sz w:val="20"/>
                <w:szCs w:val="20"/>
              </w:rPr>
              <w:t>MEF</w:t>
            </w:r>
          </w:p>
        </w:tc>
        <w:tc>
          <w:tcPr>
            <w:tcW w:w="7218" w:type="dxa"/>
            <w:shd w:val="clear" w:color="auto" w:fill="auto"/>
            <w:vAlign w:val="center"/>
          </w:tcPr>
          <w:p w14:paraId="0FF59517" w14:textId="5DD62460" w:rsidR="00EF2F1A" w:rsidRDefault="00EF2F1A" w:rsidP="00151697">
            <w:pPr>
              <w:pStyle w:val="Default"/>
              <w:rPr>
                <w:rFonts w:ascii="Arial Narrow" w:hAnsi="Arial Narrow"/>
                <w:sz w:val="20"/>
                <w:szCs w:val="20"/>
              </w:rPr>
            </w:pPr>
            <w:r>
              <w:rPr>
                <w:rFonts w:ascii="Arial Narrow" w:hAnsi="Arial Narrow"/>
                <w:sz w:val="20"/>
                <w:szCs w:val="20"/>
              </w:rPr>
              <w:t>Ministerio de Economía y Finanzas</w:t>
            </w:r>
          </w:p>
        </w:tc>
      </w:tr>
      <w:tr w:rsidR="00151697" w:rsidRPr="006904CD" w14:paraId="07091292" w14:textId="77777777" w:rsidTr="009140F9">
        <w:trPr>
          <w:trHeight w:val="20"/>
        </w:trPr>
        <w:tc>
          <w:tcPr>
            <w:tcW w:w="1701" w:type="dxa"/>
            <w:shd w:val="clear" w:color="auto" w:fill="auto"/>
            <w:vAlign w:val="center"/>
          </w:tcPr>
          <w:p w14:paraId="2236A53E" w14:textId="77777777" w:rsidR="00151697" w:rsidRDefault="00151697" w:rsidP="00151697">
            <w:pPr>
              <w:pStyle w:val="Default"/>
              <w:rPr>
                <w:rFonts w:ascii="Arial Narrow" w:hAnsi="Arial Narrow"/>
                <w:sz w:val="20"/>
                <w:szCs w:val="20"/>
              </w:rPr>
            </w:pPr>
            <w:r>
              <w:rPr>
                <w:rFonts w:ascii="Arial Narrow" w:hAnsi="Arial Narrow"/>
                <w:sz w:val="20"/>
                <w:szCs w:val="20"/>
              </w:rPr>
              <w:t>OE</w:t>
            </w:r>
          </w:p>
        </w:tc>
        <w:tc>
          <w:tcPr>
            <w:tcW w:w="7218" w:type="dxa"/>
            <w:shd w:val="clear" w:color="auto" w:fill="auto"/>
            <w:vAlign w:val="center"/>
          </w:tcPr>
          <w:p w14:paraId="256DF97E" w14:textId="77777777" w:rsidR="00151697" w:rsidRDefault="00151697" w:rsidP="00151697">
            <w:pPr>
              <w:pStyle w:val="Default"/>
              <w:rPr>
                <w:rFonts w:ascii="Arial Narrow" w:hAnsi="Arial Narrow"/>
                <w:sz w:val="20"/>
                <w:szCs w:val="20"/>
              </w:rPr>
            </w:pPr>
            <w:r>
              <w:rPr>
                <w:rFonts w:ascii="Arial Narrow" w:hAnsi="Arial Narrow"/>
                <w:sz w:val="20"/>
                <w:szCs w:val="20"/>
              </w:rPr>
              <w:t>Organismo Ejecutor</w:t>
            </w:r>
          </w:p>
        </w:tc>
      </w:tr>
      <w:tr w:rsidR="00E73166" w:rsidRPr="006904CD" w14:paraId="2B4538DE" w14:textId="77777777" w:rsidTr="009140F9">
        <w:trPr>
          <w:trHeight w:val="20"/>
        </w:trPr>
        <w:tc>
          <w:tcPr>
            <w:tcW w:w="1701" w:type="dxa"/>
            <w:shd w:val="clear" w:color="auto" w:fill="auto"/>
            <w:vAlign w:val="center"/>
          </w:tcPr>
          <w:p w14:paraId="6654CC77" w14:textId="74A5A3E9" w:rsidR="00E73166" w:rsidRDefault="00E73166" w:rsidP="00151697">
            <w:pPr>
              <w:pStyle w:val="Default"/>
              <w:rPr>
                <w:rFonts w:ascii="Arial Narrow" w:hAnsi="Arial Narrow"/>
                <w:sz w:val="20"/>
                <w:szCs w:val="20"/>
              </w:rPr>
            </w:pPr>
            <w:r>
              <w:rPr>
                <w:rFonts w:ascii="Arial Narrow" w:hAnsi="Arial Narrow"/>
                <w:sz w:val="20"/>
                <w:szCs w:val="20"/>
              </w:rPr>
              <w:t>OSE</w:t>
            </w:r>
          </w:p>
        </w:tc>
        <w:tc>
          <w:tcPr>
            <w:tcW w:w="7218" w:type="dxa"/>
            <w:shd w:val="clear" w:color="auto" w:fill="auto"/>
            <w:vAlign w:val="center"/>
          </w:tcPr>
          <w:p w14:paraId="5E34D110" w14:textId="462716BE" w:rsidR="00E73166" w:rsidRDefault="00E73166" w:rsidP="00151697">
            <w:pPr>
              <w:pStyle w:val="Default"/>
              <w:rPr>
                <w:rFonts w:ascii="Arial Narrow" w:hAnsi="Arial Narrow"/>
                <w:sz w:val="20"/>
                <w:szCs w:val="20"/>
              </w:rPr>
            </w:pPr>
            <w:r>
              <w:rPr>
                <w:rFonts w:ascii="Arial Narrow" w:hAnsi="Arial Narrow"/>
                <w:sz w:val="20"/>
                <w:szCs w:val="20"/>
              </w:rPr>
              <w:t>Organismo Subejecutor</w:t>
            </w:r>
          </w:p>
        </w:tc>
      </w:tr>
      <w:tr w:rsidR="00151697" w:rsidRPr="006904CD" w14:paraId="3E0C591E" w14:textId="77777777" w:rsidTr="000614D3">
        <w:trPr>
          <w:trHeight w:val="20"/>
        </w:trPr>
        <w:tc>
          <w:tcPr>
            <w:tcW w:w="1701" w:type="dxa"/>
            <w:shd w:val="clear" w:color="auto" w:fill="auto"/>
            <w:vAlign w:val="center"/>
          </w:tcPr>
          <w:p w14:paraId="0701F7A4" w14:textId="77777777" w:rsidR="00151697" w:rsidRDefault="00151697" w:rsidP="00151697">
            <w:pPr>
              <w:pStyle w:val="Default"/>
              <w:rPr>
                <w:rFonts w:ascii="Arial Narrow" w:hAnsi="Arial Narrow"/>
                <w:sz w:val="20"/>
                <w:szCs w:val="20"/>
              </w:rPr>
            </w:pPr>
            <w:r>
              <w:rPr>
                <w:rFonts w:ascii="Arial Narrow" w:hAnsi="Arial Narrow"/>
                <w:sz w:val="20"/>
                <w:szCs w:val="20"/>
              </w:rPr>
              <w:t>PAI</w:t>
            </w:r>
          </w:p>
        </w:tc>
        <w:tc>
          <w:tcPr>
            <w:tcW w:w="7218" w:type="dxa"/>
            <w:shd w:val="clear" w:color="auto" w:fill="auto"/>
            <w:vAlign w:val="center"/>
          </w:tcPr>
          <w:p w14:paraId="718608CB" w14:textId="77777777" w:rsidR="00151697" w:rsidRDefault="00151697" w:rsidP="00151697">
            <w:pPr>
              <w:pStyle w:val="Default"/>
              <w:rPr>
                <w:rFonts w:ascii="Arial Narrow" w:hAnsi="Arial Narrow"/>
                <w:sz w:val="20"/>
                <w:szCs w:val="20"/>
              </w:rPr>
            </w:pPr>
            <w:r>
              <w:rPr>
                <w:rFonts w:ascii="Arial Narrow" w:hAnsi="Arial Narrow"/>
                <w:sz w:val="20"/>
                <w:szCs w:val="20"/>
              </w:rPr>
              <w:t>Plan Anual de Inversiones</w:t>
            </w:r>
          </w:p>
        </w:tc>
      </w:tr>
      <w:tr w:rsidR="00106D1D" w:rsidRPr="006904CD" w14:paraId="1818CD81" w14:textId="77777777" w:rsidTr="000614D3">
        <w:trPr>
          <w:trHeight w:val="20"/>
        </w:trPr>
        <w:tc>
          <w:tcPr>
            <w:tcW w:w="1701" w:type="dxa"/>
            <w:shd w:val="clear" w:color="auto" w:fill="auto"/>
            <w:vAlign w:val="center"/>
          </w:tcPr>
          <w:p w14:paraId="1D95608C" w14:textId="2AF14988" w:rsidR="00106D1D" w:rsidRDefault="00106D1D" w:rsidP="00151697">
            <w:pPr>
              <w:pStyle w:val="Default"/>
              <w:rPr>
                <w:rFonts w:ascii="Arial Narrow" w:hAnsi="Arial Narrow"/>
                <w:sz w:val="20"/>
                <w:szCs w:val="20"/>
              </w:rPr>
            </w:pPr>
            <w:r>
              <w:rPr>
                <w:rFonts w:ascii="Arial Narrow" w:hAnsi="Arial Narrow"/>
                <w:sz w:val="20"/>
                <w:szCs w:val="20"/>
              </w:rPr>
              <w:t>PGE</w:t>
            </w:r>
          </w:p>
        </w:tc>
        <w:tc>
          <w:tcPr>
            <w:tcW w:w="7218" w:type="dxa"/>
            <w:shd w:val="clear" w:color="auto" w:fill="auto"/>
            <w:vAlign w:val="center"/>
          </w:tcPr>
          <w:p w14:paraId="06A58CD7" w14:textId="7FB95923" w:rsidR="00106D1D" w:rsidRDefault="00106D1D" w:rsidP="00151697">
            <w:pPr>
              <w:pStyle w:val="Default"/>
              <w:rPr>
                <w:rFonts w:ascii="Arial Narrow" w:hAnsi="Arial Narrow"/>
                <w:sz w:val="20"/>
                <w:szCs w:val="20"/>
              </w:rPr>
            </w:pPr>
            <w:r>
              <w:rPr>
                <w:rFonts w:ascii="Arial Narrow" w:hAnsi="Arial Narrow"/>
                <w:sz w:val="20"/>
                <w:szCs w:val="20"/>
              </w:rPr>
              <w:t>Presupuesto General del Estado</w:t>
            </w:r>
          </w:p>
        </w:tc>
      </w:tr>
      <w:tr w:rsidR="00151697" w:rsidRPr="006904CD" w14:paraId="3E0DBE72" w14:textId="77777777" w:rsidTr="000614D3">
        <w:trPr>
          <w:trHeight w:val="20"/>
        </w:trPr>
        <w:tc>
          <w:tcPr>
            <w:tcW w:w="1701" w:type="dxa"/>
            <w:shd w:val="clear" w:color="auto" w:fill="auto"/>
            <w:vAlign w:val="center"/>
          </w:tcPr>
          <w:p w14:paraId="54C72B79" w14:textId="304FFC73" w:rsidR="00151697" w:rsidRDefault="00151697" w:rsidP="00151697">
            <w:pPr>
              <w:pStyle w:val="Default"/>
              <w:rPr>
                <w:rFonts w:ascii="Arial Narrow" w:hAnsi="Arial Narrow"/>
                <w:sz w:val="20"/>
                <w:szCs w:val="20"/>
              </w:rPr>
            </w:pPr>
            <w:r>
              <w:rPr>
                <w:rFonts w:ascii="Arial Narrow" w:hAnsi="Arial Narrow"/>
                <w:sz w:val="20"/>
                <w:szCs w:val="20"/>
              </w:rPr>
              <w:t xml:space="preserve">POA </w:t>
            </w:r>
          </w:p>
        </w:tc>
        <w:tc>
          <w:tcPr>
            <w:tcW w:w="7218" w:type="dxa"/>
            <w:shd w:val="clear" w:color="auto" w:fill="auto"/>
            <w:vAlign w:val="center"/>
          </w:tcPr>
          <w:p w14:paraId="77DB95C6" w14:textId="079483E0" w:rsidR="00151697" w:rsidRDefault="00151697" w:rsidP="00151697">
            <w:pPr>
              <w:pStyle w:val="Default"/>
              <w:rPr>
                <w:rFonts w:ascii="Arial Narrow" w:hAnsi="Arial Narrow"/>
                <w:sz w:val="20"/>
                <w:szCs w:val="20"/>
              </w:rPr>
            </w:pPr>
            <w:r>
              <w:rPr>
                <w:rFonts w:ascii="Arial Narrow" w:hAnsi="Arial Narrow"/>
                <w:sz w:val="20"/>
                <w:szCs w:val="20"/>
              </w:rPr>
              <w:t xml:space="preserve">Plan Operativo Anual </w:t>
            </w:r>
          </w:p>
        </w:tc>
      </w:tr>
      <w:tr w:rsidR="00151697" w:rsidRPr="006904CD" w14:paraId="19143798" w14:textId="77777777" w:rsidTr="000614D3">
        <w:trPr>
          <w:trHeight w:val="20"/>
        </w:trPr>
        <w:tc>
          <w:tcPr>
            <w:tcW w:w="1701" w:type="dxa"/>
            <w:shd w:val="clear" w:color="auto" w:fill="auto"/>
            <w:vAlign w:val="center"/>
          </w:tcPr>
          <w:p w14:paraId="6BD657C5" w14:textId="77777777" w:rsidR="00151697" w:rsidRPr="006904CD" w:rsidRDefault="00151697" w:rsidP="00151697">
            <w:pPr>
              <w:pStyle w:val="Sinespaciado"/>
              <w:jc w:val="left"/>
              <w:rPr>
                <w:rFonts w:ascii="Arial Narrow" w:hAnsi="Arial Narrow"/>
              </w:rPr>
            </w:pPr>
            <w:r w:rsidRPr="00FF5C8A">
              <w:rPr>
                <w:rFonts w:ascii="Arial Narrow" w:hAnsi="Arial Narrow"/>
              </w:rPr>
              <w:t>SENPLADES</w:t>
            </w:r>
          </w:p>
        </w:tc>
        <w:tc>
          <w:tcPr>
            <w:tcW w:w="7218" w:type="dxa"/>
            <w:shd w:val="clear" w:color="auto" w:fill="auto"/>
            <w:vAlign w:val="center"/>
          </w:tcPr>
          <w:p w14:paraId="18F20E1D" w14:textId="1B0008E7" w:rsidR="00151697" w:rsidRPr="006904CD" w:rsidRDefault="00151697" w:rsidP="00151697">
            <w:pPr>
              <w:pStyle w:val="Sinespaciado"/>
              <w:jc w:val="left"/>
              <w:rPr>
                <w:rFonts w:ascii="Arial Narrow" w:hAnsi="Arial Narrow"/>
              </w:rPr>
            </w:pPr>
            <w:r w:rsidRPr="00FF5C8A">
              <w:rPr>
                <w:rFonts w:ascii="Arial Narrow" w:hAnsi="Arial Narrow"/>
              </w:rPr>
              <w:t>Secretaría Nacional de Planificación</w:t>
            </w:r>
            <w:r w:rsidR="00E73166">
              <w:rPr>
                <w:rFonts w:ascii="Arial Narrow" w:hAnsi="Arial Narrow"/>
              </w:rPr>
              <w:t>, actualmente Planifica Ecuador</w:t>
            </w:r>
          </w:p>
        </w:tc>
      </w:tr>
      <w:tr w:rsidR="00151697" w:rsidRPr="006904CD" w14:paraId="7077780E" w14:textId="77777777" w:rsidTr="000614D3">
        <w:trPr>
          <w:trHeight w:val="20"/>
        </w:trPr>
        <w:tc>
          <w:tcPr>
            <w:tcW w:w="1701" w:type="dxa"/>
            <w:shd w:val="clear" w:color="auto" w:fill="auto"/>
            <w:vAlign w:val="center"/>
          </w:tcPr>
          <w:p w14:paraId="37A57984" w14:textId="77777777" w:rsidR="00151697" w:rsidRPr="00FF5C8A" w:rsidRDefault="00151697" w:rsidP="00151697">
            <w:pPr>
              <w:pStyle w:val="Sinespaciado"/>
              <w:jc w:val="left"/>
              <w:rPr>
                <w:rFonts w:ascii="Arial Narrow" w:hAnsi="Arial Narrow"/>
              </w:rPr>
            </w:pPr>
            <w:r>
              <w:rPr>
                <w:rFonts w:ascii="Arial Narrow" w:hAnsi="Arial Narrow"/>
              </w:rPr>
              <w:t>SERCOP</w:t>
            </w:r>
          </w:p>
        </w:tc>
        <w:tc>
          <w:tcPr>
            <w:tcW w:w="7218" w:type="dxa"/>
            <w:shd w:val="clear" w:color="auto" w:fill="auto"/>
            <w:vAlign w:val="center"/>
          </w:tcPr>
          <w:p w14:paraId="623398BD" w14:textId="77777777" w:rsidR="00151697" w:rsidRPr="00FF5C8A" w:rsidRDefault="00151697" w:rsidP="00151697">
            <w:pPr>
              <w:pStyle w:val="Sinespaciado"/>
              <w:jc w:val="left"/>
              <w:rPr>
                <w:rFonts w:ascii="Arial Narrow" w:hAnsi="Arial Narrow"/>
              </w:rPr>
            </w:pPr>
            <w:r>
              <w:rPr>
                <w:rFonts w:ascii="Arial Narrow" w:hAnsi="Arial Narrow"/>
              </w:rPr>
              <w:t>Servicio Nacional de Contratación Pública</w:t>
            </w:r>
          </w:p>
        </w:tc>
      </w:tr>
      <w:tr w:rsidR="00106D1D" w:rsidRPr="006904CD" w14:paraId="7A7A8BBC" w14:textId="77777777" w:rsidTr="000614D3">
        <w:trPr>
          <w:trHeight w:val="20"/>
        </w:trPr>
        <w:tc>
          <w:tcPr>
            <w:tcW w:w="1701" w:type="dxa"/>
            <w:shd w:val="clear" w:color="auto" w:fill="auto"/>
            <w:vAlign w:val="center"/>
          </w:tcPr>
          <w:p w14:paraId="4B21D90B" w14:textId="7482943E" w:rsidR="00106D1D" w:rsidRDefault="00106D1D" w:rsidP="00151697">
            <w:pPr>
              <w:pStyle w:val="Sinespaciado"/>
              <w:jc w:val="left"/>
              <w:rPr>
                <w:rFonts w:ascii="Arial Narrow" w:hAnsi="Arial Narrow"/>
              </w:rPr>
            </w:pPr>
            <w:r>
              <w:rPr>
                <w:rFonts w:ascii="Arial Narrow" w:hAnsi="Arial Narrow"/>
              </w:rPr>
              <w:t>SGP</w:t>
            </w:r>
          </w:p>
        </w:tc>
        <w:tc>
          <w:tcPr>
            <w:tcW w:w="7218" w:type="dxa"/>
            <w:shd w:val="clear" w:color="auto" w:fill="auto"/>
            <w:vAlign w:val="center"/>
          </w:tcPr>
          <w:p w14:paraId="6C9064DE" w14:textId="7AAFD9BF" w:rsidR="00106D1D" w:rsidRDefault="00106D1D" w:rsidP="00151697">
            <w:pPr>
              <w:pStyle w:val="Sinespaciado"/>
              <w:jc w:val="left"/>
              <w:rPr>
                <w:rFonts w:ascii="Arial Narrow" w:hAnsi="Arial Narrow"/>
              </w:rPr>
            </w:pPr>
            <w:r>
              <w:rPr>
                <w:rFonts w:ascii="Arial Narrow" w:hAnsi="Arial Narrow"/>
              </w:rPr>
              <w:t>Secretaría General de la Presidencia de la República</w:t>
            </w:r>
          </w:p>
        </w:tc>
      </w:tr>
      <w:tr w:rsidR="00DB30F1" w:rsidRPr="006904CD" w14:paraId="62FBB244" w14:textId="77777777" w:rsidTr="000614D3">
        <w:trPr>
          <w:trHeight w:val="20"/>
        </w:trPr>
        <w:tc>
          <w:tcPr>
            <w:tcW w:w="1701" w:type="dxa"/>
            <w:shd w:val="clear" w:color="auto" w:fill="auto"/>
            <w:vAlign w:val="center"/>
          </w:tcPr>
          <w:p w14:paraId="32CB1051" w14:textId="0CE4E271" w:rsidR="00DB30F1" w:rsidRDefault="00DB30F1" w:rsidP="00151697">
            <w:pPr>
              <w:pStyle w:val="Sinespaciado"/>
              <w:jc w:val="left"/>
              <w:rPr>
                <w:rFonts w:ascii="Arial Narrow" w:hAnsi="Arial Narrow"/>
              </w:rPr>
            </w:pPr>
            <w:r>
              <w:rPr>
                <w:rFonts w:ascii="Arial Narrow" w:hAnsi="Arial Narrow"/>
              </w:rPr>
              <w:t>STCNC</w:t>
            </w:r>
          </w:p>
        </w:tc>
        <w:tc>
          <w:tcPr>
            <w:tcW w:w="7218" w:type="dxa"/>
            <w:shd w:val="clear" w:color="auto" w:fill="auto"/>
            <w:vAlign w:val="center"/>
          </w:tcPr>
          <w:p w14:paraId="333DC001" w14:textId="26DF133D" w:rsidR="00DB30F1" w:rsidRDefault="00DB30F1" w:rsidP="00151697">
            <w:pPr>
              <w:pStyle w:val="Sinespaciado"/>
              <w:jc w:val="left"/>
              <w:rPr>
                <w:rFonts w:ascii="Arial Narrow" w:hAnsi="Arial Narrow"/>
              </w:rPr>
            </w:pPr>
            <w:r>
              <w:rPr>
                <w:rFonts w:ascii="Arial Narrow" w:hAnsi="Arial Narrow"/>
              </w:rPr>
              <w:t>Secretaría Técnica del CNC</w:t>
            </w:r>
          </w:p>
        </w:tc>
      </w:tr>
      <w:tr w:rsidR="00151697" w:rsidRPr="006904CD" w14:paraId="0DFD639E" w14:textId="77777777" w:rsidTr="000614D3">
        <w:trPr>
          <w:trHeight w:val="20"/>
        </w:trPr>
        <w:tc>
          <w:tcPr>
            <w:tcW w:w="1701" w:type="dxa"/>
            <w:shd w:val="clear" w:color="auto" w:fill="auto"/>
            <w:vAlign w:val="center"/>
          </w:tcPr>
          <w:p w14:paraId="49F49512" w14:textId="4CE36942" w:rsidR="00151697" w:rsidRDefault="00151697" w:rsidP="00151697">
            <w:pPr>
              <w:pStyle w:val="Sinespaciado"/>
              <w:jc w:val="left"/>
              <w:rPr>
                <w:rFonts w:ascii="Arial Narrow" w:hAnsi="Arial Narrow"/>
              </w:rPr>
            </w:pPr>
            <w:r>
              <w:rPr>
                <w:rFonts w:ascii="Arial Narrow" w:hAnsi="Arial Narrow"/>
              </w:rPr>
              <w:t>TDR</w:t>
            </w:r>
          </w:p>
        </w:tc>
        <w:tc>
          <w:tcPr>
            <w:tcW w:w="7218" w:type="dxa"/>
            <w:shd w:val="clear" w:color="auto" w:fill="auto"/>
            <w:vAlign w:val="center"/>
          </w:tcPr>
          <w:p w14:paraId="4707B6D2" w14:textId="6C24E261" w:rsidR="00151697" w:rsidRPr="00496600" w:rsidRDefault="00151697" w:rsidP="00151697">
            <w:pPr>
              <w:pStyle w:val="Sinespaciado"/>
              <w:jc w:val="left"/>
              <w:rPr>
                <w:rFonts w:ascii="Arial Narrow" w:hAnsi="Arial Narrow"/>
              </w:rPr>
            </w:pPr>
            <w:r>
              <w:rPr>
                <w:rFonts w:ascii="Arial Narrow" w:hAnsi="Arial Narrow"/>
              </w:rPr>
              <w:t>Términos de Referencia</w:t>
            </w:r>
          </w:p>
        </w:tc>
      </w:tr>
      <w:tr w:rsidR="00937A30" w:rsidRPr="006904CD" w14:paraId="02E1314E" w14:textId="77777777" w:rsidTr="000614D3">
        <w:trPr>
          <w:trHeight w:val="20"/>
        </w:trPr>
        <w:tc>
          <w:tcPr>
            <w:tcW w:w="1701" w:type="dxa"/>
            <w:shd w:val="clear" w:color="auto" w:fill="auto"/>
            <w:vAlign w:val="center"/>
          </w:tcPr>
          <w:p w14:paraId="263BAFB4" w14:textId="142D3D67" w:rsidR="00937A30" w:rsidRDefault="00937A30" w:rsidP="00151697">
            <w:pPr>
              <w:pStyle w:val="Sinespaciado"/>
              <w:jc w:val="left"/>
              <w:rPr>
                <w:rFonts w:ascii="Arial Narrow" w:hAnsi="Arial Narrow"/>
              </w:rPr>
            </w:pPr>
            <w:r>
              <w:rPr>
                <w:rFonts w:ascii="Arial Narrow" w:hAnsi="Arial Narrow"/>
              </w:rPr>
              <w:t>TH</w:t>
            </w:r>
          </w:p>
        </w:tc>
        <w:tc>
          <w:tcPr>
            <w:tcW w:w="7218" w:type="dxa"/>
            <w:shd w:val="clear" w:color="auto" w:fill="auto"/>
            <w:vAlign w:val="center"/>
          </w:tcPr>
          <w:p w14:paraId="5AD04483" w14:textId="26995783" w:rsidR="00937A30" w:rsidRDefault="00937A30" w:rsidP="00151697">
            <w:pPr>
              <w:pStyle w:val="Sinespaciado"/>
              <w:jc w:val="left"/>
              <w:rPr>
                <w:rFonts w:ascii="Arial Narrow" w:hAnsi="Arial Narrow"/>
              </w:rPr>
            </w:pPr>
            <w:r>
              <w:rPr>
                <w:rFonts w:ascii="Arial Narrow" w:hAnsi="Arial Narrow"/>
              </w:rPr>
              <w:t>Talento Humano</w:t>
            </w:r>
          </w:p>
        </w:tc>
      </w:tr>
      <w:tr w:rsidR="00526E35" w:rsidRPr="006904CD" w14:paraId="448E0270" w14:textId="77777777" w:rsidTr="000614D3">
        <w:trPr>
          <w:trHeight w:val="20"/>
        </w:trPr>
        <w:tc>
          <w:tcPr>
            <w:tcW w:w="1701" w:type="dxa"/>
            <w:shd w:val="clear" w:color="auto" w:fill="auto"/>
            <w:vAlign w:val="center"/>
          </w:tcPr>
          <w:p w14:paraId="289B145F" w14:textId="37E3D245" w:rsidR="00526E35" w:rsidRDefault="00526E35" w:rsidP="00151697">
            <w:pPr>
              <w:pStyle w:val="Sinespaciado"/>
              <w:jc w:val="left"/>
              <w:rPr>
                <w:rFonts w:ascii="Arial Narrow" w:hAnsi="Arial Narrow"/>
              </w:rPr>
            </w:pPr>
            <w:r>
              <w:rPr>
                <w:rFonts w:ascii="Arial Narrow" w:hAnsi="Arial Narrow"/>
              </w:rPr>
              <w:t>VPR</w:t>
            </w:r>
          </w:p>
        </w:tc>
        <w:tc>
          <w:tcPr>
            <w:tcW w:w="7218" w:type="dxa"/>
            <w:shd w:val="clear" w:color="auto" w:fill="auto"/>
            <w:vAlign w:val="center"/>
          </w:tcPr>
          <w:p w14:paraId="60695926" w14:textId="1EA86E6C" w:rsidR="00526E35" w:rsidRDefault="00526E35" w:rsidP="00151697">
            <w:pPr>
              <w:pStyle w:val="Sinespaciado"/>
              <w:jc w:val="left"/>
              <w:rPr>
                <w:rFonts w:ascii="Arial Narrow" w:hAnsi="Arial Narrow"/>
              </w:rPr>
            </w:pPr>
            <w:r>
              <w:rPr>
                <w:rFonts w:ascii="Arial Narrow" w:hAnsi="Arial Narrow"/>
              </w:rPr>
              <w:t>Vicepresidencia de la República del Ecuador</w:t>
            </w:r>
          </w:p>
        </w:tc>
      </w:tr>
    </w:tbl>
    <w:p w14:paraId="5D1CB8D9" w14:textId="4711766A" w:rsidR="008E18BA" w:rsidRDefault="008E18BA"/>
    <w:p w14:paraId="71919EC5" w14:textId="77777777" w:rsidR="000275EE" w:rsidRDefault="000275EE">
      <w:pPr>
        <w:sectPr w:rsidR="000275EE" w:rsidSect="000275EE">
          <w:footerReference w:type="default" r:id="rId8"/>
          <w:pgSz w:w="11906" w:h="16838" w:code="9"/>
          <w:pgMar w:top="1418" w:right="1418" w:bottom="1418" w:left="1418" w:header="709" w:footer="709" w:gutter="0"/>
          <w:pgNumType w:fmt="lowerRoman"/>
          <w:cols w:space="708"/>
          <w:titlePg/>
          <w:docGrid w:linePitch="360"/>
        </w:sectPr>
      </w:pPr>
    </w:p>
    <w:p w14:paraId="5BD96CC2" w14:textId="77777777" w:rsidR="008D26C1" w:rsidRDefault="008D26C1" w:rsidP="008D26C1">
      <w:pPr>
        <w:pStyle w:val="Ttulo1"/>
      </w:pPr>
      <w:bookmarkStart w:id="3" w:name="_Toc442905263"/>
      <w:bookmarkStart w:id="4" w:name="_Toc12543939"/>
      <w:r>
        <w:lastRenderedPageBreak/>
        <w:t>Información Básica</w:t>
      </w:r>
      <w:bookmarkEnd w:id="4"/>
      <w:r>
        <w:t xml:space="preserve"> </w:t>
      </w:r>
    </w:p>
    <w:p w14:paraId="3F2E2492" w14:textId="5F159DB4" w:rsidR="008D26C1" w:rsidRDefault="0041509F" w:rsidP="001B387B">
      <w:pPr>
        <w:pStyle w:val="Ttulo2"/>
      </w:pPr>
      <w:bookmarkStart w:id="5" w:name="_Toc12543940"/>
      <w:r>
        <w:t xml:space="preserve">Información básica de la </w:t>
      </w:r>
      <w:r w:rsidR="004B45F5">
        <w:t>Vicepresidencia de la República</w:t>
      </w:r>
      <w:r w:rsidR="003B5C42">
        <w:t xml:space="preserve"> (VPR)</w:t>
      </w:r>
      <w:bookmarkEnd w:id="5"/>
      <w:r w:rsidR="003B5C42">
        <w:t xml:space="preserve"> </w:t>
      </w:r>
    </w:p>
    <w:p w14:paraId="683DC390" w14:textId="5320B5EF" w:rsidR="008D26C1" w:rsidRDefault="008D26C1" w:rsidP="008D26C1">
      <w:pPr>
        <w:pStyle w:val="Descripcin"/>
        <w:keepNext/>
      </w:pPr>
      <w:bookmarkStart w:id="6" w:name="_Toc12543950"/>
      <w:r w:rsidRPr="003132AE">
        <w:t xml:space="preserve">Tabla </w:t>
      </w:r>
      <w:r>
        <w:rPr>
          <w:noProof/>
        </w:rPr>
        <w:fldChar w:fldCharType="begin"/>
      </w:r>
      <w:r>
        <w:rPr>
          <w:noProof/>
        </w:rPr>
        <w:instrText xml:space="preserve"> SEQ Tabla \* ARABIC </w:instrText>
      </w:r>
      <w:r>
        <w:rPr>
          <w:noProof/>
        </w:rPr>
        <w:fldChar w:fldCharType="separate"/>
      </w:r>
      <w:r>
        <w:rPr>
          <w:noProof/>
        </w:rPr>
        <w:t>1</w:t>
      </w:r>
      <w:r>
        <w:rPr>
          <w:noProof/>
        </w:rPr>
        <w:fldChar w:fldCharType="end"/>
      </w:r>
      <w:r w:rsidRPr="003132AE">
        <w:t xml:space="preserve">. Información Básica </w:t>
      </w:r>
      <w:r>
        <w:t>de</w:t>
      </w:r>
      <w:r w:rsidR="007025FE">
        <w:t xml:space="preserve"> la Vicepresidencia de la República.</w:t>
      </w:r>
      <w:bookmarkEnd w:id="6"/>
      <w:r w:rsidR="007025FE">
        <w:t xml:space="preserve"> </w:t>
      </w:r>
      <w:r>
        <w:t xml:space="preserve"> </w:t>
      </w:r>
    </w:p>
    <w:tbl>
      <w:tblPr>
        <w:tblStyle w:val="Tablaconcuadrcula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CellMar>
          <w:top w:w="28" w:type="dxa"/>
          <w:bottom w:w="28" w:type="dxa"/>
        </w:tblCellMar>
        <w:tblLook w:val="04A0" w:firstRow="1" w:lastRow="0" w:firstColumn="1" w:lastColumn="0" w:noHBand="0" w:noVBand="1"/>
      </w:tblPr>
      <w:tblGrid>
        <w:gridCol w:w="1843"/>
        <w:gridCol w:w="7229"/>
      </w:tblGrid>
      <w:tr w:rsidR="008D26C1" w:rsidRPr="00103B81" w14:paraId="4671BF60" w14:textId="77777777" w:rsidTr="004B45F5">
        <w:tc>
          <w:tcPr>
            <w:tcW w:w="1843" w:type="dxa"/>
            <w:tcBorders>
              <w:bottom w:val="dashSmallGap" w:sz="4" w:space="0" w:color="BFBFBF" w:themeColor="background1" w:themeShade="BF"/>
              <w:right w:val="dashSmallGap" w:sz="4" w:space="0" w:color="BFBFBF" w:themeColor="background1" w:themeShade="BF"/>
            </w:tcBorders>
            <w:shd w:val="clear" w:color="auto" w:fill="DEEAF6" w:themeFill="accent1" w:themeFillTint="33"/>
          </w:tcPr>
          <w:p w14:paraId="248452F1" w14:textId="77777777" w:rsidR="008D26C1" w:rsidRPr="00103B81" w:rsidRDefault="008D26C1" w:rsidP="007717AD">
            <w:pPr>
              <w:jc w:val="left"/>
              <w:rPr>
                <w:rFonts w:ascii="Arial Narrow" w:hAnsi="Arial Narrow"/>
                <w:b/>
                <w:spacing w:val="0"/>
                <w:szCs w:val="19"/>
                <w:lang w:val="es-MX"/>
              </w:rPr>
            </w:pPr>
            <w:r w:rsidRPr="00103B81">
              <w:rPr>
                <w:rFonts w:ascii="Arial Narrow" w:hAnsi="Arial Narrow"/>
                <w:b/>
                <w:spacing w:val="0"/>
                <w:szCs w:val="19"/>
                <w:lang w:val="es-MX"/>
              </w:rPr>
              <w:t>Nombre del OE:</w:t>
            </w:r>
          </w:p>
        </w:tc>
        <w:tc>
          <w:tcPr>
            <w:tcW w:w="7229" w:type="dxa"/>
            <w:tcBorders>
              <w:left w:val="dashSmallGap" w:sz="4" w:space="0" w:color="BFBFBF" w:themeColor="background1" w:themeShade="BF"/>
              <w:bottom w:val="dashSmallGap" w:sz="4" w:space="0" w:color="BFBFBF" w:themeColor="background1" w:themeShade="BF"/>
            </w:tcBorders>
            <w:shd w:val="clear" w:color="auto" w:fill="DEEAF6" w:themeFill="accent1" w:themeFillTint="33"/>
          </w:tcPr>
          <w:p w14:paraId="036EA30C" w14:textId="372A8AA2" w:rsidR="008D26C1" w:rsidRPr="00103B81" w:rsidRDefault="00526E35" w:rsidP="007717AD">
            <w:pPr>
              <w:jc w:val="left"/>
              <w:rPr>
                <w:rFonts w:ascii="Arial Narrow" w:hAnsi="Arial Narrow"/>
                <w:spacing w:val="0"/>
                <w:szCs w:val="19"/>
                <w:lang w:val="es-MX"/>
              </w:rPr>
            </w:pPr>
            <w:r>
              <w:rPr>
                <w:rFonts w:ascii="Arial Narrow" w:hAnsi="Arial Narrow"/>
                <w:spacing w:val="0"/>
                <w:szCs w:val="19"/>
                <w:lang w:val="es-MX"/>
              </w:rPr>
              <w:t>Vicepresidencia de la República del Ecuador (VPR)</w:t>
            </w:r>
          </w:p>
        </w:tc>
      </w:tr>
      <w:tr w:rsidR="008D26C1" w:rsidRPr="00103B81" w14:paraId="3F9AB4E5" w14:textId="77777777" w:rsidTr="004B45F5">
        <w:tc>
          <w:tcPr>
            <w:tcW w:w="1843" w:type="dxa"/>
            <w:tcBorders>
              <w:top w:val="dashSmallGap" w:sz="4" w:space="0" w:color="BFBFBF" w:themeColor="background1" w:themeShade="BF"/>
              <w:bottom w:val="single" w:sz="36" w:space="0" w:color="FFFFFF" w:themeColor="background1"/>
              <w:right w:val="dashSmallGap" w:sz="4" w:space="0" w:color="BFBFBF" w:themeColor="background1" w:themeShade="BF"/>
            </w:tcBorders>
            <w:shd w:val="clear" w:color="auto" w:fill="DEEAF6" w:themeFill="accent1" w:themeFillTint="33"/>
          </w:tcPr>
          <w:p w14:paraId="14C7B2AD" w14:textId="77777777" w:rsidR="008D26C1" w:rsidRPr="00103B81" w:rsidRDefault="008D26C1" w:rsidP="007717AD">
            <w:pPr>
              <w:jc w:val="left"/>
              <w:rPr>
                <w:rFonts w:ascii="Arial Narrow" w:hAnsi="Arial Narrow"/>
                <w:b/>
                <w:spacing w:val="0"/>
                <w:szCs w:val="19"/>
                <w:lang w:val="es-MX"/>
              </w:rPr>
            </w:pPr>
            <w:r w:rsidRPr="00103B81">
              <w:rPr>
                <w:rFonts w:ascii="Arial Narrow" w:hAnsi="Arial Narrow"/>
                <w:b/>
                <w:spacing w:val="0"/>
                <w:szCs w:val="19"/>
                <w:lang w:val="es-MX"/>
              </w:rPr>
              <w:t>Tipo:</w:t>
            </w:r>
          </w:p>
        </w:tc>
        <w:tc>
          <w:tcPr>
            <w:tcW w:w="7229" w:type="dxa"/>
            <w:tcBorders>
              <w:top w:val="dashSmallGap" w:sz="4" w:space="0" w:color="BFBFBF" w:themeColor="background1" w:themeShade="BF"/>
              <w:left w:val="dashSmallGap" w:sz="4" w:space="0" w:color="BFBFBF" w:themeColor="background1" w:themeShade="BF"/>
              <w:bottom w:val="single" w:sz="36" w:space="0" w:color="FFFFFF" w:themeColor="background1"/>
            </w:tcBorders>
            <w:shd w:val="clear" w:color="auto" w:fill="DEEAF6" w:themeFill="accent1" w:themeFillTint="33"/>
          </w:tcPr>
          <w:p w14:paraId="4C1E406F" w14:textId="6A81AB9F" w:rsidR="008D26C1" w:rsidRPr="00103B81" w:rsidRDefault="007025FE" w:rsidP="007717AD">
            <w:pPr>
              <w:jc w:val="left"/>
              <w:rPr>
                <w:rFonts w:ascii="Arial Narrow" w:hAnsi="Arial Narrow"/>
                <w:spacing w:val="0"/>
                <w:szCs w:val="19"/>
                <w:lang w:val="es-MX"/>
              </w:rPr>
            </w:pPr>
            <w:r>
              <w:rPr>
                <w:rFonts w:ascii="Arial Narrow" w:hAnsi="Arial Narrow"/>
                <w:spacing w:val="0"/>
                <w:szCs w:val="19"/>
                <w:lang w:val="es-MX"/>
              </w:rPr>
              <w:t>Organismo</w:t>
            </w:r>
            <w:r w:rsidR="005B12D9">
              <w:rPr>
                <w:rFonts w:ascii="Arial Narrow" w:hAnsi="Arial Narrow"/>
                <w:spacing w:val="0"/>
                <w:szCs w:val="19"/>
                <w:lang w:val="es-MX"/>
              </w:rPr>
              <w:t xml:space="preserve"> de la Función Ejecutiva</w:t>
            </w:r>
            <w:r w:rsidR="008D26C1" w:rsidRPr="00103B81">
              <w:rPr>
                <w:rFonts w:ascii="Arial Narrow" w:hAnsi="Arial Narrow"/>
                <w:spacing w:val="0"/>
                <w:szCs w:val="19"/>
                <w:lang w:val="es-MX"/>
              </w:rPr>
              <w:t xml:space="preserve"> </w:t>
            </w:r>
          </w:p>
        </w:tc>
      </w:tr>
      <w:tr w:rsidR="008D26C1" w:rsidRPr="00103B81" w14:paraId="45E754C1" w14:textId="77777777" w:rsidTr="004B45F5">
        <w:tc>
          <w:tcPr>
            <w:tcW w:w="1843" w:type="dxa"/>
            <w:tcBorders>
              <w:top w:val="single" w:sz="36" w:space="0" w:color="FFFFFF" w:themeColor="background1"/>
              <w:bottom w:val="single" w:sz="36" w:space="0" w:color="FFFFFF" w:themeColor="background1"/>
            </w:tcBorders>
            <w:shd w:val="clear" w:color="auto" w:fill="F2F2F2" w:themeFill="background1" w:themeFillShade="F2"/>
          </w:tcPr>
          <w:p w14:paraId="2D1A957A" w14:textId="2E9E5DF9" w:rsidR="008D26C1" w:rsidRPr="00103B81" w:rsidRDefault="008D26C1" w:rsidP="007717AD">
            <w:pPr>
              <w:spacing w:after="40"/>
              <w:jc w:val="left"/>
              <w:rPr>
                <w:rFonts w:ascii="Arial Narrow" w:hAnsi="Arial Narrow"/>
                <w:b/>
                <w:spacing w:val="0"/>
                <w:szCs w:val="19"/>
                <w:lang w:val="es-MX"/>
              </w:rPr>
            </w:pPr>
            <w:r w:rsidRPr="00103B81">
              <w:rPr>
                <w:rFonts w:ascii="Arial Narrow" w:hAnsi="Arial Narrow"/>
                <w:b/>
                <w:spacing w:val="0"/>
                <w:szCs w:val="19"/>
                <w:lang w:val="es-MX"/>
              </w:rPr>
              <w:t>Misión de</w:t>
            </w:r>
            <w:r w:rsidR="005B12D9">
              <w:rPr>
                <w:rFonts w:ascii="Arial Narrow" w:hAnsi="Arial Narrow"/>
                <w:b/>
                <w:spacing w:val="0"/>
                <w:szCs w:val="19"/>
                <w:lang w:val="es-MX"/>
              </w:rPr>
              <w:t xml:space="preserve"> la VPR</w:t>
            </w:r>
            <w:r w:rsidRPr="00103B81">
              <w:rPr>
                <w:rFonts w:ascii="Arial Narrow" w:hAnsi="Arial Narrow"/>
                <w:b/>
                <w:spacing w:val="0"/>
                <w:szCs w:val="19"/>
                <w:lang w:val="es-MX"/>
              </w:rPr>
              <w:t>:</w:t>
            </w:r>
          </w:p>
        </w:tc>
        <w:tc>
          <w:tcPr>
            <w:tcW w:w="7229" w:type="dxa"/>
            <w:tcBorders>
              <w:top w:val="single" w:sz="36" w:space="0" w:color="FFFFFF" w:themeColor="background1"/>
              <w:bottom w:val="single" w:sz="36" w:space="0" w:color="FFFFFF" w:themeColor="background1"/>
            </w:tcBorders>
            <w:shd w:val="clear" w:color="auto" w:fill="F2F2F2" w:themeFill="background1" w:themeFillShade="F2"/>
          </w:tcPr>
          <w:p w14:paraId="307AAFF9" w14:textId="1D5DC50F" w:rsidR="005B12D9" w:rsidRPr="005B12D9" w:rsidRDefault="008D26C1" w:rsidP="005B12D9">
            <w:pPr>
              <w:spacing w:after="40"/>
              <w:jc w:val="left"/>
              <w:rPr>
                <w:rFonts w:ascii="Arial Narrow" w:hAnsi="Arial Narrow"/>
                <w:spacing w:val="0"/>
                <w:szCs w:val="19"/>
                <w:lang w:val="es-MX"/>
              </w:rPr>
            </w:pPr>
            <w:r w:rsidRPr="00103B81">
              <w:rPr>
                <w:rFonts w:ascii="Arial Narrow" w:hAnsi="Arial Narrow"/>
                <w:spacing w:val="0"/>
                <w:szCs w:val="19"/>
                <w:lang w:val="es-MX"/>
              </w:rPr>
              <w:t>“</w:t>
            </w:r>
            <w:r w:rsidR="005B12D9" w:rsidRPr="005B12D9">
              <w:rPr>
                <w:rFonts w:ascii="Arial Narrow" w:hAnsi="Arial Narrow"/>
                <w:spacing w:val="0"/>
                <w:szCs w:val="19"/>
                <w:lang w:val="es-MX"/>
              </w:rPr>
              <w:t>Establecer las acciones necesarias para cumplir y hacer cumplir las</w:t>
            </w:r>
            <w:r w:rsidR="005B12D9">
              <w:rPr>
                <w:rFonts w:ascii="Arial Narrow" w:hAnsi="Arial Narrow"/>
                <w:spacing w:val="0"/>
                <w:szCs w:val="19"/>
                <w:lang w:val="es-MX"/>
              </w:rPr>
              <w:t xml:space="preserve"> </w:t>
            </w:r>
            <w:r w:rsidR="005B12D9" w:rsidRPr="005B12D9">
              <w:rPr>
                <w:rFonts w:ascii="Arial Narrow" w:hAnsi="Arial Narrow"/>
                <w:spacing w:val="0"/>
                <w:szCs w:val="19"/>
                <w:lang w:val="es-MX"/>
              </w:rPr>
              <w:t xml:space="preserve">competencias asignadas por el señor </w:t>
            </w:r>
            <w:r w:rsidR="001576E6" w:rsidRPr="005B12D9">
              <w:rPr>
                <w:rFonts w:ascii="Arial Narrow" w:hAnsi="Arial Narrow"/>
                <w:spacing w:val="0"/>
                <w:szCs w:val="19"/>
                <w:lang w:val="es-MX"/>
              </w:rPr>
              <w:t>presidente</w:t>
            </w:r>
            <w:r w:rsidR="005B12D9" w:rsidRPr="005B12D9">
              <w:rPr>
                <w:rFonts w:ascii="Arial Narrow" w:hAnsi="Arial Narrow"/>
                <w:spacing w:val="0"/>
                <w:szCs w:val="19"/>
                <w:lang w:val="es-MX"/>
              </w:rPr>
              <w:t xml:space="preserve"> de la República y generar la información clave</w:t>
            </w:r>
          </w:p>
          <w:p w14:paraId="6FE52C74" w14:textId="786B945E" w:rsidR="008D26C1" w:rsidRPr="00103B81" w:rsidRDefault="005B12D9" w:rsidP="005B12D9">
            <w:pPr>
              <w:spacing w:after="40"/>
              <w:jc w:val="left"/>
              <w:rPr>
                <w:rFonts w:ascii="Arial Narrow" w:hAnsi="Arial Narrow"/>
                <w:spacing w:val="0"/>
                <w:szCs w:val="19"/>
                <w:lang w:val="es-MX"/>
              </w:rPr>
            </w:pPr>
            <w:r w:rsidRPr="005B12D9">
              <w:rPr>
                <w:rFonts w:ascii="Arial Narrow" w:hAnsi="Arial Narrow"/>
                <w:spacing w:val="0"/>
                <w:szCs w:val="19"/>
                <w:lang w:val="es-MX"/>
              </w:rPr>
              <w:t>que le permita tener a la Vicepresidencia de la República un conocimiento integral de la gestión</w:t>
            </w:r>
            <w:r>
              <w:rPr>
                <w:rFonts w:ascii="Arial Narrow" w:hAnsi="Arial Narrow"/>
                <w:spacing w:val="0"/>
                <w:szCs w:val="19"/>
                <w:lang w:val="es-MX"/>
              </w:rPr>
              <w:t xml:space="preserve"> </w:t>
            </w:r>
            <w:r w:rsidRPr="005B12D9">
              <w:rPr>
                <w:rFonts w:ascii="Arial Narrow" w:hAnsi="Arial Narrow"/>
                <w:spacing w:val="0"/>
                <w:szCs w:val="19"/>
                <w:lang w:val="es-MX"/>
              </w:rPr>
              <w:t>de la política pública en el ámbito nacional y territorial, en cumplimiento de la ley y acorde a los</w:t>
            </w:r>
            <w:r>
              <w:rPr>
                <w:rFonts w:ascii="Arial Narrow" w:hAnsi="Arial Narrow"/>
                <w:spacing w:val="0"/>
                <w:szCs w:val="19"/>
                <w:lang w:val="es-MX"/>
              </w:rPr>
              <w:t xml:space="preserve"> </w:t>
            </w:r>
            <w:r w:rsidRPr="005B12D9">
              <w:rPr>
                <w:rFonts w:ascii="Arial Narrow" w:hAnsi="Arial Narrow"/>
                <w:spacing w:val="0"/>
                <w:szCs w:val="19"/>
                <w:lang w:val="es-MX"/>
              </w:rPr>
              <w:t>principios y valores institucionales, en beneficio de la ciudadanía.</w:t>
            </w:r>
            <w:r w:rsidR="008D26C1" w:rsidRPr="00103B81">
              <w:rPr>
                <w:rFonts w:ascii="Arial Narrow" w:hAnsi="Arial Narrow"/>
                <w:spacing w:val="0"/>
                <w:szCs w:val="19"/>
                <w:lang w:val="es-MX"/>
              </w:rPr>
              <w:t>”</w:t>
            </w:r>
            <w:r w:rsidR="007773B7">
              <w:rPr>
                <w:rStyle w:val="Refdenotaalpie"/>
                <w:rFonts w:ascii="Arial Narrow" w:hAnsi="Arial Narrow"/>
                <w:spacing w:val="0"/>
                <w:szCs w:val="19"/>
                <w:lang w:val="es-MX"/>
              </w:rPr>
              <w:footnoteReference w:id="1"/>
            </w:r>
            <w:r w:rsidR="008D26C1" w:rsidRPr="00103B81">
              <w:rPr>
                <w:rFonts w:ascii="Arial Narrow" w:hAnsi="Arial Narrow"/>
                <w:spacing w:val="0"/>
                <w:szCs w:val="19"/>
                <w:lang w:val="es-MX"/>
              </w:rPr>
              <w:t xml:space="preserve">. </w:t>
            </w:r>
          </w:p>
        </w:tc>
      </w:tr>
      <w:tr w:rsidR="008D26C1" w:rsidRPr="00103B81" w14:paraId="200D2342" w14:textId="77777777" w:rsidTr="004B45F5">
        <w:tc>
          <w:tcPr>
            <w:tcW w:w="1843" w:type="dxa"/>
            <w:tcBorders>
              <w:top w:val="single" w:sz="36" w:space="0" w:color="FFFFFF" w:themeColor="background1"/>
              <w:bottom w:val="dashSmallGap" w:sz="4" w:space="0" w:color="BFBFBF" w:themeColor="background1" w:themeShade="BF"/>
              <w:right w:val="dashSmallGap" w:sz="4" w:space="0" w:color="BFBFBF" w:themeColor="background1" w:themeShade="BF"/>
            </w:tcBorders>
            <w:shd w:val="clear" w:color="auto" w:fill="DEEAF6" w:themeFill="accent1" w:themeFillTint="33"/>
          </w:tcPr>
          <w:p w14:paraId="56AB3845" w14:textId="77777777" w:rsidR="008D26C1" w:rsidRPr="00103B81" w:rsidRDefault="008D26C1" w:rsidP="007717AD">
            <w:pPr>
              <w:spacing w:after="40"/>
              <w:jc w:val="left"/>
              <w:rPr>
                <w:rFonts w:ascii="Arial Narrow" w:hAnsi="Arial Narrow"/>
                <w:b/>
                <w:spacing w:val="0"/>
                <w:szCs w:val="19"/>
                <w:lang w:val="es-MX"/>
              </w:rPr>
            </w:pPr>
            <w:r w:rsidRPr="00103B81">
              <w:rPr>
                <w:rFonts w:ascii="Arial Narrow" w:hAnsi="Arial Narrow"/>
                <w:b/>
                <w:spacing w:val="0"/>
                <w:szCs w:val="19"/>
                <w:lang w:val="es-MX"/>
              </w:rPr>
              <w:t xml:space="preserve">Funciones/atribuciones relacionadas con el Programa: </w:t>
            </w:r>
          </w:p>
        </w:tc>
        <w:tc>
          <w:tcPr>
            <w:tcW w:w="7229" w:type="dxa"/>
            <w:tcBorders>
              <w:top w:val="single" w:sz="36" w:space="0" w:color="FFFFFF" w:themeColor="background1"/>
              <w:left w:val="dashSmallGap" w:sz="4" w:space="0" w:color="BFBFBF" w:themeColor="background1" w:themeShade="BF"/>
              <w:bottom w:val="dashSmallGap" w:sz="4" w:space="0" w:color="BFBFBF" w:themeColor="background1" w:themeShade="BF"/>
            </w:tcBorders>
            <w:shd w:val="clear" w:color="auto" w:fill="DEEAF6" w:themeFill="accent1" w:themeFillTint="33"/>
          </w:tcPr>
          <w:p w14:paraId="15EC16E1" w14:textId="1020DD4B" w:rsidR="007773B7" w:rsidRDefault="007773B7" w:rsidP="007773B7">
            <w:pPr>
              <w:pStyle w:val="Prrafodelista"/>
              <w:numPr>
                <w:ilvl w:val="0"/>
                <w:numId w:val="14"/>
              </w:numPr>
              <w:jc w:val="left"/>
              <w:rPr>
                <w:rFonts w:ascii="Arial Narrow" w:hAnsi="Arial Narrow"/>
                <w:spacing w:val="0"/>
                <w:szCs w:val="19"/>
                <w:lang w:val="es-MX"/>
              </w:rPr>
            </w:pPr>
            <w:r w:rsidRPr="007773B7">
              <w:rPr>
                <w:rFonts w:ascii="Arial Narrow" w:hAnsi="Arial Narrow"/>
                <w:spacing w:val="0"/>
                <w:szCs w:val="19"/>
                <w:lang w:val="es-MX"/>
              </w:rPr>
              <w:t xml:space="preserve">Según la visión de la VPR, ésta será encargada de: “…impulsar el Sistema de Seguridad Social y el proceso de Reconstrucción y Reactivación Productiva y del Empleo, siendo </w:t>
            </w:r>
            <w:r w:rsidRPr="00223D48">
              <w:rPr>
                <w:rFonts w:ascii="Arial Narrow" w:hAnsi="Arial Narrow"/>
                <w:spacing w:val="0"/>
                <w:szCs w:val="19"/>
                <w:u w:val="single"/>
                <w:lang w:val="es-MX"/>
              </w:rPr>
              <w:t>instancia de coordinación, dirección, articulación, concertación y seguimiento sobre propuestas de programas, proyectos, políticas y de normativas que garanticen el desarrollo sustenta</w:t>
            </w:r>
            <w:r w:rsidR="000C4130">
              <w:rPr>
                <w:rFonts w:ascii="Arial Narrow" w:hAnsi="Arial Narrow"/>
                <w:spacing w:val="0"/>
                <w:szCs w:val="19"/>
                <w:u w:val="single"/>
                <w:lang w:val="es-MX"/>
              </w:rPr>
              <w:t>b</w:t>
            </w:r>
            <w:r w:rsidRPr="00223D48">
              <w:rPr>
                <w:rFonts w:ascii="Arial Narrow" w:hAnsi="Arial Narrow"/>
                <w:spacing w:val="0"/>
                <w:szCs w:val="19"/>
                <w:u w:val="single"/>
                <w:lang w:val="es-MX"/>
              </w:rPr>
              <w:t>le del país</w:t>
            </w:r>
            <w:r w:rsidRPr="007773B7">
              <w:rPr>
                <w:rFonts w:ascii="Arial Narrow" w:hAnsi="Arial Narrow"/>
                <w:spacing w:val="0"/>
                <w:szCs w:val="19"/>
                <w:lang w:val="es-MX"/>
              </w:rPr>
              <w:t xml:space="preserve"> </w:t>
            </w:r>
            <w:r w:rsidR="00223D48">
              <w:rPr>
                <w:rFonts w:ascii="Arial Narrow" w:hAnsi="Arial Narrow"/>
                <w:spacing w:val="0"/>
                <w:szCs w:val="19"/>
                <w:lang w:val="es-MX"/>
              </w:rPr>
              <w:t xml:space="preserve"> …</w:t>
            </w:r>
            <w:r w:rsidRPr="007773B7">
              <w:rPr>
                <w:rFonts w:ascii="Arial Narrow" w:hAnsi="Arial Narrow"/>
                <w:spacing w:val="0"/>
                <w:szCs w:val="19"/>
                <w:lang w:val="es-MX"/>
              </w:rPr>
              <w:t>, en un marco de principios constitucionales con calidad, productividad sistémica, valoración del trabajo y</w:t>
            </w:r>
            <w:r>
              <w:rPr>
                <w:rFonts w:ascii="Arial Narrow" w:hAnsi="Arial Narrow"/>
                <w:spacing w:val="0"/>
                <w:szCs w:val="19"/>
                <w:lang w:val="es-MX"/>
              </w:rPr>
              <w:t xml:space="preserve"> </w:t>
            </w:r>
            <w:r w:rsidRPr="007773B7">
              <w:rPr>
                <w:rFonts w:ascii="Arial Narrow" w:hAnsi="Arial Narrow"/>
                <w:spacing w:val="0"/>
                <w:szCs w:val="19"/>
                <w:lang w:val="es-MX"/>
              </w:rPr>
              <w:t>eficiencia económica y social</w:t>
            </w:r>
            <w:r w:rsidR="00223D48">
              <w:rPr>
                <w:rFonts w:ascii="Arial Narrow" w:hAnsi="Arial Narrow"/>
                <w:spacing w:val="0"/>
                <w:szCs w:val="19"/>
                <w:lang w:val="es-MX"/>
              </w:rPr>
              <w:t>”</w:t>
            </w:r>
            <w:r w:rsidR="00223D48">
              <w:rPr>
                <w:rStyle w:val="Refdenotaalpie"/>
                <w:rFonts w:ascii="Arial Narrow" w:hAnsi="Arial Narrow"/>
                <w:spacing w:val="0"/>
                <w:szCs w:val="19"/>
                <w:lang w:val="es-MX"/>
              </w:rPr>
              <w:footnoteReference w:id="2"/>
            </w:r>
            <w:r w:rsidRPr="007773B7">
              <w:rPr>
                <w:rFonts w:ascii="Arial Narrow" w:hAnsi="Arial Narrow"/>
                <w:spacing w:val="0"/>
                <w:szCs w:val="19"/>
                <w:lang w:val="es-MX"/>
              </w:rPr>
              <w:t>.</w:t>
            </w:r>
          </w:p>
          <w:p w14:paraId="558CAD53" w14:textId="77777777" w:rsidR="00670BBA" w:rsidRPr="00F44DB6" w:rsidRDefault="001576E6" w:rsidP="00734765">
            <w:pPr>
              <w:pStyle w:val="Prrafodelista"/>
              <w:numPr>
                <w:ilvl w:val="0"/>
                <w:numId w:val="14"/>
              </w:numPr>
              <w:jc w:val="left"/>
              <w:rPr>
                <w:rFonts w:ascii="Arial Narrow" w:hAnsi="Arial Narrow"/>
                <w:spacing w:val="0"/>
                <w:szCs w:val="19"/>
                <w:lang w:val="es-MX"/>
              </w:rPr>
            </w:pPr>
            <w:r w:rsidRPr="001576E6">
              <w:rPr>
                <w:rFonts w:ascii="Arial Narrow" w:hAnsi="Arial Narrow"/>
                <w:spacing w:val="0"/>
                <w:szCs w:val="19"/>
                <w:lang w:val="es-MX"/>
              </w:rPr>
              <w:t>En la Gestión General de la VPR, se establece como misión</w:t>
            </w:r>
            <w:r w:rsidR="00670BBA">
              <w:rPr>
                <w:rFonts w:ascii="Arial Narrow" w:hAnsi="Arial Narrow"/>
                <w:spacing w:val="0"/>
                <w:szCs w:val="19"/>
                <w:lang w:val="es-MX"/>
              </w:rPr>
              <w:t>:</w:t>
            </w:r>
            <w:r w:rsidRPr="001576E6">
              <w:rPr>
                <w:rFonts w:ascii="Arial Narrow" w:hAnsi="Arial Narrow"/>
                <w:spacing w:val="0"/>
                <w:szCs w:val="19"/>
                <w:lang w:val="es-MX"/>
              </w:rPr>
              <w:t xml:space="preserve"> “Dirigir y coordinar las actividades administrativas y de la gestión institucional de la Vicepresidencia de la República, </w:t>
            </w:r>
            <w:r w:rsidRPr="000C4130">
              <w:rPr>
                <w:rFonts w:ascii="Arial Narrow" w:hAnsi="Arial Narrow"/>
                <w:b/>
                <w:bCs/>
                <w:spacing w:val="0"/>
                <w:szCs w:val="19"/>
                <w:u w:val="single"/>
                <w:lang w:val="es-MX"/>
              </w:rPr>
              <w:t>mediante la articulación y ejecución de políticas, planes, programas, proyectos y acciones intersectoriales correspondientes</w:t>
            </w:r>
            <w:r w:rsidRPr="001576E6">
              <w:rPr>
                <w:rFonts w:ascii="Arial Narrow" w:hAnsi="Arial Narrow"/>
                <w:spacing w:val="0"/>
                <w:szCs w:val="19"/>
                <w:lang w:val="es-MX"/>
              </w:rPr>
              <w:t>, que permitan gestionar adecuadamente las decisiones de carácter político, social y estratégico que el/la vicepresidente/a</w:t>
            </w:r>
            <w:r>
              <w:rPr>
                <w:rFonts w:ascii="Arial Narrow" w:hAnsi="Arial Narrow"/>
                <w:spacing w:val="0"/>
                <w:szCs w:val="19"/>
                <w:lang w:val="es-MX"/>
              </w:rPr>
              <w:t xml:space="preserve"> </w:t>
            </w:r>
            <w:r w:rsidRPr="001576E6">
              <w:rPr>
                <w:rFonts w:ascii="Arial Narrow" w:hAnsi="Arial Narrow"/>
                <w:spacing w:val="0"/>
                <w:szCs w:val="19"/>
                <w:lang w:val="es-MX"/>
              </w:rPr>
              <w:t>de la República disponga</w:t>
            </w:r>
            <w:r w:rsidR="00670BBA">
              <w:rPr>
                <w:rFonts w:ascii="Arial Narrow" w:hAnsi="Arial Narrow"/>
                <w:spacing w:val="0"/>
                <w:szCs w:val="19"/>
                <w:lang w:val="es-MX"/>
              </w:rPr>
              <w:t>”</w:t>
            </w:r>
            <w:r w:rsidR="00670BBA">
              <w:rPr>
                <w:rStyle w:val="Refdenotaalpie"/>
                <w:rFonts w:ascii="Arial Narrow" w:hAnsi="Arial Narrow"/>
                <w:spacing w:val="0"/>
                <w:szCs w:val="19"/>
                <w:lang w:val="es-MX"/>
              </w:rPr>
              <w:footnoteReference w:id="3"/>
            </w:r>
            <w:r w:rsidRPr="001576E6">
              <w:rPr>
                <w:rFonts w:ascii="Arial Narrow" w:hAnsi="Arial Narrow"/>
                <w:spacing w:val="0"/>
                <w:szCs w:val="19"/>
                <w:lang w:val="es-MX"/>
              </w:rPr>
              <w:t>.</w:t>
            </w:r>
            <w:r w:rsidR="00223D48">
              <w:rPr>
                <w:rFonts w:ascii="Arial Narrow" w:hAnsi="Arial Narrow"/>
                <w:spacing w:val="0"/>
                <w:szCs w:val="19"/>
              </w:rPr>
              <w:t xml:space="preserve"> </w:t>
            </w:r>
          </w:p>
          <w:p w14:paraId="70245B1B" w14:textId="1E1A2544" w:rsidR="00F44DB6" w:rsidRDefault="000C4130" w:rsidP="004B45F5">
            <w:pPr>
              <w:pStyle w:val="Prrafodelista"/>
              <w:numPr>
                <w:ilvl w:val="0"/>
                <w:numId w:val="14"/>
              </w:numPr>
              <w:jc w:val="left"/>
              <w:rPr>
                <w:rFonts w:ascii="Arial Narrow" w:hAnsi="Arial Narrow"/>
                <w:spacing w:val="0"/>
                <w:szCs w:val="19"/>
                <w:lang w:val="es-MX"/>
              </w:rPr>
            </w:pPr>
            <w:r>
              <w:rPr>
                <w:rFonts w:ascii="Arial Narrow" w:hAnsi="Arial Narrow"/>
                <w:spacing w:val="0"/>
                <w:szCs w:val="19"/>
                <w:lang w:val="es-MX"/>
              </w:rPr>
              <w:t xml:space="preserve">Finalmente, se encuentra en proceso de creación </w:t>
            </w:r>
            <w:r w:rsidR="00A30D51" w:rsidRPr="000B74EA">
              <w:rPr>
                <w:rFonts w:ascii="Arial Narrow" w:hAnsi="Arial Narrow"/>
                <w:spacing w:val="0"/>
                <w:szCs w:val="19"/>
                <w:lang w:val="es-MX"/>
              </w:rPr>
              <w:t xml:space="preserve">el Consejo Nacional de Competitividad </w:t>
            </w:r>
            <w:r w:rsidR="00A30D51" w:rsidRPr="000B74EA">
              <w:rPr>
                <w:rFonts w:ascii="Arial Narrow" w:hAnsi="Arial Narrow"/>
                <w:spacing w:val="0"/>
                <w:szCs w:val="19"/>
              </w:rPr>
              <w:t>(CNC)</w:t>
            </w:r>
            <w:r>
              <w:rPr>
                <w:rStyle w:val="Refdenotaalpie"/>
                <w:rFonts w:ascii="Arial Narrow" w:hAnsi="Arial Narrow"/>
                <w:spacing w:val="0"/>
                <w:szCs w:val="19"/>
              </w:rPr>
              <w:footnoteReference w:id="4"/>
            </w:r>
            <w:r w:rsidR="007025FE">
              <w:rPr>
                <w:rFonts w:ascii="Arial Narrow" w:hAnsi="Arial Narrow"/>
                <w:spacing w:val="0"/>
                <w:szCs w:val="19"/>
              </w:rPr>
              <w:t xml:space="preserve">, organismo adscrito a la VPR, </w:t>
            </w:r>
            <w:r w:rsidR="00A30D51" w:rsidRPr="000B74EA">
              <w:rPr>
                <w:rFonts w:ascii="Arial Narrow" w:hAnsi="Arial Narrow"/>
                <w:spacing w:val="0"/>
                <w:szCs w:val="19"/>
                <w:lang w:val="es-MX"/>
              </w:rPr>
              <w:t xml:space="preserve">que tiene como objetivo promover y fortalecer la competitividad del país a través de la evaluación permanente de las condiciones e índices de competitividad y la definición de lineamientos de política pública asociadas a esta en todos sus ámbitos, para el desarrollo de la Agenda de Competitividad y la posterior vigilancia de su cumplimiento.  </w:t>
            </w:r>
            <w:r w:rsidR="00A30D51" w:rsidRPr="000C4130">
              <w:rPr>
                <w:rFonts w:ascii="Arial Narrow" w:hAnsi="Arial Narrow"/>
                <w:b/>
                <w:bCs/>
                <w:spacing w:val="0"/>
                <w:szCs w:val="19"/>
                <w:lang w:val="es-MX"/>
              </w:rPr>
              <w:t>El CNC esta</w:t>
            </w:r>
            <w:r w:rsidRPr="000C4130">
              <w:rPr>
                <w:rFonts w:ascii="Arial Narrow" w:hAnsi="Arial Narrow"/>
                <w:b/>
                <w:bCs/>
                <w:spacing w:val="0"/>
                <w:szCs w:val="19"/>
                <w:lang w:val="es-MX"/>
              </w:rPr>
              <w:t xml:space="preserve">rá </w:t>
            </w:r>
            <w:r w:rsidR="00A30D51" w:rsidRPr="000C4130">
              <w:rPr>
                <w:rFonts w:ascii="Arial Narrow" w:hAnsi="Arial Narrow"/>
                <w:b/>
                <w:bCs/>
                <w:spacing w:val="0"/>
                <w:szCs w:val="19"/>
                <w:lang w:val="es-MX"/>
              </w:rPr>
              <w:t xml:space="preserve">presidido por el </w:t>
            </w:r>
            <w:r w:rsidRPr="000C4130">
              <w:rPr>
                <w:rFonts w:ascii="Arial Narrow" w:hAnsi="Arial Narrow"/>
                <w:b/>
                <w:bCs/>
                <w:spacing w:val="0"/>
                <w:szCs w:val="19"/>
                <w:lang w:val="es-MX"/>
              </w:rPr>
              <w:t>vicepresidente</w:t>
            </w:r>
            <w:r w:rsidR="00A30D51" w:rsidRPr="000C4130">
              <w:rPr>
                <w:rFonts w:ascii="Arial Narrow" w:hAnsi="Arial Narrow"/>
                <w:b/>
                <w:bCs/>
                <w:spacing w:val="0"/>
                <w:szCs w:val="19"/>
                <w:lang w:val="es-MX"/>
              </w:rPr>
              <w:t xml:space="preserve"> de la República</w:t>
            </w:r>
            <w:r w:rsidR="000B74EA">
              <w:rPr>
                <w:rStyle w:val="Refdenotaalpie"/>
                <w:rFonts w:ascii="Arial Narrow" w:hAnsi="Arial Narrow"/>
                <w:spacing w:val="0"/>
                <w:szCs w:val="19"/>
                <w:lang w:val="es-MX"/>
              </w:rPr>
              <w:footnoteReference w:id="5"/>
            </w:r>
            <w:r w:rsidR="000B74EA" w:rsidRPr="000B74EA">
              <w:rPr>
                <w:rFonts w:ascii="Arial Narrow" w:hAnsi="Arial Narrow"/>
                <w:spacing w:val="0"/>
                <w:szCs w:val="19"/>
                <w:lang w:val="es-MX"/>
              </w:rPr>
              <w:t xml:space="preserve">. Su órgano de ejecución </w:t>
            </w:r>
            <w:r>
              <w:rPr>
                <w:rFonts w:ascii="Arial Narrow" w:hAnsi="Arial Narrow"/>
                <w:spacing w:val="0"/>
                <w:szCs w:val="19"/>
                <w:lang w:val="es-MX"/>
              </w:rPr>
              <w:t xml:space="preserve">será </w:t>
            </w:r>
            <w:r w:rsidR="000B74EA" w:rsidRPr="000B74EA">
              <w:rPr>
                <w:rFonts w:ascii="Arial Narrow" w:hAnsi="Arial Narrow"/>
                <w:spacing w:val="0"/>
                <w:szCs w:val="19"/>
                <w:lang w:val="es-MX"/>
              </w:rPr>
              <w:t xml:space="preserve">la </w:t>
            </w:r>
            <w:r w:rsidR="000B74EA" w:rsidRPr="000C4130">
              <w:rPr>
                <w:rFonts w:ascii="Arial Narrow" w:hAnsi="Arial Narrow"/>
                <w:b/>
                <w:bCs/>
                <w:spacing w:val="0"/>
                <w:szCs w:val="19"/>
                <w:lang w:val="es-MX"/>
              </w:rPr>
              <w:t>Secretaría Técnica del Consejo Nacional de Competitividad (STCNC), que estará adscrita a la VPR</w:t>
            </w:r>
            <w:r w:rsidR="000B74EA" w:rsidRPr="000B74EA">
              <w:rPr>
                <w:rFonts w:ascii="Arial Narrow" w:hAnsi="Arial Narrow"/>
                <w:spacing w:val="0"/>
                <w:szCs w:val="19"/>
                <w:lang w:val="es-MX"/>
              </w:rPr>
              <w:t>.  Las atribuciones del CNC s</w:t>
            </w:r>
            <w:r>
              <w:rPr>
                <w:rFonts w:ascii="Arial Narrow" w:hAnsi="Arial Narrow"/>
                <w:spacing w:val="0"/>
                <w:szCs w:val="19"/>
                <w:lang w:val="es-MX"/>
              </w:rPr>
              <w:t>erán</w:t>
            </w:r>
            <w:r w:rsidR="000B74EA" w:rsidRPr="000B74EA">
              <w:rPr>
                <w:rFonts w:ascii="Arial Narrow" w:hAnsi="Arial Narrow"/>
                <w:spacing w:val="0"/>
                <w:szCs w:val="19"/>
                <w:lang w:val="es-MX"/>
              </w:rPr>
              <w:t>: (i) definir políticas, estrategias y acciones para el desarrollo de la Agenda Nacional de Competitividad; (ii) conocer y aprobar la Agenda Nacional de Competitividad, alineada al Plan Nacional de Desarrollo; (iii) gestionar y coordinar la implementación de la Agenda Nacional de Competitividad con instituciones públicas y privadas; (iv) coordinar espacios de monitoreo y control para garantizar el cumplimiento de los objetivos y metas de la Agenda Nacional de Competitividad; (v) promover la realización de estudios de sectores productivos y cadenas productivas que ayuden a la toma de decisiones y formulación de políticas públicas; (vi) conocer y aprobar los temas propuestos por los miembros e invitados permanentes en relación al cumplimiento de los objetivos del Consejo Nacional de Competitividad; (vii) aprobar el presupuesto para el funcionamiento del Consejo; y,</w:t>
            </w:r>
            <w:r w:rsidR="000B74EA">
              <w:rPr>
                <w:rFonts w:ascii="Arial Narrow" w:hAnsi="Arial Narrow"/>
                <w:spacing w:val="0"/>
                <w:szCs w:val="19"/>
                <w:lang w:val="es-MX"/>
              </w:rPr>
              <w:t xml:space="preserve"> (viii)</w:t>
            </w:r>
            <w:r w:rsidR="004B45F5">
              <w:rPr>
                <w:rFonts w:ascii="Arial Narrow" w:hAnsi="Arial Narrow"/>
                <w:spacing w:val="0"/>
                <w:szCs w:val="19"/>
                <w:lang w:val="es-MX"/>
              </w:rPr>
              <w:t xml:space="preserve"> l</w:t>
            </w:r>
            <w:r w:rsidR="000B74EA" w:rsidRPr="000B74EA">
              <w:rPr>
                <w:rFonts w:ascii="Arial Narrow" w:hAnsi="Arial Narrow"/>
                <w:spacing w:val="0"/>
                <w:szCs w:val="19"/>
                <w:lang w:val="es-MX"/>
              </w:rPr>
              <w:t>as demás, que le asigne el Presidente de la República.</w:t>
            </w:r>
          </w:p>
          <w:p w14:paraId="019A85D6" w14:textId="0ADD032C" w:rsidR="004B45F5" w:rsidRPr="007773B7" w:rsidRDefault="004B45F5" w:rsidP="004B45F5">
            <w:pPr>
              <w:pStyle w:val="Prrafodelista"/>
              <w:numPr>
                <w:ilvl w:val="0"/>
                <w:numId w:val="14"/>
              </w:numPr>
              <w:jc w:val="left"/>
              <w:rPr>
                <w:rFonts w:ascii="Arial Narrow" w:hAnsi="Arial Narrow"/>
                <w:spacing w:val="0"/>
                <w:szCs w:val="19"/>
                <w:lang w:val="es-MX"/>
              </w:rPr>
            </w:pPr>
            <w:r w:rsidRPr="004B45F5">
              <w:rPr>
                <w:rFonts w:ascii="Arial Narrow" w:hAnsi="Arial Narrow"/>
                <w:spacing w:val="0"/>
                <w:szCs w:val="19"/>
                <w:lang w:val="es-MX"/>
              </w:rPr>
              <w:t xml:space="preserve">De acuerdo al artículo 8 del decreto </w:t>
            </w:r>
            <w:r w:rsidR="000C4130">
              <w:rPr>
                <w:rFonts w:ascii="Arial Narrow" w:hAnsi="Arial Narrow"/>
                <w:spacing w:val="0"/>
                <w:szCs w:val="19"/>
                <w:lang w:val="es-MX"/>
              </w:rPr>
              <w:t xml:space="preserve">para la </w:t>
            </w:r>
            <w:r w:rsidRPr="004B45F5">
              <w:rPr>
                <w:rFonts w:ascii="Arial Narrow" w:hAnsi="Arial Narrow"/>
                <w:spacing w:val="0"/>
                <w:szCs w:val="19"/>
                <w:lang w:val="es-MX"/>
              </w:rPr>
              <w:t xml:space="preserve">creación del CNC, éste se financiará mediante: (i) las asignaciones anuales disponibles en el Presupuesto General del Estado en función </w:t>
            </w:r>
            <w:r w:rsidRPr="004B45F5">
              <w:rPr>
                <w:rFonts w:ascii="Arial Narrow" w:hAnsi="Arial Narrow"/>
                <w:spacing w:val="0"/>
                <w:szCs w:val="19"/>
                <w:lang w:val="es-MX"/>
              </w:rPr>
              <w:lastRenderedPageBreak/>
              <w:t xml:space="preserve">de la disponibilidad presupuestaria del PGE; (ii) </w:t>
            </w:r>
            <w:r w:rsidRPr="000C4130">
              <w:rPr>
                <w:rFonts w:ascii="Arial Narrow" w:hAnsi="Arial Narrow"/>
                <w:b/>
                <w:bCs/>
                <w:spacing w:val="0"/>
                <w:szCs w:val="19"/>
                <w:lang w:val="es-MX"/>
              </w:rPr>
              <w:t>los recursos provenientes de préstamos internos o externos reembolsables o no reembolsables</w:t>
            </w:r>
            <w:r w:rsidRPr="004B45F5">
              <w:rPr>
                <w:rFonts w:ascii="Arial Narrow" w:hAnsi="Arial Narrow"/>
                <w:spacing w:val="0"/>
                <w:szCs w:val="19"/>
                <w:lang w:val="es-MX"/>
              </w:rPr>
              <w:t xml:space="preserve">; (iii) los ingresos por cursos, eventos y demás actividades que realice como autogestión de financiamiento; (iv) </w:t>
            </w:r>
            <w:r>
              <w:rPr>
                <w:rFonts w:ascii="Arial Narrow" w:hAnsi="Arial Narrow"/>
                <w:spacing w:val="0"/>
                <w:szCs w:val="19"/>
                <w:lang w:val="es-MX"/>
              </w:rPr>
              <w:t>l</w:t>
            </w:r>
            <w:r w:rsidRPr="004B45F5">
              <w:rPr>
                <w:rFonts w:ascii="Arial Narrow" w:hAnsi="Arial Narrow"/>
                <w:spacing w:val="0"/>
                <w:szCs w:val="19"/>
                <w:lang w:val="es-MX"/>
              </w:rPr>
              <w:t>os legados, donaciones, contribuciones que le hicieren las personas naturales o jurídicas, nacionales o extranjeras a cualquier título, y;</w:t>
            </w:r>
            <w:r>
              <w:rPr>
                <w:rFonts w:ascii="Arial Narrow" w:hAnsi="Arial Narrow"/>
                <w:spacing w:val="0"/>
                <w:szCs w:val="19"/>
                <w:lang w:val="es-MX"/>
              </w:rPr>
              <w:t xml:space="preserve"> (v) l</w:t>
            </w:r>
            <w:r w:rsidRPr="004B45F5">
              <w:rPr>
                <w:rFonts w:ascii="Arial Narrow" w:hAnsi="Arial Narrow"/>
                <w:spacing w:val="0"/>
                <w:szCs w:val="19"/>
                <w:lang w:val="es-MX"/>
              </w:rPr>
              <w:t>os demás recursos que se le asignaren.</w:t>
            </w:r>
          </w:p>
        </w:tc>
      </w:tr>
      <w:tr w:rsidR="008D26C1" w:rsidRPr="00103B81" w14:paraId="527EDACD" w14:textId="77777777" w:rsidTr="004B45F5">
        <w:tc>
          <w:tcPr>
            <w:tcW w:w="1843" w:type="dxa"/>
            <w:tcBorders>
              <w:top w:val="dashSmallGap" w:sz="4" w:space="0" w:color="BFBFBF" w:themeColor="background1" w:themeShade="BF"/>
              <w:bottom w:val="single" w:sz="36" w:space="0" w:color="FFFFFF" w:themeColor="background1"/>
              <w:right w:val="dashSmallGap" w:sz="4" w:space="0" w:color="BFBFBF" w:themeColor="background1" w:themeShade="BF"/>
            </w:tcBorders>
            <w:shd w:val="clear" w:color="auto" w:fill="DEEAF6" w:themeFill="accent1" w:themeFillTint="33"/>
          </w:tcPr>
          <w:p w14:paraId="330E5D84" w14:textId="77777777" w:rsidR="008D26C1" w:rsidRPr="00103B81" w:rsidRDefault="008D26C1" w:rsidP="007717AD">
            <w:pPr>
              <w:spacing w:after="40"/>
              <w:jc w:val="left"/>
              <w:rPr>
                <w:rFonts w:ascii="Arial Narrow" w:hAnsi="Arial Narrow"/>
                <w:b/>
                <w:spacing w:val="0"/>
                <w:szCs w:val="19"/>
                <w:lang w:val="es-MX"/>
              </w:rPr>
            </w:pPr>
            <w:r w:rsidRPr="00103B81">
              <w:rPr>
                <w:rFonts w:ascii="Arial Narrow" w:hAnsi="Arial Narrow"/>
                <w:b/>
                <w:spacing w:val="0"/>
                <w:szCs w:val="19"/>
                <w:lang w:val="es-MX"/>
              </w:rPr>
              <w:lastRenderedPageBreak/>
              <w:t>Objetivos estratégicos relacionados con el Programa:</w:t>
            </w:r>
          </w:p>
        </w:tc>
        <w:tc>
          <w:tcPr>
            <w:tcW w:w="7229" w:type="dxa"/>
            <w:tcBorders>
              <w:top w:val="dashSmallGap" w:sz="4" w:space="0" w:color="BFBFBF" w:themeColor="background1" w:themeShade="BF"/>
              <w:left w:val="dashSmallGap" w:sz="4" w:space="0" w:color="BFBFBF" w:themeColor="background1" w:themeShade="BF"/>
              <w:bottom w:val="single" w:sz="36" w:space="0" w:color="FFFFFF" w:themeColor="background1"/>
            </w:tcBorders>
            <w:shd w:val="clear" w:color="auto" w:fill="DEEAF6" w:themeFill="accent1" w:themeFillTint="33"/>
          </w:tcPr>
          <w:p w14:paraId="2C31432A" w14:textId="32257219" w:rsidR="001576E6" w:rsidRPr="00223D48" w:rsidRDefault="001576E6" w:rsidP="001576E6">
            <w:pPr>
              <w:pStyle w:val="Prrafodelista"/>
              <w:numPr>
                <w:ilvl w:val="0"/>
                <w:numId w:val="14"/>
              </w:numPr>
              <w:jc w:val="left"/>
              <w:rPr>
                <w:rFonts w:ascii="Arial Narrow" w:hAnsi="Arial Narrow"/>
                <w:spacing w:val="0"/>
                <w:szCs w:val="19"/>
                <w:lang w:val="es-MX"/>
              </w:rPr>
            </w:pPr>
            <w:r>
              <w:rPr>
                <w:rFonts w:ascii="Arial Narrow" w:hAnsi="Arial Narrow"/>
                <w:spacing w:val="0"/>
                <w:szCs w:val="19"/>
                <w:lang w:val="es-MX"/>
              </w:rPr>
              <w:t xml:space="preserve">Entre </w:t>
            </w:r>
            <w:r w:rsidR="003B5C42">
              <w:rPr>
                <w:rFonts w:ascii="Arial Narrow" w:hAnsi="Arial Narrow"/>
                <w:spacing w:val="0"/>
                <w:szCs w:val="19"/>
                <w:lang w:val="es-MX"/>
              </w:rPr>
              <w:t>los o</w:t>
            </w:r>
            <w:r>
              <w:rPr>
                <w:rFonts w:ascii="Arial Narrow" w:hAnsi="Arial Narrow"/>
                <w:spacing w:val="0"/>
                <w:szCs w:val="19"/>
                <w:lang w:val="es-MX"/>
              </w:rPr>
              <w:t xml:space="preserve">bjetivos institucionales </w:t>
            </w:r>
            <w:r w:rsidR="003B5C42">
              <w:rPr>
                <w:rFonts w:ascii="Arial Narrow" w:hAnsi="Arial Narrow"/>
                <w:spacing w:val="0"/>
                <w:szCs w:val="19"/>
                <w:lang w:val="es-MX"/>
              </w:rPr>
              <w:t xml:space="preserve">de la VPR </w:t>
            </w:r>
            <w:r>
              <w:rPr>
                <w:rFonts w:ascii="Arial Narrow" w:hAnsi="Arial Narrow"/>
                <w:spacing w:val="0"/>
                <w:szCs w:val="19"/>
                <w:lang w:val="es-MX"/>
              </w:rPr>
              <w:t>se señala</w:t>
            </w:r>
            <w:r>
              <w:rPr>
                <w:rFonts w:ascii="Arial Narrow" w:hAnsi="Arial Narrow"/>
                <w:spacing w:val="0"/>
                <w:szCs w:val="19"/>
              </w:rPr>
              <w:t>: “</w:t>
            </w:r>
            <w:r w:rsidRPr="00223D48">
              <w:rPr>
                <w:rFonts w:ascii="Arial Narrow" w:hAnsi="Arial Narrow"/>
                <w:spacing w:val="0"/>
                <w:szCs w:val="19"/>
              </w:rPr>
              <w:t>Incrementar acciones que impulsen el proceso de Reconstrucción y Reactivación Productiva</w:t>
            </w:r>
            <w:r>
              <w:rPr>
                <w:rFonts w:ascii="Arial Narrow" w:hAnsi="Arial Narrow"/>
                <w:spacing w:val="0"/>
                <w:szCs w:val="19"/>
              </w:rPr>
              <w:t xml:space="preserve"> </w:t>
            </w:r>
            <w:r w:rsidRPr="00223D48">
              <w:rPr>
                <w:rFonts w:ascii="Arial Narrow" w:hAnsi="Arial Narrow"/>
                <w:spacing w:val="0"/>
                <w:szCs w:val="19"/>
              </w:rPr>
              <w:t>y del Empleo</w:t>
            </w:r>
            <w:r>
              <w:rPr>
                <w:rFonts w:ascii="Arial Narrow" w:hAnsi="Arial Narrow"/>
                <w:spacing w:val="0"/>
                <w:szCs w:val="19"/>
              </w:rPr>
              <w:t>” (artículo 6.- Objetivos Institucionales de la VPR</w:t>
            </w:r>
            <w:r>
              <w:rPr>
                <w:rStyle w:val="Refdenotaalpie"/>
                <w:rFonts w:ascii="Arial Narrow" w:hAnsi="Arial Narrow"/>
                <w:spacing w:val="0"/>
                <w:szCs w:val="19"/>
              </w:rPr>
              <w:footnoteReference w:id="6"/>
            </w:r>
            <w:r>
              <w:rPr>
                <w:rFonts w:ascii="Arial Narrow" w:hAnsi="Arial Narrow"/>
                <w:spacing w:val="0"/>
                <w:szCs w:val="19"/>
              </w:rPr>
              <w:t>)</w:t>
            </w:r>
          </w:p>
          <w:p w14:paraId="7879E1C1" w14:textId="3C22AFDF" w:rsidR="00734765" w:rsidRDefault="00734765" w:rsidP="001576E6">
            <w:pPr>
              <w:pStyle w:val="Prrafodelista"/>
              <w:numPr>
                <w:ilvl w:val="0"/>
                <w:numId w:val="14"/>
              </w:numPr>
              <w:jc w:val="left"/>
              <w:rPr>
                <w:rFonts w:ascii="Arial Narrow" w:hAnsi="Arial Narrow"/>
                <w:spacing w:val="0"/>
                <w:szCs w:val="19"/>
                <w:lang w:val="es-MX"/>
              </w:rPr>
            </w:pPr>
            <w:r>
              <w:rPr>
                <w:rFonts w:ascii="Arial Narrow" w:hAnsi="Arial Narrow"/>
                <w:spacing w:val="0"/>
                <w:szCs w:val="19"/>
                <w:lang w:val="es-MX"/>
              </w:rPr>
              <w:t>Mediante decreto ejecutivo N° 622</w:t>
            </w:r>
            <w:r>
              <w:rPr>
                <w:rStyle w:val="Refdenotaalpie"/>
                <w:rFonts w:ascii="Arial Narrow" w:hAnsi="Arial Narrow"/>
                <w:spacing w:val="0"/>
                <w:szCs w:val="19"/>
                <w:lang w:val="es-MX"/>
              </w:rPr>
              <w:footnoteReference w:id="7"/>
            </w:r>
            <w:r>
              <w:rPr>
                <w:rFonts w:ascii="Arial Narrow" w:hAnsi="Arial Narrow"/>
                <w:spacing w:val="0"/>
                <w:szCs w:val="19"/>
                <w:lang w:val="es-MX"/>
              </w:rPr>
              <w:t>, en su artículo 2: “El Vicepresidente de la República tendrá a su cargo la coordinación y articulación, junto a la Secretaría Nacional de Planificación y Desarrollo, de la implementación efectiva de la Agenda 2030 para el Desarrollo Sostenible, a fin de entrelazar la agenda internacional con los objetivos nacionales contenidos en el Plan Nacional de Desarrollo 2017-2021”.</w:t>
            </w:r>
          </w:p>
          <w:p w14:paraId="7EB4A62E" w14:textId="77777777" w:rsidR="00FB1306" w:rsidRDefault="00FB1306" w:rsidP="001576E6">
            <w:pPr>
              <w:pStyle w:val="Prrafodelista"/>
              <w:numPr>
                <w:ilvl w:val="0"/>
                <w:numId w:val="14"/>
              </w:numPr>
              <w:jc w:val="left"/>
              <w:rPr>
                <w:rFonts w:ascii="Arial Narrow" w:hAnsi="Arial Narrow"/>
                <w:spacing w:val="0"/>
                <w:szCs w:val="19"/>
                <w:lang w:val="es-MX"/>
              </w:rPr>
            </w:pPr>
            <w:r>
              <w:rPr>
                <w:rFonts w:ascii="Arial Narrow" w:hAnsi="Arial Narrow"/>
                <w:spacing w:val="0"/>
                <w:szCs w:val="19"/>
                <w:lang w:val="es-MX"/>
              </w:rPr>
              <w:t>“El artículo 284 de la Constitución de la República establece los objetivos de la política económica, entre los que se incluye incentivar la producción nacional, la productividad y competitividad sistémicas, la acumulación del conocimiento científico y tecnológico, la inserción estratégica en la economía mundial y las actividades complementarias en la integración regional”</w:t>
            </w:r>
            <w:r>
              <w:rPr>
                <w:rStyle w:val="Refdenotaalpie"/>
                <w:rFonts w:ascii="Arial Narrow" w:hAnsi="Arial Narrow"/>
                <w:spacing w:val="0"/>
                <w:szCs w:val="19"/>
                <w:lang w:val="es-MX"/>
              </w:rPr>
              <w:footnoteReference w:id="8"/>
            </w:r>
          </w:p>
          <w:p w14:paraId="22DCF9AB" w14:textId="2043C72F" w:rsidR="00FB1306" w:rsidRDefault="00734765" w:rsidP="00E85959">
            <w:pPr>
              <w:pStyle w:val="Prrafodelista"/>
              <w:numPr>
                <w:ilvl w:val="0"/>
                <w:numId w:val="14"/>
              </w:numPr>
              <w:jc w:val="left"/>
              <w:rPr>
                <w:rFonts w:ascii="Arial Narrow" w:hAnsi="Arial Narrow"/>
                <w:spacing w:val="0"/>
                <w:szCs w:val="19"/>
                <w:lang w:val="es-MX"/>
              </w:rPr>
            </w:pPr>
            <w:r>
              <w:rPr>
                <w:rFonts w:ascii="Arial Narrow" w:hAnsi="Arial Narrow"/>
                <w:spacing w:val="0"/>
                <w:szCs w:val="19"/>
                <w:lang w:val="es-MX"/>
              </w:rPr>
              <w:t>Mediante decreto ejecutivo N° 622</w:t>
            </w:r>
            <w:r>
              <w:rPr>
                <w:rStyle w:val="Refdenotaalpie"/>
                <w:rFonts w:ascii="Arial Narrow" w:hAnsi="Arial Narrow"/>
                <w:spacing w:val="0"/>
                <w:szCs w:val="19"/>
                <w:lang w:val="es-MX"/>
              </w:rPr>
              <w:footnoteReference w:id="9"/>
            </w:r>
            <w:r>
              <w:rPr>
                <w:rFonts w:ascii="Arial Narrow" w:hAnsi="Arial Narrow"/>
                <w:spacing w:val="0"/>
                <w:szCs w:val="19"/>
                <w:lang w:val="es-MX"/>
              </w:rPr>
              <w:t xml:space="preserve">, en su artículo 3. “Se encarga al </w:t>
            </w:r>
            <w:r w:rsidR="0041509F">
              <w:rPr>
                <w:rFonts w:ascii="Arial Narrow" w:hAnsi="Arial Narrow"/>
                <w:spacing w:val="0"/>
                <w:szCs w:val="19"/>
                <w:lang w:val="es-MX"/>
              </w:rPr>
              <w:t>vicepresidente</w:t>
            </w:r>
            <w:r>
              <w:rPr>
                <w:rFonts w:ascii="Arial Narrow" w:hAnsi="Arial Narrow"/>
                <w:spacing w:val="0"/>
                <w:szCs w:val="19"/>
                <w:lang w:val="es-MX"/>
              </w:rPr>
              <w:t xml:space="preserve"> de la República el acompañamiento al ministerio encargado de la política de inversiones, de la implementación de las estrategias integrales a nivel internacional, de promoción, atracción, facilitación, concreción y mantenimiento de las inversiones, en el marco del Plan Estratégico Plurianual de Promoción de Inversiones de conformidad con el Decreto Ejecutivo N°252 de 22 de diciembre de 2017.”</w:t>
            </w:r>
          </w:p>
          <w:p w14:paraId="5F8A2A1F" w14:textId="5E0C5A3B" w:rsidR="003B5C42" w:rsidRPr="00103B81" w:rsidRDefault="0041509F" w:rsidP="00E85959">
            <w:pPr>
              <w:pStyle w:val="Prrafodelista"/>
              <w:numPr>
                <w:ilvl w:val="0"/>
                <w:numId w:val="14"/>
              </w:numPr>
              <w:jc w:val="left"/>
              <w:rPr>
                <w:rFonts w:ascii="Arial Narrow" w:hAnsi="Arial Narrow"/>
                <w:spacing w:val="0"/>
                <w:szCs w:val="19"/>
                <w:lang w:val="es-MX"/>
              </w:rPr>
            </w:pPr>
            <w:r>
              <w:rPr>
                <w:rFonts w:ascii="Arial Narrow" w:hAnsi="Arial Narrow"/>
                <w:spacing w:val="0"/>
                <w:szCs w:val="19"/>
                <w:lang w:val="es-MX"/>
              </w:rPr>
              <w:t xml:space="preserve">Con la creación del </w:t>
            </w:r>
            <w:r w:rsidR="003B5C42" w:rsidRPr="000B74EA">
              <w:rPr>
                <w:rFonts w:ascii="Arial Narrow" w:hAnsi="Arial Narrow"/>
                <w:spacing w:val="0"/>
                <w:szCs w:val="19"/>
                <w:lang w:val="es-MX"/>
              </w:rPr>
              <w:t>C</w:t>
            </w:r>
            <w:r>
              <w:rPr>
                <w:rFonts w:ascii="Arial Narrow" w:hAnsi="Arial Narrow"/>
                <w:spacing w:val="0"/>
                <w:szCs w:val="19"/>
                <w:lang w:val="es-MX"/>
              </w:rPr>
              <w:t>NC</w:t>
            </w:r>
            <w:r>
              <w:rPr>
                <w:rFonts w:ascii="Arial Narrow" w:hAnsi="Arial Narrow"/>
                <w:spacing w:val="0"/>
                <w:szCs w:val="19"/>
              </w:rPr>
              <w:t xml:space="preserve">, se cubren los objetivos estratégicos relacionados con el Programa, pues el CNC tendrá </w:t>
            </w:r>
            <w:r w:rsidR="003B5C42" w:rsidRPr="000B74EA">
              <w:rPr>
                <w:rFonts w:ascii="Arial Narrow" w:hAnsi="Arial Narrow"/>
                <w:spacing w:val="0"/>
                <w:szCs w:val="19"/>
                <w:lang w:val="es-MX"/>
              </w:rPr>
              <w:t>como objetivo promover y fortalecer la competitividad del país a través de la evaluación permanente de las condiciones e índices de competitividad y la definición de lineamientos de política pública asociadas a esta en todos sus ámbitos, para el desarrollo de la Agenda de Competitividad y la posterior vigilancia de su cumplimiento.</w:t>
            </w:r>
          </w:p>
        </w:tc>
      </w:tr>
      <w:tr w:rsidR="008D26C1" w:rsidRPr="00103B81" w14:paraId="4530C6A8" w14:textId="77777777" w:rsidTr="004B45F5">
        <w:tc>
          <w:tcPr>
            <w:tcW w:w="1843" w:type="dxa"/>
            <w:tcBorders>
              <w:top w:val="single" w:sz="36" w:space="0" w:color="FFFFFF" w:themeColor="background1"/>
              <w:bottom w:val="dashSmallGap" w:sz="4" w:space="0" w:color="BFBFBF" w:themeColor="background1" w:themeShade="BF"/>
            </w:tcBorders>
            <w:shd w:val="clear" w:color="auto" w:fill="F2F2F2" w:themeFill="background1" w:themeFillShade="F2"/>
          </w:tcPr>
          <w:p w14:paraId="679CC7C2" w14:textId="528B55E2" w:rsidR="008D26C1" w:rsidRPr="00103B81" w:rsidRDefault="008D26C1" w:rsidP="007717AD">
            <w:pPr>
              <w:spacing w:after="40"/>
              <w:jc w:val="left"/>
              <w:rPr>
                <w:rFonts w:ascii="Arial Narrow" w:hAnsi="Arial Narrow"/>
                <w:b/>
                <w:spacing w:val="0"/>
                <w:szCs w:val="19"/>
                <w:lang w:val="es-MX"/>
              </w:rPr>
            </w:pPr>
            <w:r w:rsidRPr="00103B81">
              <w:rPr>
                <w:rFonts w:ascii="Arial Narrow" w:hAnsi="Arial Narrow"/>
                <w:b/>
                <w:spacing w:val="0"/>
                <w:szCs w:val="19"/>
                <w:lang w:val="es-MX"/>
              </w:rPr>
              <w:t xml:space="preserve">Creación </w:t>
            </w:r>
            <w:r w:rsidR="00324C9D">
              <w:rPr>
                <w:rFonts w:ascii="Arial Narrow" w:hAnsi="Arial Narrow"/>
                <w:b/>
                <w:spacing w:val="0"/>
                <w:szCs w:val="19"/>
                <w:lang w:val="es-MX"/>
              </w:rPr>
              <w:t>y situación legal</w:t>
            </w:r>
            <w:r w:rsidRPr="00103B81">
              <w:rPr>
                <w:rFonts w:ascii="Arial Narrow" w:hAnsi="Arial Narrow"/>
                <w:b/>
                <w:spacing w:val="0"/>
                <w:szCs w:val="19"/>
                <w:lang w:val="es-MX"/>
              </w:rPr>
              <w:t>:</w:t>
            </w:r>
          </w:p>
        </w:tc>
        <w:tc>
          <w:tcPr>
            <w:tcW w:w="7229" w:type="dxa"/>
            <w:tcBorders>
              <w:top w:val="single" w:sz="36" w:space="0" w:color="FFFFFF" w:themeColor="background1"/>
              <w:bottom w:val="dashSmallGap" w:sz="4" w:space="0" w:color="BFBFBF" w:themeColor="background1" w:themeShade="BF"/>
            </w:tcBorders>
            <w:shd w:val="clear" w:color="auto" w:fill="F2F2F2" w:themeFill="background1" w:themeFillShade="F2"/>
          </w:tcPr>
          <w:p w14:paraId="21150216" w14:textId="3DFDC635" w:rsidR="00F44DB6" w:rsidRDefault="00F44DB6" w:rsidP="00F44DB6">
            <w:pPr>
              <w:pStyle w:val="Prrafodelista"/>
              <w:numPr>
                <w:ilvl w:val="0"/>
                <w:numId w:val="14"/>
              </w:numPr>
              <w:jc w:val="left"/>
              <w:rPr>
                <w:rFonts w:ascii="Arial Narrow" w:hAnsi="Arial Narrow"/>
                <w:spacing w:val="0"/>
                <w:szCs w:val="19"/>
                <w:lang w:val="es-MX"/>
              </w:rPr>
            </w:pPr>
            <w:r>
              <w:rPr>
                <w:rFonts w:ascii="Arial Narrow" w:hAnsi="Arial Narrow"/>
                <w:spacing w:val="0"/>
                <w:szCs w:val="19"/>
                <w:lang w:val="es-MX"/>
              </w:rPr>
              <w:t>E</w:t>
            </w:r>
            <w:r w:rsidRPr="00F44DB6">
              <w:rPr>
                <w:rFonts w:ascii="Arial Narrow" w:hAnsi="Arial Narrow"/>
                <w:spacing w:val="0"/>
                <w:szCs w:val="19"/>
                <w:lang w:val="es-MX"/>
              </w:rPr>
              <w:t>l numeral 2 del artículo 284 de la Norma Constitucional, dispone que: “La política económica tendrá los siguientes objetivos: 2. Incentivar la producción nacional, la productividad y competitividad sistémicas, la acumulación del conocimiento científico y tecnológico, la inserción estratégica en la economía mundial y las actividades productivas complementarias en la integración regional</w:t>
            </w:r>
            <w:r>
              <w:rPr>
                <w:rFonts w:ascii="Arial Narrow" w:hAnsi="Arial Narrow"/>
                <w:spacing w:val="0"/>
                <w:szCs w:val="19"/>
                <w:lang w:val="es-MX"/>
              </w:rPr>
              <w:t>.</w:t>
            </w:r>
            <w:r w:rsidRPr="00F44DB6">
              <w:rPr>
                <w:rFonts w:ascii="Arial Narrow" w:hAnsi="Arial Narrow"/>
                <w:spacing w:val="0"/>
                <w:szCs w:val="19"/>
                <w:lang w:val="es-MX"/>
              </w:rPr>
              <w:t>”</w:t>
            </w:r>
          </w:p>
          <w:p w14:paraId="4BA9AC48" w14:textId="23D8FF63" w:rsidR="00F44DB6" w:rsidRDefault="00F44DB6" w:rsidP="00F44DB6">
            <w:pPr>
              <w:pStyle w:val="Prrafodelista"/>
              <w:numPr>
                <w:ilvl w:val="0"/>
                <w:numId w:val="14"/>
              </w:numPr>
              <w:jc w:val="left"/>
              <w:rPr>
                <w:rFonts w:ascii="Arial Narrow" w:hAnsi="Arial Narrow"/>
                <w:spacing w:val="0"/>
                <w:szCs w:val="19"/>
                <w:lang w:val="es-MX"/>
              </w:rPr>
            </w:pPr>
            <w:r>
              <w:rPr>
                <w:rFonts w:ascii="Arial Narrow" w:hAnsi="Arial Narrow"/>
                <w:spacing w:val="0"/>
                <w:szCs w:val="19"/>
                <w:lang w:val="es-MX"/>
              </w:rPr>
              <w:t>SITUACION LEGAL VPR</w:t>
            </w:r>
          </w:p>
          <w:p w14:paraId="56CA4252" w14:textId="30C73CD4" w:rsidR="00F44DB6" w:rsidRDefault="0041509F" w:rsidP="00F44DB6">
            <w:pPr>
              <w:pStyle w:val="Prrafodelista"/>
              <w:numPr>
                <w:ilvl w:val="0"/>
                <w:numId w:val="14"/>
              </w:numPr>
              <w:jc w:val="left"/>
              <w:rPr>
                <w:rFonts w:ascii="Arial Narrow" w:hAnsi="Arial Narrow"/>
                <w:spacing w:val="0"/>
                <w:szCs w:val="19"/>
                <w:lang w:val="es-MX"/>
              </w:rPr>
            </w:pPr>
            <w:r>
              <w:rPr>
                <w:rFonts w:ascii="Arial Narrow" w:hAnsi="Arial Narrow"/>
                <w:spacing w:val="0"/>
                <w:szCs w:val="19"/>
                <w:lang w:val="es-MX"/>
              </w:rPr>
              <w:t xml:space="preserve">Se encuentra en proceso de creación el </w:t>
            </w:r>
            <w:r w:rsidR="00A30D51">
              <w:rPr>
                <w:rFonts w:ascii="Arial Narrow" w:hAnsi="Arial Narrow"/>
                <w:spacing w:val="0"/>
                <w:szCs w:val="19"/>
                <w:lang w:val="es-MX"/>
              </w:rPr>
              <w:t>C</w:t>
            </w:r>
            <w:r>
              <w:rPr>
                <w:rFonts w:ascii="Arial Narrow" w:hAnsi="Arial Narrow"/>
                <w:spacing w:val="0"/>
                <w:szCs w:val="19"/>
                <w:lang w:val="es-MX"/>
              </w:rPr>
              <w:t xml:space="preserve">NC y la STCNC </w:t>
            </w:r>
            <w:r w:rsidR="003B5C42">
              <w:rPr>
                <w:rFonts w:ascii="Arial Narrow" w:hAnsi="Arial Narrow"/>
                <w:spacing w:val="0"/>
                <w:szCs w:val="19"/>
                <w:lang w:val="es-MX"/>
              </w:rPr>
              <w:t>como Órgano adscrito a la VPR</w:t>
            </w:r>
          </w:p>
          <w:p w14:paraId="04A83CCA" w14:textId="1BBF9DCA" w:rsidR="008D26C1" w:rsidRPr="00F44DB6" w:rsidRDefault="008D26C1" w:rsidP="007717AD">
            <w:pPr>
              <w:jc w:val="left"/>
              <w:rPr>
                <w:rFonts w:ascii="Arial Narrow" w:hAnsi="Arial Narrow"/>
                <w:spacing w:val="0"/>
                <w:szCs w:val="19"/>
                <w:lang w:val="es-MX"/>
              </w:rPr>
            </w:pPr>
          </w:p>
        </w:tc>
      </w:tr>
    </w:tbl>
    <w:p w14:paraId="04F09B0A" w14:textId="77777777" w:rsidR="008D26C1" w:rsidRDefault="008D26C1" w:rsidP="001B387B">
      <w:pPr>
        <w:pStyle w:val="Ttulo2"/>
      </w:pPr>
      <w:bookmarkStart w:id="7" w:name="_Toc12543941"/>
      <w:r w:rsidRPr="003132AE">
        <w:t xml:space="preserve">Información Básica </w:t>
      </w:r>
      <w:r>
        <w:t>del Programa</w:t>
      </w:r>
      <w:bookmarkEnd w:id="7"/>
    </w:p>
    <w:p w14:paraId="1D787453" w14:textId="77777777" w:rsidR="008D26C1" w:rsidRDefault="008D26C1" w:rsidP="008D26C1">
      <w:pPr>
        <w:pStyle w:val="Descripcin"/>
        <w:keepNext/>
      </w:pPr>
      <w:bookmarkStart w:id="8" w:name="_Toc12543951"/>
      <w:r w:rsidRPr="003132AE">
        <w:t xml:space="preserve">Tabla </w:t>
      </w:r>
      <w:r>
        <w:rPr>
          <w:noProof/>
        </w:rPr>
        <w:fldChar w:fldCharType="begin"/>
      </w:r>
      <w:r>
        <w:rPr>
          <w:noProof/>
        </w:rPr>
        <w:instrText xml:space="preserve"> SEQ Tabla \* ARABIC </w:instrText>
      </w:r>
      <w:r>
        <w:rPr>
          <w:noProof/>
        </w:rPr>
        <w:fldChar w:fldCharType="separate"/>
      </w:r>
      <w:r>
        <w:rPr>
          <w:noProof/>
        </w:rPr>
        <w:t>2</w:t>
      </w:r>
      <w:r>
        <w:rPr>
          <w:noProof/>
        </w:rPr>
        <w:fldChar w:fldCharType="end"/>
      </w:r>
      <w:r w:rsidRPr="003132AE">
        <w:t xml:space="preserve">. Información Básica </w:t>
      </w:r>
      <w:r>
        <w:t>del Programa</w:t>
      </w:r>
      <w:bookmarkEnd w:id="8"/>
      <w:r>
        <w:t xml:space="preserve"> </w:t>
      </w:r>
    </w:p>
    <w:tbl>
      <w:tblPr>
        <w:tblStyle w:val="Tablaconcuadrcula1"/>
        <w:tblW w:w="9072" w:type="dxa"/>
        <w:tblBorders>
          <w:top w:val="none" w:sz="0" w:space="0" w:color="auto"/>
          <w:left w:val="none" w:sz="0" w:space="0" w:color="auto"/>
          <w:bottom w:val="none" w:sz="0" w:space="0" w:color="auto"/>
          <w:right w:val="none" w:sz="0" w:space="0" w:color="auto"/>
          <w:insideH w:val="dashSmallGap" w:sz="4" w:space="0" w:color="BFBFBF" w:themeColor="background1" w:themeShade="BF"/>
          <w:insideV w:val="dashSmallGap" w:sz="4" w:space="0" w:color="BFBFBF" w:themeColor="background1" w:themeShade="BF"/>
        </w:tblBorders>
        <w:tblCellMar>
          <w:top w:w="28" w:type="dxa"/>
          <w:bottom w:w="28" w:type="dxa"/>
        </w:tblCellMar>
        <w:tblLook w:val="04A0" w:firstRow="1" w:lastRow="0" w:firstColumn="1" w:lastColumn="0" w:noHBand="0" w:noVBand="1"/>
      </w:tblPr>
      <w:tblGrid>
        <w:gridCol w:w="2268"/>
        <w:gridCol w:w="6804"/>
      </w:tblGrid>
      <w:tr w:rsidR="008D26C1" w:rsidRPr="00860BB1" w14:paraId="3D6800D7" w14:textId="77777777" w:rsidTr="00D537CC">
        <w:tc>
          <w:tcPr>
            <w:tcW w:w="2268" w:type="dxa"/>
            <w:shd w:val="clear" w:color="auto" w:fill="DEEAF6" w:themeFill="accent1" w:themeFillTint="33"/>
          </w:tcPr>
          <w:p w14:paraId="311355A4" w14:textId="56F6BE4D" w:rsidR="008D26C1" w:rsidRDefault="008D26C1" w:rsidP="007717AD">
            <w:pPr>
              <w:jc w:val="left"/>
              <w:rPr>
                <w:rFonts w:ascii="Arial Narrow" w:hAnsi="Arial Narrow"/>
                <w:b/>
                <w:spacing w:val="0"/>
                <w:lang w:val="es-MX"/>
              </w:rPr>
            </w:pPr>
            <w:r>
              <w:rPr>
                <w:rFonts w:ascii="Arial Narrow" w:hAnsi="Arial Narrow"/>
                <w:b/>
                <w:spacing w:val="0"/>
                <w:lang w:val="es-MX"/>
              </w:rPr>
              <w:t>Nombre del Pro</w:t>
            </w:r>
            <w:r w:rsidR="00A81A23">
              <w:rPr>
                <w:rFonts w:ascii="Arial Narrow" w:hAnsi="Arial Narrow"/>
                <w:b/>
                <w:spacing w:val="0"/>
                <w:lang w:val="es-MX"/>
              </w:rPr>
              <w:t>grama</w:t>
            </w:r>
            <w:r>
              <w:rPr>
                <w:rFonts w:ascii="Arial Narrow" w:hAnsi="Arial Narrow"/>
                <w:b/>
                <w:spacing w:val="0"/>
                <w:lang w:val="es-MX"/>
              </w:rPr>
              <w:t>:</w:t>
            </w:r>
          </w:p>
        </w:tc>
        <w:tc>
          <w:tcPr>
            <w:tcW w:w="6804" w:type="dxa"/>
            <w:shd w:val="clear" w:color="auto" w:fill="DEEAF6" w:themeFill="accent1" w:themeFillTint="33"/>
          </w:tcPr>
          <w:p w14:paraId="4DC944FA" w14:textId="7FE5D905" w:rsidR="008D26C1" w:rsidRPr="008E1ACA" w:rsidRDefault="004B45F5" w:rsidP="007717AD">
            <w:pPr>
              <w:jc w:val="left"/>
              <w:rPr>
                <w:rFonts w:ascii="Arial Narrow" w:hAnsi="Arial Narrow"/>
                <w:spacing w:val="0"/>
                <w:lang w:val="es-MX"/>
              </w:rPr>
            </w:pPr>
            <w:r w:rsidRPr="004B45F5">
              <w:rPr>
                <w:rFonts w:ascii="Arial Narrow" w:hAnsi="Arial Narrow"/>
                <w:spacing w:val="0"/>
                <w:lang w:val="es-MX"/>
              </w:rPr>
              <w:t>“</w:t>
            </w:r>
            <w:bookmarkStart w:id="9" w:name="_Hlk10545519"/>
            <w:r w:rsidRPr="004B45F5">
              <w:rPr>
                <w:rFonts w:ascii="Arial Narrow" w:hAnsi="Arial Narrow"/>
                <w:spacing w:val="0"/>
                <w:lang w:val="es-MX"/>
              </w:rPr>
              <w:t>Pro</w:t>
            </w:r>
            <w:r w:rsidR="00A81A23">
              <w:rPr>
                <w:rFonts w:ascii="Arial Narrow" w:hAnsi="Arial Narrow"/>
                <w:spacing w:val="0"/>
                <w:lang w:val="es-MX"/>
              </w:rPr>
              <w:t xml:space="preserve">grama </w:t>
            </w:r>
            <w:r>
              <w:rPr>
                <w:rFonts w:ascii="Arial Narrow" w:hAnsi="Arial Narrow"/>
                <w:spacing w:val="0"/>
                <w:lang w:val="es-MX"/>
              </w:rPr>
              <w:t>d</w:t>
            </w:r>
            <w:r w:rsidRPr="004B45F5">
              <w:rPr>
                <w:rFonts w:ascii="Arial Narrow" w:hAnsi="Arial Narrow"/>
                <w:spacing w:val="0"/>
                <w:lang w:val="es-MX"/>
              </w:rPr>
              <w:t xml:space="preserve">e Fortalecimiento Institucional </w:t>
            </w:r>
            <w:r>
              <w:rPr>
                <w:rFonts w:ascii="Arial Narrow" w:hAnsi="Arial Narrow"/>
                <w:spacing w:val="0"/>
                <w:lang w:val="es-MX"/>
              </w:rPr>
              <w:t>p</w:t>
            </w:r>
            <w:r w:rsidRPr="004B45F5">
              <w:rPr>
                <w:rFonts w:ascii="Arial Narrow" w:hAnsi="Arial Narrow"/>
                <w:spacing w:val="0"/>
                <w:lang w:val="es-MX"/>
              </w:rPr>
              <w:t xml:space="preserve">ara </w:t>
            </w:r>
            <w:r>
              <w:rPr>
                <w:rFonts w:ascii="Arial Narrow" w:hAnsi="Arial Narrow"/>
                <w:spacing w:val="0"/>
                <w:lang w:val="es-MX"/>
              </w:rPr>
              <w:t>l</w:t>
            </w:r>
            <w:r w:rsidRPr="004B45F5">
              <w:rPr>
                <w:rFonts w:ascii="Arial Narrow" w:hAnsi="Arial Narrow"/>
                <w:spacing w:val="0"/>
                <w:lang w:val="es-MX"/>
              </w:rPr>
              <w:t xml:space="preserve">a Competitividad </w:t>
            </w:r>
            <w:bookmarkEnd w:id="9"/>
            <w:r w:rsidRPr="004B45F5">
              <w:rPr>
                <w:rFonts w:ascii="Arial Narrow" w:hAnsi="Arial Narrow"/>
                <w:spacing w:val="0"/>
                <w:lang w:val="es-MX"/>
              </w:rPr>
              <w:t>(E</w:t>
            </w:r>
            <w:r>
              <w:rPr>
                <w:rFonts w:ascii="Arial Narrow" w:hAnsi="Arial Narrow"/>
                <w:spacing w:val="0"/>
                <w:lang w:val="es-MX"/>
              </w:rPr>
              <w:t>C</w:t>
            </w:r>
            <w:r w:rsidRPr="004B45F5">
              <w:rPr>
                <w:rFonts w:ascii="Arial Narrow" w:hAnsi="Arial Narrow"/>
                <w:spacing w:val="0"/>
                <w:lang w:val="es-MX"/>
              </w:rPr>
              <w:t>-L1250)”</w:t>
            </w:r>
          </w:p>
        </w:tc>
      </w:tr>
      <w:tr w:rsidR="008D26C1" w:rsidRPr="00860BB1" w14:paraId="67F0608F" w14:textId="77777777" w:rsidTr="00D537CC">
        <w:tc>
          <w:tcPr>
            <w:tcW w:w="2268" w:type="dxa"/>
            <w:shd w:val="clear" w:color="auto" w:fill="DEEAF6" w:themeFill="accent1" w:themeFillTint="33"/>
          </w:tcPr>
          <w:p w14:paraId="59F4FFA9" w14:textId="77777777" w:rsidR="008D26C1" w:rsidRDefault="008D26C1" w:rsidP="007717AD">
            <w:pPr>
              <w:jc w:val="left"/>
              <w:rPr>
                <w:rFonts w:ascii="Arial Narrow" w:hAnsi="Arial Narrow"/>
                <w:b/>
                <w:spacing w:val="0"/>
                <w:lang w:val="es-MX"/>
              </w:rPr>
            </w:pPr>
            <w:r>
              <w:rPr>
                <w:rFonts w:ascii="Arial Narrow" w:hAnsi="Arial Narrow"/>
                <w:b/>
                <w:spacing w:val="0"/>
                <w:lang w:val="es-MX"/>
              </w:rPr>
              <w:t>Instrumento de Préstamo:</w:t>
            </w:r>
          </w:p>
        </w:tc>
        <w:tc>
          <w:tcPr>
            <w:tcW w:w="6804" w:type="dxa"/>
            <w:shd w:val="clear" w:color="auto" w:fill="DEEAF6" w:themeFill="accent1" w:themeFillTint="33"/>
          </w:tcPr>
          <w:p w14:paraId="2700E225" w14:textId="77777777" w:rsidR="008D26C1" w:rsidRPr="0051221D" w:rsidRDefault="008D26C1" w:rsidP="007717AD">
            <w:pPr>
              <w:jc w:val="left"/>
              <w:rPr>
                <w:rFonts w:ascii="Arial Narrow" w:hAnsi="Arial Narrow"/>
                <w:spacing w:val="0"/>
                <w:lang w:val="es-MX"/>
              </w:rPr>
            </w:pPr>
            <w:r>
              <w:rPr>
                <w:rFonts w:ascii="Arial Narrow" w:hAnsi="Arial Narrow"/>
                <w:spacing w:val="0"/>
                <w:lang w:val="es-MX"/>
              </w:rPr>
              <w:t>Préstamo de Inversión</w:t>
            </w:r>
          </w:p>
        </w:tc>
      </w:tr>
      <w:tr w:rsidR="008D26C1" w:rsidRPr="00860BB1" w14:paraId="416F84DF" w14:textId="77777777" w:rsidTr="00D537CC">
        <w:tc>
          <w:tcPr>
            <w:tcW w:w="2268" w:type="dxa"/>
            <w:shd w:val="clear" w:color="auto" w:fill="DEEAF6" w:themeFill="accent1" w:themeFillTint="33"/>
          </w:tcPr>
          <w:p w14:paraId="0BB533DB" w14:textId="77777777" w:rsidR="008D26C1" w:rsidRDefault="008D26C1" w:rsidP="007717AD">
            <w:pPr>
              <w:jc w:val="left"/>
              <w:rPr>
                <w:rFonts w:ascii="Arial Narrow" w:hAnsi="Arial Narrow"/>
                <w:b/>
                <w:spacing w:val="0"/>
                <w:lang w:val="es-MX"/>
              </w:rPr>
            </w:pPr>
            <w:r>
              <w:rPr>
                <w:rFonts w:ascii="Arial Narrow" w:hAnsi="Arial Narrow"/>
                <w:b/>
                <w:spacing w:val="0"/>
                <w:lang w:val="es-MX"/>
              </w:rPr>
              <w:t>Sector / Subsector:</w:t>
            </w:r>
          </w:p>
        </w:tc>
        <w:tc>
          <w:tcPr>
            <w:tcW w:w="6804" w:type="dxa"/>
            <w:shd w:val="clear" w:color="auto" w:fill="DEEAF6" w:themeFill="accent1" w:themeFillTint="33"/>
          </w:tcPr>
          <w:p w14:paraId="41930D3C" w14:textId="01C07B82" w:rsidR="008D26C1" w:rsidRDefault="006E7AC7" w:rsidP="007717AD">
            <w:pPr>
              <w:jc w:val="left"/>
              <w:rPr>
                <w:rFonts w:ascii="Arial Narrow" w:hAnsi="Arial Narrow"/>
                <w:spacing w:val="0"/>
                <w:lang w:val="es-MX"/>
              </w:rPr>
            </w:pPr>
            <w:r>
              <w:rPr>
                <w:rFonts w:ascii="Arial Narrow" w:hAnsi="Arial Narrow"/>
                <w:spacing w:val="0"/>
                <w:lang w:val="es-MX"/>
              </w:rPr>
              <w:t>Modernización del Estado</w:t>
            </w:r>
          </w:p>
        </w:tc>
      </w:tr>
      <w:tr w:rsidR="008D26C1" w:rsidRPr="00860BB1" w14:paraId="1AE636F4" w14:textId="77777777" w:rsidTr="00D537CC">
        <w:tc>
          <w:tcPr>
            <w:tcW w:w="2268" w:type="dxa"/>
            <w:shd w:val="clear" w:color="auto" w:fill="DEEAF6" w:themeFill="accent1" w:themeFillTint="33"/>
          </w:tcPr>
          <w:p w14:paraId="6E494330" w14:textId="77777777" w:rsidR="008D26C1" w:rsidRDefault="008D26C1" w:rsidP="007717AD">
            <w:pPr>
              <w:jc w:val="left"/>
              <w:rPr>
                <w:rFonts w:ascii="Arial Narrow" w:hAnsi="Arial Narrow"/>
                <w:b/>
                <w:spacing w:val="0"/>
                <w:lang w:val="es-MX"/>
              </w:rPr>
            </w:pPr>
            <w:r>
              <w:rPr>
                <w:rFonts w:ascii="Arial Narrow" w:hAnsi="Arial Narrow"/>
                <w:b/>
                <w:spacing w:val="0"/>
                <w:lang w:val="es-MX"/>
              </w:rPr>
              <w:t>Antecedentes:</w:t>
            </w:r>
          </w:p>
        </w:tc>
        <w:tc>
          <w:tcPr>
            <w:tcW w:w="6804" w:type="dxa"/>
            <w:shd w:val="clear" w:color="auto" w:fill="DEEAF6" w:themeFill="accent1" w:themeFillTint="33"/>
          </w:tcPr>
          <w:p w14:paraId="0BA38306" w14:textId="48BCD662" w:rsidR="008D26C1" w:rsidRPr="008E1ACA" w:rsidRDefault="008D26C1" w:rsidP="007717AD">
            <w:pPr>
              <w:jc w:val="left"/>
              <w:rPr>
                <w:rFonts w:ascii="Arial Narrow" w:hAnsi="Arial Narrow"/>
                <w:spacing w:val="0"/>
                <w:lang w:val="es-MX"/>
              </w:rPr>
            </w:pPr>
            <w:r w:rsidRPr="0051221D">
              <w:rPr>
                <w:rFonts w:ascii="Arial Narrow" w:hAnsi="Arial Narrow"/>
                <w:spacing w:val="0"/>
                <w:lang w:val="es-MX"/>
              </w:rPr>
              <w:t xml:space="preserve">En 2018, el </w:t>
            </w:r>
            <w:r w:rsidR="00D537CC">
              <w:rPr>
                <w:rFonts w:ascii="Arial Narrow" w:hAnsi="Arial Narrow"/>
                <w:spacing w:val="0"/>
                <w:lang w:val="es-MX"/>
              </w:rPr>
              <w:t xml:space="preserve">País </w:t>
            </w:r>
            <w:r w:rsidRPr="0051221D">
              <w:rPr>
                <w:rFonts w:ascii="Arial Narrow" w:hAnsi="Arial Narrow"/>
                <w:spacing w:val="0"/>
                <w:lang w:val="es-MX"/>
              </w:rPr>
              <w:t xml:space="preserve">solicitó al BID la preparación de una operación de préstamo para </w:t>
            </w:r>
            <w:r w:rsidR="006E7AC7">
              <w:rPr>
                <w:rFonts w:ascii="Arial Narrow" w:hAnsi="Arial Narrow"/>
                <w:spacing w:val="0"/>
                <w:lang w:val="es-MX"/>
              </w:rPr>
              <w:t>apoyar la competitividad del país mediante el fortalecimiento de las instituciones a cargo de mejorar el ambiente de negocios y la competitividad</w:t>
            </w:r>
            <w:r w:rsidRPr="0051221D">
              <w:rPr>
                <w:rFonts w:ascii="Arial Narrow" w:hAnsi="Arial Narrow"/>
                <w:spacing w:val="0"/>
                <w:lang w:val="es-MX"/>
              </w:rPr>
              <w:t>.</w:t>
            </w:r>
          </w:p>
        </w:tc>
      </w:tr>
      <w:tr w:rsidR="008D26C1" w:rsidRPr="00D878CA" w14:paraId="4231BFEA" w14:textId="77777777" w:rsidTr="00D537CC">
        <w:tc>
          <w:tcPr>
            <w:tcW w:w="2268" w:type="dxa"/>
            <w:shd w:val="clear" w:color="auto" w:fill="DEEAF6" w:themeFill="accent1" w:themeFillTint="33"/>
          </w:tcPr>
          <w:p w14:paraId="0CD6E3D8" w14:textId="77777777" w:rsidR="008D26C1" w:rsidRDefault="008D26C1" w:rsidP="007717AD">
            <w:pPr>
              <w:jc w:val="left"/>
              <w:rPr>
                <w:rFonts w:ascii="Arial Narrow" w:hAnsi="Arial Narrow"/>
                <w:b/>
                <w:spacing w:val="0"/>
                <w:lang w:val="es-MX"/>
              </w:rPr>
            </w:pPr>
            <w:r>
              <w:rPr>
                <w:rFonts w:ascii="Arial Narrow" w:hAnsi="Arial Narrow"/>
                <w:b/>
                <w:spacing w:val="0"/>
                <w:lang w:val="es-MX"/>
              </w:rPr>
              <w:t>Objetivo del Programa:</w:t>
            </w:r>
          </w:p>
        </w:tc>
        <w:tc>
          <w:tcPr>
            <w:tcW w:w="6804" w:type="dxa"/>
            <w:shd w:val="clear" w:color="auto" w:fill="DEEAF6" w:themeFill="accent1" w:themeFillTint="33"/>
          </w:tcPr>
          <w:p w14:paraId="2AEF8799" w14:textId="2D7B2775" w:rsidR="0093784B" w:rsidRPr="0051221D" w:rsidRDefault="006E7AC7" w:rsidP="0093784B">
            <w:pPr>
              <w:jc w:val="left"/>
              <w:rPr>
                <w:rFonts w:ascii="Arial Narrow" w:hAnsi="Arial Narrow"/>
                <w:spacing w:val="0"/>
                <w:lang w:val="es-MX"/>
              </w:rPr>
            </w:pPr>
            <w:r w:rsidRPr="006E7AC7">
              <w:rPr>
                <w:rFonts w:ascii="Arial Narrow" w:hAnsi="Arial Narrow"/>
                <w:spacing w:val="0"/>
                <w:lang w:val="es-MX"/>
              </w:rPr>
              <w:t>El objetivo</w:t>
            </w:r>
            <w:r w:rsidR="00BE358B">
              <w:rPr>
                <w:rFonts w:ascii="Arial Narrow" w:hAnsi="Arial Narrow"/>
                <w:spacing w:val="0"/>
                <w:lang w:val="es-MX"/>
              </w:rPr>
              <w:t xml:space="preserve"> del Programa es apoyar </w:t>
            </w:r>
            <w:r w:rsidR="00BE358B" w:rsidRPr="00BE358B">
              <w:rPr>
                <w:rFonts w:ascii="Arial Narrow" w:hAnsi="Arial Narrow"/>
                <w:spacing w:val="0"/>
                <w:lang w:val="es-MX"/>
              </w:rPr>
              <w:t xml:space="preserve">la competitividad del país consolidando las instituciones a cargo de mejorar el ambiente de negocios y la productividad, específicamente a través del fortalecimiento de: (i) la gobernanza para la competitividad e innovación; (ii) la calidad regulatoria y transparencia del ambiente de negocios; (iii) la gestión de entidades y </w:t>
            </w:r>
            <w:r w:rsidR="00BE358B" w:rsidRPr="00BE358B">
              <w:rPr>
                <w:rFonts w:ascii="Arial Narrow" w:hAnsi="Arial Narrow"/>
                <w:spacing w:val="0"/>
                <w:lang w:val="es-MX"/>
              </w:rPr>
              <w:lastRenderedPageBreak/>
              <w:t>activos públicos de apoyo a la competitividad; y (iv) la entrega de servicios a empresas y ciudadanos.</w:t>
            </w:r>
          </w:p>
        </w:tc>
      </w:tr>
      <w:tr w:rsidR="00D878CA" w:rsidRPr="00D878CA" w14:paraId="6EE2BE52" w14:textId="77777777" w:rsidTr="00D537CC">
        <w:tc>
          <w:tcPr>
            <w:tcW w:w="2268" w:type="dxa"/>
            <w:shd w:val="clear" w:color="auto" w:fill="DEEAF6" w:themeFill="accent1" w:themeFillTint="33"/>
          </w:tcPr>
          <w:p w14:paraId="0915B3AE" w14:textId="718007B8" w:rsidR="00D878CA" w:rsidRDefault="00D878CA" w:rsidP="007717AD">
            <w:pPr>
              <w:jc w:val="left"/>
              <w:rPr>
                <w:rFonts w:ascii="Arial Narrow" w:hAnsi="Arial Narrow"/>
                <w:b/>
                <w:spacing w:val="0"/>
                <w:lang w:val="es-MX"/>
              </w:rPr>
            </w:pPr>
            <w:r>
              <w:rPr>
                <w:rFonts w:ascii="Arial Narrow" w:hAnsi="Arial Narrow"/>
                <w:b/>
                <w:spacing w:val="0"/>
                <w:lang w:val="es-MX"/>
              </w:rPr>
              <w:lastRenderedPageBreak/>
              <w:t>Componentes:</w:t>
            </w:r>
          </w:p>
        </w:tc>
        <w:tc>
          <w:tcPr>
            <w:tcW w:w="6804" w:type="dxa"/>
            <w:shd w:val="clear" w:color="auto" w:fill="DEEAF6" w:themeFill="accent1" w:themeFillTint="33"/>
          </w:tcPr>
          <w:p w14:paraId="28518BE1" w14:textId="76F05499" w:rsidR="00D878CA" w:rsidRPr="00577A80" w:rsidRDefault="00D878CA" w:rsidP="00D878CA">
            <w:pPr>
              <w:jc w:val="left"/>
              <w:rPr>
                <w:rFonts w:ascii="Arial Narrow" w:hAnsi="Arial Narrow"/>
                <w:b/>
                <w:spacing w:val="0"/>
                <w:u w:val="single"/>
                <w:lang w:val="es-MX"/>
              </w:rPr>
            </w:pPr>
            <w:r w:rsidRPr="00577A80">
              <w:rPr>
                <w:rFonts w:ascii="Arial Narrow" w:hAnsi="Arial Narrow"/>
                <w:b/>
                <w:spacing w:val="0"/>
                <w:u w:val="single"/>
                <w:lang w:val="es-MX"/>
              </w:rPr>
              <w:t xml:space="preserve">Componente 1. -  </w:t>
            </w:r>
            <w:r w:rsidR="00BE358B" w:rsidRPr="00BE358B">
              <w:rPr>
                <w:rFonts w:ascii="Arial Narrow" w:hAnsi="Arial Narrow"/>
                <w:b/>
                <w:spacing w:val="0"/>
                <w:u w:val="single"/>
                <w:lang w:val="es-MX"/>
              </w:rPr>
              <w:t>Fortalecimiento de la gobernanza para la competitividad e innovación</w:t>
            </w:r>
          </w:p>
          <w:p w14:paraId="76865F72" w14:textId="2D8E056F" w:rsidR="00D878CA" w:rsidRDefault="0093784B" w:rsidP="00D878CA">
            <w:pPr>
              <w:jc w:val="left"/>
              <w:rPr>
                <w:rFonts w:ascii="Arial Narrow" w:hAnsi="Arial Narrow"/>
                <w:spacing w:val="0"/>
                <w:u w:val="single"/>
                <w:lang w:val="es-MX"/>
              </w:rPr>
            </w:pPr>
            <w:r w:rsidRPr="00D878CA">
              <w:rPr>
                <w:rFonts w:ascii="Arial Narrow" w:hAnsi="Arial Narrow"/>
                <w:spacing w:val="0"/>
                <w:u w:val="single"/>
                <w:lang w:val="es-MX"/>
              </w:rPr>
              <w:t>Objetivo. -</w:t>
            </w:r>
            <w:r w:rsidR="00D878CA" w:rsidRPr="00D878CA">
              <w:rPr>
                <w:rFonts w:ascii="Arial Narrow" w:hAnsi="Arial Narrow"/>
                <w:spacing w:val="0"/>
                <w:u w:val="single"/>
                <w:lang w:val="es-MX"/>
              </w:rPr>
              <w:t xml:space="preserve"> </w:t>
            </w:r>
          </w:p>
          <w:p w14:paraId="7D9080B6" w14:textId="3AE541E2" w:rsidR="00D878CA" w:rsidRDefault="00577A80" w:rsidP="001C3800">
            <w:pPr>
              <w:ind w:left="322"/>
              <w:jc w:val="left"/>
              <w:rPr>
                <w:rFonts w:ascii="Arial Narrow" w:hAnsi="Arial Narrow"/>
                <w:spacing w:val="0"/>
                <w:lang w:val="es-MX"/>
              </w:rPr>
            </w:pPr>
            <w:r>
              <w:rPr>
                <w:rFonts w:ascii="Arial Narrow" w:hAnsi="Arial Narrow"/>
                <w:spacing w:val="0"/>
                <w:lang w:val="es-MX"/>
              </w:rPr>
              <w:t>F</w:t>
            </w:r>
            <w:r w:rsidRPr="00577A80">
              <w:rPr>
                <w:rFonts w:ascii="Arial Narrow" w:hAnsi="Arial Narrow"/>
                <w:spacing w:val="0"/>
                <w:lang w:val="es-MX"/>
              </w:rPr>
              <w:t xml:space="preserve">ortalecer </w:t>
            </w:r>
            <w:r w:rsidR="00BE358B" w:rsidRPr="00BE358B">
              <w:rPr>
                <w:rFonts w:ascii="Arial Narrow" w:hAnsi="Arial Narrow"/>
                <w:spacing w:val="0"/>
                <w:lang w:val="es-MX"/>
              </w:rPr>
              <w:t>los mecanismos de dialogo y coordinación entre los sectores público y privado; así como mejorar la innovación y la productividad de áreas y sectores productivos estratégicos priorizados.</w:t>
            </w:r>
            <w:r w:rsidR="00BE358B">
              <w:rPr>
                <w:rFonts w:ascii="Arial Narrow" w:hAnsi="Arial Narrow"/>
                <w:spacing w:val="0"/>
                <w:lang w:val="es-MX"/>
              </w:rPr>
              <w:t xml:space="preserve"> </w:t>
            </w:r>
            <w:r w:rsidR="00BE358B" w:rsidRPr="00BE358B">
              <w:rPr>
                <w:rFonts w:ascii="Arial Narrow" w:hAnsi="Arial Narrow"/>
                <w:spacing w:val="0"/>
                <w:lang w:val="es-MX"/>
              </w:rPr>
              <w:t>Para ello, se apoyará: (i) la implementación del Consejo Nacional de Competitividad (CNC), incluyendo especialistas clave del equipo de la secretaría técnica, consultorías y acciones relacionadas con el diseño y la validación de la Agenda Nacional de Competitividad para el Desarrollo Sostenible, así como asistencia técnica y consultorías especializadas para apoyar la implementación de las reformas incluidas en la Agenda; (ii) la creación de Mesas Ejecutivas para Resolver Obstáculos (MERO) , como espacios de interacción público-privada, donde se identifiquen y resuelvan los obstáculos al crecimiento y desarrollo productivo identificados como limitantes clave para cada área estratégica y, a la vez, canalicen apoyos específicos y focalizados hacia las empresas.</w:t>
            </w:r>
          </w:p>
          <w:p w14:paraId="2FF40C81" w14:textId="2BFB230F" w:rsidR="00D878CA" w:rsidRPr="0041509F" w:rsidRDefault="00D878CA" w:rsidP="00D878CA">
            <w:pPr>
              <w:jc w:val="left"/>
              <w:rPr>
                <w:rFonts w:ascii="Arial Narrow" w:hAnsi="Arial Narrow"/>
                <w:b/>
                <w:bCs/>
                <w:spacing w:val="0"/>
                <w:u w:val="single"/>
                <w:lang w:val="es-MX"/>
              </w:rPr>
            </w:pPr>
            <w:r w:rsidRPr="0041509F">
              <w:rPr>
                <w:rFonts w:ascii="Arial Narrow" w:hAnsi="Arial Narrow"/>
                <w:b/>
                <w:bCs/>
                <w:spacing w:val="0"/>
                <w:u w:val="single"/>
                <w:lang w:val="es-MX"/>
              </w:rPr>
              <w:t xml:space="preserve">Componente 2. - </w:t>
            </w:r>
            <w:r w:rsidR="001C3800" w:rsidRPr="0041509F">
              <w:rPr>
                <w:rFonts w:ascii="Arial Narrow" w:hAnsi="Arial Narrow"/>
                <w:b/>
                <w:bCs/>
                <w:spacing w:val="0"/>
                <w:u w:val="single"/>
                <w:lang w:val="es-MX"/>
              </w:rPr>
              <w:t>Mejora regulatoria y transparencia del ambiente de negocios</w:t>
            </w:r>
          </w:p>
          <w:p w14:paraId="0236813D" w14:textId="0205A4C0" w:rsidR="00D878CA" w:rsidRDefault="0093784B" w:rsidP="00D878CA">
            <w:pPr>
              <w:jc w:val="left"/>
              <w:rPr>
                <w:rFonts w:ascii="Arial Narrow" w:hAnsi="Arial Narrow"/>
                <w:spacing w:val="0"/>
                <w:u w:val="single"/>
                <w:lang w:val="es-MX"/>
              </w:rPr>
            </w:pPr>
            <w:r>
              <w:rPr>
                <w:rFonts w:ascii="Arial Narrow" w:hAnsi="Arial Narrow"/>
                <w:spacing w:val="0"/>
                <w:u w:val="single"/>
                <w:lang w:val="es-MX"/>
              </w:rPr>
              <w:t>Objetivo. -</w:t>
            </w:r>
          </w:p>
          <w:p w14:paraId="7C41818A" w14:textId="3656C620" w:rsidR="008D49F6" w:rsidRDefault="001C3800" w:rsidP="008E1F7E">
            <w:pPr>
              <w:ind w:left="360"/>
              <w:jc w:val="left"/>
              <w:rPr>
                <w:rFonts w:ascii="Arial Narrow" w:hAnsi="Arial Narrow"/>
                <w:spacing w:val="0"/>
                <w:lang w:val="es-MX"/>
              </w:rPr>
            </w:pPr>
            <w:r>
              <w:rPr>
                <w:rFonts w:ascii="Arial Narrow" w:hAnsi="Arial Narrow"/>
                <w:spacing w:val="0"/>
                <w:lang w:val="es-MX"/>
              </w:rPr>
              <w:t>F</w:t>
            </w:r>
            <w:r w:rsidRPr="001C3800">
              <w:rPr>
                <w:rFonts w:ascii="Arial Narrow" w:hAnsi="Arial Narrow"/>
                <w:spacing w:val="0"/>
                <w:lang w:val="es-MX"/>
              </w:rPr>
              <w:t>ortalecer los mecanismos institucionales que apoyan a la calidad regulatoria, la transparencia del ambiente de negocios</w:t>
            </w:r>
            <w:r w:rsidR="008E1F7E">
              <w:rPr>
                <w:rFonts w:ascii="Arial Narrow" w:hAnsi="Arial Narrow"/>
                <w:spacing w:val="0"/>
                <w:lang w:val="es-MX"/>
              </w:rPr>
              <w:t xml:space="preserve">. </w:t>
            </w:r>
          </w:p>
          <w:p w14:paraId="781374A1" w14:textId="3B32B9D9" w:rsidR="008E1F7E" w:rsidRPr="0041509F" w:rsidRDefault="008E1F7E" w:rsidP="008E1F7E">
            <w:pPr>
              <w:jc w:val="left"/>
              <w:rPr>
                <w:rFonts w:ascii="Arial Narrow" w:hAnsi="Arial Narrow"/>
                <w:b/>
                <w:bCs/>
                <w:spacing w:val="0"/>
                <w:u w:val="single"/>
                <w:lang w:val="es-MX"/>
              </w:rPr>
            </w:pPr>
            <w:r w:rsidRPr="0041509F">
              <w:rPr>
                <w:rFonts w:ascii="Arial Narrow" w:hAnsi="Arial Narrow"/>
                <w:b/>
                <w:bCs/>
                <w:spacing w:val="0"/>
                <w:u w:val="single"/>
                <w:lang w:val="es-MX"/>
              </w:rPr>
              <w:t xml:space="preserve">Componente 3. - </w:t>
            </w:r>
            <w:r w:rsidR="001C3800" w:rsidRPr="0041509F">
              <w:rPr>
                <w:rFonts w:ascii="Arial Narrow" w:hAnsi="Arial Narrow"/>
                <w:b/>
                <w:bCs/>
                <w:spacing w:val="0"/>
                <w:u w:val="single"/>
                <w:lang w:val="es-MX"/>
              </w:rPr>
              <w:t>Fortalecimiento de la gestión de entidades y activos públicos de apoyo a la competitividad</w:t>
            </w:r>
          </w:p>
          <w:p w14:paraId="1D6E3B1A" w14:textId="3C734932" w:rsidR="008E1F7E" w:rsidRDefault="008E1F7E" w:rsidP="008E1F7E">
            <w:pPr>
              <w:jc w:val="left"/>
              <w:rPr>
                <w:rFonts w:ascii="Arial Narrow" w:hAnsi="Arial Narrow"/>
                <w:spacing w:val="0"/>
                <w:u w:val="single"/>
                <w:lang w:val="es-MX"/>
              </w:rPr>
            </w:pPr>
            <w:r>
              <w:rPr>
                <w:rFonts w:ascii="Arial Narrow" w:hAnsi="Arial Narrow"/>
                <w:spacing w:val="0"/>
                <w:u w:val="single"/>
                <w:lang w:val="es-MX"/>
              </w:rPr>
              <w:t>Objetivo. -</w:t>
            </w:r>
          </w:p>
          <w:p w14:paraId="640A7B72" w14:textId="77777777" w:rsidR="008E1F7E" w:rsidRDefault="001C3800" w:rsidP="008E1F7E">
            <w:pPr>
              <w:ind w:left="360"/>
              <w:jc w:val="left"/>
              <w:rPr>
                <w:rFonts w:ascii="Arial Narrow" w:hAnsi="Arial Narrow"/>
                <w:spacing w:val="0"/>
                <w:lang w:val="es-MX"/>
              </w:rPr>
            </w:pPr>
            <w:r>
              <w:rPr>
                <w:rFonts w:ascii="Arial Narrow" w:hAnsi="Arial Narrow"/>
                <w:spacing w:val="0"/>
                <w:lang w:val="es-MX"/>
              </w:rPr>
              <w:t>M</w:t>
            </w:r>
            <w:r w:rsidRPr="001C3800">
              <w:rPr>
                <w:rFonts w:ascii="Arial Narrow" w:hAnsi="Arial Narrow"/>
                <w:spacing w:val="0"/>
                <w:lang w:val="es-MX"/>
              </w:rPr>
              <w:t>ejorar la gestión interna de las entidades, procesos y activos gubernamentales que contribuyen a la productividad del sector privado</w:t>
            </w:r>
          </w:p>
          <w:p w14:paraId="012EA7EC" w14:textId="2B59FB05" w:rsidR="001C3800" w:rsidRPr="0041509F" w:rsidRDefault="001C3800" w:rsidP="001C3800">
            <w:pPr>
              <w:jc w:val="left"/>
              <w:rPr>
                <w:rFonts w:ascii="Arial Narrow" w:hAnsi="Arial Narrow"/>
                <w:b/>
                <w:bCs/>
                <w:spacing w:val="0"/>
                <w:u w:val="single"/>
                <w:lang w:val="es-MX"/>
              </w:rPr>
            </w:pPr>
            <w:r w:rsidRPr="0041509F">
              <w:rPr>
                <w:rFonts w:ascii="Arial Narrow" w:hAnsi="Arial Narrow"/>
                <w:b/>
                <w:bCs/>
                <w:spacing w:val="0"/>
                <w:u w:val="single"/>
                <w:lang w:val="es-MX"/>
              </w:rPr>
              <w:t xml:space="preserve">Componente 4. - Mejora en la entrega de servicios a empresas y ciudadanos </w:t>
            </w:r>
          </w:p>
          <w:p w14:paraId="75ECC499" w14:textId="77777777" w:rsidR="001C3800" w:rsidRDefault="001C3800" w:rsidP="001C3800">
            <w:pPr>
              <w:jc w:val="left"/>
              <w:rPr>
                <w:rFonts w:ascii="Arial Narrow" w:hAnsi="Arial Narrow"/>
                <w:spacing w:val="0"/>
                <w:u w:val="single"/>
                <w:lang w:val="es-MX"/>
              </w:rPr>
            </w:pPr>
            <w:r>
              <w:rPr>
                <w:rFonts w:ascii="Arial Narrow" w:hAnsi="Arial Narrow"/>
                <w:spacing w:val="0"/>
                <w:u w:val="single"/>
                <w:lang w:val="es-MX"/>
              </w:rPr>
              <w:t>Objetivo. -</w:t>
            </w:r>
          </w:p>
          <w:p w14:paraId="209AD4CF" w14:textId="3D9F2625" w:rsidR="001C3800" w:rsidRPr="001C3800" w:rsidRDefault="001C3800" w:rsidP="001C3800">
            <w:pPr>
              <w:ind w:left="360"/>
              <w:jc w:val="left"/>
              <w:rPr>
                <w:rFonts w:ascii="Arial Narrow" w:hAnsi="Arial Narrow"/>
                <w:spacing w:val="0"/>
                <w:lang w:val="es-MX"/>
              </w:rPr>
            </w:pPr>
            <w:r>
              <w:rPr>
                <w:rFonts w:ascii="Arial Narrow" w:hAnsi="Arial Narrow"/>
                <w:spacing w:val="0"/>
                <w:lang w:val="es-MX"/>
              </w:rPr>
              <w:t>R</w:t>
            </w:r>
            <w:r w:rsidRPr="001C3800">
              <w:rPr>
                <w:rFonts w:ascii="Arial Narrow" w:hAnsi="Arial Narrow"/>
                <w:spacing w:val="0"/>
                <w:lang w:val="es-MX"/>
              </w:rPr>
              <w:t>educir los costos de transacción para los usuarios de servicios públicos</w:t>
            </w:r>
          </w:p>
        </w:tc>
      </w:tr>
      <w:tr w:rsidR="008D26C1" w:rsidRPr="00B94002" w14:paraId="5DED55A0" w14:textId="77777777" w:rsidTr="00D537CC">
        <w:tc>
          <w:tcPr>
            <w:tcW w:w="2268" w:type="dxa"/>
            <w:shd w:val="clear" w:color="auto" w:fill="DEEAF6" w:themeFill="accent1" w:themeFillTint="33"/>
          </w:tcPr>
          <w:p w14:paraId="099C4ADA" w14:textId="55D2C2DA" w:rsidR="008D26C1" w:rsidRDefault="008D26C1" w:rsidP="007717AD">
            <w:pPr>
              <w:jc w:val="left"/>
              <w:rPr>
                <w:rFonts w:ascii="Arial Narrow" w:hAnsi="Arial Narrow"/>
                <w:b/>
                <w:spacing w:val="0"/>
                <w:lang w:val="es-MX"/>
              </w:rPr>
            </w:pPr>
            <w:r>
              <w:rPr>
                <w:rFonts w:ascii="Arial Narrow" w:hAnsi="Arial Narrow"/>
                <w:b/>
                <w:spacing w:val="0"/>
                <w:lang w:val="es-MX"/>
              </w:rPr>
              <w:t>Organismo Ejecutor</w:t>
            </w:r>
            <w:r w:rsidR="00B94002">
              <w:rPr>
                <w:rFonts w:ascii="Arial Narrow" w:hAnsi="Arial Narrow"/>
                <w:b/>
                <w:spacing w:val="0"/>
                <w:lang w:val="es-MX"/>
              </w:rPr>
              <w:t xml:space="preserve"> (OE)</w:t>
            </w:r>
            <w:r>
              <w:rPr>
                <w:rFonts w:ascii="Arial Narrow" w:hAnsi="Arial Narrow"/>
                <w:b/>
                <w:spacing w:val="0"/>
                <w:lang w:val="es-MX"/>
              </w:rPr>
              <w:t>:</w:t>
            </w:r>
          </w:p>
        </w:tc>
        <w:tc>
          <w:tcPr>
            <w:tcW w:w="6804" w:type="dxa"/>
            <w:shd w:val="clear" w:color="auto" w:fill="DEEAF6" w:themeFill="accent1" w:themeFillTint="33"/>
          </w:tcPr>
          <w:p w14:paraId="4BF054AD" w14:textId="72C4BFE6" w:rsidR="008D26C1" w:rsidRDefault="008D26C1" w:rsidP="007717AD">
            <w:pPr>
              <w:jc w:val="left"/>
              <w:rPr>
                <w:rFonts w:ascii="Arial Narrow" w:hAnsi="Arial Narrow"/>
                <w:spacing w:val="0"/>
                <w:lang w:val="es-MX"/>
              </w:rPr>
            </w:pPr>
            <w:r w:rsidRPr="0051221D">
              <w:rPr>
                <w:rFonts w:ascii="Arial Narrow" w:hAnsi="Arial Narrow"/>
                <w:spacing w:val="0"/>
                <w:lang w:val="es-MX"/>
              </w:rPr>
              <w:t xml:space="preserve">Ministerio de </w:t>
            </w:r>
            <w:r w:rsidR="00B94002">
              <w:rPr>
                <w:rFonts w:ascii="Arial Narrow" w:hAnsi="Arial Narrow"/>
                <w:spacing w:val="0"/>
                <w:lang w:val="es-MX"/>
              </w:rPr>
              <w:t>Economía y Finanzas (MEF)</w:t>
            </w:r>
            <w:r w:rsidR="00400388">
              <w:rPr>
                <w:rFonts w:ascii="Arial Narrow" w:hAnsi="Arial Narrow"/>
                <w:spacing w:val="0"/>
                <w:lang w:val="es-MX"/>
              </w:rPr>
              <w:t xml:space="preserve"> </w:t>
            </w:r>
          </w:p>
        </w:tc>
      </w:tr>
      <w:tr w:rsidR="00B94002" w:rsidRPr="00B94002" w14:paraId="124F0479" w14:textId="77777777" w:rsidTr="00D537CC">
        <w:tc>
          <w:tcPr>
            <w:tcW w:w="2268" w:type="dxa"/>
            <w:shd w:val="clear" w:color="auto" w:fill="DEEAF6" w:themeFill="accent1" w:themeFillTint="33"/>
          </w:tcPr>
          <w:p w14:paraId="2791B07D" w14:textId="16E8A570" w:rsidR="00B94002" w:rsidRDefault="00B94002" w:rsidP="007717AD">
            <w:pPr>
              <w:jc w:val="left"/>
              <w:rPr>
                <w:rFonts w:ascii="Arial Narrow" w:hAnsi="Arial Narrow"/>
                <w:b/>
                <w:spacing w:val="0"/>
                <w:lang w:val="es-MX"/>
              </w:rPr>
            </w:pPr>
            <w:r>
              <w:rPr>
                <w:rFonts w:ascii="Arial Narrow" w:hAnsi="Arial Narrow"/>
                <w:b/>
                <w:spacing w:val="0"/>
                <w:lang w:val="es-MX"/>
              </w:rPr>
              <w:t>Organismos Subejecutores (OSE):</w:t>
            </w:r>
          </w:p>
        </w:tc>
        <w:tc>
          <w:tcPr>
            <w:tcW w:w="6804" w:type="dxa"/>
            <w:shd w:val="clear" w:color="auto" w:fill="DEEAF6" w:themeFill="accent1" w:themeFillTint="33"/>
          </w:tcPr>
          <w:p w14:paraId="71A14302" w14:textId="7A924FF9" w:rsidR="00B94002" w:rsidRPr="001C3800" w:rsidRDefault="00B94002" w:rsidP="001C3800">
            <w:pPr>
              <w:pStyle w:val="Prrafodelista"/>
              <w:numPr>
                <w:ilvl w:val="0"/>
                <w:numId w:val="29"/>
              </w:numPr>
              <w:jc w:val="left"/>
              <w:rPr>
                <w:rFonts w:ascii="Arial Narrow" w:hAnsi="Arial Narrow"/>
                <w:spacing w:val="0"/>
                <w:lang w:val="es-MX"/>
              </w:rPr>
            </w:pPr>
            <w:r w:rsidRPr="001C3800">
              <w:rPr>
                <w:rFonts w:ascii="Arial Narrow" w:hAnsi="Arial Narrow"/>
                <w:spacing w:val="0"/>
                <w:lang w:val="es-MX"/>
              </w:rPr>
              <w:t>Presidencia de la República, a través de la SGP</w:t>
            </w:r>
          </w:p>
          <w:p w14:paraId="1B2C6C9A" w14:textId="7709E8EB" w:rsidR="00B94002" w:rsidRPr="001C3800" w:rsidRDefault="00B94002" w:rsidP="001C3800">
            <w:pPr>
              <w:pStyle w:val="Prrafodelista"/>
              <w:numPr>
                <w:ilvl w:val="0"/>
                <w:numId w:val="29"/>
              </w:numPr>
              <w:jc w:val="left"/>
              <w:rPr>
                <w:rFonts w:ascii="Arial Narrow" w:hAnsi="Arial Narrow"/>
                <w:spacing w:val="0"/>
                <w:lang w:val="es-MX"/>
              </w:rPr>
            </w:pPr>
            <w:r w:rsidRPr="001C3800">
              <w:rPr>
                <w:rFonts w:ascii="Arial Narrow" w:hAnsi="Arial Narrow"/>
                <w:spacing w:val="0"/>
                <w:lang w:val="es-MX"/>
              </w:rPr>
              <w:t>Vicepresidencia de la República (VPR), a través del Consejo Nacional de Competitividad (CNC)</w:t>
            </w:r>
          </w:p>
        </w:tc>
      </w:tr>
    </w:tbl>
    <w:p w14:paraId="2A17B1A7" w14:textId="6A0724F7" w:rsidR="005A13E0" w:rsidRDefault="005A13E0"/>
    <w:p w14:paraId="411FDBC4" w14:textId="7E818175" w:rsidR="005A13E0" w:rsidRDefault="005A13E0" w:rsidP="005A13E0">
      <w:pPr>
        <w:pStyle w:val="Ttulo2"/>
      </w:pPr>
      <w:bookmarkStart w:id="10" w:name="_Toc426694413"/>
      <w:bookmarkStart w:id="11" w:name="_Toc12543942"/>
      <w:r>
        <w:t>La VPR y el Mecanismo de Ejecución</w:t>
      </w:r>
      <w:bookmarkEnd w:id="11"/>
      <w:r>
        <w:t xml:space="preserve">  </w:t>
      </w:r>
    </w:p>
    <w:p w14:paraId="7E3EC305" w14:textId="2F875C99" w:rsidR="005A13E0" w:rsidRDefault="005038D9" w:rsidP="00BD495E">
      <w:pPr>
        <w:pStyle w:val="Estilo1"/>
      </w:pPr>
      <w:r>
        <w:t xml:space="preserve">La VPR en calidad de OSE ejecutará </w:t>
      </w:r>
      <w:r w:rsidR="00F2214A">
        <w:t>las actividades del Programa</w:t>
      </w:r>
      <w:r w:rsidR="00D537CC">
        <w:t>,</w:t>
      </w:r>
      <w:r w:rsidR="00F2214A">
        <w:t xml:space="preserve"> que le sean delegadas, </w:t>
      </w:r>
      <w:r>
        <w:t>a través de la STCNC</w:t>
      </w:r>
      <w:r w:rsidR="00F2214A">
        <w:t xml:space="preserve"> que es el órgano ejecutor del CNC. La STCNC</w:t>
      </w:r>
      <w:r w:rsidR="00D537CC">
        <w:t>,</w:t>
      </w:r>
      <w:r w:rsidR="00F2214A">
        <w:t xml:space="preserve"> estará adscrita a la VPR y contará con independencia administrativa y financiera.</w:t>
      </w:r>
      <w:r w:rsidR="00387B06">
        <w:t xml:space="preserve"> </w:t>
      </w:r>
      <w:r w:rsidR="00D537CC">
        <w:t xml:space="preserve"> </w:t>
      </w:r>
      <w:r w:rsidR="00F2214A">
        <w:t xml:space="preserve">Las actividades </w:t>
      </w:r>
      <w:r w:rsidR="00387B06">
        <w:t xml:space="preserve">del Programa </w:t>
      </w:r>
      <w:r w:rsidR="00233DAD">
        <w:t xml:space="preserve">que se ejecutarán bajo responsabilidad de la </w:t>
      </w:r>
      <w:r w:rsidR="00387B06">
        <w:t>VPR</w:t>
      </w:r>
      <w:r w:rsidR="00387B06">
        <w:rPr>
          <w:rStyle w:val="Refdenotaalpie"/>
        </w:rPr>
        <w:footnoteReference w:id="10"/>
      </w:r>
      <w:r w:rsidR="00387B06">
        <w:t xml:space="preserve"> s</w:t>
      </w:r>
      <w:r w:rsidR="00233DAD">
        <w:t>erán</w:t>
      </w:r>
      <w:r>
        <w:t>: (i) todas las actividades del Componente 1 “</w:t>
      </w:r>
      <w:r w:rsidRPr="00E87F13">
        <w:t>Fortalecimiento de la gobernanza para la competitividad e innovación</w:t>
      </w:r>
      <w:r>
        <w:t>”; (ii) el financiamiento del Equipo de Gestión (E</w:t>
      </w:r>
      <w:r w:rsidR="00106D1D">
        <w:t>DG</w:t>
      </w:r>
      <w:r>
        <w:t xml:space="preserve">-STCNC). </w:t>
      </w:r>
      <w:r w:rsidR="00387B06">
        <w:t xml:space="preserve"> La VPR </w:t>
      </w:r>
      <w:r w:rsidR="00233DAD">
        <w:t xml:space="preserve">también </w:t>
      </w:r>
      <w:r w:rsidR="00387B06">
        <w:t xml:space="preserve">será responsable del </w:t>
      </w:r>
      <w:r>
        <w:t xml:space="preserve">seguimiento y control de la ejecución de </w:t>
      </w:r>
      <w:r w:rsidR="00387B06">
        <w:t xml:space="preserve">dichas actividades y de </w:t>
      </w:r>
      <w:r>
        <w:t>generar</w:t>
      </w:r>
      <w:r w:rsidR="00387B06">
        <w:t xml:space="preserve"> </w:t>
      </w:r>
      <w:r>
        <w:t>la información necesaria que requiera el MEF</w:t>
      </w:r>
      <w:r w:rsidR="00387B06">
        <w:t xml:space="preserve"> en calidad de OE</w:t>
      </w:r>
      <w:r w:rsidR="00233DAD">
        <w:t xml:space="preserve"> </w:t>
      </w:r>
      <w:r w:rsidR="00387B06">
        <w:t>del Programa</w:t>
      </w:r>
      <w:r>
        <w:t>.</w:t>
      </w:r>
      <w:r w:rsidR="005A13E0">
        <w:t xml:space="preserve"> </w:t>
      </w:r>
    </w:p>
    <w:p w14:paraId="3C818B29" w14:textId="501B59FA" w:rsidR="00233DAD" w:rsidRDefault="004449BB" w:rsidP="00EA414D">
      <w:pPr>
        <w:pStyle w:val="Estilo1"/>
      </w:pPr>
      <w:r>
        <w:t xml:space="preserve">La ejecución del componente, </w:t>
      </w:r>
      <w:r w:rsidR="005F13F1">
        <w:t>estará</w:t>
      </w:r>
      <w:r>
        <w:t>n</w:t>
      </w:r>
      <w:r w:rsidR="005F13F1">
        <w:t xml:space="preserve"> a cargo de las </w:t>
      </w:r>
      <w:r w:rsidR="005A13E0">
        <w:t xml:space="preserve">unidades </w:t>
      </w:r>
      <w:r w:rsidR="005F13F1">
        <w:t xml:space="preserve">administrativas </w:t>
      </w:r>
      <w:r>
        <w:t xml:space="preserve">y técnicas </w:t>
      </w:r>
      <w:r w:rsidR="005A13E0">
        <w:t>que formen parte de la STCNC</w:t>
      </w:r>
      <w:r w:rsidR="005F13F1">
        <w:t xml:space="preserve">, las cuales contarían con </w:t>
      </w:r>
      <w:r w:rsidR="005A13E0">
        <w:t xml:space="preserve">el apoyo y seguimiento de la coordinación de planificación de la VPR. </w:t>
      </w:r>
      <w:r w:rsidR="00233DAD">
        <w:t xml:space="preserve"> Adicionalmente para la gestión gerencial del Programa se ha pensado </w:t>
      </w:r>
      <w:r w:rsidR="005F13F1">
        <w:t>incorporar un Equipo de Gestión (EDG-STCNC-VPR) que estaría conformado por un Coordinador General, un especialista de adquisiciones, un especialista de planificación y monitoreo y un especialista financiero.</w:t>
      </w:r>
      <w:r w:rsidR="00233DAD">
        <w:t xml:space="preserve"> </w:t>
      </w:r>
    </w:p>
    <w:bookmarkEnd w:id="10"/>
    <w:p w14:paraId="352018D9" w14:textId="77777777" w:rsidR="005A13E0" w:rsidRPr="00472BEB" w:rsidRDefault="005A13E0" w:rsidP="005A13E0">
      <w:pPr>
        <w:pStyle w:val="Prrafodelista"/>
        <w:numPr>
          <w:ilvl w:val="0"/>
          <w:numId w:val="5"/>
        </w:numPr>
        <w:rPr>
          <w:vanish/>
        </w:rPr>
      </w:pPr>
    </w:p>
    <w:p w14:paraId="2B6608A9" w14:textId="77777777" w:rsidR="005A13E0" w:rsidRPr="00472BEB" w:rsidRDefault="005A13E0" w:rsidP="005A13E0">
      <w:pPr>
        <w:pStyle w:val="Prrafodelista"/>
        <w:numPr>
          <w:ilvl w:val="0"/>
          <w:numId w:val="5"/>
        </w:numPr>
        <w:rPr>
          <w:vanish/>
        </w:rPr>
      </w:pPr>
    </w:p>
    <w:p w14:paraId="04670E58" w14:textId="77777777" w:rsidR="005A13E0" w:rsidRPr="00472BEB" w:rsidRDefault="005A13E0" w:rsidP="005A13E0">
      <w:pPr>
        <w:pStyle w:val="Prrafodelista"/>
        <w:numPr>
          <w:ilvl w:val="0"/>
          <w:numId w:val="5"/>
        </w:numPr>
        <w:rPr>
          <w:vanish/>
        </w:rPr>
      </w:pPr>
    </w:p>
    <w:p w14:paraId="04CA3E05" w14:textId="427B2F51" w:rsidR="000500B3" w:rsidRPr="003132AE" w:rsidRDefault="00CE3C72" w:rsidP="00250C44">
      <w:pPr>
        <w:pStyle w:val="Ttulo1"/>
      </w:pPr>
      <w:bookmarkStart w:id="12" w:name="_Toc12543943"/>
      <w:r>
        <w:lastRenderedPageBreak/>
        <w:t>Conclusiones del Análisis</w:t>
      </w:r>
      <w:bookmarkEnd w:id="3"/>
      <w:bookmarkEnd w:id="12"/>
    </w:p>
    <w:p w14:paraId="0F928219" w14:textId="7DD1C809" w:rsidR="000D4122" w:rsidRDefault="008E1DA7" w:rsidP="00BD495E">
      <w:pPr>
        <w:pStyle w:val="Prrafodelista"/>
        <w:numPr>
          <w:ilvl w:val="1"/>
          <w:numId w:val="3"/>
        </w:numPr>
      </w:pPr>
      <w:r w:rsidRPr="008E1DA7">
        <w:t>El marco legal al que está sujeta la</w:t>
      </w:r>
      <w:r>
        <w:t xml:space="preserve"> </w:t>
      </w:r>
      <w:r w:rsidR="004449BB">
        <w:t xml:space="preserve">VPR </w:t>
      </w:r>
      <w:r w:rsidRPr="008E1DA7">
        <w:t>le</w:t>
      </w:r>
      <w:r w:rsidR="008C0638">
        <w:t xml:space="preserve"> otorga </w:t>
      </w:r>
      <w:r w:rsidRPr="008E1DA7">
        <w:t>las competencias necesarias para asumir la responsabilidad de</w:t>
      </w:r>
      <w:r w:rsidR="008C0638">
        <w:t xml:space="preserve"> la ejecución del componente</w:t>
      </w:r>
      <w:r w:rsidR="000D4122">
        <w:t xml:space="preserve"> 1 “</w:t>
      </w:r>
      <w:r w:rsidR="000D4122" w:rsidRPr="000D4122">
        <w:t>Fortalecimiento de la gobernanza para la competitividad e innovación</w:t>
      </w:r>
      <w:r w:rsidR="000D4122">
        <w:t>”</w:t>
      </w:r>
      <w:r w:rsidR="008C0638">
        <w:t xml:space="preserve"> del</w:t>
      </w:r>
      <w:r w:rsidRPr="008E1DA7">
        <w:t xml:space="preserve"> </w:t>
      </w:r>
      <w:r w:rsidR="00C905DE">
        <w:t>Programa</w:t>
      </w:r>
      <w:r w:rsidR="00C267A9">
        <w:t xml:space="preserve"> </w:t>
      </w:r>
      <w:r w:rsidR="000D4122">
        <w:t>“</w:t>
      </w:r>
      <w:r w:rsidR="000D4122" w:rsidRPr="000D4122">
        <w:t>Fortalecimiento Institucional para la Competitividad</w:t>
      </w:r>
      <w:r w:rsidR="000D4122">
        <w:t xml:space="preserve"> EC-L1250”</w:t>
      </w:r>
      <w:r w:rsidR="000D4122" w:rsidRPr="000D4122">
        <w:t xml:space="preserve"> </w:t>
      </w:r>
      <w:r w:rsidR="00C267A9">
        <w:t xml:space="preserve">y </w:t>
      </w:r>
      <w:r w:rsidR="00C905DE">
        <w:t xml:space="preserve">una vez que se suscriba el </w:t>
      </w:r>
      <w:r>
        <w:t>d</w:t>
      </w:r>
      <w:r w:rsidRPr="008E1DA7">
        <w:t>ecreto ejecutivo de creación del</w:t>
      </w:r>
      <w:r>
        <w:t xml:space="preserve"> Consejo Nacional de Competitividad (</w:t>
      </w:r>
      <w:r w:rsidRPr="008E1DA7">
        <w:t>CNC</w:t>
      </w:r>
      <w:r>
        <w:t>)</w:t>
      </w:r>
      <w:r>
        <w:rPr>
          <w:rStyle w:val="Refdenotaalpie"/>
        </w:rPr>
        <w:footnoteReference w:id="11"/>
      </w:r>
      <w:r w:rsidRPr="008E1DA7">
        <w:t xml:space="preserve"> se </w:t>
      </w:r>
      <w:r w:rsidR="00C267A9">
        <w:t>otorgarán las competencias y atribuciones necesarias para que la VPR ejecute el componente 1 del Programa</w:t>
      </w:r>
      <w:r w:rsidR="000D4122">
        <w:t xml:space="preserve"> </w:t>
      </w:r>
      <w:r w:rsidR="00C267A9">
        <w:t xml:space="preserve"> a través de la Secretaría Técnica del CNC</w:t>
      </w:r>
      <w:r w:rsidR="00154A08">
        <w:rPr>
          <w:rStyle w:val="Refdenotaalpie"/>
        </w:rPr>
        <w:footnoteReference w:id="12"/>
      </w:r>
      <w:r w:rsidRPr="008E1DA7">
        <w:t xml:space="preserve">. </w:t>
      </w:r>
      <w:r w:rsidR="00C267A9">
        <w:t>Asimismo, con la creación del CNC, l</w:t>
      </w:r>
      <w:r w:rsidRPr="008E1DA7">
        <w:t>os objetivos de</w:t>
      </w:r>
      <w:r w:rsidR="00AF2FBD">
        <w:t xml:space="preserve">l </w:t>
      </w:r>
      <w:r w:rsidR="003D5339">
        <w:t xml:space="preserve">componente del </w:t>
      </w:r>
      <w:r w:rsidRPr="008E1DA7">
        <w:t xml:space="preserve">Programa </w:t>
      </w:r>
      <w:r w:rsidR="00C267A9">
        <w:t xml:space="preserve">a cargo de la </w:t>
      </w:r>
      <w:r w:rsidRPr="008E1DA7">
        <w:t>VPR se enc</w:t>
      </w:r>
      <w:r w:rsidR="00C267A9">
        <w:t xml:space="preserve">ontrarán </w:t>
      </w:r>
      <w:r w:rsidR="005A0FC2">
        <w:t xml:space="preserve">enmarcados </w:t>
      </w:r>
      <w:r w:rsidR="00C267A9">
        <w:t xml:space="preserve">dentro de las </w:t>
      </w:r>
      <w:r w:rsidRPr="008E1DA7">
        <w:t>funciones y atribuciones del CNC</w:t>
      </w:r>
      <w:r w:rsidR="00AF2FBD">
        <w:t xml:space="preserve"> y la VPR</w:t>
      </w:r>
      <w:r w:rsidR="00A13FF1">
        <w:t xml:space="preserve"> que pasará a presidir el CNC </w:t>
      </w:r>
      <w:r w:rsidR="000D4122">
        <w:t>que, entre otras,</w:t>
      </w:r>
      <w:r w:rsidR="00A13FF1">
        <w:t xml:space="preserve"> será el órgano que</w:t>
      </w:r>
      <w:r w:rsidR="000D4122">
        <w:t xml:space="preserve"> defina las </w:t>
      </w:r>
      <w:r w:rsidR="000D4122" w:rsidRPr="000D4122">
        <w:t>políticas, estrategias y acciones para el desarrollo de la Agenda Nacional de Competitividad</w:t>
      </w:r>
      <w:r w:rsidR="000D4122">
        <w:t xml:space="preserve"> y </w:t>
      </w:r>
      <w:r w:rsidR="000D4122" w:rsidRPr="000D4122">
        <w:t>gestion</w:t>
      </w:r>
      <w:r w:rsidR="000D4122">
        <w:t>e</w:t>
      </w:r>
      <w:r w:rsidR="000D4122" w:rsidRPr="000D4122">
        <w:t xml:space="preserve"> y coordin</w:t>
      </w:r>
      <w:r w:rsidR="000D4122">
        <w:t>e</w:t>
      </w:r>
      <w:r w:rsidR="000D4122" w:rsidRPr="000D4122">
        <w:t xml:space="preserve"> la implementación de la Agenda Nacional de Competitividad con instituciones públicas y privadas</w:t>
      </w:r>
      <w:r w:rsidR="00AF2FBD">
        <w:t>.</w:t>
      </w:r>
    </w:p>
    <w:p w14:paraId="2C0DC750" w14:textId="62B2506A" w:rsidR="00C267A9" w:rsidRDefault="000D4122" w:rsidP="00BD495E">
      <w:pPr>
        <w:pStyle w:val="Prrafodelista"/>
        <w:numPr>
          <w:ilvl w:val="1"/>
          <w:numId w:val="3"/>
        </w:numPr>
      </w:pPr>
      <w:r>
        <w:t xml:space="preserve">El </w:t>
      </w:r>
      <w:r w:rsidR="00154A08" w:rsidRPr="00154A08">
        <w:t xml:space="preserve">marco legal y regulatorio de los sistemas transversales de gestión pública </w:t>
      </w:r>
      <w:r w:rsidR="00154A08">
        <w:t xml:space="preserve">le </w:t>
      </w:r>
      <w:r w:rsidR="005A0FC2">
        <w:t xml:space="preserve">facilitarán </w:t>
      </w:r>
      <w:r w:rsidR="00154A08">
        <w:t xml:space="preserve">a la STCNC y a </w:t>
      </w:r>
      <w:r w:rsidR="00154A08" w:rsidRPr="00154A08">
        <w:t xml:space="preserve">la VPR </w:t>
      </w:r>
      <w:r w:rsidR="005A0FC2">
        <w:t xml:space="preserve">la ejecución del Programa </w:t>
      </w:r>
      <w:r w:rsidR="00154A08">
        <w:t xml:space="preserve">toda vez que </w:t>
      </w:r>
      <w:r w:rsidR="00154A08" w:rsidRPr="00154A08">
        <w:t>(i) el manejo de la Inversión Pública, se encuentra localizado en la Presidencia de la República a través de Planifica Ecuador</w:t>
      </w:r>
      <w:r w:rsidR="00D22CB1" w:rsidRPr="00B0093D">
        <w:rPr>
          <w:rStyle w:val="Refdenotaalpie"/>
          <w:rFonts w:ascii="Arial Narrow" w:hAnsi="Arial Narrow"/>
          <w:spacing w:val="0"/>
          <w:szCs w:val="19"/>
        </w:rPr>
        <w:footnoteReference w:id="13"/>
      </w:r>
      <w:r w:rsidR="00154A08" w:rsidRPr="00154A08">
        <w:t xml:space="preserve"> y se encuentra normado en el COPFP; (ii) el país cuenta con el SERCOP como organismo rector de la contratación pública y su acción se encuentra normada por la LOSNCP;  (iii) el servicio civil y carrera administrativa cuenta con el Ministerio de Trabajo como órgano rector, el cual aprueba el organigrama y estatuto orgánico por procesos </w:t>
      </w:r>
      <w:r w:rsidR="00D22CB1">
        <w:t xml:space="preserve">de las entidades del sector público </w:t>
      </w:r>
      <w:r w:rsidR="00154A08" w:rsidRPr="00154A08">
        <w:t>y se encuentra normado por la LOSEP; (iv) los sistemas de administración financiera se manejan el e-S</w:t>
      </w:r>
      <w:r w:rsidR="00D22CB1">
        <w:t>i</w:t>
      </w:r>
      <w:r w:rsidR="00154A08" w:rsidRPr="00154A08">
        <w:t>gef del MEF y se encuentran normados en el COPFP; los sistemas de control interno de las actividades del OSE se encuentran sujetos al control obligatorio de la CGE y se regulan por las normas de control interno de la CGE.</w:t>
      </w:r>
    </w:p>
    <w:p w14:paraId="65327E7D" w14:textId="2AE8A526" w:rsidR="000D4122" w:rsidRDefault="000D4122" w:rsidP="000D4122">
      <w:pPr>
        <w:pStyle w:val="Estilo1"/>
        <w:rPr>
          <w:spacing w:val="-2"/>
        </w:rPr>
      </w:pPr>
      <w:r w:rsidRPr="000D4122">
        <w:rPr>
          <w:spacing w:val="-2"/>
        </w:rPr>
        <w:t>La ejecución del componente</w:t>
      </w:r>
      <w:r>
        <w:rPr>
          <w:spacing w:val="-2"/>
        </w:rPr>
        <w:t xml:space="preserve"> 1</w:t>
      </w:r>
      <w:r w:rsidRPr="000D4122">
        <w:rPr>
          <w:spacing w:val="-2"/>
        </w:rPr>
        <w:t>,</w:t>
      </w:r>
      <w:r>
        <w:rPr>
          <w:spacing w:val="-2"/>
        </w:rPr>
        <w:t xml:space="preserve"> la realizará la VPR a través de las </w:t>
      </w:r>
      <w:r w:rsidRPr="000D4122">
        <w:rPr>
          <w:spacing w:val="-2"/>
        </w:rPr>
        <w:t>unidades administrativas y técnicas que formen parte de la STCNC</w:t>
      </w:r>
      <w:r w:rsidR="00A96C1F">
        <w:rPr>
          <w:spacing w:val="-2"/>
        </w:rPr>
        <w:t xml:space="preserve">. </w:t>
      </w:r>
      <w:r w:rsidRPr="000D4122">
        <w:rPr>
          <w:spacing w:val="-2"/>
        </w:rPr>
        <w:t xml:space="preserve"> </w:t>
      </w:r>
      <w:r w:rsidR="00A96C1F">
        <w:rPr>
          <w:spacing w:val="-2"/>
        </w:rPr>
        <w:t xml:space="preserve">Sin embargo, </w:t>
      </w:r>
      <w:r w:rsidR="009B0695">
        <w:rPr>
          <w:spacing w:val="-2"/>
        </w:rPr>
        <w:t xml:space="preserve">ésta </w:t>
      </w:r>
      <w:r w:rsidR="00A96C1F">
        <w:rPr>
          <w:spacing w:val="-2"/>
        </w:rPr>
        <w:t xml:space="preserve">es una entidad que </w:t>
      </w:r>
      <w:r w:rsidR="00A96C1F" w:rsidRPr="00A96C1F">
        <w:rPr>
          <w:spacing w:val="-2"/>
        </w:rPr>
        <w:t>se encuentra en proceso de creación, por lo que no cuenta aún con una estructura organizativa, ni con una normativa de funcionamiento aprobada por el Ministerio de trabajo, (Matriz de Competencias, Estatuto Orgánico Funcional por Procesos y Manual de Clasificación de puestos), tampoco con el presupuesto asignado para su funcionamiento</w:t>
      </w:r>
      <w:r w:rsidR="00A96C1F">
        <w:rPr>
          <w:spacing w:val="-2"/>
        </w:rPr>
        <w:t xml:space="preserve">, ni con </w:t>
      </w:r>
      <w:r w:rsidR="00A96C1F" w:rsidRPr="00A96C1F">
        <w:rPr>
          <w:spacing w:val="-2"/>
        </w:rPr>
        <w:t xml:space="preserve">el TH que gestione el </w:t>
      </w:r>
      <w:r w:rsidR="00A96C1F">
        <w:rPr>
          <w:spacing w:val="-2"/>
        </w:rPr>
        <w:t>componente del Programa</w:t>
      </w:r>
      <w:r w:rsidR="00A96C1F" w:rsidRPr="00A96C1F">
        <w:rPr>
          <w:spacing w:val="-2"/>
        </w:rPr>
        <w:t xml:space="preserve">, ni las áreas de apoyo </w:t>
      </w:r>
      <w:r w:rsidR="00A96C1F">
        <w:rPr>
          <w:spacing w:val="-2"/>
        </w:rPr>
        <w:t xml:space="preserve">necesarias </w:t>
      </w:r>
      <w:r w:rsidR="00A96C1F" w:rsidRPr="00A96C1F">
        <w:rPr>
          <w:spacing w:val="-2"/>
        </w:rPr>
        <w:t>para su ejecución, como son compras públicas, tesorería, pagos, seguimiento y control.</w:t>
      </w:r>
      <w:r w:rsidR="00A96C1F">
        <w:rPr>
          <w:spacing w:val="-2"/>
        </w:rPr>
        <w:t xml:space="preserve"> De allí que se identificó </w:t>
      </w:r>
      <w:r w:rsidR="009B0695">
        <w:rPr>
          <w:spacing w:val="-2"/>
        </w:rPr>
        <w:t xml:space="preserve">como </w:t>
      </w:r>
      <w:r w:rsidR="00A96C1F">
        <w:rPr>
          <w:spacing w:val="-2"/>
        </w:rPr>
        <w:t xml:space="preserve">necesidad </w:t>
      </w:r>
      <w:r w:rsidR="00BE3536">
        <w:rPr>
          <w:spacing w:val="-2"/>
        </w:rPr>
        <w:t xml:space="preserve">de fortalecimiento para una ejecución exitosa del Programa, </w:t>
      </w:r>
      <w:r w:rsidR="00A96C1F" w:rsidRPr="00A96C1F">
        <w:rPr>
          <w:spacing w:val="-2"/>
        </w:rPr>
        <w:t xml:space="preserve">contar con apoyo técnico que apoye </w:t>
      </w:r>
      <w:r w:rsidR="00CE7172">
        <w:rPr>
          <w:spacing w:val="-2"/>
        </w:rPr>
        <w:t xml:space="preserve">a </w:t>
      </w:r>
      <w:r w:rsidR="00A96C1F" w:rsidRPr="00A96C1F">
        <w:rPr>
          <w:spacing w:val="-2"/>
        </w:rPr>
        <w:t>la implementación administrativa y financiera de la STCNC en lo relacionado a su estructura de gestión básica y su normativa de funcionamiento a ser aprobada en el Ministerio de Trabajo, de donde se desprenderá la dotación y distribución del Talento Humano (TH) que facilite la ejecución (compras públicas, tesorería, pagos, seguimiento y control) y los requerimientos presupuestarios de los mismos</w:t>
      </w:r>
      <w:r w:rsidR="005D38BE">
        <w:rPr>
          <w:rStyle w:val="Refdenotaalpie"/>
          <w:spacing w:val="-2"/>
        </w:rPr>
        <w:footnoteReference w:id="14"/>
      </w:r>
      <w:r w:rsidR="00A96C1F" w:rsidRPr="00A96C1F">
        <w:rPr>
          <w:spacing w:val="-2"/>
        </w:rPr>
        <w:t>.</w:t>
      </w:r>
      <w:r w:rsidR="00A96C1F">
        <w:rPr>
          <w:spacing w:val="-2"/>
        </w:rPr>
        <w:t xml:space="preserve">  Asimismo, se identificó </w:t>
      </w:r>
      <w:r w:rsidR="00D42F19">
        <w:rPr>
          <w:spacing w:val="-2"/>
        </w:rPr>
        <w:t>que,</w:t>
      </w:r>
      <w:r w:rsidR="00A96C1F">
        <w:rPr>
          <w:spacing w:val="-2"/>
        </w:rPr>
        <w:t xml:space="preserve"> para la </w:t>
      </w:r>
      <w:r w:rsidR="00D42F19" w:rsidRPr="00D42F19">
        <w:rPr>
          <w:spacing w:val="-2"/>
        </w:rPr>
        <w:t xml:space="preserve">gestión gerencial del componente del Programa, </w:t>
      </w:r>
      <w:r w:rsidR="00D42F19">
        <w:rPr>
          <w:spacing w:val="-2"/>
        </w:rPr>
        <w:t xml:space="preserve">la STCNC debería </w:t>
      </w:r>
      <w:r w:rsidR="00D42F19" w:rsidRPr="00D42F19">
        <w:rPr>
          <w:spacing w:val="-2"/>
        </w:rPr>
        <w:t xml:space="preserve">contar con un Equipo de Gestión del Proyecto (EDG) con dedicación a tiempo completo, que estaría constituido por un </w:t>
      </w:r>
      <w:r w:rsidR="00D42F19">
        <w:rPr>
          <w:spacing w:val="-2"/>
        </w:rPr>
        <w:t>c</w:t>
      </w:r>
      <w:r w:rsidR="00D42F19" w:rsidRPr="00D42F19">
        <w:rPr>
          <w:spacing w:val="-2"/>
        </w:rPr>
        <w:t xml:space="preserve">oordinador </w:t>
      </w:r>
      <w:r w:rsidR="00D42F19">
        <w:rPr>
          <w:spacing w:val="-2"/>
        </w:rPr>
        <w:t>g</w:t>
      </w:r>
      <w:r w:rsidR="00D42F19" w:rsidRPr="00D42F19">
        <w:rPr>
          <w:spacing w:val="-2"/>
        </w:rPr>
        <w:t>eneral, un especialista en planificación y seguimiento, un especialista en adquisiciones y un especialista financiero, los cuales sería</w:t>
      </w:r>
      <w:r w:rsidR="00D42F19">
        <w:rPr>
          <w:spacing w:val="-2"/>
        </w:rPr>
        <w:t>n</w:t>
      </w:r>
      <w:r w:rsidR="00D42F19" w:rsidRPr="00D42F19">
        <w:rPr>
          <w:spacing w:val="-2"/>
        </w:rPr>
        <w:t xml:space="preserve"> financiados por el Programa</w:t>
      </w:r>
      <w:r w:rsidR="0035725F">
        <w:rPr>
          <w:spacing w:val="-2"/>
        </w:rPr>
        <w:t xml:space="preserve">, el mismo que debería tener experiencia anterior en proyectos financiados por el Banco </w:t>
      </w:r>
      <w:r w:rsidR="009E06A8">
        <w:rPr>
          <w:spacing w:val="-2"/>
        </w:rPr>
        <w:lastRenderedPageBreak/>
        <w:t>o capacitado en el uso de las políticas del mismo</w:t>
      </w:r>
      <w:r w:rsidR="009E06A8">
        <w:rPr>
          <w:rStyle w:val="Refdenotaalpie"/>
          <w:spacing w:val="-2"/>
        </w:rPr>
        <w:footnoteReference w:id="15"/>
      </w:r>
      <w:r w:rsidR="009E06A8">
        <w:rPr>
          <w:spacing w:val="-2"/>
        </w:rPr>
        <w:t xml:space="preserve">. </w:t>
      </w:r>
      <w:r w:rsidR="00D42F19" w:rsidRPr="00D42F19">
        <w:rPr>
          <w:spacing w:val="-2"/>
        </w:rPr>
        <w:t xml:space="preserve">En cuanto a los aspectos técnicos </w:t>
      </w:r>
      <w:r w:rsidR="00D42F19">
        <w:rPr>
          <w:spacing w:val="-2"/>
        </w:rPr>
        <w:t xml:space="preserve">también </w:t>
      </w:r>
      <w:r w:rsidR="00D42F19" w:rsidRPr="00D42F19">
        <w:rPr>
          <w:spacing w:val="-2"/>
        </w:rPr>
        <w:t xml:space="preserve">se ha previsto que el </w:t>
      </w:r>
      <w:r w:rsidR="00D42F19">
        <w:rPr>
          <w:spacing w:val="-2"/>
        </w:rPr>
        <w:t>P</w:t>
      </w:r>
      <w:r w:rsidR="00D42F19" w:rsidRPr="00D42F19">
        <w:rPr>
          <w:spacing w:val="-2"/>
        </w:rPr>
        <w:t>rograma financiará los equipos de soporte técnico necesarios.</w:t>
      </w:r>
    </w:p>
    <w:p w14:paraId="7DAEEBD9" w14:textId="4D9E0BD6" w:rsidR="005C70CA" w:rsidRDefault="005C70CA" w:rsidP="005C70CA">
      <w:pPr>
        <w:pStyle w:val="Prrafodelista"/>
        <w:numPr>
          <w:ilvl w:val="1"/>
          <w:numId w:val="3"/>
        </w:numPr>
      </w:pPr>
      <w:r>
        <w:t>La VPR como OSE</w:t>
      </w:r>
      <w:r w:rsidR="00CE7172">
        <w:t>,</w:t>
      </w:r>
      <w:r>
        <w:t xml:space="preserve"> mantendrá el seguimiento y control de la ejecución del componente </w:t>
      </w:r>
      <w:r w:rsidR="004B1BBC">
        <w:t xml:space="preserve">del Programa, que realizará </w:t>
      </w:r>
      <w:r>
        <w:t xml:space="preserve">la STCNC, pues </w:t>
      </w:r>
      <w:r w:rsidR="004B1BBC">
        <w:t xml:space="preserve">la VPR </w:t>
      </w:r>
      <w:r>
        <w:t xml:space="preserve">será la entidad que presida el CNC, </w:t>
      </w:r>
      <w:r w:rsidR="00CE7172">
        <w:t xml:space="preserve">para </w:t>
      </w:r>
      <w:r w:rsidR="004B1BBC">
        <w:t xml:space="preserve">el efecto la VPR </w:t>
      </w:r>
      <w:r>
        <w:t xml:space="preserve">se apoyará en su Dirección de Planificación y Gestión Estratégica, la cual cuenta con capacidades </w:t>
      </w:r>
      <w:r w:rsidRPr="00A131E3">
        <w:t>gerenciales nec</w:t>
      </w:r>
      <w:r>
        <w:t>e</w:t>
      </w:r>
      <w:r w:rsidRPr="00A131E3">
        <w:t xml:space="preserve">sarias para </w:t>
      </w:r>
      <w:r>
        <w:t>realizar estas actividades</w:t>
      </w:r>
      <w:r>
        <w:rPr>
          <w:rStyle w:val="Refdenotaalpie"/>
        </w:rPr>
        <w:footnoteReference w:id="16"/>
      </w:r>
      <w:r>
        <w:t>. Sin embargo, vale mencionar que la VPR l</w:t>
      </w:r>
      <w:r w:rsidRPr="00535C74">
        <w:t xml:space="preserve">a no tiene experiencia previa en la ejecución de proyectos con el BID y no </w:t>
      </w:r>
      <w:r w:rsidR="00CE7172">
        <w:t xml:space="preserve">registra </w:t>
      </w:r>
      <w:r w:rsidRPr="00535C74">
        <w:t>proyectos de inversión</w:t>
      </w:r>
      <w:r>
        <w:t xml:space="preserve"> en el </w:t>
      </w:r>
      <w:r w:rsidR="00AF5070">
        <w:t xml:space="preserve">SIPeIP, </w:t>
      </w:r>
      <w:r w:rsidRPr="00535C74">
        <w:t>desde 2013</w:t>
      </w:r>
      <w:r>
        <w:rPr>
          <w:rStyle w:val="Refdenotaalpie"/>
        </w:rPr>
        <w:footnoteReference w:id="17"/>
      </w:r>
      <w:r w:rsidR="00AF5070">
        <w:t xml:space="preserve">.  La experiencia en proyectos de la </w:t>
      </w:r>
      <w:r w:rsidR="00ED0DE9">
        <w:t xml:space="preserve">VPR, en los últimos años, se </w:t>
      </w:r>
      <w:r>
        <w:t>centra en la ejecución de proyectos institucionales registrados en el GPR</w:t>
      </w:r>
      <w:r>
        <w:rPr>
          <w:rStyle w:val="Refdenotaalpie"/>
        </w:rPr>
        <w:footnoteReference w:id="18"/>
      </w:r>
      <w:r w:rsidRPr="00535C74">
        <w:t>.</w:t>
      </w:r>
      <w:r w:rsidR="00ED0DE9">
        <w:t xml:space="preserve"> De allí que se identificó </w:t>
      </w:r>
      <w:r w:rsidR="00CE7172">
        <w:t xml:space="preserve">como </w:t>
      </w:r>
      <w:r w:rsidR="00ED0DE9">
        <w:t>necesidad</w:t>
      </w:r>
      <w:r w:rsidR="001842F6">
        <w:t xml:space="preserve"> el</w:t>
      </w:r>
      <w:r w:rsidR="00ED0DE9">
        <w:t xml:space="preserve"> fortalecer al equipo de la Dirección de Planificación y Gestión Estratégica de la VPR en las políticas de ejecución de proyectos del Banco</w:t>
      </w:r>
      <w:r w:rsidR="00ED0DE9">
        <w:rPr>
          <w:rStyle w:val="Refdenotaalpie"/>
        </w:rPr>
        <w:footnoteReference w:id="19"/>
      </w:r>
      <w:r w:rsidR="00ED0DE9">
        <w:t>.</w:t>
      </w:r>
      <w:r w:rsidR="001842F6">
        <w:t xml:space="preserve">  Asimismo, en el </w:t>
      </w:r>
      <w:r w:rsidR="001842F6" w:rsidRPr="0039764C">
        <w:t xml:space="preserve">en caso de que la VPR ejecute directamente el componente, resultará </w:t>
      </w:r>
      <w:r w:rsidR="001842F6">
        <w:t xml:space="preserve">necesaria </w:t>
      </w:r>
      <w:r w:rsidR="001842F6" w:rsidRPr="0039764C">
        <w:t>la incorporación de un E</w:t>
      </w:r>
      <w:r w:rsidR="001842F6">
        <w:t xml:space="preserve">DG </w:t>
      </w:r>
      <w:r w:rsidR="001842F6" w:rsidRPr="0039764C">
        <w:t>a tiempo completo que apoye la ejecución del Programa.</w:t>
      </w:r>
    </w:p>
    <w:p w14:paraId="4F9437AB" w14:textId="4015B117" w:rsidR="005C70CA" w:rsidRDefault="009E06A8" w:rsidP="005C70CA">
      <w:pPr>
        <w:pStyle w:val="Prrafodelista"/>
        <w:numPr>
          <w:ilvl w:val="1"/>
          <w:numId w:val="3"/>
        </w:numPr>
      </w:pPr>
      <w:r>
        <w:t>En cuanto a la generación de información necesaria para la gestión integral del Programa</w:t>
      </w:r>
      <w:r w:rsidR="00FC751E">
        <w:t xml:space="preserve"> que </w:t>
      </w:r>
      <w:r>
        <w:t>el EDG de</w:t>
      </w:r>
      <w:r w:rsidR="00FC751E">
        <w:t>l componente</w:t>
      </w:r>
      <w:r>
        <w:t>,  reportará al MEF como OE del Programa, toma</w:t>
      </w:r>
      <w:r w:rsidR="00FC751E">
        <w:t xml:space="preserve">rá </w:t>
      </w:r>
      <w:r>
        <w:t xml:space="preserve">en consideración las directrices que se establezcan en el Reglamento Operativo del Programa y las </w:t>
      </w:r>
      <w:r w:rsidRPr="009E06A8">
        <w:t>herramienta</w:t>
      </w:r>
      <w:r>
        <w:t xml:space="preserve">s que el </w:t>
      </w:r>
      <w:r w:rsidR="00FC751E">
        <w:t>B</w:t>
      </w:r>
      <w:r>
        <w:t xml:space="preserve">anco ha diseñado para </w:t>
      </w:r>
      <w:r w:rsidRPr="009E06A8">
        <w:t>la planificación, seguimiento y monitoreo del Programa que se encuentra</w:t>
      </w:r>
      <w:r>
        <w:t>n</w:t>
      </w:r>
      <w:r w:rsidRPr="009E06A8">
        <w:t xml:space="preserve"> en el Tool Kit de la Representación</w:t>
      </w:r>
      <w:r>
        <w:t xml:space="preserve"> Ecuador</w:t>
      </w:r>
      <w:r w:rsidR="00556248">
        <w:t xml:space="preserve">, para lo que se </w:t>
      </w:r>
      <w:r w:rsidRPr="009E06A8">
        <w:t xml:space="preserve">recomienda que el EDG </w:t>
      </w:r>
      <w:r w:rsidR="00556248">
        <w:t xml:space="preserve">con el que se ejecute el componente </w:t>
      </w:r>
      <w:r w:rsidRPr="009E06A8">
        <w:t xml:space="preserve">y los funcionarios de Planificación y Monitoreo de la </w:t>
      </w:r>
      <w:r w:rsidR="00556248">
        <w:t>VPR</w:t>
      </w:r>
      <w:r w:rsidRPr="009E06A8">
        <w:t xml:space="preserve">, tengan acceso al Ms Project, así como </w:t>
      </w:r>
      <w:r w:rsidR="00FC751E">
        <w:t xml:space="preserve">a </w:t>
      </w:r>
      <w:r w:rsidRPr="009E06A8">
        <w:t>una capacitación en el uso de la herramienta</w:t>
      </w:r>
      <w:r w:rsidR="00556248">
        <w:t xml:space="preserve">s propuestas por </w:t>
      </w:r>
      <w:r w:rsidRPr="009E06A8">
        <w:t>el Banco</w:t>
      </w:r>
      <w:r w:rsidR="00556248">
        <w:t>.</w:t>
      </w:r>
    </w:p>
    <w:p w14:paraId="6442AD27" w14:textId="35EC57CD" w:rsidR="005C70CA" w:rsidRDefault="00556248" w:rsidP="0062738C">
      <w:pPr>
        <w:pStyle w:val="Prrafodelista"/>
        <w:numPr>
          <w:ilvl w:val="1"/>
          <w:numId w:val="3"/>
        </w:numPr>
      </w:pPr>
      <w:r w:rsidRPr="00556248">
        <w:t>Actualmente No existe un Proyecto de Inversión para la ejecución del Componente</w:t>
      </w:r>
      <w:r w:rsidR="00FC751E">
        <w:t xml:space="preserve"> registrado y priorizado en el SIPeIP </w:t>
      </w:r>
      <w:r w:rsidRPr="00556248">
        <w:t xml:space="preserve">y en consecuencia se requiere </w:t>
      </w:r>
      <w:r w:rsidR="00553571">
        <w:t xml:space="preserve">de </w:t>
      </w:r>
      <w:r w:rsidRPr="00556248">
        <w:t>su formulación</w:t>
      </w:r>
      <w:r w:rsidR="00553571">
        <w:t xml:space="preserve"> y de su </w:t>
      </w:r>
      <w:r w:rsidRPr="00556248">
        <w:t xml:space="preserve">priorización por ‘Planifica Ecuador’ requisito previo para la firma del convenio de préstamo y la ejecución del componente. </w:t>
      </w:r>
      <w:r w:rsidR="00FC751E">
        <w:t xml:space="preserve"> </w:t>
      </w:r>
      <w:r w:rsidRPr="00556248">
        <w:t>Asimismo, para la ejecución se requiere la incorporación en los PAI correspondientes y en los POA de la nueva organización.</w:t>
      </w:r>
      <w:r>
        <w:t xml:space="preserve"> </w:t>
      </w:r>
      <w:r w:rsidR="00553571">
        <w:t xml:space="preserve"> Tomando en </w:t>
      </w:r>
      <w:r w:rsidR="00FC751E">
        <w:t xml:space="preserve">consideración que </w:t>
      </w:r>
      <w:r w:rsidR="00553571">
        <w:t xml:space="preserve">la VPR </w:t>
      </w:r>
      <w:r w:rsidR="00553571" w:rsidRPr="00535C74">
        <w:t xml:space="preserve">no </w:t>
      </w:r>
      <w:r w:rsidR="00553571">
        <w:t xml:space="preserve">registra </w:t>
      </w:r>
      <w:r w:rsidR="00553571" w:rsidRPr="00535C74">
        <w:t>proyectos de inversión</w:t>
      </w:r>
      <w:r w:rsidR="00553571">
        <w:t xml:space="preserve"> priorizados en el SIPeIP, </w:t>
      </w:r>
      <w:r w:rsidR="00553571" w:rsidRPr="00535C74">
        <w:t>desde 2013</w:t>
      </w:r>
      <w:r w:rsidR="00553571">
        <w:t xml:space="preserve">, y que la </w:t>
      </w:r>
      <w:r w:rsidRPr="00556248">
        <w:t>STCNC aún no dispone de una estructura para la ejecución y monitoreo de Proyectos</w:t>
      </w:r>
      <w:r w:rsidR="00553571">
        <w:t xml:space="preserve">, se ha identificado como actividad de fortalecimiento, </w:t>
      </w:r>
      <w:r w:rsidR="00553571" w:rsidRPr="00553571">
        <w:t>la necesidad de contar</w:t>
      </w:r>
      <w:r w:rsidR="00FC751E">
        <w:t xml:space="preserve"> con un equipo de trabajo dedicado a este tema en la VPR o en la STCNC cuando se constituya y </w:t>
      </w:r>
      <w:r w:rsidR="00553571" w:rsidRPr="00553571">
        <w:t xml:space="preserve">apoyo técnico </w:t>
      </w:r>
      <w:r w:rsidR="00553571">
        <w:t xml:space="preserve">para </w:t>
      </w:r>
      <w:r w:rsidR="00553571" w:rsidRPr="00553571">
        <w:t xml:space="preserve">la formulación del Proyecto a Priorizar por ‘Planifica Ecuador´ durante el período de aprobación de la operación por el </w:t>
      </w:r>
      <w:r w:rsidR="00FC751E">
        <w:t>B</w:t>
      </w:r>
      <w:r w:rsidR="00553571" w:rsidRPr="00553571">
        <w:t>anco.</w:t>
      </w:r>
    </w:p>
    <w:p w14:paraId="3F8FEC49" w14:textId="31087371" w:rsidR="00535C74" w:rsidRPr="00295ADB" w:rsidRDefault="00553571" w:rsidP="00BD495E">
      <w:pPr>
        <w:pStyle w:val="Prrafodelista"/>
        <w:numPr>
          <w:ilvl w:val="1"/>
          <w:numId w:val="3"/>
        </w:numPr>
      </w:pPr>
      <w:r>
        <w:t>Finalmente</w:t>
      </w:r>
      <w:r w:rsidR="000D2FA5">
        <w:t>, vale la pena señalar que l</w:t>
      </w:r>
      <w:r w:rsidR="000D2FA5" w:rsidRPr="00295ADB">
        <w:t xml:space="preserve">a ejecución del </w:t>
      </w:r>
      <w:r w:rsidR="000D2FA5">
        <w:t>P</w:t>
      </w:r>
      <w:r w:rsidR="000D2FA5" w:rsidRPr="00295ADB">
        <w:t xml:space="preserve">rograma </w:t>
      </w:r>
      <w:r w:rsidR="000D2FA5">
        <w:t xml:space="preserve">tendrá </w:t>
      </w:r>
      <w:r w:rsidR="000D2FA5" w:rsidRPr="00295ADB">
        <w:t>un horizonte previsto de 5 años, por lo que enfrentará un cambio de autoridades durante su ejecución</w:t>
      </w:r>
      <w:r>
        <w:t xml:space="preserve">, debido que </w:t>
      </w:r>
      <w:r w:rsidR="00295ADB" w:rsidRPr="00295ADB">
        <w:t>la máxima autoridad de la VPR es de elección popular</w:t>
      </w:r>
      <w:r w:rsidR="000D2FA5">
        <w:t xml:space="preserve"> y las próximas elecciones son en 2021</w:t>
      </w:r>
      <w:r w:rsidR="00295ADB" w:rsidRPr="00295ADB">
        <w:t xml:space="preserve">. </w:t>
      </w:r>
      <w:r w:rsidR="00295ADB">
        <w:t xml:space="preserve">El cambio de autoridades previsto para la mitad de la ejecución debería tenerse en consideración </w:t>
      </w:r>
      <w:r w:rsidR="0039764C">
        <w:t xml:space="preserve">como factor de probabilidad en los análisis de riesgos que se realicen </w:t>
      </w:r>
      <w:r w:rsidR="000D2FA5">
        <w:t xml:space="preserve">para la ejecución </w:t>
      </w:r>
      <w:r w:rsidR="0039764C">
        <w:t>de la operación.</w:t>
      </w:r>
    </w:p>
    <w:p w14:paraId="66DF6E24" w14:textId="716FA593" w:rsidR="00BA544C" w:rsidRDefault="00BA544C"/>
    <w:p w14:paraId="222D93CB" w14:textId="68A49CB4" w:rsidR="00BE60D0" w:rsidRPr="00BE60D0" w:rsidRDefault="00BE60D0" w:rsidP="00BE60D0">
      <w:pPr>
        <w:pStyle w:val="Ttulo1"/>
        <w:numPr>
          <w:ilvl w:val="0"/>
          <w:numId w:val="0"/>
        </w:numPr>
        <w:spacing w:before="120" w:after="120"/>
        <w:jc w:val="both"/>
        <w:rPr>
          <w:rFonts w:ascii="Arial Narrow" w:hAnsi="Arial Narrow"/>
          <w:u w:val="single"/>
        </w:rPr>
        <w:sectPr w:rsidR="00BE60D0" w:rsidRPr="00BE60D0" w:rsidSect="004B45F5">
          <w:footerReference w:type="default" r:id="rId9"/>
          <w:pgSz w:w="11906" w:h="16838" w:code="9"/>
          <w:pgMar w:top="1418" w:right="1418" w:bottom="1418" w:left="1418" w:header="709" w:footer="709" w:gutter="0"/>
          <w:pgNumType w:start="1"/>
          <w:cols w:space="708"/>
          <w:docGrid w:linePitch="360"/>
        </w:sectPr>
      </w:pPr>
      <w:bookmarkStart w:id="13" w:name="_Toc442905265"/>
      <w:bookmarkStart w:id="14" w:name="_Toc421134897"/>
    </w:p>
    <w:p w14:paraId="1EC8A2E0" w14:textId="77777777" w:rsidR="00BE60D0" w:rsidRDefault="00BE60D0" w:rsidP="00BE60D0">
      <w:pPr>
        <w:pStyle w:val="Ttulo1"/>
      </w:pPr>
      <w:bookmarkStart w:id="15" w:name="_Toc12543944"/>
      <w:r>
        <w:lastRenderedPageBreak/>
        <w:t>Acciones Básicas de Fortalecimiento Institucional</w:t>
      </w:r>
      <w:bookmarkEnd w:id="15"/>
    </w:p>
    <w:p w14:paraId="6BF0B674" w14:textId="03519333" w:rsidR="00904A09" w:rsidRDefault="00904A09"/>
    <w:p w14:paraId="75907801" w14:textId="7337193A" w:rsidR="00904A09" w:rsidRDefault="00904A09" w:rsidP="00904A09">
      <w:pPr>
        <w:pStyle w:val="Descripcin"/>
        <w:keepNext/>
      </w:pPr>
      <w:bookmarkStart w:id="16" w:name="_Toc12543952"/>
      <w:r>
        <w:t xml:space="preserve">Tabla </w:t>
      </w:r>
      <w:r>
        <w:fldChar w:fldCharType="begin"/>
      </w:r>
      <w:r>
        <w:rPr>
          <w:noProof/>
        </w:rPr>
        <w:instrText xml:space="preserve"> SEQ Tabla \* ARABIC </w:instrText>
      </w:r>
      <w:r>
        <w:fldChar w:fldCharType="separate"/>
      </w:r>
      <w:r w:rsidR="00606225">
        <w:rPr>
          <w:noProof/>
        </w:rPr>
        <w:t>3</w:t>
      </w:r>
      <w:r>
        <w:fldChar w:fldCharType="end"/>
      </w:r>
      <w:r>
        <w:t>. Acciones Básicas de Fortalecimiento Institucional Identificadas para la Ejecución del Programa</w:t>
      </w:r>
      <w:bookmarkEnd w:id="16"/>
      <w:r>
        <w:t xml:space="preserve"> </w:t>
      </w:r>
    </w:p>
    <w:tbl>
      <w:tblPr>
        <w:tblStyle w:val="Tablaconcuadrcula"/>
        <w:tblW w:w="14317" w:type="dxa"/>
        <w:tblInd w:w="-145" w:type="dxa"/>
        <w:tblBorders>
          <w:left w:val="dotted" w:sz="2" w:space="0" w:color="A6A6A6" w:themeColor="background1" w:themeShade="A6"/>
          <w:right w:val="dotted" w:sz="2" w:space="0" w:color="A6A6A6" w:themeColor="background1" w:themeShade="A6"/>
        </w:tblBorders>
        <w:tblLook w:val="04A0" w:firstRow="1" w:lastRow="0" w:firstColumn="1" w:lastColumn="0" w:noHBand="0" w:noVBand="1"/>
      </w:tblPr>
      <w:tblGrid>
        <w:gridCol w:w="4820"/>
        <w:gridCol w:w="8363"/>
        <w:gridCol w:w="1134"/>
      </w:tblGrid>
      <w:tr w:rsidR="002E4ED9" w:rsidRPr="00FF6DA9" w14:paraId="5B72C095" w14:textId="77777777" w:rsidTr="00E14E62">
        <w:trPr>
          <w:tblHeader/>
        </w:trPr>
        <w:tc>
          <w:tcPr>
            <w:tcW w:w="4820" w:type="dxa"/>
            <w:tcBorders>
              <w:top w:val="single" w:sz="4" w:space="0" w:color="auto"/>
              <w:left w:val="dotted" w:sz="2" w:space="0" w:color="A6A6A6" w:themeColor="background1" w:themeShade="A6"/>
              <w:bottom w:val="single" w:sz="4" w:space="0" w:color="auto"/>
              <w:right w:val="single" w:sz="4" w:space="0" w:color="auto"/>
            </w:tcBorders>
            <w:shd w:val="clear" w:color="auto" w:fill="A6A6A6" w:themeFill="background1" w:themeFillShade="A6"/>
            <w:vAlign w:val="center"/>
            <w:hideMark/>
          </w:tcPr>
          <w:p w14:paraId="28BC7FBD" w14:textId="40629CFE" w:rsidR="002E4ED9" w:rsidRPr="00FF6DA9" w:rsidRDefault="002E4ED9" w:rsidP="00DC4C5E">
            <w:pPr>
              <w:spacing w:before="120" w:after="120"/>
              <w:ind w:left="171" w:hanging="171"/>
              <w:jc w:val="center"/>
              <w:rPr>
                <w:rFonts w:ascii="Arial Narrow" w:hAnsi="Arial Narrow"/>
                <w:u w:val="single"/>
              </w:rPr>
            </w:pPr>
            <w:r w:rsidRPr="00FF6DA9">
              <w:rPr>
                <w:rFonts w:ascii="Arial Narrow" w:hAnsi="Arial Narrow"/>
                <w:u w:val="single"/>
              </w:rPr>
              <w:t>Situaciones particulares con brechas de fortalecimiento identificadas</w:t>
            </w:r>
          </w:p>
        </w:tc>
        <w:tc>
          <w:tcPr>
            <w:tcW w:w="83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7D3C2A" w14:textId="77777777" w:rsidR="002E4ED9" w:rsidRPr="00FF6DA9" w:rsidRDefault="002E4ED9" w:rsidP="00DC4C5E">
            <w:pPr>
              <w:spacing w:before="120" w:after="120"/>
              <w:ind w:left="171" w:hanging="171"/>
              <w:jc w:val="center"/>
              <w:rPr>
                <w:rFonts w:ascii="Arial Narrow" w:hAnsi="Arial Narrow"/>
                <w:u w:val="single"/>
              </w:rPr>
            </w:pPr>
            <w:r w:rsidRPr="00FF6DA9">
              <w:rPr>
                <w:rFonts w:ascii="Arial Narrow" w:hAnsi="Arial Narrow"/>
                <w:u w:val="single"/>
              </w:rPr>
              <w:t>Actividades de fortalecimiento propuestas</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97A1489" w14:textId="77777777" w:rsidR="002E4ED9" w:rsidRPr="00FF6DA9" w:rsidRDefault="002E4ED9" w:rsidP="00DC4C5E">
            <w:pPr>
              <w:spacing w:before="120" w:after="120"/>
              <w:ind w:left="171" w:hanging="171"/>
              <w:jc w:val="center"/>
              <w:rPr>
                <w:rFonts w:ascii="Arial Narrow" w:hAnsi="Arial Narrow"/>
                <w:u w:val="single"/>
              </w:rPr>
            </w:pPr>
            <w:r w:rsidRPr="00FF6DA9">
              <w:rPr>
                <w:rFonts w:ascii="Arial Narrow" w:hAnsi="Arial Narrow"/>
                <w:u w:val="single"/>
              </w:rPr>
              <w:t>Impacto</w:t>
            </w:r>
          </w:p>
        </w:tc>
      </w:tr>
      <w:tr w:rsidR="002E4ED9" w:rsidRPr="00955A39" w14:paraId="608A742C" w14:textId="77777777" w:rsidTr="00E14E62">
        <w:tc>
          <w:tcPr>
            <w:tcW w:w="4820" w:type="dxa"/>
            <w:tcBorders>
              <w:top w:val="single" w:sz="4" w:space="0" w:color="auto"/>
              <w:left w:val="dotted" w:sz="2" w:space="0" w:color="A6A6A6" w:themeColor="background1" w:themeShade="A6"/>
              <w:bottom w:val="single" w:sz="4" w:space="0" w:color="auto"/>
              <w:right w:val="single" w:sz="4" w:space="0" w:color="auto"/>
            </w:tcBorders>
          </w:tcPr>
          <w:p w14:paraId="5C52F4DC" w14:textId="6E173384" w:rsidR="002E4ED9" w:rsidRPr="000B4BE4" w:rsidRDefault="001056F7" w:rsidP="0072040D">
            <w:pPr>
              <w:pStyle w:val="Prrafodelista"/>
              <w:numPr>
                <w:ilvl w:val="0"/>
                <w:numId w:val="32"/>
              </w:numPr>
              <w:jc w:val="left"/>
              <w:rPr>
                <w:rFonts w:ascii="Arial Narrow" w:hAnsi="Arial Narrow"/>
              </w:rPr>
            </w:pPr>
            <w:r w:rsidRPr="0072040D">
              <w:rPr>
                <w:rFonts w:ascii="Arial Narrow" w:hAnsi="Arial Narrow"/>
              </w:rPr>
              <w:t>El CNC</w:t>
            </w:r>
            <w:r w:rsidR="003227A7" w:rsidRPr="0072040D">
              <w:rPr>
                <w:rFonts w:ascii="Arial Narrow" w:hAnsi="Arial Narrow"/>
              </w:rPr>
              <w:t xml:space="preserve"> se encuentra en proceso de creación, por lo que no cuenta aún con una estructura organizativa, </w:t>
            </w:r>
            <w:r w:rsidR="006350F5" w:rsidRPr="0072040D">
              <w:rPr>
                <w:rFonts w:ascii="Arial Narrow" w:hAnsi="Arial Narrow"/>
              </w:rPr>
              <w:t xml:space="preserve">ni con una </w:t>
            </w:r>
            <w:r w:rsidR="003227A7" w:rsidRPr="0072040D">
              <w:rPr>
                <w:rFonts w:ascii="Arial Narrow" w:hAnsi="Arial Narrow"/>
              </w:rPr>
              <w:t>normativa de funcionamiento aprobada por el Ministerio de trabajo, (</w:t>
            </w:r>
            <w:r w:rsidR="003227A7" w:rsidRPr="0072040D">
              <w:rPr>
                <w:rFonts w:ascii="Arial Narrow" w:hAnsi="Arial Narrow"/>
                <w:spacing w:val="0"/>
                <w:szCs w:val="19"/>
              </w:rPr>
              <w:t xml:space="preserve">Matriz de Competencias, Estatuto Orgánico Funcional por Procesos y Manual de Clasificación de puestos), </w:t>
            </w:r>
            <w:r w:rsidR="006350F5" w:rsidRPr="0072040D">
              <w:rPr>
                <w:rFonts w:ascii="Arial Narrow" w:hAnsi="Arial Narrow"/>
                <w:spacing w:val="0"/>
                <w:szCs w:val="19"/>
              </w:rPr>
              <w:t xml:space="preserve">y en consecuencia tampoco con el </w:t>
            </w:r>
            <w:r w:rsidR="003227A7" w:rsidRPr="0072040D">
              <w:rPr>
                <w:rFonts w:ascii="Arial Narrow" w:hAnsi="Arial Narrow"/>
                <w:spacing w:val="0"/>
                <w:szCs w:val="19"/>
              </w:rPr>
              <w:t xml:space="preserve">presupuesto </w:t>
            </w:r>
            <w:r w:rsidR="006350F5" w:rsidRPr="0072040D">
              <w:rPr>
                <w:rFonts w:ascii="Arial Narrow" w:hAnsi="Arial Narrow"/>
                <w:spacing w:val="0"/>
                <w:szCs w:val="19"/>
              </w:rPr>
              <w:t>asignado para su funcionamiento</w:t>
            </w:r>
            <w:r w:rsidR="003227A7" w:rsidRPr="0072040D">
              <w:rPr>
                <w:rFonts w:ascii="Arial Narrow" w:hAnsi="Arial Narrow"/>
                <w:spacing w:val="0"/>
                <w:szCs w:val="19"/>
              </w:rPr>
              <w:t xml:space="preserve">. </w:t>
            </w:r>
            <w:r w:rsidR="006350F5" w:rsidRPr="0072040D">
              <w:rPr>
                <w:rFonts w:ascii="Arial Narrow" w:hAnsi="Arial Narrow"/>
                <w:spacing w:val="0"/>
                <w:szCs w:val="19"/>
              </w:rPr>
              <w:t xml:space="preserve"> </w:t>
            </w:r>
            <w:r w:rsidR="00A96C1F">
              <w:rPr>
                <w:rFonts w:ascii="Arial Narrow" w:hAnsi="Arial Narrow"/>
                <w:spacing w:val="0"/>
                <w:szCs w:val="19"/>
              </w:rPr>
              <w:t xml:space="preserve">Tampoco </w:t>
            </w:r>
            <w:r w:rsidR="006350F5" w:rsidRPr="0072040D">
              <w:rPr>
                <w:rFonts w:ascii="Arial Narrow" w:hAnsi="Arial Narrow"/>
                <w:spacing w:val="0"/>
                <w:szCs w:val="19"/>
              </w:rPr>
              <w:t xml:space="preserve">existe aún el </w:t>
            </w:r>
            <w:r w:rsidR="0046261E" w:rsidRPr="0072040D">
              <w:rPr>
                <w:rFonts w:ascii="Arial Narrow" w:hAnsi="Arial Narrow"/>
                <w:spacing w:val="0"/>
                <w:szCs w:val="19"/>
              </w:rPr>
              <w:t>TH, que</w:t>
            </w:r>
            <w:r w:rsidR="006350F5" w:rsidRPr="0072040D">
              <w:rPr>
                <w:rFonts w:ascii="Arial Narrow" w:hAnsi="Arial Narrow"/>
                <w:spacing w:val="0"/>
                <w:szCs w:val="19"/>
              </w:rPr>
              <w:t xml:space="preserve"> gestione las actividades del Proyecto, ni las áreas de apoyo para su ejecución, como son </w:t>
            </w:r>
            <w:r w:rsidR="003227A7" w:rsidRPr="0072040D">
              <w:rPr>
                <w:rFonts w:ascii="Arial Narrow" w:hAnsi="Arial Narrow"/>
                <w:spacing w:val="0"/>
                <w:szCs w:val="19"/>
              </w:rPr>
              <w:t xml:space="preserve">compras </w:t>
            </w:r>
            <w:r w:rsidR="006350F5" w:rsidRPr="0072040D">
              <w:rPr>
                <w:rFonts w:ascii="Arial Narrow" w:hAnsi="Arial Narrow"/>
                <w:spacing w:val="0"/>
                <w:szCs w:val="19"/>
              </w:rPr>
              <w:t>p</w:t>
            </w:r>
            <w:r w:rsidR="003227A7" w:rsidRPr="0072040D">
              <w:rPr>
                <w:rFonts w:ascii="Arial Narrow" w:hAnsi="Arial Narrow"/>
                <w:spacing w:val="0"/>
                <w:szCs w:val="19"/>
              </w:rPr>
              <w:t>úblicas, tesorería</w:t>
            </w:r>
            <w:r w:rsidR="006350F5" w:rsidRPr="0072040D">
              <w:rPr>
                <w:rFonts w:ascii="Arial Narrow" w:hAnsi="Arial Narrow"/>
                <w:spacing w:val="0"/>
                <w:szCs w:val="19"/>
              </w:rPr>
              <w:t xml:space="preserve">, </w:t>
            </w:r>
            <w:r w:rsidR="003227A7" w:rsidRPr="0072040D">
              <w:rPr>
                <w:rFonts w:ascii="Arial Narrow" w:hAnsi="Arial Narrow"/>
                <w:spacing w:val="0"/>
                <w:szCs w:val="19"/>
              </w:rPr>
              <w:t>pago</w:t>
            </w:r>
            <w:r w:rsidR="006350F5" w:rsidRPr="0072040D">
              <w:rPr>
                <w:rFonts w:ascii="Arial Narrow" w:hAnsi="Arial Narrow"/>
                <w:spacing w:val="0"/>
                <w:szCs w:val="19"/>
              </w:rPr>
              <w:t xml:space="preserve">s, </w:t>
            </w:r>
            <w:r w:rsidR="0046261E" w:rsidRPr="0072040D">
              <w:rPr>
                <w:rFonts w:ascii="Arial Narrow" w:hAnsi="Arial Narrow"/>
                <w:spacing w:val="0"/>
                <w:szCs w:val="19"/>
              </w:rPr>
              <w:t>seguimiento y control.</w:t>
            </w:r>
          </w:p>
        </w:tc>
        <w:tc>
          <w:tcPr>
            <w:tcW w:w="8363" w:type="dxa"/>
            <w:tcBorders>
              <w:top w:val="single" w:sz="4" w:space="0" w:color="auto"/>
              <w:left w:val="single" w:sz="4" w:space="0" w:color="auto"/>
              <w:bottom w:val="single" w:sz="4" w:space="0" w:color="auto"/>
              <w:right w:val="single" w:sz="4" w:space="0" w:color="auto"/>
            </w:tcBorders>
          </w:tcPr>
          <w:p w14:paraId="54F28AC4" w14:textId="77777777" w:rsidR="00335A67" w:rsidRPr="00335A67" w:rsidRDefault="001056F7" w:rsidP="0072040D">
            <w:pPr>
              <w:pStyle w:val="Prrafodelista"/>
              <w:numPr>
                <w:ilvl w:val="0"/>
                <w:numId w:val="30"/>
              </w:numPr>
              <w:tabs>
                <w:tab w:val="num" w:pos="322"/>
              </w:tabs>
              <w:spacing w:before="20" w:after="20"/>
              <w:contextualSpacing/>
              <w:jc w:val="left"/>
              <w:rPr>
                <w:rFonts w:ascii="Arial Narrow" w:hAnsi="Arial Narrow"/>
              </w:rPr>
            </w:pPr>
            <w:r w:rsidRPr="0046261E">
              <w:rPr>
                <w:rFonts w:ascii="Arial Narrow" w:hAnsi="Arial Narrow"/>
              </w:rPr>
              <w:t>Se identific</w:t>
            </w:r>
            <w:r w:rsidR="0072040D">
              <w:rPr>
                <w:rFonts w:ascii="Arial Narrow" w:hAnsi="Arial Narrow"/>
              </w:rPr>
              <w:t>ó</w:t>
            </w:r>
            <w:r w:rsidRPr="0046261E">
              <w:rPr>
                <w:rFonts w:ascii="Arial Narrow" w:hAnsi="Arial Narrow"/>
              </w:rPr>
              <w:t xml:space="preserve"> la necesidad de contar con apoyo técnico que apoye la</w:t>
            </w:r>
            <w:r w:rsidR="00F26CA8" w:rsidRPr="0046261E">
              <w:rPr>
                <w:rFonts w:ascii="Arial Narrow" w:hAnsi="Arial Narrow"/>
              </w:rPr>
              <w:t xml:space="preserve"> implementación</w:t>
            </w:r>
            <w:r w:rsidR="0046261E" w:rsidRPr="0046261E">
              <w:rPr>
                <w:rFonts w:ascii="Arial Narrow" w:hAnsi="Arial Narrow"/>
              </w:rPr>
              <w:t xml:space="preserve"> administrativa y financiera </w:t>
            </w:r>
            <w:r w:rsidR="00F26CA8" w:rsidRPr="0046261E">
              <w:rPr>
                <w:rFonts w:ascii="Arial Narrow" w:hAnsi="Arial Narrow"/>
              </w:rPr>
              <w:t>de la STCNC</w:t>
            </w:r>
            <w:r w:rsidRPr="0046261E">
              <w:rPr>
                <w:rFonts w:ascii="Arial Narrow" w:hAnsi="Arial Narrow"/>
              </w:rPr>
              <w:t xml:space="preserve">, en lo relacionado </w:t>
            </w:r>
            <w:r w:rsidR="00F26CA8" w:rsidRPr="0046261E">
              <w:rPr>
                <w:rFonts w:ascii="Arial Narrow" w:hAnsi="Arial Narrow"/>
              </w:rPr>
              <w:t xml:space="preserve">a su </w:t>
            </w:r>
            <w:r w:rsidRPr="0046261E">
              <w:rPr>
                <w:rFonts w:ascii="Arial Narrow" w:hAnsi="Arial Narrow"/>
                <w:spacing w:val="0"/>
                <w:szCs w:val="19"/>
              </w:rPr>
              <w:t xml:space="preserve">estructura de gestión básica </w:t>
            </w:r>
            <w:r w:rsidR="00F26CA8" w:rsidRPr="0046261E">
              <w:rPr>
                <w:rFonts w:ascii="Arial Narrow" w:hAnsi="Arial Narrow"/>
                <w:spacing w:val="0"/>
                <w:szCs w:val="19"/>
              </w:rPr>
              <w:t xml:space="preserve">y su normativa de funcionamiento a ser aprobada en el Ministerio de Trabajo, de donde se desprenderá la </w:t>
            </w:r>
            <w:r w:rsidRPr="0046261E">
              <w:rPr>
                <w:rFonts w:ascii="Arial Narrow" w:hAnsi="Arial Narrow"/>
                <w:spacing w:val="0"/>
                <w:szCs w:val="19"/>
              </w:rPr>
              <w:t>dotación y distribución del Talento Humano (TH)</w:t>
            </w:r>
            <w:r w:rsidR="003227A7" w:rsidRPr="0046261E">
              <w:rPr>
                <w:rFonts w:ascii="Arial Narrow" w:hAnsi="Arial Narrow"/>
                <w:spacing w:val="0"/>
                <w:szCs w:val="19"/>
              </w:rPr>
              <w:t xml:space="preserve"> que facilite la </w:t>
            </w:r>
            <w:r w:rsidR="0072040D">
              <w:rPr>
                <w:rFonts w:ascii="Arial Narrow" w:hAnsi="Arial Narrow"/>
                <w:spacing w:val="0"/>
                <w:szCs w:val="19"/>
              </w:rPr>
              <w:t xml:space="preserve">ejecución </w:t>
            </w:r>
            <w:r w:rsidR="003227A7" w:rsidRPr="0046261E">
              <w:rPr>
                <w:rFonts w:ascii="Arial Narrow" w:hAnsi="Arial Narrow"/>
                <w:spacing w:val="0"/>
                <w:szCs w:val="19"/>
              </w:rPr>
              <w:t>del Programa</w:t>
            </w:r>
            <w:r w:rsidR="0046261E" w:rsidRPr="0046261E">
              <w:rPr>
                <w:rFonts w:ascii="Arial Narrow" w:hAnsi="Arial Narrow"/>
                <w:spacing w:val="0"/>
                <w:szCs w:val="19"/>
              </w:rPr>
              <w:t xml:space="preserve"> (compras públicas, tesorería, pagos, seguimiento y control) </w:t>
            </w:r>
            <w:r w:rsidR="00F26CA8" w:rsidRPr="0046261E">
              <w:rPr>
                <w:rFonts w:ascii="Arial Narrow" w:hAnsi="Arial Narrow"/>
                <w:spacing w:val="0"/>
                <w:szCs w:val="19"/>
              </w:rPr>
              <w:t>y los requerimientos presupuestarios</w:t>
            </w:r>
            <w:r w:rsidR="003227A7" w:rsidRPr="0046261E">
              <w:rPr>
                <w:rFonts w:ascii="Arial Narrow" w:hAnsi="Arial Narrow"/>
                <w:spacing w:val="0"/>
                <w:szCs w:val="19"/>
              </w:rPr>
              <w:t xml:space="preserve"> de los mismos</w:t>
            </w:r>
            <w:r w:rsidRPr="0046261E">
              <w:rPr>
                <w:rFonts w:ascii="Arial Narrow" w:hAnsi="Arial Narrow"/>
                <w:spacing w:val="0"/>
                <w:szCs w:val="19"/>
              </w:rPr>
              <w:t>.</w:t>
            </w:r>
            <w:r w:rsidR="00F26CA8" w:rsidRPr="0046261E">
              <w:rPr>
                <w:rFonts w:ascii="Arial Narrow" w:hAnsi="Arial Narrow"/>
                <w:spacing w:val="0"/>
                <w:szCs w:val="19"/>
              </w:rPr>
              <w:t xml:space="preserve"> </w:t>
            </w:r>
          </w:p>
          <w:p w14:paraId="758888DD" w14:textId="6A4FA33A" w:rsidR="002E4ED9" w:rsidRPr="006D6F2C" w:rsidRDefault="00335A67" w:rsidP="00335A67">
            <w:pPr>
              <w:pStyle w:val="Prrafodelista"/>
              <w:numPr>
                <w:ilvl w:val="0"/>
                <w:numId w:val="30"/>
              </w:numPr>
              <w:tabs>
                <w:tab w:val="num" w:pos="322"/>
              </w:tabs>
              <w:spacing w:before="20" w:after="20"/>
              <w:contextualSpacing/>
              <w:jc w:val="left"/>
              <w:rPr>
                <w:rFonts w:ascii="Arial Narrow" w:hAnsi="Arial Narrow"/>
              </w:rPr>
            </w:pPr>
            <w:r>
              <w:rPr>
                <w:rFonts w:ascii="Arial Narrow" w:hAnsi="Arial Narrow"/>
              </w:rPr>
              <w:t xml:space="preserve">Para la gestión gerencial del componente del Programa, se identificó la necesidad de contar con un Equipo de Gestión del Proyecto (EDG) con dedicación a tiempo completo, para la gestión de gerencial   </w:t>
            </w:r>
            <w:r>
              <w:rPr>
                <w:rFonts w:ascii="Arial Narrow" w:hAnsi="Arial Narrow"/>
                <w:spacing w:val="0"/>
                <w:szCs w:val="19"/>
              </w:rPr>
              <w:t xml:space="preserve">que estaría constituido por un Coordinador General, un especialista en planificación y seguimiento, un especialista en adquisiciones y un especialista financiero, los cuales sería financiados por el Programa. </w:t>
            </w:r>
            <w:r w:rsidR="0046261E" w:rsidRPr="0046261E">
              <w:rPr>
                <w:rFonts w:ascii="Arial Narrow" w:hAnsi="Arial Narrow"/>
                <w:spacing w:val="0"/>
                <w:szCs w:val="19"/>
              </w:rPr>
              <w:t>En cuanto a los aspectos técnicos se ha previsto que el programa financiará los equipos de soporte técnico necesario</w:t>
            </w:r>
            <w:r>
              <w:rPr>
                <w:rFonts w:ascii="Arial Narrow" w:hAnsi="Arial Narrow"/>
                <w:spacing w:val="0"/>
                <w:szCs w:val="19"/>
              </w:rPr>
              <w:t>s</w:t>
            </w:r>
            <w:r w:rsidR="0046261E">
              <w:rPr>
                <w:rFonts w:ascii="Arial Narrow" w:hAnsi="Arial Narrow"/>
                <w:spacing w:val="0"/>
                <w:szCs w:val="19"/>
              </w:rPr>
              <w:t>.</w:t>
            </w:r>
            <w:r>
              <w:rPr>
                <w:rFonts w:ascii="Arial Narrow" w:hAnsi="Arial Narrow"/>
                <w:spacing w:val="0"/>
                <w:szCs w:val="19"/>
              </w:rPr>
              <w:t xml:space="preserve"> </w:t>
            </w:r>
            <w:r w:rsidR="001056F7">
              <w:rPr>
                <w:rFonts w:ascii="Arial Narrow" w:hAnsi="Arial Narrow"/>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1F78A89" w14:textId="77777777" w:rsidR="002E4ED9" w:rsidRPr="00955A39" w:rsidRDefault="002E4ED9" w:rsidP="00DC4C5E">
            <w:pPr>
              <w:ind w:left="171" w:hanging="171"/>
              <w:jc w:val="center"/>
              <w:rPr>
                <w:rFonts w:ascii="Arial Narrow" w:hAnsi="Arial Narrow"/>
              </w:rPr>
            </w:pPr>
            <w:r>
              <w:rPr>
                <w:rFonts w:ascii="Arial Narrow" w:hAnsi="Arial Narrow"/>
              </w:rPr>
              <w:t>Alto</w:t>
            </w:r>
          </w:p>
        </w:tc>
      </w:tr>
      <w:tr w:rsidR="0072040D" w:rsidRPr="00955A39" w14:paraId="7CE8D0A6" w14:textId="77777777" w:rsidTr="00E14E62">
        <w:tc>
          <w:tcPr>
            <w:tcW w:w="4820" w:type="dxa"/>
            <w:tcBorders>
              <w:top w:val="single" w:sz="4" w:space="0" w:color="auto"/>
              <w:left w:val="dotted" w:sz="2" w:space="0" w:color="A6A6A6" w:themeColor="background1" w:themeShade="A6"/>
              <w:bottom w:val="single" w:sz="4" w:space="0" w:color="auto"/>
              <w:right w:val="single" w:sz="4" w:space="0" w:color="auto"/>
            </w:tcBorders>
          </w:tcPr>
          <w:p w14:paraId="5DFAA3F3" w14:textId="4D750D4E" w:rsidR="0072040D" w:rsidRPr="0072040D" w:rsidRDefault="00505EA4" w:rsidP="0072040D">
            <w:pPr>
              <w:pStyle w:val="Prrafodelista"/>
              <w:numPr>
                <w:ilvl w:val="0"/>
                <w:numId w:val="32"/>
              </w:numPr>
              <w:jc w:val="left"/>
              <w:rPr>
                <w:rFonts w:ascii="Arial Narrow" w:hAnsi="Arial Narrow"/>
              </w:rPr>
            </w:pPr>
            <w:r w:rsidRPr="00505EA4">
              <w:rPr>
                <w:rFonts w:ascii="Arial Narrow" w:hAnsi="Arial Narrow"/>
              </w:rPr>
              <w:t xml:space="preserve">La VPR no tiene experiencia previa en la ejecución de proyectos con el BID y no ha ejecutado proyectos de inversión </w:t>
            </w:r>
            <w:r w:rsidR="00535C74">
              <w:rPr>
                <w:rFonts w:ascii="Arial Narrow" w:hAnsi="Arial Narrow"/>
              </w:rPr>
              <w:t xml:space="preserve">registrados </w:t>
            </w:r>
            <w:r w:rsidR="005D22E7" w:rsidRPr="005D22E7">
              <w:rPr>
                <w:rFonts w:ascii="Arial Narrow" w:hAnsi="Arial Narrow"/>
              </w:rPr>
              <w:t>en el SIPeIP, desde 2013</w:t>
            </w:r>
            <w:r>
              <w:rPr>
                <w:rFonts w:ascii="Arial Narrow" w:hAnsi="Arial Narrow"/>
              </w:rPr>
              <w:t>. Asimismo, la STCNC se encuentra en proceso de creación por lo que no hay experiencia en gestión de proyectos</w:t>
            </w:r>
            <w:r w:rsidR="00E14E62">
              <w:rPr>
                <w:rFonts w:ascii="Arial Narrow" w:hAnsi="Arial Narrow"/>
              </w:rPr>
              <w:t xml:space="preserve"> de inversión y </w:t>
            </w:r>
            <w:r w:rsidR="00E14E62" w:rsidRPr="00E14E62">
              <w:rPr>
                <w:rFonts w:ascii="Arial Narrow" w:hAnsi="Arial Narrow"/>
              </w:rPr>
              <w:t>aún no</w:t>
            </w:r>
            <w:r w:rsidR="00E14E62">
              <w:rPr>
                <w:rFonts w:ascii="Arial Narrow" w:hAnsi="Arial Narrow"/>
              </w:rPr>
              <w:t xml:space="preserve"> se </w:t>
            </w:r>
            <w:r w:rsidR="00E14E62" w:rsidRPr="00E14E62">
              <w:rPr>
                <w:rFonts w:ascii="Arial Narrow" w:hAnsi="Arial Narrow"/>
              </w:rPr>
              <w:t>dispone de una estructura para la ejecución y monitoreo de Proyectos</w:t>
            </w:r>
            <w:r w:rsidR="00E14E62">
              <w:rPr>
                <w:rFonts w:ascii="Arial Narrow" w:hAnsi="Arial Narrow"/>
              </w:rPr>
              <w:t>.</w:t>
            </w:r>
          </w:p>
        </w:tc>
        <w:tc>
          <w:tcPr>
            <w:tcW w:w="8363" w:type="dxa"/>
            <w:tcBorders>
              <w:top w:val="single" w:sz="4" w:space="0" w:color="auto"/>
              <w:left w:val="single" w:sz="4" w:space="0" w:color="auto"/>
              <w:bottom w:val="single" w:sz="4" w:space="0" w:color="auto"/>
              <w:right w:val="single" w:sz="4" w:space="0" w:color="auto"/>
            </w:tcBorders>
          </w:tcPr>
          <w:p w14:paraId="73AF769A" w14:textId="77777777" w:rsidR="00505EA4" w:rsidRDefault="00505EA4" w:rsidP="00505EA4">
            <w:pPr>
              <w:pStyle w:val="Prrafodelista"/>
              <w:numPr>
                <w:ilvl w:val="0"/>
                <w:numId w:val="30"/>
              </w:numPr>
              <w:tabs>
                <w:tab w:val="num" w:pos="322"/>
              </w:tabs>
              <w:spacing w:before="20" w:after="20"/>
              <w:contextualSpacing/>
              <w:jc w:val="left"/>
              <w:rPr>
                <w:rFonts w:ascii="Arial Narrow" w:hAnsi="Arial Narrow"/>
              </w:rPr>
            </w:pPr>
            <w:r>
              <w:rPr>
                <w:rFonts w:ascii="Arial Narrow" w:hAnsi="Arial Narrow"/>
              </w:rPr>
              <w:t xml:space="preserve">Fortalecer el EDG y el TH de la STCNC, mediante capacitaciones intensivas en gestión de proyectos con el BID, </w:t>
            </w:r>
            <w:r w:rsidRPr="001132C8">
              <w:rPr>
                <w:rFonts w:ascii="Arial Narrow" w:hAnsi="Arial Narrow"/>
              </w:rPr>
              <w:t xml:space="preserve">PM4R; Políticas para Adquisición de Obras y Bienes Financiados por el BID; </w:t>
            </w:r>
            <w:r w:rsidRPr="007A223A">
              <w:rPr>
                <w:rFonts w:ascii="Arial Narrow" w:hAnsi="Arial Narrow"/>
              </w:rPr>
              <w:t>Políticas para la Selección y Contratación de Consultores Financiados por el BID</w:t>
            </w:r>
            <w:r w:rsidRPr="001132C8">
              <w:rPr>
                <w:rFonts w:ascii="Arial Narrow" w:hAnsi="Arial Narrow"/>
              </w:rPr>
              <w:t xml:space="preserve">; </w:t>
            </w:r>
            <w:r w:rsidRPr="007A223A">
              <w:rPr>
                <w:rFonts w:ascii="Arial Narrow" w:hAnsi="Arial Narrow"/>
              </w:rPr>
              <w:t>Guías de  buenas prácticas para evaluación de ofertas y negociación de contratos del BID</w:t>
            </w:r>
            <w:r>
              <w:rPr>
                <w:rFonts w:ascii="Arial Narrow" w:hAnsi="Arial Narrow"/>
              </w:rPr>
              <w:t xml:space="preserve">; </w:t>
            </w:r>
            <w:r w:rsidRPr="007A223A">
              <w:rPr>
                <w:rFonts w:ascii="Arial Narrow" w:hAnsi="Arial Narrow"/>
              </w:rPr>
              <w:t>Política de Gestión Financiera para Programas Financiados por el BID</w:t>
            </w:r>
            <w:r w:rsidRPr="001132C8">
              <w:rPr>
                <w:rFonts w:ascii="Arial Narrow" w:hAnsi="Arial Narrow"/>
              </w:rPr>
              <w:t xml:space="preserve">; </w:t>
            </w:r>
            <w:r w:rsidRPr="007A223A">
              <w:rPr>
                <w:rFonts w:ascii="Arial Narrow" w:hAnsi="Arial Narrow"/>
              </w:rPr>
              <w:t>Guía de Desembolsos para Programas financiados por el BID</w:t>
            </w:r>
            <w:r w:rsidRPr="001132C8">
              <w:rPr>
                <w:rFonts w:ascii="Arial Narrow" w:hAnsi="Arial Narrow"/>
              </w:rPr>
              <w:t xml:space="preserve">; </w:t>
            </w:r>
            <w:r w:rsidRPr="007A223A">
              <w:rPr>
                <w:rFonts w:ascii="Arial Narrow" w:hAnsi="Arial Narrow"/>
              </w:rPr>
              <w:t>Guías de Informes Financieros y de Auditoría Externa de las Operaciones Financiadas por el B</w:t>
            </w:r>
            <w:r>
              <w:rPr>
                <w:rFonts w:ascii="Arial Narrow" w:hAnsi="Arial Narrow"/>
              </w:rPr>
              <w:t xml:space="preserve">anco. </w:t>
            </w:r>
          </w:p>
          <w:p w14:paraId="73708AC6" w14:textId="00EAB618" w:rsidR="00505EA4" w:rsidRPr="0046261E" w:rsidRDefault="00505EA4" w:rsidP="00505EA4">
            <w:pPr>
              <w:pStyle w:val="Prrafodelista"/>
              <w:numPr>
                <w:ilvl w:val="0"/>
                <w:numId w:val="30"/>
              </w:numPr>
              <w:tabs>
                <w:tab w:val="num" w:pos="322"/>
              </w:tabs>
              <w:spacing w:before="20" w:after="20"/>
              <w:contextualSpacing/>
              <w:jc w:val="left"/>
              <w:rPr>
                <w:rFonts w:ascii="Arial Narrow" w:hAnsi="Arial Narrow"/>
              </w:rPr>
            </w:pPr>
            <w:r w:rsidRPr="00DF28C9">
              <w:rPr>
                <w:rFonts w:ascii="Arial Narrow" w:hAnsi="Arial Narrow"/>
              </w:rPr>
              <w:t>El Banco ha desarrollado una herramienta en Ms Project para la planificación, seguimiento y monitoreo del Programa</w:t>
            </w:r>
            <w:r>
              <w:rPr>
                <w:rFonts w:ascii="Arial Narrow" w:hAnsi="Arial Narrow"/>
              </w:rPr>
              <w:t xml:space="preserve"> que se encuentra en el Tool Kit de la Representación. Se recomienda que el EDG del Programa y los funcionarios de Planificación y Monitoreo</w:t>
            </w:r>
            <w:r w:rsidR="00E14E62">
              <w:rPr>
                <w:rFonts w:ascii="Arial Narrow" w:hAnsi="Arial Narrow"/>
              </w:rPr>
              <w:t xml:space="preserve"> de la STCNC</w:t>
            </w:r>
            <w:r>
              <w:rPr>
                <w:rFonts w:ascii="Arial Narrow" w:hAnsi="Arial Narrow"/>
              </w:rPr>
              <w:t>, tengan acceso al Ms Project, así como una capacitación en el uso de la herramienta del Banco</w:t>
            </w:r>
          </w:p>
        </w:tc>
        <w:tc>
          <w:tcPr>
            <w:tcW w:w="1134" w:type="dxa"/>
            <w:tcBorders>
              <w:top w:val="single" w:sz="4" w:space="0" w:color="auto"/>
              <w:left w:val="single" w:sz="4" w:space="0" w:color="auto"/>
              <w:bottom w:val="single" w:sz="4" w:space="0" w:color="auto"/>
              <w:right w:val="single" w:sz="4" w:space="0" w:color="auto"/>
            </w:tcBorders>
            <w:vAlign w:val="center"/>
          </w:tcPr>
          <w:p w14:paraId="3F88C48B" w14:textId="28A1F960" w:rsidR="0072040D" w:rsidRDefault="00505EA4" w:rsidP="00DC4C5E">
            <w:pPr>
              <w:ind w:left="171" w:hanging="171"/>
              <w:jc w:val="center"/>
              <w:rPr>
                <w:rFonts w:ascii="Arial Narrow" w:hAnsi="Arial Narrow"/>
              </w:rPr>
            </w:pPr>
            <w:r>
              <w:rPr>
                <w:rFonts w:ascii="Arial Narrow" w:hAnsi="Arial Narrow"/>
              </w:rPr>
              <w:t>Alto</w:t>
            </w:r>
          </w:p>
        </w:tc>
      </w:tr>
      <w:tr w:rsidR="00505EA4" w:rsidRPr="00955A39" w14:paraId="27A4CD98" w14:textId="77777777" w:rsidTr="00E14E62">
        <w:tc>
          <w:tcPr>
            <w:tcW w:w="4820" w:type="dxa"/>
            <w:tcBorders>
              <w:top w:val="single" w:sz="4" w:space="0" w:color="auto"/>
              <w:left w:val="dotted" w:sz="2" w:space="0" w:color="A6A6A6" w:themeColor="background1" w:themeShade="A6"/>
              <w:bottom w:val="single" w:sz="4" w:space="0" w:color="auto"/>
              <w:right w:val="single" w:sz="4" w:space="0" w:color="auto"/>
            </w:tcBorders>
          </w:tcPr>
          <w:p w14:paraId="64404418" w14:textId="5DE79695" w:rsidR="00505EA4" w:rsidRPr="00505EA4" w:rsidRDefault="00E14E62" w:rsidP="0072040D">
            <w:pPr>
              <w:pStyle w:val="Prrafodelista"/>
              <w:numPr>
                <w:ilvl w:val="0"/>
                <w:numId w:val="32"/>
              </w:numPr>
              <w:jc w:val="left"/>
              <w:rPr>
                <w:rFonts w:ascii="Arial Narrow" w:hAnsi="Arial Narrow"/>
              </w:rPr>
            </w:pPr>
            <w:r w:rsidRPr="00E14E62">
              <w:rPr>
                <w:rFonts w:ascii="Arial Narrow" w:hAnsi="Arial Narrow"/>
              </w:rPr>
              <w:t>Actualmente No existe un Proyecto de Inversión para la ejecución del Componente y en consecuencia se requiere su formulación, priorización por ‘Planifica Ecuador’ requisito previo para la firma del convenio de préstamo y la ejecución del componente. Asimismo, para la ejecución se requiere la incorporación en los PAI correspondientes y en los POA de la nueva organización.</w:t>
            </w:r>
          </w:p>
        </w:tc>
        <w:tc>
          <w:tcPr>
            <w:tcW w:w="8363" w:type="dxa"/>
            <w:tcBorders>
              <w:top w:val="single" w:sz="4" w:space="0" w:color="auto"/>
              <w:left w:val="single" w:sz="4" w:space="0" w:color="auto"/>
              <w:bottom w:val="single" w:sz="4" w:space="0" w:color="auto"/>
              <w:right w:val="single" w:sz="4" w:space="0" w:color="auto"/>
            </w:tcBorders>
          </w:tcPr>
          <w:p w14:paraId="10814BF3" w14:textId="43564E11" w:rsidR="00505EA4" w:rsidRDefault="00E14E62" w:rsidP="00505EA4">
            <w:pPr>
              <w:pStyle w:val="Prrafodelista"/>
              <w:numPr>
                <w:ilvl w:val="0"/>
                <w:numId w:val="30"/>
              </w:numPr>
              <w:tabs>
                <w:tab w:val="num" w:pos="322"/>
              </w:tabs>
              <w:spacing w:before="20" w:after="20"/>
              <w:contextualSpacing/>
              <w:jc w:val="left"/>
              <w:rPr>
                <w:rFonts w:ascii="Arial Narrow" w:hAnsi="Arial Narrow"/>
              </w:rPr>
            </w:pPr>
            <w:r w:rsidRPr="0046261E">
              <w:rPr>
                <w:rFonts w:ascii="Arial Narrow" w:hAnsi="Arial Narrow"/>
              </w:rPr>
              <w:t>Se identific</w:t>
            </w:r>
            <w:r>
              <w:rPr>
                <w:rFonts w:ascii="Arial Narrow" w:hAnsi="Arial Narrow"/>
              </w:rPr>
              <w:t>ó</w:t>
            </w:r>
            <w:r w:rsidRPr="0046261E">
              <w:rPr>
                <w:rFonts w:ascii="Arial Narrow" w:hAnsi="Arial Narrow"/>
              </w:rPr>
              <w:t xml:space="preserve"> la necesidad de contar con apoyo técnico </w:t>
            </w:r>
            <w:r w:rsidR="00553571">
              <w:rPr>
                <w:rFonts w:ascii="Arial Narrow" w:hAnsi="Arial Narrow"/>
              </w:rPr>
              <w:t xml:space="preserve">para </w:t>
            </w:r>
            <w:r>
              <w:rPr>
                <w:rFonts w:ascii="Arial Narrow" w:hAnsi="Arial Narrow"/>
              </w:rPr>
              <w:t>la formulación del Proyecto a Priorizar por ‘Planifica Ecuador´ durante el período de aprobación de la operación por el banco.</w:t>
            </w:r>
          </w:p>
        </w:tc>
        <w:tc>
          <w:tcPr>
            <w:tcW w:w="1134" w:type="dxa"/>
            <w:tcBorders>
              <w:top w:val="single" w:sz="4" w:space="0" w:color="auto"/>
              <w:left w:val="single" w:sz="4" w:space="0" w:color="auto"/>
              <w:bottom w:val="single" w:sz="4" w:space="0" w:color="auto"/>
              <w:right w:val="single" w:sz="4" w:space="0" w:color="auto"/>
            </w:tcBorders>
            <w:vAlign w:val="center"/>
          </w:tcPr>
          <w:p w14:paraId="4B4B6D16" w14:textId="5C3D2AA4" w:rsidR="00505EA4" w:rsidRDefault="00E14E62" w:rsidP="00DC4C5E">
            <w:pPr>
              <w:ind w:left="171" w:hanging="171"/>
              <w:jc w:val="center"/>
              <w:rPr>
                <w:rFonts w:ascii="Arial Narrow" w:hAnsi="Arial Narrow"/>
              </w:rPr>
            </w:pPr>
            <w:r>
              <w:rPr>
                <w:rFonts w:ascii="Arial Narrow" w:hAnsi="Arial Narrow"/>
              </w:rPr>
              <w:t>Alto</w:t>
            </w:r>
          </w:p>
        </w:tc>
      </w:tr>
    </w:tbl>
    <w:p w14:paraId="76FBB643" w14:textId="77777777" w:rsidR="00565BAF" w:rsidRDefault="00565BAF">
      <w:pPr>
        <w:sectPr w:rsidR="00565BAF" w:rsidSect="00904A09">
          <w:pgSz w:w="16838" w:h="11906" w:orient="landscape" w:code="9"/>
          <w:pgMar w:top="1418" w:right="1418" w:bottom="1418" w:left="1418" w:header="709" w:footer="709" w:gutter="0"/>
          <w:pgNumType w:start="1"/>
          <w:cols w:space="708"/>
          <w:docGrid w:linePitch="360"/>
        </w:sectPr>
      </w:pPr>
    </w:p>
    <w:p w14:paraId="658E2798" w14:textId="651A525C" w:rsidR="008472D0" w:rsidRDefault="00CE3C72" w:rsidP="008472D0">
      <w:pPr>
        <w:pStyle w:val="Ttulo1"/>
      </w:pPr>
      <w:bookmarkStart w:id="17" w:name="_Toc12543945"/>
      <w:bookmarkEnd w:id="14"/>
      <w:r>
        <w:lastRenderedPageBreak/>
        <w:t>Condiciones de Ejecutabilidad</w:t>
      </w:r>
      <w:bookmarkEnd w:id="13"/>
      <w:bookmarkEnd w:id="17"/>
      <w:r w:rsidR="008472D0">
        <w:t xml:space="preserve"> </w:t>
      </w:r>
    </w:p>
    <w:p w14:paraId="775342EF" w14:textId="77777777" w:rsidR="00624464" w:rsidRPr="00624464" w:rsidRDefault="00624464" w:rsidP="00B91ACF">
      <w:pPr>
        <w:pStyle w:val="Prrafodelista"/>
        <w:numPr>
          <w:ilvl w:val="0"/>
          <w:numId w:val="5"/>
        </w:numPr>
        <w:rPr>
          <w:vanish/>
        </w:rPr>
      </w:pPr>
    </w:p>
    <w:p w14:paraId="1D56866B" w14:textId="77777777" w:rsidR="00624464" w:rsidRPr="00624464" w:rsidRDefault="00624464" w:rsidP="00B91ACF">
      <w:pPr>
        <w:pStyle w:val="Prrafodelista"/>
        <w:numPr>
          <w:ilvl w:val="0"/>
          <w:numId w:val="5"/>
        </w:numPr>
        <w:rPr>
          <w:vanish/>
        </w:rPr>
      </w:pPr>
    </w:p>
    <w:p w14:paraId="1E357426" w14:textId="77777777" w:rsidR="00624464" w:rsidRPr="00624464" w:rsidRDefault="00624464" w:rsidP="00B91ACF">
      <w:pPr>
        <w:pStyle w:val="Prrafodelista"/>
        <w:numPr>
          <w:ilvl w:val="0"/>
          <w:numId w:val="5"/>
        </w:numPr>
        <w:rPr>
          <w:vanish/>
        </w:rPr>
      </w:pPr>
    </w:p>
    <w:p w14:paraId="44AAB9A5" w14:textId="1B6F7703" w:rsidR="008472D0" w:rsidRDefault="00CE3C72" w:rsidP="00B91ACF">
      <w:pPr>
        <w:pStyle w:val="Prrafodelista"/>
        <w:numPr>
          <w:ilvl w:val="1"/>
          <w:numId w:val="5"/>
        </w:numPr>
      </w:pPr>
      <w:r>
        <w:t xml:space="preserve">Se </w:t>
      </w:r>
      <w:r w:rsidR="0014672D">
        <w:t>evaluaron l</w:t>
      </w:r>
      <w:r>
        <w:t>os siguientes aspectos: (i) Marco Legal; (ii) Gobernanza y Entorno Institucional; (iii) Entorno General; (iv) Recursos Humanos y Capacidades Gerenciales y Técnicas; (v) Administración de Proyectos; (vi) Gestión de Adquisiciones; y (vii) Gestión Financiera</w:t>
      </w:r>
    </w:p>
    <w:p w14:paraId="5C361E22" w14:textId="495631C3" w:rsidR="00AA57E0" w:rsidRDefault="00AA57E0" w:rsidP="00AA57E0">
      <w:pPr>
        <w:pStyle w:val="Descripcin"/>
        <w:keepNext/>
      </w:pPr>
      <w:bookmarkStart w:id="18" w:name="_Ref430335351"/>
      <w:bookmarkStart w:id="19" w:name="_Toc12543953"/>
      <w:r>
        <w:t xml:space="preserve">Tabla </w:t>
      </w:r>
      <w:r w:rsidR="0061331F">
        <w:rPr>
          <w:noProof/>
        </w:rPr>
        <w:fldChar w:fldCharType="begin"/>
      </w:r>
      <w:r w:rsidR="0061331F">
        <w:rPr>
          <w:noProof/>
        </w:rPr>
        <w:instrText xml:space="preserve"> SEQ Tabla \* ARABIC </w:instrText>
      </w:r>
      <w:r w:rsidR="0061331F">
        <w:rPr>
          <w:noProof/>
        </w:rPr>
        <w:fldChar w:fldCharType="separate"/>
      </w:r>
      <w:r w:rsidR="00606225">
        <w:rPr>
          <w:noProof/>
        </w:rPr>
        <w:t>4</w:t>
      </w:r>
      <w:r w:rsidR="0061331F">
        <w:rPr>
          <w:noProof/>
        </w:rPr>
        <w:fldChar w:fldCharType="end"/>
      </w:r>
      <w:bookmarkEnd w:id="18"/>
      <w:r w:rsidRPr="000E0227">
        <w:t xml:space="preserve">. </w:t>
      </w:r>
      <w:r w:rsidR="00B67B86">
        <w:t xml:space="preserve">Análisis </w:t>
      </w:r>
      <w:r w:rsidR="009541DF">
        <w:t>Condiciones de Ejecutabilidad</w:t>
      </w:r>
      <w:bookmarkEnd w:id="19"/>
      <w:r w:rsidR="00F525A6">
        <w:t xml:space="preserve"> </w:t>
      </w:r>
    </w:p>
    <w:tbl>
      <w:tblPr>
        <w:tblStyle w:val="Tablaconcuadrcula1"/>
        <w:tblW w:w="14459" w:type="dxa"/>
        <w:tblInd w:w="-147" w:type="dxa"/>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Layout w:type="fixed"/>
        <w:tblCellMar>
          <w:top w:w="57" w:type="dxa"/>
          <w:left w:w="57" w:type="dxa"/>
          <w:bottom w:w="57" w:type="dxa"/>
          <w:right w:w="57" w:type="dxa"/>
        </w:tblCellMar>
        <w:tblLook w:val="04A0" w:firstRow="1" w:lastRow="0" w:firstColumn="1" w:lastColumn="0" w:noHBand="0" w:noVBand="1"/>
      </w:tblPr>
      <w:tblGrid>
        <w:gridCol w:w="2409"/>
        <w:gridCol w:w="3969"/>
        <w:gridCol w:w="3969"/>
        <w:gridCol w:w="4112"/>
      </w:tblGrid>
      <w:tr w:rsidR="009541DF" w:rsidRPr="002E1060" w14:paraId="1A860414" w14:textId="77777777" w:rsidTr="00747A58">
        <w:trPr>
          <w:trHeight w:val="283"/>
          <w:tblHeader/>
        </w:trPr>
        <w:tc>
          <w:tcPr>
            <w:tcW w:w="2409" w:type="dxa"/>
            <w:tcBorders>
              <w:bottom w:val="dotted" w:sz="4" w:space="0" w:color="595959" w:themeColor="text1" w:themeTint="A6"/>
            </w:tcBorders>
            <w:shd w:val="clear" w:color="auto" w:fill="A6A6A6" w:themeFill="background1" w:themeFillShade="A6"/>
            <w:vAlign w:val="center"/>
          </w:tcPr>
          <w:p w14:paraId="265C801A" w14:textId="27F1C7CB" w:rsidR="009541DF" w:rsidRPr="002E1060" w:rsidRDefault="009541DF" w:rsidP="00A936E4">
            <w:pPr>
              <w:spacing w:before="20" w:after="20"/>
              <w:jc w:val="center"/>
              <w:rPr>
                <w:rFonts w:ascii="Arial Narrow" w:hAnsi="Arial Narrow"/>
                <w:b/>
                <w:spacing w:val="0"/>
                <w:szCs w:val="18"/>
              </w:rPr>
            </w:pPr>
            <w:r w:rsidRPr="002E1060">
              <w:rPr>
                <w:rFonts w:ascii="Arial Narrow" w:hAnsi="Arial Narrow"/>
                <w:b/>
                <w:spacing w:val="0"/>
                <w:szCs w:val="18"/>
              </w:rPr>
              <w:t>Aspecto/Objetivo</w:t>
            </w:r>
          </w:p>
        </w:tc>
        <w:tc>
          <w:tcPr>
            <w:tcW w:w="3969" w:type="dxa"/>
            <w:tcBorders>
              <w:bottom w:val="dotted" w:sz="4" w:space="0" w:color="595959" w:themeColor="text1" w:themeTint="A6"/>
            </w:tcBorders>
            <w:shd w:val="clear" w:color="auto" w:fill="A6A6A6" w:themeFill="background1" w:themeFillShade="A6"/>
            <w:vAlign w:val="center"/>
          </w:tcPr>
          <w:p w14:paraId="58539406" w14:textId="725AF456" w:rsidR="009541DF" w:rsidRPr="002E1060" w:rsidRDefault="009541DF" w:rsidP="00A936E4">
            <w:pPr>
              <w:spacing w:before="20" w:after="20"/>
              <w:jc w:val="center"/>
              <w:rPr>
                <w:rFonts w:ascii="Arial Narrow" w:hAnsi="Arial Narrow"/>
                <w:b/>
                <w:i/>
                <w:spacing w:val="0"/>
                <w:szCs w:val="18"/>
              </w:rPr>
            </w:pPr>
            <w:r w:rsidRPr="002E1060">
              <w:rPr>
                <w:rFonts w:ascii="Arial Narrow" w:hAnsi="Arial Narrow"/>
                <w:b/>
                <w:spacing w:val="0"/>
                <w:szCs w:val="18"/>
                <w:u w:val="single"/>
              </w:rPr>
              <w:t xml:space="preserve">Debilidades </w:t>
            </w:r>
          </w:p>
        </w:tc>
        <w:tc>
          <w:tcPr>
            <w:tcW w:w="3969" w:type="dxa"/>
            <w:tcBorders>
              <w:bottom w:val="dotted" w:sz="4" w:space="0" w:color="595959" w:themeColor="text1" w:themeTint="A6"/>
            </w:tcBorders>
            <w:shd w:val="clear" w:color="auto" w:fill="A6A6A6" w:themeFill="background1" w:themeFillShade="A6"/>
            <w:vAlign w:val="center"/>
          </w:tcPr>
          <w:p w14:paraId="19627CFA" w14:textId="5A884AAF" w:rsidR="009541DF" w:rsidRPr="002E1060" w:rsidRDefault="009541DF" w:rsidP="00A936E4">
            <w:pPr>
              <w:spacing w:before="20" w:after="20"/>
              <w:jc w:val="center"/>
              <w:rPr>
                <w:rFonts w:ascii="Arial Narrow" w:hAnsi="Arial Narrow"/>
                <w:b/>
                <w:i/>
                <w:spacing w:val="0"/>
                <w:szCs w:val="18"/>
              </w:rPr>
            </w:pPr>
            <w:r w:rsidRPr="002E1060">
              <w:rPr>
                <w:rFonts w:ascii="Arial Narrow" w:hAnsi="Arial Narrow"/>
                <w:b/>
                <w:spacing w:val="0"/>
                <w:szCs w:val="18"/>
                <w:u w:val="single"/>
              </w:rPr>
              <w:t xml:space="preserve">Áreas de Oportunidad </w:t>
            </w:r>
          </w:p>
        </w:tc>
        <w:tc>
          <w:tcPr>
            <w:tcW w:w="4112" w:type="dxa"/>
            <w:tcBorders>
              <w:bottom w:val="dotted" w:sz="4" w:space="0" w:color="595959" w:themeColor="text1" w:themeTint="A6"/>
            </w:tcBorders>
            <w:shd w:val="clear" w:color="auto" w:fill="A6A6A6" w:themeFill="background1" w:themeFillShade="A6"/>
            <w:vAlign w:val="center"/>
          </w:tcPr>
          <w:p w14:paraId="726151A4" w14:textId="4480DB94" w:rsidR="009541DF" w:rsidRPr="002E1060" w:rsidRDefault="009541DF" w:rsidP="00A936E4">
            <w:pPr>
              <w:spacing w:before="20" w:after="20"/>
              <w:jc w:val="center"/>
              <w:rPr>
                <w:rFonts w:ascii="Arial Narrow" w:hAnsi="Arial Narrow"/>
                <w:b/>
                <w:spacing w:val="0"/>
                <w:szCs w:val="18"/>
                <w:u w:val="single"/>
              </w:rPr>
            </w:pPr>
            <w:r w:rsidRPr="002E1060">
              <w:rPr>
                <w:rFonts w:ascii="Arial Narrow" w:hAnsi="Arial Narrow"/>
                <w:b/>
                <w:spacing w:val="0"/>
                <w:szCs w:val="18"/>
                <w:u w:val="single"/>
              </w:rPr>
              <w:t>Fortalezas</w:t>
            </w:r>
          </w:p>
        </w:tc>
      </w:tr>
      <w:tr w:rsidR="009541DF" w:rsidRPr="00B0093D" w14:paraId="64A22BF6" w14:textId="77777777" w:rsidTr="00747A58">
        <w:trPr>
          <w:trHeight w:val="20"/>
        </w:trPr>
        <w:tc>
          <w:tcPr>
            <w:tcW w:w="14459" w:type="dxa"/>
            <w:gridSpan w:val="4"/>
            <w:shd w:val="clear" w:color="auto" w:fill="D9D9D9" w:themeFill="background1" w:themeFillShade="D9"/>
            <w:vAlign w:val="center"/>
          </w:tcPr>
          <w:p w14:paraId="59CB3AF8" w14:textId="7DEEC301" w:rsidR="009541DF" w:rsidRPr="00B0093D" w:rsidRDefault="009541DF" w:rsidP="00A936E4">
            <w:pPr>
              <w:pStyle w:val="Prrafodelista"/>
              <w:numPr>
                <w:ilvl w:val="0"/>
                <w:numId w:val="7"/>
              </w:numPr>
              <w:spacing w:before="20" w:after="20"/>
              <w:jc w:val="left"/>
              <w:rPr>
                <w:rFonts w:ascii="Arial Narrow" w:eastAsia="Times New Roman" w:hAnsi="Arial Narrow" w:cs="Times New Roman"/>
                <w:b/>
                <w:i/>
                <w:szCs w:val="16"/>
                <w:lang w:eastAsia="es-ES"/>
              </w:rPr>
            </w:pPr>
            <w:r w:rsidRPr="00B0093D">
              <w:rPr>
                <w:rFonts w:ascii="Arial Narrow" w:eastAsia="Times New Roman" w:hAnsi="Arial Narrow" w:cs="Times New Roman"/>
                <w:b/>
                <w:i/>
                <w:szCs w:val="16"/>
                <w:lang w:eastAsia="es-ES"/>
              </w:rPr>
              <w:t>Marco Legal</w:t>
            </w:r>
          </w:p>
        </w:tc>
      </w:tr>
      <w:tr w:rsidR="000B4109" w:rsidRPr="00B0093D" w14:paraId="7163E09F" w14:textId="77777777" w:rsidTr="008968B2">
        <w:trPr>
          <w:trHeight w:val="808"/>
        </w:trPr>
        <w:tc>
          <w:tcPr>
            <w:tcW w:w="2409" w:type="dxa"/>
            <w:vMerge w:val="restart"/>
            <w:shd w:val="clear" w:color="auto" w:fill="FFFFFF" w:themeFill="background1"/>
          </w:tcPr>
          <w:p w14:paraId="559665F7" w14:textId="47FCF238" w:rsidR="000B4109" w:rsidRPr="00B0093D" w:rsidRDefault="000B4109" w:rsidP="000B4109">
            <w:pPr>
              <w:tabs>
                <w:tab w:val="num" w:pos="322"/>
              </w:tabs>
              <w:spacing w:before="20" w:after="20"/>
              <w:contextualSpacing/>
              <w:jc w:val="left"/>
              <w:rPr>
                <w:rFonts w:ascii="Arial Narrow" w:eastAsia="Times New Roman" w:hAnsi="Arial Narrow" w:cs="Times New Roman"/>
                <w:i/>
                <w:szCs w:val="16"/>
                <w:lang w:eastAsia="es-ES"/>
              </w:rPr>
            </w:pPr>
            <w:r w:rsidRPr="00B0093D">
              <w:rPr>
                <w:rFonts w:ascii="Arial Narrow" w:eastAsia="Times New Roman" w:hAnsi="Arial Narrow" w:cs="Times New Roman"/>
                <w:i/>
                <w:color w:val="595959" w:themeColor="text1" w:themeTint="A6"/>
                <w:szCs w:val="16"/>
                <w:lang w:eastAsia="es-ES"/>
              </w:rPr>
              <w:t>Se evaluó la capacidad legal de la VPR, para ejecutar las actividades asignadas del programa y las normas que deberá observar en la ejecución del proyecto</w:t>
            </w:r>
            <w:r w:rsidRPr="00B0093D">
              <w:rPr>
                <w:rStyle w:val="Refdenotaalpie"/>
                <w:rFonts w:ascii="Segoe UI" w:hAnsi="Segoe UI" w:cs="Segoe UI"/>
                <w:i/>
                <w:color w:val="595959" w:themeColor="text1" w:themeTint="A6"/>
                <w:szCs w:val="20"/>
              </w:rPr>
              <w:footnoteReference w:id="20"/>
            </w:r>
            <w:r w:rsidRPr="00B0093D">
              <w:rPr>
                <w:rFonts w:ascii="Segoe UI" w:hAnsi="Segoe UI" w:cs="Segoe UI"/>
                <w:i/>
                <w:color w:val="595959" w:themeColor="text1" w:themeTint="A6"/>
                <w:szCs w:val="20"/>
              </w:rPr>
              <w:t xml:space="preserve">. </w:t>
            </w:r>
          </w:p>
        </w:tc>
        <w:tc>
          <w:tcPr>
            <w:tcW w:w="3969" w:type="dxa"/>
            <w:vMerge w:val="restart"/>
            <w:shd w:val="clear" w:color="auto" w:fill="FFFFFF" w:themeFill="background1"/>
          </w:tcPr>
          <w:p w14:paraId="010F5DE9" w14:textId="61736EA4" w:rsidR="000B4109" w:rsidRPr="00B0093D" w:rsidRDefault="000B4109" w:rsidP="000B4109">
            <w:pPr>
              <w:tabs>
                <w:tab w:val="num" w:pos="322"/>
              </w:tabs>
              <w:spacing w:before="20" w:after="20"/>
              <w:contextualSpacing/>
              <w:jc w:val="left"/>
              <w:rPr>
                <w:rFonts w:ascii="Arial Narrow" w:hAnsi="Arial Narrow"/>
                <w:spacing w:val="0"/>
                <w:szCs w:val="19"/>
              </w:rPr>
            </w:pPr>
            <w:bookmarkStart w:id="20" w:name="_Hlk10567468"/>
            <w:r w:rsidRPr="00B0093D">
              <w:rPr>
                <w:rFonts w:ascii="Arial Narrow" w:eastAsia="Times New Roman" w:hAnsi="Arial Narrow" w:cs="Times New Roman"/>
                <w:szCs w:val="16"/>
                <w:lang w:eastAsia="es-ES"/>
              </w:rPr>
              <w:t>El CNC</w:t>
            </w:r>
            <w:r>
              <w:rPr>
                <w:rFonts w:ascii="Arial Narrow" w:eastAsia="Times New Roman" w:hAnsi="Arial Narrow" w:cs="Times New Roman"/>
                <w:szCs w:val="16"/>
                <w:lang w:eastAsia="es-ES"/>
              </w:rPr>
              <w:t xml:space="preserve"> </w:t>
            </w:r>
            <w:r w:rsidRPr="00B0093D">
              <w:rPr>
                <w:rFonts w:ascii="Arial Narrow" w:eastAsia="Times New Roman" w:hAnsi="Arial Narrow" w:cs="Times New Roman"/>
                <w:szCs w:val="16"/>
                <w:lang w:eastAsia="es-ES"/>
              </w:rPr>
              <w:t>es una institución en proceso de creación</w:t>
            </w:r>
            <w:r>
              <w:rPr>
                <w:rFonts w:ascii="Arial Narrow" w:eastAsia="Times New Roman" w:hAnsi="Arial Narrow" w:cs="Times New Roman"/>
                <w:szCs w:val="16"/>
                <w:lang w:eastAsia="es-ES"/>
              </w:rPr>
              <w:t>, la STCNC</w:t>
            </w:r>
            <w:r w:rsidRPr="00B0093D">
              <w:rPr>
                <w:rFonts w:ascii="Arial Narrow" w:eastAsia="Times New Roman" w:hAnsi="Arial Narrow" w:cs="Times New Roman"/>
                <w:szCs w:val="16"/>
                <w:lang w:eastAsia="es-ES"/>
              </w:rPr>
              <w:t xml:space="preserve"> no cuenta aún con el personal ni con la normativa organizacional (Manual Orgánico Funcional por Procesos, Manuales de Procesos)</w:t>
            </w:r>
            <w:r>
              <w:rPr>
                <w:rFonts w:ascii="Arial Narrow" w:eastAsia="Times New Roman" w:hAnsi="Arial Narrow" w:cs="Times New Roman"/>
                <w:szCs w:val="16"/>
                <w:lang w:eastAsia="es-ES"/>
              </w:rPr>
              <w:t xml:space="preserve">, </w:t>
            </w:r>
            <w:r w:rsidR="00E73166">
              <w:rPr>
                <w:rFonts w:ascii="Arial Narrow" w:eastAsia="Times New Roman" w:hAnsi="Arial Narrow" w:cs="Times New Roman"/>
                <w:szCs w:val="16"/>
                <w:lang w:eastAsia="es-ES"/>
              </w:rPr>
              <w:t>y,</w:t>
            </w:r>
            <w:r>
              <w:rPr>
                <w:rFonts w:ascii="Arial Narrow" w:eastAsia="Times New Roman" w:hAnsi="Arial Narrow" w:cs="Times New Roman"/>
                <w:szCs w:val="16"/>
                <w:lang w:eastAsia="es-ES"/>
              </w:rPr>
              <w:t xml:space="preserve"> </w:t>
            </w:r>
            <w:r>
              <w:rPr>
                <w:rFonts w:ascii="Arial Narrow" w:hAnsi="Arial Narrow"/>
                <w:spacing w:val="0"/>
                <w:szCs w:val="19"/>
              </w:rPr>
              <w:t xml:space="preserve">en consecuencia, </w:t>
            </w:r>
            <w:r w:rsidRPr="00B0093D">
              <w:rPr>
                <w:rFonts w:ascii="Arial Narrow" w:hAnsi="Arial Narrow"/>
                <w:spacing w:val="0"/>
                <w:szCs w:val="19"/>
              </w:rPr>
              <w:t>al ser un organismo nuevo no cuenta con una estructura para la ejecución y monitoreo de Proyectos</w:t>
            </w:r>
            <w:bookmarkEnd w:id="20"/>
            <w:r w:rsidRPr="00B0093D">
              <w:rPr>
                <w:rFonts w:ascii="Arial Narrow" w:hAnsi="Arial Narrow"/>
                <w:spacing w:val="0"/>
                <w:szCs w:val="19"/>
              </w:rPr>
              <w:t xml:space="preserve">. </w:t>
            </w:r>
          </w:p>
          <w:p w14:paraId="3FC68D9D" w14:textId="19D05CB0" w:rsidR="000B4109" w:rsidRPr="00B0093D" w:rsidRDefault="000B4109" w:rsidP="000B4109">
            <w:pPr>
              <w:tabs>
                <w:tab w:val="num" w:pos="322"/>
              </w:tabs>
              <w:spacing w:before="20" w:after="20"/>
              <w:contextualSpacing/>
              <w:jc w:val="left"/>
              <w:rPr>
                <w:rFonts w:ascii="Arial Narrow" w:hAnsi="Arial Narrow"/>
                <w:spacing w:val="0"/>
                <w:szCs w:val="19"/>
              </w:rPr>
            </w:pPr>
          </w:p>
        </w:tc>
        <w:tc>
          <w:tcPr>
            <w:tcW w:w="3969" w:type="dxa"/>
            <w:shd w:val="clear" w:color="auto" w:fill="FFFFFF" w:themeFill="background1"/>
          </w:tcPr>
          <w:p w14:paraId="39D6B5B8" w14:textId="14783130" w:rsidR="000B4109" w:rsidRPr="00B0093D" w:rsidRDefault="000B4109" w:rsidP="000B4109">
            <w:pPr>
              <w:tabs>
                <w:tab w:val="num" w:pos="322"/>
              </w:tabs>
              <w:spacing w:before="20" w:after="20"/>
              <w:contextualSpacing/>
              <w:jc w:val="left"/>
              <w:rPr>
                <w:rFonts w:ascii="Arial Narrow" w:hAnsi="Arial Narrow"/>
                <w:spacing w:val="0"/>
                <w:szCs w:val="19"/>
              </w:rPr>
            </w:pPr>
            <w:bookmarkStart w:id="21" w:name="_Hlk10567160"/>
            <w:r w:rsidRPr="00B0093D">
              <w:rPr>
                <w:rFonts w:ascii="Arial Narrow" w:eastAsia="Times New Roman" w:hAnsi="Arial Narrow" w:cs="Times New Roman"/>
                <w:szCs w:val="16"/>
                <w:lang w:eastAsia="es-ES"/>
              </w:rPr>
              <w:t xml:space="preserve">El marco legal al que está sujeta la VPR le da las competencias necesarias para asumir la responsabilidad del proyecto. </w:t>
            </w:r>
            <w:r w:rsidRPr="00B0093D">
              <w:rPr>
                <w:rFonts w:ascii="Arial Narrow" w:hAnsi="Arial Narrow"/>
                <w:spacing w:val="0"/>
                <w:szCs w:val="19"/>
              </w:rPr>
              <w:t>Con la suscripción del decreto ejecutivo de creación del CNC se complementan y establecen claramente las competencias y atribuciones necesarias y suficientes para ejecutar las actividades del Programa que le han sido asignadas.</w:t>
            </w:r>
            <w:r>
              <w:rPr>
                <w:rFonts w:ascii="Arial Narrow" w:hAnsi="Arial Narrow"/>
                <w:spacing w:val="0"/>
                <w:szCs w:val="19"/>
              </w:rPr>
              <w:t xml:space="preserve"> </w:t>
            </w:r>
            <w:r w:rsidRPr="001C20EF">
              <w:rPr>
                <w:rFonts w:ascii="Arial Narrow" w:hAnsi="Arial Narrow"/>
                <w:spacing w:val="0"/>
                <w:szCs w:val="19"/>
              </w:rPr>
              <w:t>Los objetivos de las actividades del Programa que ejecutará la VPR se encuentran dentro de las funciones y atribuciones del CNC</w:t>
            </w:r>
            <w:bookmarkEnd w:id="21"/>
          </w:p>
        </w:tc>
        <w:tc>
          <w:tcPr>
            <w:tcW w:w="4112" w:type="dxa"/>
            <w:vMerge w:val="restart"/>
            <w:shd w:val="clear" w:color="auto" w:fill="FFFFFF" w:themeFill="background1"/>
          </w:tcPr>
          <w:p w14:paraId="55E3F9DE" w14:textId="04925622" w:rsidR="000B4109" w:rsidRDefault="000B4109" w:rsidP="000B4109">
            <w:pPr>
              <w:spacing w:before="20" w:after="20"/>
              <w:contextualSpacing/>
              <w:jc w:val="left"/>
              <w:rPr>
                <w:rFonts w:ascii="Arial Narrow" w:hAnsi="Arial Narrow"/>
                <w:spacing w:val="0"/>
                <w:szCs w:val="19"/>
              </w:rPr>
            </w:pPr>
            <w:r w:rsidRPr="00B0093D">
              <w:rPr>
                <w:rFonts w:ascii="Arial Narrow" w:hAnsi="Arial Narrow"/>
                <w:spacing w:val="0"/>
                <w:szCs w:val="19"/>
              </w:rPr>
              <w:t xml:space="preserve">El marco </w:t>
            </w:r>
            <w:r w:rsidR="00C905DE">
              <w:rPr>
                <w:rFonts w:ascii="Arial Narrow" w:hAnsi="Arial Narrow"/>
                <w:spacing w:val="0"/>
                <w:szCs w:val="19"/>
              </w:rPr>
              <w:t xml:space="preserve">legal y regulatorio </w:t>
            </w:r>
            <w:r w:rsidRPr="00B0093D">
              <w:rPr>
                <w:rFonts w:ascii="Arial Narrow" w:hAnsi="Arial Narrow"/>
                <w:spacing w:val="0"/>
                <w:szCs w:val="19"/>
              </w:rPr>
              <w:t>de los sistemas transversales de gestión pública permiten a la VPR una ejecución eficaz, eficiente y transparente</w:t>
            </w:r>
            <w:r>
              <w:rPr>
                <w:rFonts w:ascii="Arial Narrow" w:hAnsi="Arial Narrow"/>
                <w:spacing w:val="0"/>
                <w:szCs w:val="19"/>
              </w:rPr>
              <w:t xml:space="preserve"> considerando que</w:t>
            </w:r>
            <w:r w:rsidRPr="00B0093D">
              <w:rPr>
                <w:rFonts w:ascii="Arial Narrow" w:hAnsi="Arial Narrow"/>
                <w:spacing w:val="0"/>
                <w:szCs w:val="19"/>
              </w:rPr>
              <w:t xml:space="preserve">: </w:t>
            </w:r>
            <w:bookmarkStart w:id="22" w:name="_Hlk12375628"/>
            <w:r w:rsidRPr="00B0093D">
              <w:rPr>
                <w:rFonts w:ascii="Arial Narrow" w:hAnsi="Arial Narrow"/>
                <w:spacing w:val="0"/>
                <w:szCs w:val="19"/>
              </w:rPr>
              <w:t>(i) el manejo de la Inversión Pública, se encuentra localizado en la Presidencia de la República</w:t>
            </w:r>
            <w:r>
              <w:rPr>
                <w:rFonts w:ascii="Arial Narrow" w:hAnsi="Arial Narrow"/>
                <w:spacing w:val="0"/>
                <w:szCs w:val="19"/>
              </w:rPr>
              <w:t xml:space="preserve"> a través de Planifica Ecuador</w:t>
            </w:r>
            <w:r w:rsidRPr="00B0093D">
              <w:rPr>
                <w:rStyle w:val="Refdenotaalpie"/>
                <w:rFonts w:ascii="Arial Narrow" w:hAnsi="Arial Narrow"/>
                <w:spacing w:val="0"/>
                <w:szCs w:val="19"/>
              </w:rPr>
              <w:footnoteReference w:id="21"/>
            </w:r>
            <w:r w:rsidRPr="00B0093D">
              <w:rPr>
                <w:rFonts w:ascii="Arial Narrow" w:hAnsi="Arial Narrow"/>
                <w:spacing w:val="0"/>
                <w:szCs w:val="19"/>
              </w:rPr>
              <w:t xml:space="preserve"> y se encuentra normado en el COPFP; (ii) el país cuenta con el SERCOP como organismo rector de la contratación pública y su acción se encuentra normada por la LOSNCP;  (iii) el servicio civil y carrera administrativa cuenta con el Ministerio de Trabajo como órgano rector, el cual aprueba el organigrama y estatuto orgánico por procesos del OSE y se encuentra normado por la LOSEP; (iv) los sistemas de administración financiera se manejan el e-SIgef del MEF y se encuentran normados en el COPFP; los sistemas de control interno de las actividades del OSE se encuentran sujetos al control obligatorio de la CGE y se regulan por las normas de control interno de la CGE.</w:t>
            </w:r>
            <w:r w:rsidR="008968B2">
              <w:rPr>
                <w:rFonts w:ascii="Arial Narrow" w:hAnsi="Arial Narrow"/>
                <w:spacing w:val="0"/>
                <w:szCs w:val="19"/>
              </w:rPr>
              <w:t xml:space="preserve"> </w:t>
            </w:r>
            <w:bookmarkEnd w:id="22"/>
          </w:p>
          <w:p w14:paraId="7D062FC7" w14:textId="25F58C12" w:rsidR="008968B2" w:rsidRPr="00B0093D" w:rsidRDefault="008968B2" w:rsidP="000B4109">
            <w:pPr>
              <w:spacing w:before="20" w:after="20"/>
              <w:contextualSpacing/>
              <w:jc w:val="left"/>
              <w:rPr>
                <w:rFonts w:ascii="Arial Narrow" w:hAnsi="Arial Narrow"/>
                <w:spacing w:val="0"/>
                <w:szCs w:val="19"/>
              </w:rPr>
            </w:pPr>
            <w:r w:rsidRPr="00B0093D">
              <w:rPr>
                <w:rFonts w:ascii="Arial Narrow" w:hAnsi="Arial Narrow"/>
                <w:spacing w:val="0"/>
                <w:szCs w:val="19"/>
              </w:rPr>
              <w:t>Las normas a las que está sujeta la VPR muestran que su gestión se desarrolla bajo un ambiente de control que promueve la transparencia y seguimiento.</w:t>
            </w:r>
          </w:p>
        </w:tc>
      </w:tr>
      <w:tr w:rsidR="000B4109" w:rsidRPr="00B0093D" w14:paraId="36B7EF7A" w14:textId="77777777" w:rsidTr="008968B2">
        <w:trPr>
          <w:trHeight w:val="20"/>
        </w:trPr>
        <w:tc>
          <w:tcPr>
            <w:tcW w:w="2409" w:type="dxa"/>
            <w:vMerge/>
            <w:shd w:val="clear" w:color="auto" w:fill="FFFFFF" w:themeFill="background1"/>
          </w:tcPr>
          <w:p w14:paraId="08D79AC3" w14:textId="77777777" w:rsidR="000B4109" w:rsidRPr="00B0093D" w:rsidRDefault="000B4109" w:rsidP="000B4109">
            <w:pPr>
              <w:tabs>
                <w:tab w:val="num" w:pos="322"/>
              </w:tabs>
              <w:spacing w:before="20" w:after="20"/>
              <w:contextualSpacing/>
              <w:jc w:val="left"/>
              <w:rPr>
                <w:rFonts w:ascii="Arial Narrow" w:eastAsia="Times New Roman" w:hAnsi="Arial Narrow" w:cs="Times New Roman"/>
                <w:i/>
                <w:color w:val="595959" w:themeColor="text1" w:themeTint="A6"/>
                <w:szCs w:val="16"/>
                <w:lang w:eastAsia="es-ES"/>
              </w:rPr>
            </w:pPr>
          </w:p>
        </w:tc>
        <w:tc>
          <w:tcPr>
            <w:tcW w:w="3969" w:type="dxa"/>
            <w:vMerge/>
            <w:shd w:val="clear" w:color="auto" w:fill="FFFFFF" w:themeFill="background1"/>
          </w:tcPr>
          <w:p w14:paraId="5258EBBA" w14:textId="77777777" w:rsidR="000B4109" w:rsidRPr="00B0093D" w:rsidRDefault="000B4109" w:rsidP="000B4109">
            <w:pPr>
              <w:tabs>
                <w:tab w:val="num" w:pos="322"/>
              </w:tabs>
              <w:spacing w:before="20" w:after="20"/>
              <w:contextualSpacing/>
              <w:jc w:val="left"/>
              <w:rPr>
                <w:rFonts w:ascii="Arial Narrow" w:eastAsia="Times New Roman" w:hAnsi="Arial Narrow" w:cs="Times New Roman"/>
                <w:szCs w:val="16"/>
                <w:lang w:eastAsia="es-ES"/>
              </w:rPr>
            </w:pPr>
          </w:p>
        </w:tc>
        <w:tc>
          <w:tcPr>
            <w:tcW w:w="3969" w:type="dxa"/>
            <w:shd w:val="clear" w:color="auto" w:fill="FFFFFF" w:themeFill="background1"/>
          </w:tcPr>
          <w:p w14:paraId="385823F3" w14:textId="7CA5EF41" w:rsidR="000B4109" w:rsidRPr="00B0093D" w:rsidRDefault="000B4109" w:rsidP="000B4109">
            <w:pPr>
              <w:tabs>
                <w:tab w:val="num" w:pos="322"/>
              </w:tabs>
              <w:spacing w:before="20" w:after="20"/>
              <w:contextualSpacing/>
              <w:jc w:val="left"/>
              <w:rPr>
                <w:rFonts w:ascii="Arial Narrow" w:eastAsia="Times New Roman" w:hAnsi="Arial Narrow" w:cs="Times New Roman"/>
                <w:szCs w:val="16"/>
                <w:lang w:eastAsia="es-ES"/>
              </w:rPr>
            </w:pPr>
            <w:r>
              <w:rPr>
                <w:rFonts w:ascii="Arial Narrow" w:hAnsi="Arial Narrow"/>
                <w:spacing w:val="0"/>
                <w:szCs w:val="19"/>
              </w:rPr>
              <w:t xml:space="preserve">Mediante </w:t>
            </w:r>
            <w:r w:rsidRPr="00B0093D">
              <w:rPr>
                <w:rFonts w:ascii="Arial Narrow" w:hAnsi="Arial Narrow"/>
                <w:spacing w:val="0"/>
                <w:szCs w:val="19"/>
              </w:rPr>
              <w:t xml:space="preserve">decreto ejecutivo </w:t>
            </w:r>
            <w:r>
              <w:rPr>
                <w:rFonts w:ascii="Arial Narrow" w:hAnsi="Arial Narrow"/>
                <w:spacing w:val="0"/>
                <w:szCs w:val="19"/>
              </w:rPr>
              <w:t xml:space="preserve">se creará el Consejo Nacional de Competitividad, presidido por la </w:t>
            </w:r>
            <w:r w:rsidRPr="00B0093D">
              <w:rPr>
                <w:rFonts w:ascii="Arial Narrow" w:hAnsi="Arial Narrow"/>
                <w:spacing w:val="0"/>
                <w:szCs w:val="19"/>
              </w:rPr>
              <w:t>V</w:t>
            </w:r>
            <w:r>
              <w:rPr>
                <w:rFonts w:ascii="Arial Narrow" w:hAnsi="Arial Narrow"/>
                <w:spacing w:val="0"/>
                <w:szCs w:val="19"/>
              </w:rPr>
              <w:t>P</w:t>
            </w:r>
            <w:r w:rsidRPr="00B0093D">
              <w:rPr>
                <w:rFonts w:ascii="Arial Narrow" w:hAnsi="Arial Narrow"/>
                <w:spacing w:val="0"/>
                <w:szCs w:val="19"/>
              </w:rPr>
              <w:t>R</w:t>
            </w:r>
            <w:r>
              <w:rPr>
                <w:rFonts w:ascii="Arial Narrow" w:hAnsi="Arial Narrow"/>
                <w:spacing w:val="0"/>
                <w:szCs w:val="19"/>
              </w:rPr>
              <w:t>,</w:t>
            </w:r>
            <w:r w:rsidRPr="00B0093D">
              <w:rPr>
                <w:rFonts w:ascii="Arial Narrow" w:hAnsi="Arial Narrow"/>
                <w:spacing w:val="0"/>
                <w:szCs w:val="19"/>
              </w:rPr>
              <w:t xml:space="preserve"> que será el órgano de ejecución de las políticas de competitividad y de la Agenda Nacional de Competitividad</w:t>
            </w:r>
            <w:r>
              <w:rPr>
                <w:rFonts w:ascii="Arial Narrow" w:hAnsi="Arial Narrow"/>
                <w:spacing w:val="0"/>
                <w:szCs w:val="19"/>
              </w:rPr>
              <w:t xml:space="preserve">.  El componente 1 del programa lo ejecutará la VPR a través de la </w:t>
            </w:r>
            <w:r w:rsidRPr="00B0093D">
              <w:rPr>
                <w:rFonts w:ascii="Arial Narrow" w:hAnsi="Arial Narrow"/>
                <w:spacing w:val="0"/>
                <w:szCs w:val="19"/>
              </w:rPr>
              <w:t>Secretaría Técnica del CNC</w:t>
            </w:r>
            <w:r>
              <w:rPr>
                <w:rFonts w:ascii="Arial Narrow" w:hAnsi="Arial Narrow"/>
                <w:spacing w:val="0"/>
                <w:szCs w:val="19"/>
              </w:rPr>
              <w:t xml:space="preserve">. La STCNC es una entidad de derecho público adscrito a la VPR, que contará con personería jurídica y estará dotada de autonomía </w:t>
            </w:r>
            <w:r w:rsidRPr="00B0093D">
              <w:rPr>
                <w:rFonts w:ascii="Arial Narrow" w:hAnsi="Arial Narrow"/>
                <w:spacing w:val="0"/>
                <w:szCs w:val="19"/>
              </w:rPr>
              <w:t>administrativa y financiera.</w:t>
            </w:r>
          </w:p>
        </w:tc>
        <w:tc>
          <w:tcPr>
            <w:tcW w:w="4112" w:type="dxa"/>
            <w:vMerge/>
            <w:shd w:val="clear" w:color="auto" w:fill="FFFFFF" w:themeFill="background1"/>
          </w:tcPr>
          <w:p w14:paraId="2867F1E7" w14:textId="77777777" w:rsidR="000B4109" w:rsidRPr="00B0093D" w:rsidRDefault="000B4109" w:rsidP="000B4109">
            <w:pPr>
              <w:spacing w:before="20" w:after="20"/>
              <w:contextualSpacing/>
              <w:jc w:val="left"/>
              <w:rPr>
                <w:rFonts w:ascii="Arial Narrow" w:hAnsi="Arial Narrow"/>
                <w:spacing w:val="0"/>
                <w:szCs w:val="19"/>
              </w:rPr>
            </w:pPr>
          </w:p>
        </w:tc>
      </w:tr>
      <w:tr w:rsidR="000B4109" w:rsidRPr="00B0093D" w14:paraId="5A3DF92F" w14:textId="77777777" w:rsidTr="00747A58">
        <w:trPr>
          <w:trHeight w:val="20"/>
        </w:trPr>
        <w:tc>
          <w:tcPr>
            <w:tcW w:w="14459" w:type="dxa"/>
            <w:gridSpan w:val="4"/>
            <w:shd w:val="clear" w:color="auto" w:fill="D9D9D9" w:themeFill="background1" w:themeFillShade="D9"/>
            <w:vAlign w:val="center"/>
          </w:tcPr>
          <w:p w14:paraId="1D8D8BEE" w14:textId="77777777" w:rsidR="000B4109" w:rsidRPr="00B0093D" w:rsidRDefault="000B4109" w:rsidP="000B4109">
            <w:pPr>
              <w:pStyle w:val="Prrafodelista"/>
              <w:numPr>
                <w:ilvl w:val="0"/>
                <w:numId w:val="7"/>
              </w:numPr>
              <w:spacing w:before="20" w:after="20"/>
              <w:jc w:val="left"/>
              <w:rPr>
                <w:rFonts w:ascii="Arial Narrow" w:eastAsia="Times New Roman" w:hAnsi="Arial Narrow" w:cs="Times New Roman"/>
                <w:b/>
                <w:i/>
                <w:szCs w:val="16"/>
                <w:lang w:eastAsia="es-ES"/>
              </w:rPr>
            </w:pPr>
            <w:r w:rsidRPr="00B0093D">
              <w:rPr>
                <w:rFonts w:ascii="Arial Narrow" w:eastAsia="Times New Roman" w:hAnsi="Arial Narrow" w:cs="Times New Roman"/>
                <w:b/>
                <w:i/>
                <w:szCs w:val="16"/>
                <w:lang w:eastAsia="es-ES"/>
              </w:rPr>
              <w:lastRenderedPageBreak/>
              <w:t>Gobernanza y Entorno Institucional</w:t>
            </w:r>
          </w:p>
        </w:tc>
      </w:tr>
      <w:tr w:rsidR="000B4109" w:rsidRPr="00B0093D" w14:paraId="109A46EC" w14:textId="77777777" w:rsidTr="00747A58">
        <w:trPr>
          <w:trHeight w:val="20"/>
        </w:trPr>
        <w:tc>
          <w:tcPr>
            <w:tcW w:w="2409" w:type="dxa"/>
            <w:vMerge w:val="restart"/>
            <w:shd w:val="clear" w:color="auto" w:fill="FFFFFF" w:themeFill="background1"/>
          </w:tcPr>
          <w:p w14:paraId="168D641B" w14:textId="4080C1FC" w:rsidR="000B4109" w:rsidRPr="00B0093D" w:rsidRDefault="000B4109" w:rsidP="000B4109">
            <w:pPr>
              <w:tabs>
                <w:tab w:val="num" w:pos="322"/>
              </w:tabs>
              <w:spacing w:before="20" w:after="20"/>
              <w:contextualSpacing/>
              <w:jc w:val="left"/>
              <w:rPr>
                <w:rFonts w:ascii="Arial Narrow" w:hAnsi="Arial Narrow"/>
                <w:i/>
                <w:spacing w:val="0"/>
                <w:szCs w:val="19"/>
              </w:rPr>
            </w:pPr>
            <w:r w:rsidRPr="00B0093D">
              <w:rPr>
                <w:rFonts w:ascii="Arial Narrow" w:hAnsi="Arial Narrow"/>
                <w:i/>
                <w:color w:val="595959" w:themeColor="text1" w:themeTint="A6"/>
                <w:spacing w:val="0"/>
                <w:szCs w:val="19"/>
              </w:rPr>
              <w:t>Se evaluó la madurez de</w:t>
            </w:r>
            <w:r>
              <w:rPr>
                <w:rFonts w:ascii="Arial Narrow" w:hAnsi="Arial Narrow"/>
                <w:i/>
                <w:color w:val="595959" w:themeColor="text1" w:themeTint="A6"/>
                <w:spacing w:val="0"/>
                <w:szCs w:val="19"/>
              </w:rPr>
              <w:t xml:space="preserve"> la VPR</w:t>
            </w:r>
            <w:r w:rsidRPr="00B0093D">
              <w:rPr>
                <w:rFonts w:ascii="Arial Narrow" w:hAnsi="Arial Narrow"/>
                <w:i/>
                <w:color w:val="595959" w:themeColor="text1" w:themeTint="A6"/>
                <w:spacing w:val="0"/>
                <w:szCs w:val="19"/>
              </w:rPr>
              <w:t>, sus características generales y si el carácter de sus vínculos con el entorno directo le permite, sin mayores ajustes ni instrumentos complementarios, ejecutar eficaz y eficientemente el proyecto, obtener los resultados buscados e impactar con ellos a los</w:t>
            </w:r>
            <w:r>
              <w:rPr>
                <w:rFonts w:ascii="Arial Narrow" w:hAnsi="Arial Narrow"/>
                <w:i/>
                <w:color w:val="595959" w:themeColor="text1" w:themeTint="A6"/>
                <w:spacing w:val="0"/>
                <w:szCs w:val="19"/>
              </w:rPr>
              <w:t xml:space="preserve"> </w:t>
            </w:r>
            <w:r w:rsidRPr="00B0093D">
              <w:rPr>
                <w:rFonts w:ascii="Arial Narrow" w:hAnsi="Arial Narrow"/>
                <w:i/>
                <w:color w:val="595959" w:themeColor="text1" w:themeTint="A6"/>
                <w:spacing w:val="0"/>
                <w:szCs w:val="19"/>
              </w:rPr>
              <w:t>beneficiarios finales del proyecto</w:t>
            </w:r>
            <w:r w:rsidRPr="00B0093D">
              <w:rPr>
                <w:rStyle w:val="Refdenotaalpie"/>
                <w:rFonts w:ascii="Segoe UI" w:hAnsi="Segoe UI" w:cs="Segoe UI"/>
                <w:i/>
                <w:color w:val="595959" w:themeColor="text1" w:themeTint="A6"/>
                <w:szCs w:val="20"/>
              </w:rPr>
              <w:footnoteReference w:id="22"/>
            </w:r>
            <w:r w:rsidRPr="00B0093D">
              <w:rPr>
                <w:rFonts w:ascii="Segoe UI" w:hAnsi="Segoe UI" w:cs="Segoe UI"/>
                <w:i/>
                <w:color w:val="595959" w:themeColor="text1" w:themeTint="A6"/>
                <w:szCs w:val="20"/>
              </w:rPr>
              <w:t>.</w:t>
            </w:r>
          </w:p>
        </w:tc>
        <w:tc>
          <w:tcPr>
            <w:tcW w:w="3969" w:type="dxa"/>
            <w:shd w:val="clear" w:color="auto" w:fill="FFFFFF" w:themeFill="background1"/>
          </w:tcPr>
          <w:p w14:paraId="49462617" w14:textId="7EEEEA11" w:rsidR="000B4109" w:rsidRPr="00B0093D" w:rsidRDefault="000B4109" w:rsidP="000B4109">
            <w:pPr>
              <w:tabs>
                <w:tab w:val="num" w:pos="322"/>
              </w:tabs>
              <w:spacing w:before="20" w:after="20"/>
              <w:contextualSpacing/>
              <w:jc w:val="left"/>
              <w:rPr>
                <w:rFonts w:ascii="Arial Narrow" w:eastAsia="Times New Roman" w:hAnsi="Arial Narrow" w:cs="Times New Roman"/>
                <w:szCs w:val="16"/>
                <w:highlight w:val="yellow"/>
                <w:lang w:eastAsia="es-ES"/>
              </w:rPr>
            </w:pPr>
            <w:bookmarkStart w:id="23" w:name="_Hlk10583392"/>
            <w:r>
              <w:rPr>
                <w:rFonts w:ascii="Arial Narrow" w:hAnsi="Arial Narrow"/>
                <w:spacing w:val="0"/>
                <w:szCs w:val="19"/>
              </w:rPr>
              <w:t xml:space="preserve">La máxima autoridad de la VPR es de elección popular. En el último período presidencial 2018-2021, han existido tres vicepresidentes.  El actual vicepresidente fue designado por la Asamblea Nacional, conforme a lo establecido en la constitución. La ejecución del programa tiene un horizonte previsto de 5 años, por lo que enfrentará un cambio de autoridades durante su ejecución 2021. No se prevé otras modificaciones adicionales.  </w:t>
            </w:r>
            <w:bookmarkEnd w:id="23"/>
            <w:r>
              <w:rPr>
                <w:rFonts w:ascii="Arial Narrow" w:hAnsi="Arial Narrow"/>
                <w:spacing w:val="0"/>
                <w:szCs w:val="19"/>
              </w:rPr>
              <w:t xml:space="preserve">A nivel de autoridades intermedias, la estabilidad se encuentra de la mano de los cambios de autoridad. </w:t>
            </w:r>
          </w:p>
        </w:tc>
        <w:tc>
          <w:tcPr>
            <w:tcW w:w="3969" w:type="dxa"/>
            <w:shd w:val="clear" w:color="auto" w:fill="auto"/>
          </w:tcPr>
          <w:p w14:paraId="233028BC" w14:textId="5B4D0500" w:rsidR="000B4109" w:rsidRPr="00B0093D" w:rsidRDefault="000B4109" w:rsidP="000B4109">
            <w:pPr>
              <w:tabs>
                <w:tab w:val="num" w:pos="322"/>
              </w:tabs>
              <w:spacing w:before="20" w:after="20"/>
              <w:contextualSpacing/>
              <w:jc w:val="left"/>
              <w:rPr>
                <w:rFonts w:ascii="Arial Narrow" w:hAnsi="Arial Narrow"/>
                <w:spacing w:val="0"/>
                <w:szCs w:val="19"/>
                <w:highlight w:val="yellow"/>
              </w:rPr>
            </w:pPr>
            <w:r>
              <w:rPr>
                <w:rFonts w:ascii="Arial Narrow" w:hAnsi="Arial Narrow"/>
                <w:spacing w:val="0"/>
                <w:szCs w:val="19"/>
              </w:rPr>
              <w:t xml:space="preserve">La VPR </w:t>
            </w:r>
            <w:r w:rsidRPr="009F2223">
              <w:rPr>
                <w:rFonts w:ascii="Arial Narrow" w:hAnsi="Arial Narrow"/>
                <w:spacing w:val="0"/>
                <w:szCs w:val="19"/>
              </w:rPr>
              <w:t xml:space="preserve">cuenta con una Planeación Estratégica Institucional alineada al Plan Nacional de Desarrollo Toda una Vida (PND). La cual se actualiza en períodos de 4 a 5 años. Los POA </w:t>
            </w:r>
            <w:r>
              <w:rPr>
                <w:rFonts w:ascii="Arial Narrow" w:hAnsi="Arial Narrow"/>
                <w:spacing w:val="0"/>
                <w:szCs w:val="19"/>
              </w:rPr>
              <w:t xml:space="preserve">de la VPR </w:t>
            </w:r>
            <w:r w:rsidRPr="009F2223">
              <w:rPr>
                <w:rFonts w:ascii="Arial Narrow" w:hAnsi="Arial Narrow"/>
                <w:spacing w:val="0"/>
                <w:szCs w:val="19"/>
              </w:rPr>
              <w:t>se encuentran alineados al Plan Estratégico Institucional y al PND</w:t>
            </w:r>
            <w:r>
              <w:rPr>
                <w:rFonts w:ascii="Arial Narrow" w:hAnsi="Arial Narrow"/>
                <w:spacing w:val="0"/>
                <w:szCs w:val="19"/>
              </w:rPr>
              <w:t xml:space="preserve"> y sus proyectos de inversión deberán estar priorizados por Planifica Ecuador </w:t>
            </w:r>
            <w:r w:rsidRPr="009F2223">
              <w:rPr>
                <w:rFonts w:ascii="Arial Narrow" w:hAnsi="Arial Narrow"/>
                <w:spacing w:val="0"/>
                <w:szCs w:val="19"/>
              </w:rPr>
              <w:t xml:space="preserve">y constar en el Plan Anual de Inversiones (PAI) del País. </w:t>
            </w:r>
            <w:r>
              <w:rPr>
                <w:rFonts w:ascii="Arial Narrow" w:hAnsi="Arial Narrow"/>
                <w:spacing w:val="0"/>
                <w:szCs w:val="19"/>
              </w:rPr>
              <w:t xml:space="preserve"> </w:t>
            </w:r>
            <w:r w:rsidRPr="0041090D">
              <w:rPr>
                <w:rFonts w:ascii="Arial Narrow" w:hAnsi="Arial Narrow"/>
                <w:spacing w:val="0"/>
                <w:szCs w:val="19"/>
              </w:rPr>
              <w:t xml:space="preserve">Sin embargo, la </w:t>
            </w:r>
            <w:r>
              <w:rPr>
                <w:rFonts w:ascii="Arial Narrow" w:hAnsi="Arial Narrow"/>
                <w:spacing w:val="0"/>
                <w:szCs w:val="19"/>
              </w:rPr>
              <w:t xml:space="preserve">VPR </w:t>
            </w:r>
            <w:r w:rsidRPr="0041090D">
              <w:rPr>
                <w:rFonts w:ascii="Arial Narrow" w:hAnsi="Arial Narrow"/>
                <w:spacing w:val="0"/>
                <w:szCs w:val="19"/>
              </w:rPr>
              <w:t xml:space="preserve">no </w:t>
            </w:r>
            <w:r w:rsidR="0068788D">
              <w:rPr>
                <w:rFonts w:ascii="Arial Narrow" w:hAnsi="Arial Narrow"/>
                <w:spacing w:val="0"/>
                <w:szCs w:val="19"/>
              </w:rPr>
              <w:t xml:space="preserve">registra proyectos de inversión </w:t>
            </w:r>
            <w:r>
              <w:rPr>
                <w:rFonts w:ascii="Arial Narrow" w:hAnsi="Arial Narrow"/>
                <w:spacing w:val="0"/>
                <w:szCs w:val="19"/>
              </w:rPr>
              <w:t>priorizado</w:t>
            </w:r>
            <w:r w:rsidR="0068788D">
              <w:rPr>
                <w:rFonts w:ascii="Arial Narrow" w:hAnsi="Arial Narrow"/>
                <w:spacing w:val="0"/>
                <w:szCs w:val="19"/>
              </w:rPr>
              <w:t xml:space="preserve">s en el SIPeIP </w:t>
            </w:r>
            <w:r w:rsidRPr="0041090D">
              <w:rPr>
                <w:rFonts w:ascii="Arial Narrow" w:hAnsi="Arial Narrow"/>
                <w:spacing w:val="0"/>
                <w:szCs w:val="19"/>
              </w:rPr>
              <w:t xml:space="preserve">desde 2013. </w:t>
            </w:r>
          </w:p>
        </w:tc>
        <w:tc>
          <w:tcPr>
            <w:tcW w:w="4112" w:type="dxa"/>
            <w:shd w:val="clear" w:color="auto" w:fill="FFFFFF" w:themeFill="background1"/>
          </w:tcPr>
          <w:p w14:paraId="1C1CB18E" w14:textId="77777777" w:rsidR="000B4109" w:rsidRDefault="000B4109" w:rsidP="000B4109">
            <w:pPr>
              <w:tabs>
                <w:tab w:val="num" w:pos="322"/>
              </w:tabs>
              <w:spacing w:before="20" w:after="20"/>
              <w:contextualSpacing/>
              <w:jc w:val="left"/>
              <w:rPr>
                <w:rFonts w:ascii="Arial Narrow" w:hAnsi="Arial Narrow"/>
                <w:spacing w:val="0"/>
                <w:szCs w:val="19"/>
              </w:rPr>
            </w:pPr>
            <w:bookmarkStart w:id="24" w:name="_Hlk527892696"/>
            <w:r w:rsidRPr="00964CAC">
              <w:rPr>
                <w:rFonts w:ascii="Arial Narrow" w:hAnsi="Arial Narrow"/>
                <w:spacing w:val="0"/>
                <w:szCs w:val="19"/>
              </w:rPr>
              <w:t>El modelo de dirección y gestión de la VPR no presenta obstáculos significativos para la ejecución del Proyecto</w:t>
            </w:r>
            <w:bookmarkEnd w:id="24"/>
            <w:r w:rsidRPr="00964CAC">
              <w:rPr>
                <w:rFonts w:ascii="Arial Narrow" w:hAnsi="Arial Narrow"/>
                <w:spacing w:val="0"/>
                <w:szCs w:val="19"/>
              </w:rPr>
              <w:t>. La VPR cuenta con herramientas que facilitan la programación financiera (POA) y la programación física de actividades, resultados e indicadores (GRP); Mecanismos de seguimiento y manuales de procesos y procedimientos.</w:t>
            </w:r>
          </w:p>
          <w:p w14:paraId="099768C0" w14:textId="13D465F6" w:rsidR="000B4109" w:rsidRPr="00B0093D" w:rsidRDefault="000B4109" w:rsidP="000B4109">
            <w:pPr>
              <w:spacing w:before="20" w:after="20"/>
              <w:contextualSpacing/>
              <w:jc w:val="left"/>
              <w:rPr>
                <w:rFonts w:ascii="Arial Narrow" w:hAnsi="Arial Narrow"/>
                <w:spacing w:val="0"/>
                <w:szCs w:val="19"/>
              </w:rPr>
            </w:pPr>
            <w:r>
              <w:rPr>
                <w:rFonts w:ascii="Arial Narrow" w:hAnsi="Arial Narrow"/>
                <w:spacing w:val="0"/>
                <w:szCs w:val="19"/>
              </w:rPr>
              <w:t xml:space="preserve">La ejecución del Programa por parte de la STCNC contará con el apoyo en seguimiento por la dirección de planificación y gestión estratégica de la VPR </w:t>
            </w:r>
          </w:p>
        </w:tc>
      </w:tr>
      <w:tr w:rsidR="000B4109" w:rsidRPr="00B0093D" w14:paraId="7D56BB2C" w14:textId="77777777" w:rsidTr="00747A58">
        <w:trPr>
          <w:trHeight w:val="20"/>
        </w:trPr>
        <w:tc>
          <w:tcPr>
            <w:tcW w:w="2409" w:type="dxa"/>
            <w:vMerge/>
            <w:shd w:val="clear" w:color="auto" w:fill="FFFFFF" w:themeFill="background1"/>
          </w:tcPr>
          <w:p w14:paraId="2BD64287" w14:textId="77777777" w:rsidR="000B4109" w:rsidRPr="00B0093D" w:rsidRDefault="000B4109" w:rsidP="000B4109">
            <w:pPr>
              <w:tabs>
                <w:tab w:val="num" w:pos="322"/>
              </w:tabs>
              <w:spacing w:before="20" w:after="20"/>
              <w:contextualSpacing/>
              <w:jc w:val="left"/>
              <w:rPr>
                <w:rFonts w:ascii="Arial Narrow" w:hAnsi="Arial Narrow"/>
                <w:i/>
                <w:color w:val="595959" w:themeColor="text1" w:themeTint="A6"/>
                <w:spacing w:val="0"/>
                <w:szCs w:val="19"/>
              </w:rPr>
            </w:pPr>
          </w:p>
        </w:tc>
        <w:tc>
          <w:tcPr>
            <w:tcW w:w="3969" w:type="dxa"/>
            <w:vMerge w:val="restart"/>
            <w:shd w:val="clear" w:color="auto" w:fill="FFFFFF" w:themeFill="background1"/>
          </w:tcPr>
          <w:p w14:paraId="55C2ED50" w14:textId="256B8F53" w:rsidR="000B4109" w:rsidRPr="00B0093D" w:rsidRDefault="000B4109" w:rsidP="000B4109">
            <w:pPr>
              <w:tabs>
                <w:tab w:val="num" w:pos="322"/>
              </w:tabs>
              <w:spacing w:before="20" w:after="20"/>
              <w:contextualSpacing/>
              <w:jc w:val="left"/>
              <w:rPr>
                <w:rFonts w:ascii="Arial Narrow" w:hAnsi="Arial Narrow"/>
                <w:spacing w:val="0"/>
                <w:szCs w:val="19"/>
              </w:rPr>
            </w:pPr>
            <w:r w:rsidRPr="00273EA5">
              <w:rPr>
                <w:rFonts w:ascii="Arial Narrow" w:eastAsia="Times New Roman" w:hAnsi="Arial Narrow" w:cs="Times New Roman"/>
                <w:szCs w:val="16"/>
                <w:lang w:eastAsia="es-ES"/>
              </w:rPr>
              <w:t>La STCNC es una entidad de derecho público adscrito a la VPR, que contará con personería jurídica y estará dotada de autonomía administrativa y financiera</w:t>
            </w:r>
            <w:r>
              <w:rPr>
                <w:rFonts w:ascii="Arial Narrow" w:eastAsia="Times New Roman" w:hAnsi="Arial Narrow" w:cs="Times New Roman"/>
                <w:szCs w:val="16"/>
                <w:lang w:eastAsia="es-ES"/>
              </w:rPr>
              <w:t>; sin embargo, la normativa organizacional está en proceso, por lo que aún no se encuentran establecidos claramente el monto de recursos de los que dispondrá la entidad, aspecto fundamental pues los recursos para su funcionamiento provienen del gobierno central</w:t>
            </w:r>
            <w:r w:rsidRPr="00273EA5">
              <w:rPr>
                <w:rFonts w:ascii="Arial Narrow" w:eastAsia="Times New Roman" w:hAnsi="Arial Narrow" w:cs="Times New Roman"/>
                <w:szCs w:val="16"/>
                <w:lang w:eastAsia="es-ES"/>
              </w:rPr>
              <w:t xml:space="preserve">. </w:t>
            </w:r>
            <w:r>
              <w:rPr>
                <w:rFonts w:ascii="Arial Narrow" w:hAnsi="Arial Narrow"/>
                <w:spacing w:val="0"/>
                <w:szCs w:val="19"/>
              </w:rPr>
              <w:t xml:space="preserve"> </w:t>
            </w:r>
          </w:p>
        </w:tc>
        <w:tc>
          <w:tcPr>
            <w:tcW w:w="3969" w:type="dxa"/>
            <w:vMerge w:val="restart"/>
            <w:shd w:val="clear" w:color="auto" w:fill="auto"/>
          </w:tcPr>
          <w:p w14:paraId="3216FFB6" w14:textId="30099B57" w:rsidR="000B4109" w:rsidRPr="008F4114" w:rsidRDefault="000B4109" w:rsidP="000B4109">
            <w:pPr>
              <w:tabs>
                <w:tab w:val="num" w:pos="322"/>
              </w:tabs>
              <w:spacing w:before="20" w:after="20"/>
              <w:contextualSpacing/>
              <w:jc w:val="left"/>
              <w:rPr>
                <w:rFonts w:ascii="Arial Narrow" w:hAnsi="Arial Narrow"/>
                <w:spacing w:val="0"/>
                <w:szCs w:val="19"/>
                <w:highlight w:val="yellow"/>
              </w:rPr>
            </w:pPr>
            <w:r w:rsidRPr="00975ACB">
              <w:rPr>
                <w:rFonts w:ascii="Arial Narrow" w:hAnsi="Arial Narrow"/>
                <w:spacing w:val="0"/>
                <w:szCs w:val="19"/>
              </w:rPr>
              <w:t>La VPR tiene mediciones respecto al nivel de satisfacción de la organización, pero no cuenta con mecanismos respecto de las necesidades insatisfechas de sus actividades. La STCNC es una entidad nueva que se desarrollará con el apoyo del programa, en donde se ha considerado el financiamiento de mecanismos de dialogo público – privado y mecanismos que retroalimenten su gestión</w:t>
            </w:r>
            <w:r>
              <w:rPr>
                <w:rFonts w:ascii="Arial Narrow" w:hAnsi="Arial Narrow"/>
                <w:spacing w:val="0"/>
                <w:szCs w:val="19"/>
              </w:rPr>
              <w:t>. Asimismo, se ha considerado en el diseño mecanismos de comunicación con los usuarios finales para conocer y prevenir conflictos internos o externos.</w:t>
            </w:r>
          </w:p>
        </w:tc>
        <w:tc>
          <w:tcPr>
            <w:tcW w:w="4112" w:type="dxa"/>
            <w:shd w:val="clear" w:color="auto" w:fill="FFFFFF" w:themeFill="background1"/>
          </w:tcPr>
          <w:p w14:paraId="375CC74E" w14:textId="597C89E4" w:rsidR="000B4109" w:rsidRPr="00B0093D" w:rsidRDefault="000B4109" w:rsidP="000B4109">
            <w:pPr>
              <w:spacing w:before="20" w:after="20"/>
              <w:contextualSpacing/>
              <w:jc w:val="left"/>
              <w:rPr>
                <w:rFonts w:ascii="Arial Narrow" w:hAnsi="Arial Narrow"/>
                <w:spacing w:val="0"/>
                <w:szCs w:val="19"/>
              </w:rPr>
            </w:pPr>
            <w:r w:rsidRPr="00B0093D">
              <w:rPr>
                <w:rFonts w:ascii="Arial Narrow" w:hAnsi="Arial Narrow"/>
                <w:spacing w:val="0"/>
                <w:szCs w:val="19"/>
              </w:rPr>
              <w:t xml:space="preserve">La naturaleza de la inserción de la VPR </w:t>
            </w:r>
            <w:r>
              <w:rPr>
                <w:rFonts w:ascii="Arial Narrow" w:hAnsi="Arial Narrow"/>
                <w:spacing w:val="0"/>
                <w:szCs w:val="19"/>
              </w:rPr>
              <w:t xml:space="preserve">y el CNC </w:t>
            </w:r>
            <w:r w:rsidRPr="00B0093D">
              <w:rPr>
                <w:rFonts w:ascii="Arial Narrow" w:hAnsi="Arial Narrow"/>
                <w:spacing w:val="0"/>
                <w:szCs w:val="19"/>
              </w:rPr>
              <w:t xml:space="preserve">en las actividades del sector público no obstaculiza la ejecución del Proyecto. </w:t>
            </w:r>
            <w:r>
              <w:rPr>
                <w:rFonts w:ascii="Arial Narrow" w:hAnsi="Arial Narrow"/>
                <w:spacing w:val="0"/>
                <w:szCs w:val="19"/>
              </w:rPr>
              <w:t xml:space="preserve">El CNC </w:t>
            </w:r>
            <w:r w:rsidR="00652C3F">
              <w:rPr>
                <w:rFonts w:ascii="Arial Narrow" w:hAnsi="Arial Narrow"/>
                <w:spacing w:val="0"/>
                <w:szCs w:val="19"/>
              </w:rPr>
              <w:t>será</w:t>
            </w:r>
            <w:r>
              <w:rPr>
                <w:rFonts w:ascii="Arial Narrow" w:hAnsi="Arial Narrow"/>
                <w:spacing w:val="0"/>
                <w:szCs w:val="19"/>
              </w:rPr>
              <w:t xml:space="preserve"> el organismo rector y ejecutor de las políticas públicas de competitividad. De otra parte, </w:t>
            </w:r>
            <w:r w:rsidRPr="004A3995">
              <w:rPr>
                <w:rFonts w:ascii="Arial Narrow" w:hAnsi="Arial Narrow"/>
                <w:spacing w:val="0"/>
                <w:szCs w:val="19"/>
              </w:rPr>
              <w:t>en relación al objetivo del proyecto no se identifican claramente presiones o intereses que podrían representar un obstáculo o un potencial retraso en la implementación del proyecto.</w:t>
            </w:r>
            <w:r>
              <w:rPr>
                <w:rFonts w:ascii="Arial Narrow" w:hAnsi="Arial Narrow"/>
                <w:spacing w:val="0"/>
                <w:szCs w:val="19"/>
              </w:rPr>
              <w:t xml:space="preserve"> </w:t>
            </w:r>
            <w:r w:rsidRPr="00975ACB">
              <w:rPr>
                <w:rFonts w:ascii="Arial Narrow" w:hAnsi="Arial Narrow"/>
                <w:spacing w:val="0"/>
                <w:szCs w:val="19"/>
              </w:rPr>
              <w:t xml:space="preserve">Las relaciones desarrolladas por </w:t>
            </w:r>
            <w:r>
              <w:rPr>
                <w:rFonts w:ascii="Arial Narrow" w:hAnsi="Arial Narrow"/>
                <w:spacing w:val="0"/>
                <w:szCs w:val="19"/>
              </w:rPr>
              <w:t xml:space="preserve">la VPR para la creación del CNC </w:t>
            </w:r>
            <w:r w:rsidRPr="00975ACB">
              <w:rPr>
                <w:rFonts w:ascii="Arial Narrow" w:hAnsi="Arial Narrow"/>
                <w:spacing w:val="0"/>
                <w:szCs w:val="19"/>
              </w:rPr>
              <w:t>con el contexto o entorno directo de su gestión, viabilizan la ejecución del Proyecto y la obtención de los resultados e impactos buscados.</w:t>
            </w:r>
          </w:p>
        </w:tc>
      </w:tr>
      <w:tr w:rsidR="000B4109" w:rsidRPr="00B0093D" w14:paraId="6DE51DB3" w14:textId="77777777" w:rsidTr="00747A58">
        <w:trPr>
          <w:trHeight w:val="510"/>
        </w:trPr>
        <w:tc>
          <w:tcPr>
            <w:tcW w:w="2409" w:type="dxa"/>
            <w:vMerge/>
            <w:shd w:val="clear" w:color="auto" w:fill="FFFFFF" w:themeFill="background1"/>
          </w:tcPr>
          <w:p w14:paraId="6E9877D5" w14:textId="77777777" w:rsidR="000B4109" w:rsidRPr="00B0093D" w:rsidRDefault="000B4109" w:rsidP="000B4109">
            <w:pPr>
              <w:tabs>
                <w:tab w:val="num" w:pos="322"/>
              </w:tabs>
              <w:spacing w:before="20" w:after="20"/>
              <w:contextualSpacing/>
              <w:jc w:val="left"/>
              <w:rPr>
                <w:rFonts w:ascii="Arial Narrow" w:hAnsi="Arial Narrow"/>
                <w:i/>
                <w:color w:val="595959" w:themeColor="text1" w:themeTint="A6"/>
                <w:spacing w:val="0"/>
                <w:szCs w:val="19"/>
              </w:rPr>
            </w:pPr>
          </w:p>
        </w:tc>
        <w:tc>
          <w:tcPr>
            <w:tcW w:w="3969" w:type="dxa"/>
            <w:vMerge/>
            <w:shd w:val="clear" w:color="auto" w:fill="FFFFFF" w:themeFill="background1"/>
          </w:tcPr>
          <w:p w14:paraId="6A3A08C2" w14:textId="77777777" w:rsidR="000B4109" w:rsidRPr="00B0093D" w:rsidRDefault="000B4109" w:rsidP="000B4109">
            <w:pPr>
              <w:tabs>
                <w:tab w:val="num" w:pos="322"/>
              </w:tabs>
              <w:spacing w:before="20" w:after="20"/>
              <w:contextualSpacing/>
              <w:jc w:val="left"/>
              <w:rPr>
                <w:rFonts w:ascii="Arial Narrow" w:hAnsi="Arial Narrow"/>
                <w:spacing w:val="0"/>
                <w:szCs w:val="19"/>
                <w:highlight w:val="yellow"/>
              </w:rPr>
            </w:pPr>
          </w:p>
        </w:tc>
        <w:tc>
          <w:tcPr>
            <w:tcW w:w="3969" w:type="dxa"/>
            <w:vMerge/>
            <w:shd w:val="clear" w:color="auto" w:fill="FFFFFF" w:themeFill="background1"/>
          </w:tcPr>
          <w:p w14:paraId="4F6EE759" w14:textId="77777777" w:rsidR="000B4109" w:rsidRPr="00B0093D" w:rsidRDefault="000B4109" w:rsidP="000B4109">
            <w:pPr>
              <w:tabs>
                <w:tab w:val="num" w:pos="322"/>
              </w:tabs>
              <w:spacing w:before="20" w:after="20"/>
              <w:contextualSpacing/>
              <w:jc w:val="left"/>
              <w:rPr>
                <w:rFonts w:ascii="Arial Narrow" w:hAnsi="Arial Narrow"/>
                <w:spacing w:val="0"/>
                <w:szCs w:val="19"/>
              </w:rPr>
            </w:pPr>
          </w:p>
        </w:tc>
        <w:tc>
          <w:tcPr>
            <w:tcW w:w="4112" w:type="dxa"/>
            <w:shd w:val="clear" w:color="auto" w:fill="FFFFFF" w:themeFill="background1"/>
          </w:tcPr>
          <w:p w14:paraId="4AC99933" w14:textId="77777777" w:rsidR="000B4109" w:rsidRDefault="000B4109" w:rsidP="000B4109">
            <w:pPr>
              <w:spacing w:before="20" w:after="20"/>
              <w:contextualSpacing/>
              <w:jc w:val="left"/>
              <w:rPr>
                <w:rFonts w:ascii="Arial Narrow" w:hAnsi="Arial Narrow"/>
                <w:spacing w:val="0"/>
                <w:szCs w:val="19"/>
              </w:rPr>
            </w:pPr>
            <w:r>
              <w:rPr>
                <w:rFonts w:ascii="Arial Narrow" w:hAnsi="Arial Narrow"/>
                <w:spacing w:val="0"/>
                <w:szCs w:val="19"/>
              </w:rPr>
              <w:t xml:space="preserve">La VPR cuenta con mecanismos establecidos en la normativa, para prevenir, detectar y dar respuesta a las prácticas prohibidas, establecidos en el estatuto y en </w:t>
            </w:r>
            <w:r w:rsidRPr="00B0093D">
              <w:rPr>
                <w:rFonts w:ascii="Arial Narrow" w:hAnsi="Arial Narrow"/>
                <w:spacing w:val="0"/>
                <w:szCs w:val="19"/>
              </w:rPr>
              <w:t>las normas de control interno de la CGE.</w:t>
            </w:r>
          </w:p>
          <w:p w14:paraId="321CE7B5" w14:textId="77777777" w:rsidR="004818CC" w:rsidRDefault="004818CC" w:rsidP="000B4109">
            <w:pPr>
              <w:spacing w:before="20" w:after="20"/>
              <w:contextualSpacing/>
              <w:jc w:val="left"/>
              <w:rPr>
                <w:rFonts w:ascii="Arial Narrow" w:hAnsi="Arial Narrow"/>
                <w:spacing w:val="0"/>
                <w:szCs w:val="19"/>
              </w:rPr>
            </w:pPr>
          </w:p>
          <w:p w14:paraId="6CAE183F" w14:textId="3307177D" w:rsidR="004818CC" w:rsidRPr="00B0093D" w:rsidRDefault="004818CC" w:rsidP="000B4109">
            <w:pPr>
              <w:spacing w:before="20" w:after="20"/>
              <w:contextualSpacing/>
              <w:jc w:val="left"/>
              <w:rPr>
                <w:rFonts w:ascii="Arial Narrow" w:hAnsi="Arial Narrow"/>
                <w:spacing w:val="0"/>
                <w:szCs w:val="19"/>
              </w:rPr>
            </w:pPr>
          </w:p>
        </w:tc>
      </w:tr>
      <w:tr w:rsidR="000B4109" w:rsidRPr="00B0093D" w14:paraId="1DB76238" w14:textId="77777777" w:rsidTr="00747A58">
        <w:trPr>
          <w:trHeight w:val="20"/>
        </w:trPr>
        <w:tc>
          <w:tcPr>
            <w:tcW w:w="14459" w:type="dxa"/>
            <w:gridSpan w:val="4"/>
            <w:shd w:val="clear" w:color="auto" w:fill="D9D9D9" w:themeFill="background1" w:themeFillShade="D9"/>
            <w:vAlign w:val="center"/>
          </w:tcPr>
          <w:p w14:paraId="344A33F1" w14:textId="77777777" w:rsidR="000B4109" w:rsidRPr="00B0093D" w:rsidRDefault="000B4109" w:rsidP="000B4109">
            <w:pPr>
              <w:pStyle w:val="Prrafodelista"/>
              <w:numPr>
                <w:ilvl w:val="0"/>
                <w:numId w:val="7"/>
              </w:numPr>
              <w:spacing w:before="20" w:after="20"/>
              <w:jc w:val="left"/>
              <w:rPr>
                <w:rFonts w:ascii="Arial Narrow" w:eastAsia="Times New Roman" w:hAnsi="Arial Narrow" w:cs="Times New Roman"/>
                <w:b/>
                <w:i/>
                <w:szCs w:val="16"/>
                <w:lang w:eastAsia="es-ES"/>
              </w:rPr>
            </w:pPr>
            <w:r w:rsidRPr="00B0093D">
              <w:rPr>
                <w:rFonts w:ascii="Arial Narrow" w:eastAsia="Times New Roman" w:hAnsi="Arial Narrow" w:cs="Times New Roman"/>
                <w:b/>
                <w:i/>
                <w:szCs w:val="16"/>
                <w:lang w:eastAsia="es-ES"/>
              </w:rPr>
              <w:lastRenderedPageBreak/>
              <w:t xml:space="preserve">Entorno General </w:t>
            </w:r>
          </w:p>
        </w:tc>
      </w:tr>
      <w:tr w:rsidR="000B4109" w:rsidRPr="00B0093D" w14:paraId="763A18BF" w14:textId="77777777" w:rsidTr="00747A58">
        <w:trPr>
          <w:trHeight w:val="20"/>
        </w:trPr>
        <w:tc>
          <w:tcPr>
            <w:tcW w:w="2409" w:type="dxa"/>
            <w:vMerge w:val="restart"/>
            <w:shd w:val="clear" w:color="auto" w:fill="FFFFFF" w:themeFill="background1"/>
          </w:tcPr>
          <w:p w14:paraId="1F3FC4A1" w14:textId="4A82ABFE" w:rsidR="000B4109" w:rsidRPr="00E33093" w:rsidRDefault="000B4109" w:rsidP="00A4599F">
            <w:pPr>
              <w:tabs>
                <w:tab w:val="num" w:pos="322"/>
              </w:tabs>
              <w:spacing w:before="20" w:after="20"/>
              <w:contextualSpacing/>
              <w:jc w:val="left"/>
              <w:rPr>
                <w:rFonts w:ascii="Arial Narrow" w:hAnsi="Arial Narrow"/>
                <w:i/>
                <w:spacing w:val="0"/>
                <w:szCs w:val="20"/>
              </w:rPr>
            </w:pPr>
            <w:r w:rsidRPr="00E33093">
              <w:rPr>
                <w:rFonts w:ascii="Arial Narrow" w:hAnsi="Arial Narrow"/>
                <w:i/>
                <w:color w:val="595959" w:themeColor="text1" w:themeTint="A6"/>
                <w:spacing w:val="0"/>
                <w:szCs w:val="20"/>
              </w:rPr>
              <w:t>Se evaluó la capacidad de</w:t>
            </w:r>
            <w:r>
              <w:rPr>
                <w:rFonts w:ascii="Arial Narrow" w:hAnsi="Arial Narrow"/>
                <w:i/>
                <w:color w:val="595959" w:themeColor="text1" w:themeTint="A6"/>
                <w:spacing w:val="0"/>
                <w:szCs w:val="20"/>
              </w:rPr>
              <w:t xml:space="preserve"> la VPR </w:t>
            </w:r>
            <w:r w:rsidRPr="00E33093">
              <w:rPr>
                <w:rFonts w:ascii="Arial Narrow" w:hAnsi="Arial Narrow"/>
                <w:i/>
                <w:color w:val="595959" w:themeColor="text1" w:themeTint="A6"/>
                <w:spacing w:val="0"/>
                <w:szCs w:val="20"/>
              </w:rPr>
              <w:t>para identificar, estimar la probabilidad de ocurrencia y capacidad para adoptar medidas de mitigación de los riesgos provenientes de su entorno que están fuera de su control y que pueden afectar sensiblemente la gestión y ejecución del proyecto, tomando en consideración las condiciones de ejecutabilidad</w:t>
            </w:r>
            <w:r w:rsidRPr="00E33093">
              <w:rPr>
                <w:rStyle w:val="Refdenotaalpie"/>
                <w:rFonts w:ascii="Segoe UI" w:hAnsi="Segoe UI" w:cs="Segoe UI"/>
                <w:i/>
                <w:color w:val="595959" w:themeColor="text1" w:themeTint="A6"/>
                <w:szCs w:val="20"/>
              </w:rPr>
              <w:footnoteReference w:id="23"/>
            </w:r>
            <w:r w:rsidRPr="00E33093">
              <w:rPr>
                <w:rFonts w:ascii="Segoe UI" w:hAnsi="Segoe UI" w:cs="Segoe UI"/>
                <w:i/>
                <w:color w:val="595959" w:themeColor="text1" w:themeTint="A6"/>
                <w:szCs w:val="20"/>
              </w:rPr>
              <w:t>.</w:t>
            </w:r>
          </w:p>
        </w:tc>
        <w:tc>
          <w:tcPr>
            <w:tcW w:w="3969" w:type="dxa"/>
            <w:vMerge w:val="restart"/>
            <w:shd w:val="clear" w:color="auto" w:fill="FFFFFF" w:themeFill="background1"/>
          </w:tcPr>
          <w:p w14:paraId="16D322C4" w14:textId="399D4A8B" w:rsidR="000B4109" w:rsidRPr="00B0093D" w:rsidRDefault="000B4109" w:rsidP="000B4109">
            <w:pPr>
              <w:tabs>
                <w:tab w:val="num" w:pos="322"/>
              </w:tabs>
              <w:spacing w:before="20" w:after="20"/>
              <w:contextualSpacing/>
              <w:jc w:val="left"/>
              <w:rPr>
                <w:rFonts w:ascii="Arial Narrow" w:eastAsia="Times New Roman" w:hAnsi="Arial Narrow" w:cs="Times New Roman"/>
                <w:szCs w:val="16"/>
                <w:lang w:eastAsia="es-ES"/>
              </w:rPr>
            </w:pPr>
            <w:r w:rsidRPr="00B0093D">
              <w:rPr>
                <w:rFonts w:ascii="Arial Narrow" w:eastAsia="Times New Roman" w:hAnsi="Arial Narrow" w:cs="Times New Roman"/>
                <w:szCs w:val="16"/>
                <w:lang w:eastAsia="es-ES"/>
              </w:rPr>
              <w:t>Los Programas de</w:t>
            </w:r>
            <w:r>
              <w:rPr>
                <w:rFonts w:ascii="Arial Narrow" w:eastAsia="Times New Roman" w:hAnsi="Arial Narrow" w:cs="Times New Roman"/>
                <w:szCs w:val="16"/>
                <w:lang w:eastAsia="es-ES"/>
              </w:rPr>
              <w:t xml:space="preserve"> la VPR financiados con recursos propios pueden ser impactados por posibles </w:t>
            </w:r>
            <w:r w:rsidRPr="00B0093D">
              <w:rPr>
                <w:rFonts w:ascii="Arial Narrow" w:eastAsia="Times New Roman" w:hAnsi="Arial Narrow" w:cs="Times New Roman"/>
                <w:szCs w:val="16"/>
                <w:lang w:eastAsia="es-ES"/>
              </w:rPr>
              <w:t>desequilibrios macroeconómicos y fiscales, pues dependen directamente de los recursos por parte del MEF</w:t>
            </w:r>
            <w:r>
              <w:rPr>
                <w:rFonts w:ascii="Arial Narrow" w:eastAsia="Times New Roman" w:hAnsi="Arial Narrow" w:cs="Times New Roman"/>
                <w:szCs w:val="16"/>
                <w:lang w:eastAsia="es-ES"/>
              </w:rPr>
              <w:t xml:space="preserve">, igual situación sucede con la STCNC, la cual no cuenta aún con recursos del presupuesto establecidos para su funcionamiento. </w:t>
            </w:r>
          </w:p>
        </w:tc>
        <w:tc>
          <w:tcPr>
            <w:tcW w:w="3969" w:type="dxa"/>
            <w:shd w:val="clear" w:color="auto" w:fill="FFFFFF" w:themeFill="background1"/>
          </w:tcPr>
          <w:p w14:paraId="3CE965F0" w14:textId="3E1E5F7A" w:rsidR="000B4109" w:rsidRPr="00B0093D" w:rsidRDefault="000B4109" w:rsidP="000B4109">
            <w:pPr>
              <w:tabs>
                <w:tab w:val="num" w:pos="322"/>
              </w:tabs>
              <w:spacing w:before="20" w:after="20"/>
              <w:contextualSpacing/>
              <w:jc w:val="left"/>
              <w:rPr>
                <w:rFonts w:ascii="Arial Narrow" w:hAnsi="Arial Narrow"/>
                <w:spacing w:val="0"/>
                <w:szCs w:val="19"/>
              </w:rPr>
            </w:pPr>
            <w:r>
              <w:rPr>
                <w:rFonts w:ascii="Arial Narrow" w:eastAsia="Times New Roman" w:hAnsi="Arial Narrow" w:cs="Times New Roman"/>
                <w:szCs w:val="16"/>
                <w:lang w:eastAsia="es-ES"/>
              </w:rPr>
              <w:t>L</w:t>
            </w:r>
            <w:r w:rsidRPr="00B0093D">
              <w:rPr>
                <w:rFonts w:ascii="Arial Narrow" w:eastAsia="Times New Roman" w:hAnsi="Arial Narrow" w:cs="Times New Roman"/>
                <w:szCs w:val="16"/>
                <w:lang w:eastAsia="es-ES"/>
              </w:rPr>
              <w:t>a materialización de riesgos</w:t>
            </w:r>
            <w:r>
              <w:rPr>
                <w:rFonts w:ascii="Arial Narrow" w:eastAsia="Times New Roman" w:hAnsi="Arial Narrow" w:cs="Times New Roman"/>
                <w:szCs w:val="16"/>
                <w:lang w:eastAsia="es-ES"/>
              </w:rPr>
              <w:t xml:space="preserve">, particularmente eventos fuera de control de la VPR, durante la creación de la STCNC y durante la ejecución del Programa </w:t>
            </w:r>
            <w:r w:rsidRPr="00B0093D">
              <w:rPr>
                <w:rFonts w:ascii="Arial Narrow" w:eastAsia="Times New Roman" w:hAnsi="Arial Narrow" w:cs="Times New Roman"/>
                <w:szCs w:val="16"/>
                <w:lang w:eastAsia="es-ES"/>
              </w:rPr>
              <w:t>puede afectar significativamente la percepción de su gestión.</w:t>
            </w:r>
            <w:r w:rsidRPr="00B0093D">
              <w:rPr>
                <w:rFonts w:ascii="Arial Narrow" w:eastAsia="Times New Roman" w:hAnsi="Arial Narrow" w:cs="Times New Roman"/>
                <w:szCs w:val="16"/>
                <w:highlight w:val="yellow"/>
                <w:lang w:eastAsia="es-ES"/>
              </w:rPr>
              <w:t xml:space="preserve">  </w:t>
            </w:r>
          </w:p>
        </w:tc>
        <w:tc>
          <w:tcPr>
            <w:tcW w:w="4112" w:type="dxa"/>
            <w:vMerge w:val="restart"/>
            <w:shd w:val="clear" w:color="auto" w:fill="FFFFFF" w:themeFill="background1"/>
          </w:tcPr>
          <w:p w14:paraId="35681D55" w14:textId="04077ABB" w:rsidR="000B4109" w:rsidRPr="00B0093D" w:rsidRDefault="000B4109" w:rsidP="000B4109">
            <w:pPr>
              <w:spacing w:before="20" w:after="20"/>
              <w:contextualSpacing/>
              <w:jc w:val="left"/>
              <w:rPr>
                <w:rFonts w:ascii="Arial Narrow" w:hAnsi="Arial Narrow"/>
                <w:spacing w:val="0"/>
                <w:szCs w:val="19"/>
              </w:rPr>
            </w:pPr>
          </w:p>
        </w:tc>
      </w:tr>
      <w:tr w:rsidR="000B4109" w:rsidRPr="00B0093D" w14:paraId="34101E49" w14:textId="77777777" w:rsidTr="00A4599F">
        <w:trPr>
          <w:trHeight w:val="1767"/>
        </w:trPr>
        <w:tc>
          <w:tcPr>
            <w:tcW w:w="2409" w:type="dxa"/>
            <w:vMerge/>
            <w:shd w:val="clear" w:color="auto" w:fill="FFFFFF" w:themeFill="background1"/>
          </w:tcPr>
          <w:p w14:paraId="1130AF7A" w14:textId="77777777" w:rsidR="000B4109" w:rsidRPr="00B0093D" w:rsidRDefault="000B4109" w:rsidP="000B4109">
            <w:pPr>
              <w:tabs>
                <w:tab w:val="num" w:pos="322"/>
              </w:tabs>
              <w:spacing w:before="20" w:after="20"/>
              <w:contextualSpacing/>
              <w:jc w:val="left"/>
              <w:rPr>
                <w:rFonts w:ascii="Arial Narrow" w:hAnsi="Arial Narrow"/>
                <w:i/>
                <w:color w:val="595959" w:themeColor="text1" w:themeTint="A6"/>
                <w:spacing w:val="0"/>
                <w:szCs w:val="19"/>
              </w:rPr>
            </w:pPr>
          </w:p>
        </w:tc>
        <w:tc>
          <w:tcPr>
            <w:tcW w:w="3969" w:type="dxa"/>
            <w:vMerge/>
            <w:shd w:val="clear" w:color="auto" w:fill="FFFFFF" w:themeFill="background1"/>
          </w:tcPr>
          <w:p w14:paraId="13C88C1A" w14:textId="53739635" w:rsidR="000B4109" w:rsidRPr="00B0093D" w:rsidRDefault="000B4109" w:rsidP="000B4109">
            <w:pPr>
              <w:tabs>
                <w:tab w:val="num" w:pos="322"/>
              </w:tabs>
              <w:spacing w:before="20" w:after="20"/>
              <w:contextualSpacing/>
              <w:jc w:val="left"/>
              <w:rPr>
                <w:rFonts w:ascii="Arial Narrow" w:eastAsia="Times New Roman" w:hAnsi="Arial Narrow" w:cs="Times New Roman"/>
                <w:szCs w:val="16"/>
                <w:lang w:eastAsia="es-ES"/>
              </w:rPr>
            </w:pPr>
          </w:p>
        </w:tc>
        <w:tc>
          <w:tcPr>
            <w:tcW w:w="3969" w:type="dxa"/>
            <w:shd w:val="clear" w:color="auto" w:fill="FFFFFF" w:themeFill="background1"/>
          </w:tcPr>
          <w:p w14:paraId="0FB37E71" w14:textId="548D3FDC" w:rsidR="000B4109" w:rsidRDefault="000B4109" w:rsidP="000B4109">
            <w:pPr>
              <w:tabs>
                <w:tab w:val="num" w:pos="322"/>
              </w:tabs>
              <w:spacing w:before="20" w:after="20"/>
              <w:contextualSpacing/>
              <w:jc w:val="left"/>
              <w:rPr>
                <w:rFonts w:ascii="Arial Narrow" w:eastAsia="Times New Roman" w:hAnsi="Arial Narrow" w:cs="Times New Roman"/>
                <w:szCs w:val="16"/>
                <w:lang w:eastAsia="es-ES"/>
              </w:rPr>
            </w:pPr>
            <w:r w:rsidRPr="004B0653">
              <w:rPr>
                <w:rFonts w:ascii="Arial Narrow" w:eastAsia="Times New Roman" w:hAnsi="Arial Narrow" w:cs="Times New Roman"/>
                <w:szCs w:val="16"/>
                <w:lang w:eastAsia="es-ES"/>
              </w:rPr>
              <w:t>La VPR cuenta con algunas políticas e instrumentos de identificación, prevención y mitigación de los riesgos provenientes del entorno general.</w:t>
            </w:r>
            <w:r w:rsidRPr="00B0093D">
              <w:rPr>
                <w:rFonts w:ascii="Arial Narrow" w:eastAsia="Times New Roman" w:hAnsi="Arial Narrow" w:cs="Times New Roman"/>
                <w:szCs w:val="16"/>
                <w:lang w:eastAsia="es-ES"/>
              </w:rPr>
              <w:t xml:space="preserve"> </w:t>
            </w:r>
            <w:r w:rsidRPr="00180E6D">
              <w:rPr>
                <w:rFonts w:ascii="Arial Narrow" w:eastAsia="Times New Roman" w:hAnsi="Arial Narrow" w:cs="Times New Roman"/>
                <w:szCs w:val="16"/>
                <w:lang w:eastAsia="es-ES"/>
              </w:rPr>
              <w:t>Sin embargo, no cuenta con una matriz de riesgos y un plan de mitigación de la organización</w:t>
            </w:r>
          </w:p>
        </w:tc>
        <w:tc>
          <w:tcPr>
            <w:tcW w:w="4112" w:type="dxa"/>
            <w:vMerge/>
            <w:shd w:val="clear" w:color="auto" w:fill="FFFFFF" w:themeFill="background1"/>
          </w:tcPr>
          <w:p w14:paraId="740662FB" w14:textId="77777777" w:rsidR="000B4109" w:rsidRPr="00B0093D" w:rsidRDefault="000B4109" w:rsidP="000B4109">
            <w:pPr>
              <w:tabs>
                <w:tab w:val="num" w:pos="322"/>
              </w:tabs>
              <w:spacing w:before="20" w:after="20"/>
              <w:contextualSpacing/>
              <w:jc w:val="left"/>
              <w:rPr>
                <w:rFonts w:ascii="Arial Narrow" w:eastAsia="Times New Roman" w:hAnsi="Arial Narrow" w:cs="Times New Roman"/>
                <w:szCs w:val="16"/>
                <w:lang w:eastAsia="es-ES"/>
              </w:rPr>
            </w:pPr>
          </w:p>
        </w:tc>
      </w:tr>
      <w:tr w:rsidR="000B4109" w:rsidRPr="00B0093D" w14:paraId="70AA18C6" w14:textId="77777777" w:rsidTr="00747A58">
        <w:trPr>
          <w:trHeight w:val="20"/>
        </w:trPr>
        <w:tc>
          <w:tcPr>
            <w:tcW w:w="14459" w:type="dxa"/>
            <w:gridSpan w:val="4"/>
            <w:shd w:val="clear" w:color="auto" w:fill="D9D9D9" w:themeFill="background1" w:themeFillShade="D9"/>
            <w:vAlign w:val="center"/>
          </w:tcPr>
          <w:p w14:paraId="0985E4E0" w14:textId="1D551129" w:rsidR="000B4109" w:rsidRPr="00B0093D" w:rsidRDefault="000B4109" w:rsidP="000B4109">
            <w:pPr>
              <w:pStyle w:val="Prrafodelista"/>
              <w:numPr>
                <w:ilvl w:val="0"/>
                <w:numId w:val="7"/>
              </w:numPr>
              <w:spacing w:before="20" w:after="20"/>
              <w:jc w:val="left"/>
              <w:rPr>
                <w:rFonts w:ascii="Arial Narrow" w:eastAsia="Times New Roman" w:hAnsi="Arial Narrow" w:cs="Times New Roman"/>
                <w:b/>
                <w:i/>
                <w:szCs w:val="16"/>
                <w:lang w:eastAsia="es-ES"/>
              </w:rPr>
            </w:pPr>
            <w:r w:rsidRPr="00B0093D">
              <w:rPr>
                <w:rFonts w:ascii="Arial Narrow" w:eastAsia="Times New Roman" w:hAnsi="Arial Narrow" w:cs="Times New Roman"/>
                <w:b/>
                <w:i/>
                <w:szCs w:val="16"/>
                <w:lang w:eastAsia="es-ES"/>
              </w:rPr>
              <w:t>RRHH y capacidades gerenciales y técnicas</w:t>
            </w:r>
          </w:p>
        </w:tc>
      </w:tr>
      <w:tr w:rsidR="000B4109" w:rsidRPr="00B0093D" w14:paraId="170B03AB" w14:textId="77777777" w:rsidTr="00747A58">
        <w:trPr>
          <w:trHeight w:val="794"/>
        </w:trPr>
        <w:tc>
          <w:tcPr>
            <w:tcW w:w="2409" w:type="dxa"/>
            <w:vMerge w:val="restart"/>
            <w:shd w:val="clear" w:color="auto" w:fill="FFFFFF" w:themeFill="background1"/>
          </w:tcPr>
          <w:p w14:paraId="2D0B1728" w14:textId="676D24F6" w:rsidR="000B4109" w:rsidRDefault="000B4109" w:rsidP="000B4109">
            <w:pPr>
              <w:tabs>
                <w:tab w:val="num" w:pos="322"/>
              </w:tabs>
              <w:spacing w:before="20" w:after="20"/>
              <w:contextualSpacing/>
              <w:jc w:val="left"/>
              <w:rPr>
                <w:rFonts w:ascii="Segoe UI" w:hAnsi="Segoe UI" w:cs="Segoe UI"/>
                <w:i/>
                <w:color w:val="595959" w:themeColor="text1" w:themeTint="A6"/>
                <w:szCs w:val="20"/>
              </w:rPr>
            </w:pPr>
            <w:r w:rsidRPr="00B0093D">
              <w:rPr>
                <w:rFonts w:ascii="Arial Narrow" w:hAnsi="Arial Narrow"/>
                <w:i/>
                <w:color w:val="595959" w:themeColor="text1" w:themeTint="A6"/>
                <w:spacing w:val="0"/>
                <w:szCs w:val="19"/>
              </w:rPr>
              <w:t>Se evaluó si las características de los RRHH, los sistemas de gestión de los mismos y las Capacidades Gerenciales y Técnicas del personal de</w:t>
            </w:r>
            <w:r>
              <w:rPr>
                <w:rFonts w:ascii="Arial Narrow" w:hAnsi="Arial Narrow"/>
                <w:i/>
                <w:color w:val="595959" w:themeColor="text1" w:themeTint="A6"/>
                <w:spacing w:val="0"/>
                <w:szCs w:val="19"/>
              </w:rPr>
              <w:t xml:space="preserve"> la VPR</w:t>
            </w:r>
            <w:r w:rsidRPr="00B0093D">
              <w:rPr>
                <w:rFonts w:ascii="Arial Narrow" w:hAnsi="Arial Narrow"/>
                <w:i/>
                <w:color w:val="595959" w:themeColor="text1" w:themeTint="A6"/>
                <w:spacing w:val="0"/>
                <w:szCs w:val="19"/>
              </w:rPr>
              <w:t xml:space="preserve">, directamente involucrado en roles de ejecución del proyecto, reúnen las condiciones necesarias para su ejecución y para la sostenibilidad de sus resultados, tomando en consideración las condiciones de ejecutabilidad </w:t>
            </w:r>
            <w:r w:rsidRPr="00B0093D">
              <w:rPr>
                <w:rStyle w:val="Refdenotaalpie"/>
                <w:rFonts w:ascii="Segoe UI" w:hAnsi="Segoe UI" w:cs="Segoe UI"/>
                <w:i/>
                <w:color w:val="595959" w:themeColor="text1" w:themeTint="A6"/>
                <w:szCs w:val="20"/>
              </w:rPr>
              <w:footnoteReference w:id="24"/>
            </w:r>
            <w:r w:rsidRPr="00B0093D">
              <w:rPr>
                <w:rFonts w:ascii="Segoe UI" w:hAnsi="Segoe UI" w:cs="Segoe UI"/>
                <w:i/>
                <w:color w:val="595959" w:themeColor="text1" w:themeTint="A6"/>
                <w:szCs w:val="20"/>
              </w:rPr>
              <w:t>.</w:t>
            </w:r>
          </w:p>
          <w:p w14:paraId="488554FF" w14:textId="7F0CE71C" w:rsidR="000B4109" w:rsidRPr="00B0093D" w:rsidRDefault="000B4109" w:rsidP="000B4109">
            <w:pPr>
              <w:tabs>
                <w:tab w:val="num" w:pos="322"/>
              </w:tabs>
              <w:spacing w:before="20" w:after="20"/>
              <w:contextualSpacing/>
              <w:jc w:val="left"/>
              <w:rPr>
                <w:rFonts w:ascii="Arial Narrow" w:hAnsi="Arial Narrow"/>
                <w:i/>
                <w:spacing w:val="0"/>
                <w:szCs w:val="19"/>
              </w:rPr>
            </w:pPr>
          </w:p>
        </w:tc>
        <w:tc>
          <w:tcPr>
            <w:tcW w:w="3969" w:type="dxa"/>
            <w:vMerge w:val="restart"/>
            <w:shd w:val="clear" w:color="auto" w:fill="FFFFFF" w:themeFill="background1"/>
          </w:tcPr>
          <w:p w14:paraId="602D7ADB" w14:textId="0D2A0F5A" w:rsidR="000B4109" w:rsidRPr="00B0093D" w:rsidRDefault="000B4109" w:rsidP="000B4109">
            <w:pPr>
              <w:tabs>
                <w:tab w:val="num" w:pos="322"/>
              </w:tabs>
              <w:spacing w:before="20" w:after="20"/>
              <w:contextualSpacing/>
              <w:jc w:val="left"/>
              <w:rPr>
                <w:rFonts w:ascii="Arial Narrow" w:eastAsia="Times New Roman" w:hAnsi="Arial Narrow" w:cs="Times New Roman"/>
                <w:szCs w:val="16"/>
                <w:lang w:eastAsia="es-ES"/>
              </w:rPr>
            </w:pPr>
            <w:r>
              <w:rPr>
                <w:rFonts w:ascii="Arial Narrow" w:hAnsi="Arial Narrow"/>
                <w:spacing w:val="0"/>
                <w:szCs w:val="19"/>
              </w:rPr>
              <w:t xml:space="preserve">Debido a que la STCNC se encuentra en su etapa de creación, al momento se desconoce la conformación la dotación y distribución del Talento Humano (TH) para dicha entidad, la cual se establecerá una vez aprobados en el Ministerio de Trabajo la Matriz de Competencias, el Estatuto Orgánico Funcional por Procesos y el Manual de Clasificación de puestos. </w:t>
            </w:r>
          </w:p>
          <w:p w14:paraId="0E271C20" w14:textId="74CC58F8" w:rsidR="000B4109" w:rsidRPr="00B0093D" w:rsidRDefault="000B4109" w:rsidP="000B4109">
            <w:pPr>
              <w:tabs>
                <w:tab w:val="num" w:pos="322"/>
              </w:tabs>
              <w:spacing w:before="20" w:after="20"/>
              <w:contextualSpacing/>
              <w:jc w:val="left"/>
              <w:rPr>
                <w:rFonts w:ascii="Arial Narrow" w:eastAsia="Times New Roman" w:hAnsi="Arial Narrow" w:cs="Times New Roman"/>
                <w:szCs w:val="16"/>
                <w:lang w:eastAsia="es-ES"/>
              </w:rPr>
            </w:pPr>
          </w:p>
        </w:tc>
        <w:tc>
          <w:tcPr>
            <w:tcW w:w="3969" w:type="dxa"/>
            <w:vMerge w:val="restart"/>
            <w:shd w:val="clear" w:color="auto" w:fill="FFFFFF" w:themeFill="background1"/>
          </w:tcPr>
          <w:p w14:paraId="71E3DD74" w14:textId="532DDF16" w:rsidR="000B4109" w:rsidRDefault="000B4109" w:rsidP="000B4109">
            <w:pPr>
              <w:tabs>
                <w:tab w:val="num" w:pos="322"/>
              </w:tabs>
              <w:spacing w:before="20" w:after="20"/>
              <w:contextualSpacing/>
              <w:jc w:val="left"/>
              <w:rPr>
                <w:rFonts w:ascii="Arial Narrow" w:hAnsi="Arial Narrow"/>
                <w:spacing w:val="0"/>
                <w:szCs w:val="19"/>
              </w:rPr>
            </w:pPr>
            <w:r>
              <w:rPr>
                <w:rFonts w:ascii="Arial Narrow" w:hAnsi="Arial Narrow"/>
                <w:spacing w:val="0"/>
                <w:szCs w:val="19"/>
              </w:rPr>
              <w:t xml:space="preserve">El TH de la VPR consiste en 121 funcionarios, de los cuales el 67.7 % es personal permanente y el 32% es personal contratado. El TH tiene una carga laboral acorde al estatuto y planificación del talento humano, considerándose eficiente la distribución del TH por carga laboral.  Debido a la dependencia directa de recursos del MEF y a la política de control del gasto público, existe poca flexibilidad para incrementar la plantilla por contrato. </w:t>
            </w:r>
          </w:p>
          <w:p w14:paraId="0D6EACE7" w14:textId="4F681CC2" w:rsidR="000B4109" w:rsidRPr="00B0093D" w:rsidRDefault="000B4109" w:rsidP="000B4109">
            <w:pPr>
              <w:tabs>
                <w:tab w:val="num" w:pos="322"/>
              </w:tabs>
              <w:spacing w:before="20" w:after="20"/>
              <w:contextualSpacing/>
              <w:jc w:val="left"/>
              <w:rPr>
                <w:rFonts w:ascii="Arial Narrow" w:hAnsi="Arial Narrow"/>
                <w:spacing w:val="0"/>
                <w:szCs w:val="19"/>
              </w:rPr>
            </w:pPr>
            <w:r>
              <w:rPr>
                <w:rFonts w:ascii="Arial Narrow" w:hAnsi="Arial Narrow"/>
                <w:spacing w:val="0"/>
                <w:szCs w:val="19"/>
              </w:rPr>
              <w:t xml:space="preserve">En consecuencia, teniendo en consideración lo anterior y los requerimientos de TH con dedicación exclusiva a la ejecución del componente, la situación del TH de la VPR representa algunos retos para la ejecución del Programa pues la carga de trabajo </w:t>
            </w:r>
            <w:r>
              <w:rPr>
                <w:rFonts w:ascii="Arial Narrow" w:hAnsi="Arial Narrow"/>
                <w:spacing w:val="0"/>
                <w:szCs w:val="19"/>
              </w:rPr>
              <w:lastRenderedPageBreak/>
              <w:t xml:space="preserve">para la gestión del componente requiere de personal adicional.  </w:t>
            </w:r>
          </w:p>
        </w:tc>
        <w:tc>
          <w:tcPr>
            <w:tcW w:w="4112" w:type="dxa"/>
            <w:shd w:val="clear" w:color="auto" w:fill="FFFFFF" w:themeFill="background1"/>
          </w:tcPr>
          <w:p w14:paraId="5A67DEA5" w14:textId="25C29C95" w:rsidR="000B4109" w:rsidRPr="00B0093D" w:rsidRDefault="000B4109" w:rsidP="000B4109">
            <w:pPr>
              <w:spacing w:before="20" w:after="20"/>
              <w:contextualSpacing/>
              <w:jc w:val="left"/>
              <w:rPr>
                <w:rFonts w:ascii="Arial Narrow" w:hAnsi="Arial Narrow"/>
                <w:spacing w:val="0"/>
                <w:szCs w:val="19"/>
              </w:rPr>
            </w:pPr>
            <w:r w:rsidRPr="00B0093D">
              <w:rPr>
                <w:rFonts w:ascii="Arial Narrow" w:hAnsi="Arial Narrow"/>
                <w:spacing w:val="0"/>
                <w:szCs w:val="19"/>
              </w:rPr>
              <w:lastRenderedPageBreak/>
              <w:t>La gestión de</w:t>
            </w:r>
            <w:r>
              <w:rPr>
                <w:rFonts w:ascii="Arial Narrow" w:hAnsi="Arial Narrow"/>
                <w:spacing w:val="0"/>
                <w:szCs w:val="19"/>
              </w:rPr>
              <w:t xml:space="preserve">l talento humando de la VPR </w:t>
            </w:r>
            <w:r w:rsidRPr="00B0093D">
              <w:rPr>
                <w:rFonts w:ascii="Arial Narrow" w:hAnsi="Arial Narrow"/>
                <w:spacing w:val="0"/>
                <w:szCs w:val="19"/>
              </w:rPr>
              <w:t>se respalda en el Manual Orgánico Funcional por Procesos, los Manuales de Procesos</w:t>
            </w:r>
            <w:r>
              <w:rPr>
                <w:rFonts w:ascii="Arial Narrow" w:hAnsi="Arial Narrow"/>
                <w:spacing w:val="0"/>
                <w:szCs w:val="19"/>
              </w:rPr>
              <w:t xml:space="preserve"> y la planificación del talento humano.  La unidad encargada de la gestión del talento humano es la Coordinación General Administrativa Financiera </w:t>
            </w:r>
            <w:r w:rsidRPr="00B0093D">
              <w:rPr>
                <w:rFonts w:ascii="Arial Narrow" w:hAnsi="Arial Narrow"/>
                <w:spacing w:val="0"/>
                <w:szCs w:val="19"/>
              </w:rPr>
              <w:t>a</w:t>
            </w:r>
            <w:r>
              <w:rPr>
                <w:rFonts w:ascii="Arial Narrow" w:hAnsi="Arial Narrow"/>
                <w:spacing w:val="0"/>
                <w:szCs w:val="19"/>
              </w:rPr>
              <w:t xml:space="preserve"> través de la Dirección de Administración del Talento Humano. </w:t>
            </w:r>
          </w:p>
          <w:p w14:paraId="69EBD303" w14:textId="056589AD" w:rsidR="000B4109" w:rsidRPr="00B0093D" w:rsidRDefault="000B4109" w:rsidP="000B4109">
            <w:pPr>
              <w:spacing w:before="20" w:after="20"/>
              <w:contextualSpacing/>
              <w:jc w:val="left"/>
              <w:rPr>
                <w:rFonts w:ascii="Arial Narrow" w:hAnsi="Arial Narrow"/>
                <w:spacing w:val="0"/>
                <w:szCs w:val="19"/>
              </w:rPr>
            </w:pPr>
          </w:p>
        </w:tc>
      </w:tr>
      <w:tr w:rsidR="000B4109" w:rsidRPr="00B0093D" w14:paraId="29B45258" w14:textId="77777777" w:rsidTr="00747A58">
        <w:trPr>
          <w:trHeight w:val="1135"/>
        </w:trPr>
        <w:tc>
          <w:tcPr>
            <w:tcW w:w="2409" w:type="dxa"/>
            <w:vMerge/>
            <w:shd w:val="clear" w:color="auto" w:fill="FFFFFF" w:themeFill="background1"/>
          </w:tcPr>
          <w:p w14:paraId="4218D6B5" w14:textId="77777777" w:rsidR="000B4109" w:rsidRPr="00B0093D" w:rsidRDefault="000B4109" w:rsidP="000B4109">
            <w:pPr>
              <w:tabs>
                <w:tab w:val="num" w:pos="322"/>
              </w:tabs>
              <w:spacing w:before="20" w:after="20"/>
              <w:contextualSpacing/>
              <w:jc w:val="left"/>
              <w:rPr>
                <w:rFonts w:ascii="Arial Narrow" w:hAnsi="Arial Narrow"/>
                <w:i/>
                <w:color w:val="595959" w:themeColor="text1" w:themeTint="A6"/>
                <w:spacing w:val="0"/>
                <w:szCs w:val="19"/>
              </w:rPr>
            </w:pPr>
          </w:p>
        </w:tc>
        <w:tc>
          <w:tcPr>
            <w:tcW w:w="3969" w:type="dxa"/>
            <w:vMerge/>
            <w:shd w:val="clear" w:color="auto" w:fill="FFFFFF" w:themeFill="background1"/>
          </w:tcPr>
          <w:p w14:paraId="4DF1AC0E" w14:textId="6690A246" w:rsidR="000B4109" w:rsidRPr="00B0093D" w:rsidRDefault="000B4109" w:rsidP="000B4109">
            <w:pPr>
              <w:tabs>
                <w:tab w:val="num" w:pos="322"/>
              </w:tabs>
              <w:spacing w:before="20" w:after="20"/>
              <w:contextualSpacing/>
              <w:jc w:val="left"/>
              <w:rPr>
                <w:rFonts w:ascii="Arial Narrow" w:eastAsia="Times New Roman" w:hAnsi="Arial Narrow" w:cs="Times New Roman"/>
                <w:szCs w:val="16"/>
                <w:lang w:eastAsia="es-ES"/>
              </w:rPr>
            </w:pPr>
          </w:p>
        </w:tc>
        <w:tc>
          <w:tcPr>
            <w:tcW w:w="3969" w:type="dxa"/>
            <w:vMerge/>
            <w:shd w:val="clear" w:color="auto" w:fill="auto"/>
          </w:tcPr>
          <w:p w14:paraId="4B6267CE" w14:textId="15936E6A" w:rsidR="000B4109" w:rsidRPr="00B0093D" w:rsidRDefault="000B4109" w:rsidP="000B4109">
            <w:pPr>
              <w:spacing w:before="20" w:after="20"/>
              <w:contextualSpacing/>
              <w:jc w:val="left"/>
              <w:rPr>
                <w:rFonts w:ascii="Arial Narrow" w:eastAsia="Times New Roman" w:hAnsi="Arial Narrow" w:cs="Times New Roman"/>
                <w:szCs w:val="16"/>
                <w:lang w:eastAsia="es-ES"/>
              </w:rPr>
            </w:pPr>
          </w:p>
        </w:tc>
        <w:tc>
          <w:tcPr>
            <w:tcW w:w="4112" w:type="dxa"/>
            <w:shd w:val="clear" w:color="auto" w:fill="FFFFFF" w:themeFill="background1"/>
          </w:tcPr>
          <w:p w14:paraId="598223B9" w14:textId="65142BA6" w:rsidR="000B4109" w:rsidRDefault="000B4109" w:rsidP="000B4109">
            <w:pPr>
              <w:spacing w:before="20" w:after="20"/>
              <w:contextualSpacing/>
              <w:jc w:val="left"/>
              <w:rPr>
                <w:rFonts w:ascii="Arial Narrow" w:hAnsi="Arial Narrow"/>
                <w:spacing w:val="0"/>
                <w:szCs w:val="19"/>
                <w:highlight w:val="yellow"/>
              </w:rPr>
            </w:pPr>
            <w:r>
              <w:rPr>
                <w:rFonts w:ascii="Arial Narrow" w:hAnsi="Arial Narrow"/>
                <w:spacing w:val="0"/>
                <w:szCs w:val="19"/>
              </w:rPr>
              <w:t xml:space="preserve">La VPR cuenta con las competencias gerenciales necesarias para ejercer la coordinación de la ejecución del componente del Programa, así como también para coordinar los aspectos técnicos relacionados con la competitividad pues preside el CNC y tiene a la STCNC como entidad adscrita para la ejecución de </w:t>
            </w:r>
            <w:r>
              <w:rPr>
                <w:rFonts w:ascii="Arial Narrow" w:hAnsi="Arial Narrow"/>
                <w:spacing w:val="0"/>
                <w:szCs w:val="19"/>
              </w:rPr>
              <w:lastRenderedPageBreak/>
              <w:t xml:space="preserve">estas políticas, cuyo equipo técnico sería cubierto por el Programa.  </w:t>
            </w:r>
          </w:p>
          <w:p w14:paraId="1935380F" w14:textId="07D647A6" w:rsidR="000B4109" w:rsidRPr="00B0093D" w:rsidRDefault="000B4109" w:rsidP="000B4109">
            <w:pPr>
              <w:spacing w:before="20" w:after="20"/>
              <w:contextualSpacing/>
              <w:jc w:val="left"/>
              <w:rPr>
                <w:rFonts w:ascii="Arial Narrow" w:hAnsi="Arial Narrow"/>
                <w:spacing w:val="0"/>
                <w:szCs w:val="19"/>
              </w:rPr>
            </w:pPr>
          </w:p>
        </w:tc>
      </w:tr>
      <w:tr w:rsidR="000B4109" w:rsidRPr="00B0093D" w14:paraId="75D0C07B" w14:textId="77777777" w:rsidTr="00747A58">
        <w:trPr>
          <w:trHeight w:val="20"/>
        </w:trPr>
        <w:tc>
          <w:tcPr>
            <w:tcW w:w="14459" w:type="dxa"/>
            <w:gridSpan w:val="4"/>
            <w:shd w:val="clear" w:color="auto" w:fill="D9D9D9" w:themeFill="background1" w:themeFillShade="D9"/>
            <w:vAlign w:val="center"/>
          </w:tcPr>
          <w:p w14:paraId="7112B5AE" w14:textId="77777777" w:rsidR="000B4109" w:rsidRPr="00B0093D" w:rsidRDefault="000B4109" w:rsidP="000B4109">
            <w:pPr>
              <w:pStyle w:val="Prrafodelista"/>
              <w:numPr>
                <w:ilvl w:val="0"/>
                <w:numId w:val="7"/>
              </w:numPr>
              <w:spacing w:before="20" w:after="20"/>
              <w:jc w:val="left"/>
              <w:rPr>
                <w:rFonts w:ascii="Arial Narrow" w:eastAsia="Times New Roman" w:hAnsi="Arial Narrow" w:cs="Times New Roman"/>
                <w:b/>
                <w:i/>
                <w:szCs w:val="16"/>
                <w:lang w:eastAsia="es-ES"/>
              </w:rPr>
            </w:pPr>
            <w:r w:rsidRPr="00B0093D">
              <w:rPr>
                <w:rFonts w:ascii="Arial Narrow" w:eastAsia="Times New Roman" w:hAnsi="Arial Narrow" w:cs="Times New Roman"/>
                <w:b/>
                <w:i/>
                <w:szCs w:val="16"/>
                <w:lang w:eastAsia="es-ES"/>
              </w:rPr>
              <w:t>Administración de Proyectos</w:t>
            </w:r>
          </w:p>
        </w:tc>
      </w:tr>
      <w:tr w:rsidR="000B4109" w:rsidRPr="00B0093D" w14:paraId="5E4D18B2" w14:textId="77777777" w:rsidTr="00747A58">
        <w:trPr>
          <w:trHeight w:val="764"/>
        </w:trPr>
        <w:tc>
          <w:tcPr>
            <w:tcW w:w="2409" w:type="dxa"/>
            <w:vMerge w:val="restart"/>
            <w:shd w:val="clear" w:color="auto" w:fill="FFFFFF" w:themeFill="background1"/>
          </w:tcPr>
          <w:p w14:paraId="64751AA7" w14:textId="2AD285C6" w:rsidR="000B4109" w:rsidRPr="00B0093D" w:rsidRDefault="000B4109" w:rsidP="000B4109">
            <w:pPr>
              <w:tabs>
                <w:tab w:val="num" w:pos="322"/>
              </w:tabs>
              <w:spacing w:before="20" w:after="20"/>
              <w:contextualSpacing/>
              <w:jc w:val="left"/>
              <w:rPr>
                <w:rFonts w:ascii="Arial Narrow" w:hAnsi="Arial Narrow"/>
                <w:i/>
                <w:spacing w:val="0"/>
                <w:szCs w:val="19"/>
              </w:rPr>
            </w:pPr>
            <w:r w:rsidRPr="00B0093D">
              <w:rPr>
                <w:rFonts w:ascii="Arial Narrow" w:hAnsi="Arial Narrow"/>
                <w:i/>
                <w:color w:val="595959" w:themeColor="text1" w:themeTint="A6"/>
                <w:spacing w:val="0"/>
                <w:szCs w:val="19"/>
              </w:rPr>
              <w:t>Se evaluó la experiencia, los RRHH, la estructura de toma de decisiones y las prácticas usadas en la administración y sostenibilidad de proyectos por parte de</w:t>
            </w:r>
            <w:r>
              <w:rPr>
                <w:rFonts w:ascii="Arial Narrow" w:hAnsi="Arial Narrow"/>
                <w:i/>
                <w:color w:val="595959" w:themeColor="text1" w:themeTint="A6"/>
                <w:spacing w:val="0"/>
                <w:szCs w:val="19"/>
              </w:rPr>
              <w:t xml:space="preserve"> la VPR</w:t>
            </w:r>
            <w:r w:rsidRPr="00B0093D">
              <w:rPr>
                <w:rFonts w:ascii="Arial Narrow" w:hAnsi="Arial Narrow"/>
                <w:i/>
                <w:color w:val="595959" w:themeColor="text1" w:themeTint="A6"/>
                <w:spacing w:val="0"/>
                <w:szCs w:val="19"/>
              </w:rPr>
              <w:t>, para determinar su capacidad actual de ejecutar el proyecto en los plazos previstos, así como los eventuales ajustes y complementos que para el efecto deban implementarse, tomando en consideración las condiciones de ejecutabilidad</w:t>
            </w:r>
            <w:r w:rsidRPr="00B0093D">
              <w:rPr>
                <w:rStyle w:val="Refdenotaalpie"/>
                <w:rFonts w:ascii="Segoe UI" w:hAnsi="Segoe UI" w:cs="Segoe UI"/>
                <w:i/>
                <w:color w:val="595959" w:themeColor="text1" w:themeTint="A6"/>
                <w:szCs w:val="20"/>
              </w:rPr>
              <w:footnoteReference w:id="25"/>
            </w:r>
            <w:r w:rsidRPr="00B0093D">
              <w:rPr>
                <w:rFonts w:ascii="Segoe UI" w:hAnsi="Segoe UI" w:cs="Segoe UI"/>
                <w:i/>
                <w:color w:val="595959" w:themeColor="text1" w:themeTint="A6"/>
                <w:szCs w:val="20"/>
              </w:rPr>
              <w:t>.</w:t>
            </w:r>
          </w:p>
        </w:tc>
        <w:tc>
          <w:tcPr>
            <w:tcW w:w="3969" w:type="dxa"/>
            <w:shd w:val="clear" w:color="auto" w:fill="FFFFFF" w:themeFill="background1"/>
          </w:tcPr>
          <w:p w14:paraId="65661598" w14:textId="589F3C9C" w:rsidR="000B4109" w:rsidRPr="00B0093D" w:rsidRDefault="000B4109" w:rsidP="000B4109">
            <w:pPr>
              <w:tabs>
                <w:tab w:val="num" w:pos="322"/>
              </w:tabs>
              <w:spacing w:before="20" w:after="20"/>
              <w:contextualSpacing/>
              <w:jc w:val="left"/>
              <w:rPr>
                <w:rFonts w:ascii="Arial Narrow" w:eastAsia="Times New Roman" w:hAnsi="Arial Narrow" w:cs="Times New Roman"/>
                <w:szCs w:val="16"/>
                <w:lang w:eastAsia="es-ES"/>
              </w:rPr>
            </w:pPr>
            <w:r>
              <w:rPr>
                <w:rFonts w:ascii="Arial Narrow" w:hAnsi="Arial Narrow"/>
                <w:spacing w:val="0"/>
                <w:szCs w:val="19"/>
              </w:rPr>
              <w:t xml:space="preserve">La VPR </w:t>
            </w:r>
            <w:r w:rsidRPr="00B0093D">
              <w:rPr>
                <w:rFonts w:ascii="Arial Narrow" w:hAnsi="Arial Narrow"/>
                <w:spacing w:val="0"/>
                <w:szCs w:val="19"/>
              </w:rPr>
              <w:t xml:space="preserve">no tiene experiencia previa en la ejecución de proyectos con el BID </w:t>
            </w:r>
            <w:r>
              <w:rPr>
                <w:rFonts w:ascii="Arial Narrow" w:hAnsi="Arial Narrow"/>
                <w:spacing w:val="0"/>
                <w:szCs w:val="19"/>
              </w:rPr>
              <w:t xml:space="preserve">y no ha ejecutado proyectos de inversión </w:t>
            </w:r>
            <w:r w:rsidR="0068788D">
              <w:rPr>
                <w:rFonts w:ascii="Arial Narrow" w:hAnsi="Arial Narrow"/>
                <w:spacing w:val="0"/>
                <w:szCs w:val="19"/>
              </w:rPr>
              <w:t xml:space="preserve">registrados en el SIPeIP; </w:t>
            </w:r>
            <w:r>
              <w:rPr>
                <w:rFonts w:ascii="Arial Narrow" w:hAnsi="Arial Narrow"/>
                <w:spacing w:val="0"/>
                <w:szCs w:val="19"/>
              </w:rPr>
              <w:t>financiados con recursos externos ni con fondos locales desde 2013, al momento la entidad no posee presupuesto para proyectos de inversión</w:t>
            </w:r>
            <w:r w:rsidR="0068788D">
              <w:rPr>
                <w:rFonts w:ascii="Arial Narrow" w:hAnsi="Arial Narrow"/>
                <w:spacing w:val="0"/>
                <w:szCs w:val="19"/>
              </w:rPr>
              <w:t xml:space="preserve"> en el PAI </w:t>
            </w:r>
            <w:r>
              <w:rPr>
                <w:rFonts w:ascii="Arial Narrow" w:hAnsi="Arial Narrow"/>
                <w:spacing w:val="0"/>
                <w:szCs w:val="19"/>
              </w:rPr>
              <w:t>y no se manejan proyectos de inversión</w:t>
            </w:r>
            <w:r w:rsidR="0068788D">
              <w:rPr>
                <w:rFonts w:ascii="Arial Narrow" w:hAnsi="Arial Narrow"/>
                <w:spacing w:val="0"/>
                <w:szCs w:val="19"/>
              </w:rPr>
              <w:t xml:space="preserve"> registrados en el SIPeIP</w:t>
            </w:r>
            <w:r>
              <w:rPr>
                <w:rFonts w:ascii="Arial Narrow" w:hAnsi="Arial Narrow"/>
                <w:spacing w:val="0"/>
                <w:szCs w:val="19"/>
              </w:rPr>
              <w:t xml:space="preserve">. </w:t>
            </w:r>
          </w:p>
        </w:tc>
        <w:tc>
          <w:tcPr>
            <w:tcW w:w="3969" w:type="dxa"/>
            <w:shd w:val="clear" w:color="auto" w:fill="FFFFFF" w:themeFill="background1"/>
          </w:tcPr>
          <w:p w14:paraId="69CFA59D" w14:textId="05FE2027" w:rsidR="000B4109" w:rsidRPr="00810033" w:rsidRDefault="000B4109" w:rsidP="000B4109">
            <w:pPr>
              <w:tabs>
                <w:tab w:val="num" w:pos="322"/>
              </w:tabs>
              <w:spacing w:before="20" w:after="20"/>
              <w:contextualSpacing/>
              <w:jc w:val="left"/>
              <w:rPr>
                <w:rFonts w:ascii="Arial Narrow" w:hAnsi="Arial Narrow"/>
                <w:spacing w:val="0"/>
                <w:szCs w:val="19"/>
                <w:highlight w:val="yellow"/>
              </w:rPr>
            </w:pPr>
            <w:r>
              <w:rPr>
                <w:rFonts w:ascii="Arial Narrow" w:hAnsi="Arial Narrow"/>
                <w:spacing w:val="0"/>
                <w:szCs w:val="19"/>
              </w:rPr>
              <w:t>La VPR cuenta con TH humano calificado en PMI y con experiencia en la administración de Proyectos. Sin embargo, este personal tiene una carga laboral acorde al estatuto y planificación del talento humano que no considera los proyectos de inversión</w:t>
            </w:r>
          </w:p>
        </w:tc>
        <w:tc>
          <w:tcPr>
            <w:tcW w:w="4112" w:type="dxa"/>
            <w:shd w:val="clear" w:color="auto" w:fill="FFFFFF" w:themeFill="background1"/>
          </w:tcPr>
          <w:p w14:paraId="5E1171F1" w14:textId="5CAA2EE4" w:rsidR="000B4109" w:rsidRPr="00B0093D" w:rsidRDefault="000B4109" w:rsidP="000B4109">
            <w:pPr>
              <w:spacing w:before="20" w:after="20"/>
              <w:contextualSpacing/>
              <w:jc w:val="left"/>
              <w:rPr>
                <w:rFonts w:ascii="Arial Narrow" w:hAnsi="Arial Narrow"/>
                <w:spacing w:val="0"/>
                <w:szCs w:val="19"/>
              </w:rPr>
            </w:pPr>
            <w:r>
              <w:rPr>
                <w:rFonts w:ascii="Arial Narrow" w:hAnsi="Arial Narrow"/>
                <w:spacing w:val="0"/>
                <w:szCs w:val="19"/>
              </w:rPr>
              <w:t xml:space="preserve">La VPR </w:t>
            </w:r>
            <w:r w:rsidRPr="00B0093D">
              <w:rPr>
                <w:rFonts w:ascii="Arial Narrow" w:hAnsi="Arial Narrow"/>
                <w:spacing w:val="0"/>
                <w:szCs w:val="19"/>
              </w:rPr>
              <w:t>se encuentra sujeto a los sistemas de inversión pública establecidos en el COPFP y en la LOSNCP, que norman los requerimientos y procesos de la inversión pública</w:t>
            </w:r>
            <w:r>
              <w:rPr>
                <w:rFonts w:ascii="Arial Narrow" w:hAnsi="Arial Narrow"/>
                <w:spacing w:val="0"/>
                <w:szCs w:val="19"/>
              </w:rPr>
              <w:t>; de igual manera lo estará la STCNC</w:t>
            </w:r>
          </w:p>
        </w:tc>
      </w:tr>
      <w:tr w:rsidR="000B4109" w:rsidRPr="00B0093D" w14:paraId="7ACD01E3" w14:textId="77777777" w:rsidTr="00747A58">
        <w:trPr>
          <w:trHeight w:val="764"/>
        </w:trPr>
        <w:tc>
          <w:tcPr>
            <w:tcW w:w="2409" w:type="dxa"/>
            <w:vMerge/>
            <w:shd w:val="clear" w:color="auto" w:fill="FFFFFF" w:themeFill="background1"/>
          </w:tcPr>
          <w:p w14:paraId="7D52D0A3" w14:textId="77777777" w:rsidR="000B4109" w:rsidRPr="00B0093D" w:rsidRDefault="000B4109" w:rsidP="000B4109">
            <w:pPr>
              <w:tabs>
                <w:tab w:val="num" w:pos="322"/>
              </w:tabs>
              <w:spacing w:before="20" w:after="20"/>
              <w:contextualSpacing/>
              <w:jc w:val="left"/>
              <w:rPr>
                <w:rFonts w:ascii="Arial Narrow" w:hAnsi="Arial Narrow"/>
                <w:i/>
                <w:color w:val="595959" w:themeColor="text1" w:themeTint="A6"/>
                <w:spacing w:val="0"/>
                <w:szCs w:val="19"/>
              </w:rPr>
            </w:pPr>
          </w:p>
        </w:tc>
        <w:tc>
          <w:tcPr>
            <w:tcW w:w="3969" w:type="dxa"/>
            <w:shd w:val="clear" w:color="auto" w:fill="FFFFFF" w:themeFill="background1"/>
          </w:tcPr>
          <w:p w14:paraId="3890D42F" w14:textId="77777777" w:rsidR="000B4109" w:rsidRDefault="000B4109" w:rsidP="000B4109">
            <w:pPr>
              <w:tabs>
                <w:tab w:val="num" w:pos="322"/>
              </w:tabs>
              <w:spacing w:before="20" w:after="20"/>
              <w:contextualSpacing/>
              <w:jc w:val="left"/>
              <w:rPr>
                <w:rFonts w:ascii="Arial Narrow" w:hAnsi="Arial Narrow"/>
                <w:spacing w:val="0"/>
                <w:szCs w:val="19"/>
              </w:rPr>
            </w:pPr>
            <w:r>
              <w:rPr>
                <w:rFonts w:ascii="Arial Narrow" w:hAnsi="Arial Narrow"/>
                <w:spacing w:val="0"/>
                <w:szCs w:val="19"/>
              </w:rPr>
              <w:t>Aún no existe un proyecto de inversión priorizado por ‘Planifica Ecuador’ requisito previo para la firma del convenio de préstamo y la ejecución del componente.</w:t>
            </w:r>
            <w:r w:rsidRPr="00B0093D">
              <w:rPr>
                <w:rFonts w:ascii="Arial Narrow" w:hAnsi="Arial Narrow"/>
                <w:spacing w:val="0"/>
                <w:szCs w:val="19"/>
              </w:rPr>
              <w:t xml:space="preserve"> Existen requerimientos de inversión pública que requieren aprobaciones de organismos externos como </w:t>
            </w:r>
            <w:r>
              <w:rPr>
                <w:rFonts w:ascii="Arial Narrow" w:hAnsi="Arial Narrow"/>
                <w:spacing w:val="0"/>
                <w:szCs w:val="19"/>
              </w:rPr>
              <w:t>‘Planifica Ecuador’</w:t>
            </w:r>
            <w:r w:rsidRPr="00B0093D">
              <w:rPr>
                <w:rFonts w:ascii="Arial Narrow" w:hAnsi="Arial Narrow"/>
                <w:spacing w:val="0"/>
                <w:szCs w:val="19"/>
              </w:rPr>
              <w:t xml:space="preserve"> (priorización de proyectos; PAI); y MEF (aspectos presupuestarios, etc.), que podrían demorar la ejecución del Proyecto.</w:t>
            </w:r>
          </w:p>
          <w:p w14:paraId="6D1B03DC" w14:textId="77777777" w:rsidR="000B4109" w:rsidRPr="00B0093D" w:rsidRDefault="000B4109" w:rsidP="000B4109">
            <w:pPr>
              <w:tabs>
                <w:tab w:val="num" w:pos="322"/>
              </w:tabs>
              <w:spacing w:before="20" w:after="20"/>
              <w:contextualSpacing/>
              <w:jc w:val="left"/>
              <w:rPr>
                <w:rFonts w:ascii="Arial Narrow" w:hAnsi="Arial Narrow"/>
                <w:spacing w:val="0"/>
                <w:szCs w:val="19"/>
              </w:rPr>
            </w:pPr>
          </w:p>
        </w:tc>
        <w:tc>
          <w:tcPr>
            <w:tcW w:w="3969" w:type="dxa"/>
            <w:shd w:val="clear" w:color="auto" w:fill="FFFFFF" w:themeFill="background1"/>
          </w:tcPr>
          <w:p w14:paraId="406FF87F" w14:textId="688DFBCB" w:rsidR="000B4109" w:rsidRPr="00B0093D" w:rsidRDefault="000B4109" w:rsidP="000B4109">
            <w:pPr>
              <w:tabs>
                <w:tab w:val="num" w:pos="322"/>
              </w:tabs>
              <w:spacing w:before="20" w:after="20"/>
              <w:contextualSpacing/>
              <w:jc w:val="left"/>
              <w:rPr>
                <w:rFonts w:ascii="Arial Narrow" w:hAnsi="Arial Narrow"/>
                <w:spacing w:val="0"/>
                <w:szCs w:val="19"/>
              </w:rPr>
            </w:pPr>
            <w:r>
              <w:rPr>
                <w:rFonts w:ascii="Arial Narrow" w:hAnsi="Arial Narrow"/>
                <w:spacing w:val="0"/>
                <w:szCs w:val="19"/>
              </w:rPr>
              <w:t>Debido a que la entidad no ha manejado proyectos de inversión</w:t>
            </w:r>
            <w:r w:rsidR="0068788D">
              <w:rPr>
                <w:rFonts w:ascii="Arial Narrow" w:hAnsi="Arial Narrow"/>
                <w:spacing w:val="0"/>
                <w:szCs w:val="19"/>
              </w:rPr>
              <w:t xml:space="preserve"> registrados en el SIPeIP</w:t>
            </w:r>
            <w:r>
              <w:rPr>
                <w:rFonts w:ascii="Arial Narrow" w:hAnsi="Arial Narrow"/>
                <w:spacing w:val="0"/>
                <w:szCs w:val="19"/>
              </w:rPr>
              <w:t xml:space="preserve"> en los últimos años, se requiere una revisión de su documentación existente de planificación de proyectos, sus </w:t>
            </w:r>
            <w:r w:rsidRPr="00B0093D">
              <w:rPr>
                <w:rFonts w:ascii="Arial Narrow" w:hAnsi="Arial Narrow"/>
                <w:spacing w:val="0"/>
                <w:szCs w:val="19"/>
              </w:rPr>
              <w:t>procedimientos</w:t>
            </w:r>
            <w:r>
              <w:rPr>
                <w:rFonts w:ascii="Arial Narrow" w:hAnsi="Arial Narrow"/>
                <w:spacing w:val="0"/>
                <w:szCs w:val="19"/>
              </w:rPr>
              <w:t xml:space="preserve"> </w:t>
            </w:r>
            <w:r>
              <w:t>y</w:t>
            </w:r>
            <w:r w:rsidRPr="00B0093D">
              <w:rPr>
                <w:rFonts w:ascii="Arial Narrow" w:hAnsi="Arial Narrow"/>
                <w:spacing w:val="0"/>
                <w:szCs w:val="19"/>
              </w:rPr>
              <w:t xml:space="preserve"> herramientas</w:t>
            </w:r>
            <w:r>
              <w:rPr>
                <w:rFonts w:ascii="Arial Narrow" w:hAnsi="Arial Narrow"/>
                <w:spacing w:val="0"/>
                <w:szCs w:val="19"/>
              </w:rPr>
              <w:t xml:space="preserve">, específicamente de las prácticas de ejecución, seguimiento, evaluación de resultados y gestión de riesgos de proyectos de inversión propuestas en el PM4R. </w:t>
            </w:r>
          </w:p>
        </w:tc>
        <w:tc>
          <w:tcPr>
            <w:tcW w:w="4112" w:type="dxa"/>
            <w:shd w:val="clear" w:color="auto" w:fill="FFFFFF" w:themeFill="background1"/>
          </w:tcPr>
          <w:p w14:paraId="229CF76E" w14:textId="5C44FC49" w:rsidR="000B4109" w:rsidRPr="00B0093D" w:rsidRDefault="000B4109" w:rsidP="000B4109">
            <w:pPr>
              <w:tabs>
                <w:tab w:val="num" w:pos="322"/>
              </w:tabs>
              <w:spacing w:before="20" w:after="20"/>
              <w:contextualSpacing/>
              <w:jc w:val="left"/>
              <w:rPr>
                <w:rFonts w:ascii="Arial Narrow" w:hAnsi="Arial Narrow"/>
                <w:spacing w:val="0"/>
                <w:szCs w:val="19"/>
              </w:rPr>
            </w:pPr>
            <w:r>
              <w:rPr>
                <w:rFonts w:ascii="Arial Narrow" w:hAnsi="Arial Narrow"/>
                <w:spacing w:val="0"/>
                <w:szCs w:val="19"/>
              </w:rPr>
              <w:t xml:space="preserve">La VPR </w:t>
            </w:r>
            <w:r w:rsidRPr="00B0093D">
              <w:rPr>
                <w:rFonts w:ascii="Arial Narrow" w:hAnsi="Arial Narrow"/>
                <w:spacing w:val="0"/>
                <w:szCs w:val="19"/>
              </w:rPr>
              <w:t xml:space="preserve">cuenta con un sistema de registro y archivo adecuado que permite dar cuentas de todas las actividades/productos </w:t>
            </w:r>
            <w:r>
              <w:rPr>
                <w:rFonts w:ascii="Arial Narrow" w:hAnsi="Arial Narrow"/>
                <w:spacing w:val="0"/>
                <w:szCs w:val="19"/>
              </w:rPr>
              <w:t xml:space="preserve">contratados o adquiridos por la institución mediante el SNCP </w:t>
            </w:r>
            <w:r w:rsidRPr="00B0093D">
              <w:rPr>
                <w:rFonts w:ascii="Arial Narrow" w:hAnsi="Arial Narrow"/>
                <w:spacing w:val="0"/>
                <w:szCs w:val="19"/>
              </w:rPr>
              <w:t>y sirve como fuente de información y de soporte a las decisiones tomadas; se recomienda la incorporación de un check list para facilitar el manejo de la documentación</w:t>
            </w:r>
          </w:p>
        </w:tc>
      </w:tr>
      <w:tr w:rsidR="000B4109" w:rsidRPr="00B0093D" w14:paraId="62E7E0DB" w14:textId="77777777" w:rsidTr="00747A58">
        <w:trPr>
          <w:trHeight w:val="617"/>
        </w:trPr>
        <w:tc>
          <w:tcPr>
            <w:tcW w:w="2409" w:type="dxa"/>
            <w:vMerge/>
            <w:shd w:val="clear" w:color="auto" w:fill="FFFFFF" w:themeFill="background1"/>
          </w:tcPr>
          <w:p w14:paraId="2D07214A" w14:textId="77777777" w:rsidR="000B4109" w:rsidRPr="00B0093D" w:rsidRDefault="000B4109" w:rsidP="000B4109">
            <w:pPr>
              <w:tabs>
                <w:tab w:val="num" w:pos="322"/>
              </w:tabs>
              <w:spacing w:before="20" w:after="20"/>
              <w:contextualSpacing/>
              <w:jc w:val="left"/>
              <w:rPr>
                <w:rFonts w:ascii="Arial Narrow" w:hAnsi="Arial Narrow"/>
                <w:i/>
                <w:color w:val="595959" w:themeColor="text1" w:themeTint="A6"/>
                <w:spacing w:val="0"/>
                <w:szCs w:val="19"/>
              </w:rPr>
            </w:pPr>
          </w:p>
        </w:tc>
        <w:tc>
          <w:tcPr>
            <w:tcW w:w="3969" w:type="dxa"/>
            <w:shd w:val="clear" w:color="auto" w:fill="FFFFFF" w:themeFill="background1"/>
          </w:tcPr>
          <w:p w14:paraId="0594D945" w14:textId="14A88693" w:rsidR="000B4109" w:rsidRPr="00B0093D" w:rsidRDefault="000B4109" w:rsidP="000B4109">
            <w:pPr>
              <w:tabs>
                <w:tab w:val="num" w:pos="322"/>
              </w:tabs>
              <w:spacing w:before="20" w:after="20"/>
              <w:contextualSpacing/>
              <w:jc w:val="left"/>
              <w:rPr>
                <w:rFonts w:ascii="Arial Narrow" w:hAnsi="Arial Narrow"/>
                <w:spacing w:val="0"/>
                <w:szCs w:val="19"/>
              </w:rPr>
            </w:pPr>
          </w:p>
        </w:tc>
        <w:tc>
          <w:tcPr>
            <w:tcW w:w="3969" w:type="dxa"/>
            <w:shd w:val="clear" w:color="auto" w:fill="FFFFFF" w:themeFill="background1"/>
          </w:tcPr>
          <w:p w14:paraId="3A5FE72F" w14:textId="2F56F5D1" w:rsidR="000B4109" w:rsidRPr="00B0093D" w:rsidRDefault="000B4109" w:rsidP="000B4109">
            <w:pPr>
              <w:tabs>
                <w:tab w:val="num" w:pos="322"/>
              </w:tabs>
              <w:spacing w:before="20" w:after="20"/>
              <w:contextualSpacing/>
              <w:jc w:val="left"/>
              <w:rPr>
                <w:rFonts w:ascii="Arial Narrow" w:hAnsi="Arial Narrow"/>
                <w:spacing w:val="0"/>
                <w:szCs w:val="19"/>
              </w:rPr>
            </w:pPr>
            <w:r w:rsidRPr="00B0093D">
              <w:rPr>
                <w:rFonts w:ascii="Arial Narrow" w:hAnsi="Arial Narrow"/>
                <w:spacing w:val="0"/>
                <w:szCs w:val="19"/>
              </w:rPr>
              <w:t xml:space="preserve">Los promueven una adecuada ejecución y control del proyecto. La gestión de proyectos se maneja mediante la herramienta GPR y apoyos en software libre. Sin embargo, la gestión se realiza apoyado en hojas de cálculo. </w:t>
            </w:r>
          </w:p>
        </w:tc>
        <w:tc>
          <w:tcPr>
            <w:tcW w:w="4112" w:type="dxa"/>
            <w:shd w:val="clear" w:color="auto" w:fill="FFFFFF" w:themeFill="background1"/>
          </w:tcPr>
          <w:p w14:paraId="58E972F8" w14:textId="34833E26" w:rsidR="000B4109" w:rsidRPr="0018221C" w:rsidRDefault="000B4109" w:rsidP="000B4109">
            <w:pPr>
              <w:tabs>
                <w:tab w:val="num" w:pos="322"/>
              </w:tabs>
              <w:spacing w:before="20" w:after="20"/>
              <w:contextualSpacing/>
              <w:jc w:val="left"/>
              <w:rPr>
                <w:rFonts w:ascii="Arial Narrow" w:hAnsi="Arial Narrow"/>
                <w:spacing w:val="0"/>
                <w:szCs w:val="19"/>
              </w:rPr>
            </w:pPr>
            <w:r w:rsidRPr="0018221C">
              <w:rPr>
                <w:rFonts w:ascii="Arial Narrow" w:hAnsi="Arial Narrow"/>
                <w:spacing w:val="0"/>
                <w:szCs w:val="19"/>
              </w:rPr>
              <w:t xml:space="preserve">La VPR tiene claramente definidos los procesos en el caso de gestionar proyectos. Cada unidad funcional será el requirente y responsable técnico, donde la gerencia de los proyectos recae en las gerencias funcionales o direcciones y los equipos de proyecto está conformado por el personal de la unidad respectiva, exceptuando los temas de adquisiciones y gestión financiera que se encuentran en las unidades funcionales respectivas.   </w:t>
            </w:r>
          </w:p>
          <w:p w14:paraId="0C34DBFB" w14:textId="2C9A1B1C" w:rsidR="000B4109" w:rsidRPr="00B0093D" w:rsidRDefault="000B4109" w:rsidP="000B4109">
            <w:pPr>
              <w:spacing w:before="20" w:after="20"/>
              <w:contextualSpacing/>
              <w:jc w:val="left"/>
              <w:rPr>
                <w:rFonts w:ascii="Arial Narrow" w:hAnsi="Arial Narrow"/>
                <w:spacing w:val="0"/>
                <w:szCs w:val="19"/>
              </w:rPr>
            </w:pPr>
          </w:p>
        </w:tc>
      </w:tr>
      <w:tr w:rsidR="000B4109" w:rsidRPr="00B0093D" w14:paraId="37F7F7CD" w14:textId="77777777" w:rsidTr="00747A58">
        <w:trPr>
          <w:trHeight w:val="20"/>
        </w:trPr>
        <w:tc>
          <w:tcPr>
            <w:tcW w:w="14459" w:type="dxa"/>
            <w:gridSpan w:val="4"/>
            <w:shd w:val="clear" w:color="auto" w:fill="D9D9D9" w:themeFill="background1" w:themeFillShade="D9"/>
            <w:vAlign w:val="center"/>
          </w:tcPr>
          <w:p w14:paraId="0D5CB0D1" w14:textId="77777777" w:rsidR="000B4109" w:rsidRPr="00B0093D" w:rsidRDefault="000B4109" w:rsidP="000B4109">
            <w:pPr>
              <w:pStyle w:val="Prrafodelista"/>
              <w:numPr>
                <w:ilvl w:val="0"/>
                <w:numId w:val="7"/>
              </w:numPr>
              <w:spacing w:before="20" w:after="20"/>
              <w:jc w:val="left"/>
              <w:rPr>
                <w:rFonts w:ascii="Arial Narrow" w:eastAsia="Times New Roman" w:hAnsi="Arial Narrow" w:cs="Times New Roman"/>
                <w:b/>
                <w:i/>
                <w:szCs w:val="16"/>
                <w:lang w:eastAsia="es-ES"/>
              </w:rPr>
            </w:pPr>
            <w:r w:rsidRPr="00B0093D">
              <w:rPr>
                <w:rFonts w:ascii="Arial Narrow" w:eastAsia="Times New Roman" w:hAnsi="Arial Narrow" w:cs="Times New Roman"/>
                <w:b/>
                <w:i/>
                <w:szCs w:val="16"/>
                <w:lang w:eastAsia="es-ES"/>
              </w:rPr>
              <w:lastRenderedPageBreak/>
              <w:t>Adquisiciones</w:t>
            </w:r>
          </w:p>
        </w:tc>
      </w:tr>
      <w:tr w:rsidR="000B4109" w:rsidRPr="00B0093D" w14:paraId="0A7D7524" w14:textId="77777777" w:rsidTr="00EE0BF4">
        <w:trPr>
          <w:trHeight w:val="1972"/>
        </w:trPr>
        <w:tc>
          <w:tcPr>
            <w:tcW w:w="2409" w:type="dxa"/>
            <w:vMerge w:val="restart"/>
            <w:shd w:val="clear" w:color="auto" w:fill="FFFFFF" w:themeFill="background1"/>
          </w:tcPr>
          <w:p w14:paraId="3EEA3DF4" w14:textId="0C2AF4DE" w:rsidR="000B4109" w:rsidRPr="00B0093D" w:rsidRDefault="000B4109" w:rsidP="000B4109">
            <w:pPr>
              <w:tabs>
                <w:tab w:val="num" w:pos="322"/>
              </w:tabs>
              <w:spacing w:before="20" w:after="20"/>
              <w:contextualSpacing/>
              <w:jc w:val="left"/>
              <w:rPr>
                <w:rFonts w:ascii="Arial Narrow" w:hAnsi="Arial Narrow"/>
                <w:i/>
                <w:spacing w:val="0"/>
                <w:szCs w:val="19"/>
              </w:rPr>
            </w:pPr>
            <w:r w:rsidRPr="00B0093D">
              <w:rPr>
                <w:rFonts w:ascii="Arial Narrow" w:hAnsi="Arial Narrow"/>
                <w:i/>
                <w:color w:val="595959" w:themeColor="text1" w:themeTint="A6"/>
                <w:spacing w:val="0"/>
                <w:szCs w:val="19"/>
              </w:rPr>
              <w:t xml:space="preserve">Se evaluó la capacidad de </w:t>
            </w:r>
            <w:r>
              <w:rPr>
                <w:rFonts w:ascii="Arial Narrow" w:hAnsi="Arial Narrow"/>
                <w:i/>
                <w:color w:val="595959" w:themeColor="text1" w:themeTint="A6"/>
                <w:spacing w:val="0"/>
                <w:szCs w:val="19"/>
              </w:rPr>
              <w:t xml:space="preserve">la VPR </w:t>
            </w:r>
            <w:r w:rsidRPr="00B0093D">
              <w:rPr>
                <w:rFonts w:ascii="Arial Narrow" w:hAnsi="Arial Narrow"/>
                <w:i/>
                <w:color w:val="595959" w:themeColor="text1" w:themeTint="A6"/>
                <w:spacing w:val="0"/>
                <w:szCs w:val="19"/>
              </w:rPr>
              <w:t>y los sistemas conexos existentes para gestionar en forma eficiente el ciclo de planificación y administración de sus adquisiciones en general, con miras a determinar las que corresponderá realizar durante la ejecución del proyecto, tomando en consideración las condiciones de ejecutabilidad</w:t>
            </w:r>
            <w:r w:rsidRPr="00B0093D">
              <w:rPr>
                <w:rStyle w:val="Refdenotaalpie"/>
                <w:rFonts w:ascii="Segoe UI" w:hAnsi="Segoe UI" w:cs="Segoe UI"/>
                <w:i/>
                <w:color w:val="595959" w:themeColor="text1" w:themeTint="A6"/>
                <w:szCs w:val="20"/>
              </w:rPr>
              <w:footnoteReference w:id="26"/>
            </w:r>
            <w:r w:rsidRPr="00B0093D">
              <w:rPr>
                <w:rFonts w:ascii="Segoe UI" w:hAnsi="Segoe UI" w:cs="Segoe UI"/>
                <w:i/>
                <w:color w:val="595959" w:themeColor="text1" w:themeTint="A6"/>
                <w:szCs w:val="20"/>
              </w:rPr>
              <w:t>.</w:t>
            </w:r>
          </w:p>
        </w:tc>
        <w:tc>
          <w:tcPr>
            <w:tcW w:w="3969" w:type="dxa"/>
            <w:shd w:val="clear" w:color="auto" w:fill="FFFFFF" w:themeFill="background1"/>
          </w:tcPr>
          <w:p w14:paraId="71FB0498" w14:textId="00B5985B" w:rsidR="000B4109" w:rsidRPr="00B0093D" w:rsidRDefault="000B4109" w:rsidP="000B4109">
            <w:pPr>
              <w:tabs>
                <w:tab w:val="num" w:pos="322"/>
              </w:tabs>
              <w:spacing w:before="20" w:after="20"/>
              <w:contextualSpacing/>
              <w:jc w:val="left"/>
              <w:rPr>
                <w:rFonts w:ascii="Arial Narrow" w:eastAsia="Times New Roman" w:hAnsi="Arial Narrow" w:cs="Times New Roman"/>
                <w:szCs w:val="16"/>
                <w:lang w:eastAsia="es-ES"/>
              </w:rPr>
            </w:pPr>
            <w:r>
              <w:rPr>
                <w:rFonts w:ascii="Arial Narrow" w:hAnsi="Arial Narrow"/>
                <w:spacing w:val="0"/>
                <w:szCs w:val="19"/>
              </w:rPr>
              <w:t xml:space="preserve">La VPR </w:t>
            </w:r>
            <w:r w:rsidRPr="00B0093D">
              <w:rPr>
                <w:rFonts w:ascii="Arial Narrow" w:hAnsi="Arial Narrow"/>
                <w:spacing w:val="0"/>
                <w:szCs w:val="19"/>
              </w:rPr>
              <w:t xml:space="preserve">no ha tenido experiencia en le ejecución de Proyectos con el BID y no tiene conocimiento de las </w:t>
            </w:r>
            <w:r>
              <w:rPr>
                <w:rFonts w:ascii="Arial Narrow" w:hAnsi="Arial Narrow"/>
                <w:spacing w:val="0"/>
                <w:szCs w:val="19"/>
              </w:rPr>
              <w:t>p</w:t>
            </w:r>
            <w:r w:rsidRPr="00B0093D">
              <w:rPr>
                <w:rFonts w:ascii="Arial Narrow" w:hAnsi="Arial Narrow"/>
                <w:spacing w:val="0"/>
                <w:szCs w:val="19"/>
              </w:rPr>
              <w:t>olíticas de adquisiciones y contrataciones del Banco.</w:t>
            </w:r>
          </w:p>
        </w:tc>
        <w:tc>
          <w:tcPr>
            <w:tcW w:w="3969" w:type="dxa"/>
            <w:shd w:val="clear" w:color="auto" w:fill="FFFFFF" w:themeFill="background1"/>
          </w:tcPr>
          <w:p w14:paraId="45EC265E" w14:textId="686749DC" w:rsidR="000B4109" w:rsidRPr="00B0093D" w:rsidRDefault="000B4109" w:rsidP="000B4109">
            <w:pPr>
              <w:spacing w:before="20" w:after="20"/>
              <w:contextualSpacing/>
              <w:jc w:val="left"/>
              <w:rPr>
                <w:rFonts w:ascii="Arial Narrow" w:hAnsi="Arial Narrow"/>
                <w:spacing w:val="0"/>
                <w:szCs w:val="19"/>
              </w:rPr>
            </w:pPr>
            <w:r w:rsidRPr="00B0093D">
              <w:rPr>
                <w:rFonts w:ascii="Arial Narrow" w:hAnsi="Arial Narrow"/>
                <w:spacing w:val="0"/>
                <w:szCs w:val="19"/>
              </w:rPr>
              <w:t>A pesar de</w:t>
            </w:r>
            <w:r>
              <w:rPr>
                <w:rFonts w:ascii="Arial Narrow" w:hAnsi="Arial Narrow"/>
                <w:spacing w:val="0"/>
                <w:szCs w:val="19"/>
              </w:rPr>
              <w:t xml:space="preserve"> que la VPR no tiene experiencia en </w:t>
            </w:r>
            <w:r w:rsidRPr="00B0093D">
              <w:rPr>
                <w:rFonts w:ascii="Arial Narrow" w:hAnsi="Arial Narrow"/>
                <w:spacing w:val="0"/>
                <w:szCs w:val="19"/>
              </w:rPr>
              <w:t>políticas</w:t>
            </w:r>
            <w:r>
              <w:rPr>
                <w:rFonts w:ascii="Arial Narrow" w:hAnsi="Arial Narrow"/>
                <w:spacing w:val="0"/>
                <w:szCs w:val="19"/>
              </w:rPr>
              <w:t>,</w:t>
            </w:r>
            <w:r w:rsidRPr="00B0093D">
              <w:rPr>
                <w:rFonts w:ascii="Arial Narrow" w:hAnsi="Arial Narrow"/>
                <w:spacing w:val="0"/>
                <w:szCs w:val="19"/>
              </w:rPr>
              <w:t xml:space="preserve"> </w:t>
            </w:r>
            <w:r>
              <w:rPr>
                <w:rFonts w:ascii="Arial Narrow" w:hAnsi="Arial Narrow"/>
                <w:spacing w:val="0"/>
                <w:szCs w:val="19"/>
              </w:rPr>
              <w:t xml:space="preserve">ni procedimientos de </w:t>
            </w:r>
            <w:r w:rsidRPr="00B0093D">
              <w:rPr>
                <w:rFonts w:ascii="Arial Narrow" w:hAnsi="Arial Narrow"/>
                <w:spacing w:val="0"/>
                <w:szCs w:val="19"/>
              </w:rPr>
              <w:t xml:space="preserve">adquisiciones </w:t>
            </w:r>
            <w:r>
              <w:rPr>
                <w:rFonts w:ascii="Arial Narrow" w:hAnsi="Arial Narrow"/>
                <w:spacing w:val="0"/>
                <w:szCs w:val="19"/>
              </w:rPr>
              <w:t>BID y tampoco ha realizado proyectos de inversión</w:t>
            </w:r>
            <w:r w:rsidR="0068788D">
              <w:rPr>
                <w:rFonts w:ascii="Arial Narrow" w:hAnsi="Arial Narrow"/>
                <w:spacing w:val="0"/>
                <w:szCs w:val="19"/>
              </w:rPr>
              <w:t xml:space="preserve"> registrados en el SIPeIP</w:t>
            </w:r>
            <w:r>
              <w:rPr>
                <w:rFonts w:ascii="Arial Narrow" w:hAnsi="Arial Narrow"/>
                <w:spacing w:val="0"/>
                <w:szCs w:val="19"/>
              </w:rPr>
              <w:t xml:space="preserve"> en los últimos años; la organización tiene experiencia en compras públicas bajo </w:t>
            </w:r>
            <w:r w:rsidRPr="00B0093D">
              <w:rPr>
                <w:rFonts w:ascii="Arial Narrow" w:hAnsi="Arial Narrow"/>
                <w:spacing w:val="0"/>
                <w:szCs w:val="19"/>
              </w:rPr>
              <w:t>el marco legal y regulatorio de</w:t>
            </w:r>
            <w:r>
              <w:rPr>
                <w:rFonts w:ascii="Arial Narrow" w:hAnsi="Arial Narrow"/>
                <w:spacing w:val="0"/>
                <w:szCs w:val="19"/>
              </w:rPr>
              <w:t xml:space="preserve"> las </w:t>
            </w:r>
            <w:r w:rsidRPr="00B0093D">
              <w:rPr>
                <w:rFonts w:ascii="Arial Narrow" w:hAnsi="Arial Narrow"/>
                <w:spacing w:val="0"/>
                <w:szCs w:val="19"/>
              </w:rPr>
              <w:t xml:space="preserve">compras públicas del </w:t>
            </w:r>
            <w:r>
              <w:rPr>
                <w:rFonts w:ascii="Arial Narrow" w:hAnsi="Arial Narrow"/>
                <w:spacing w:val="0"/>
                <w:szCs w:val="19"/>
              </w:rPr>
              <w:t>P</w:t>
            </w:r>
            <w:r w:rsidRPr="00B0093D">
              <w:rPr>
                <w:rFonts w:ascii="Arial Narrow" w:hAnsi="Arial Narrow"/>
                <w:spacing w:val="0"/>
                <w:szCs w:val="19"/>
              </w:rPr>
              <w:t>aís y los procesos de</w:t>
            </w:r>
            <w:r>
              <w:rPr>
                <w:rFonts w:ascii="Arial Narrow" w:hAnsi="Arial Narrow"/>
                <w:spacing w:val="0"/>
                <w:szCs w:val="19"/>
              </w:rPr>
              <w:t xml:space="preserve"> la VPR</w:t>
            </w:r>
            <w:r w:rsidR="0068788D">
              <w:rPr>
                <w:rFonts w:ascii="Arial Narrow" w:hAnsi="Arial Narrow"/>
                <w:spacing w:val="0"/>
                <w:szCs w:val="19"/>
              </w:rPr>
              <w:t xml:space="preserve">, habiendo ejecutado </w:t>
            </w:r>
            <w:r w:rsidR="00606225">
              <w:rPr>
                <w:rFonts w:ascii="Arial Narrow" w:hAnsi="Arial Narrow"/>
                <w:spacing w:val="0"/>
                <w:szCs w:val="19"/>
              </w:rPr>
              <w:t xml:space="preserve">una docena de </w:t>
            </w:r>
            <w:r w:rsidR="0068788D">
              <w:rPr>
                <w:rFonts w:ascii="Arial Narrow" w:hAnsi="Arial Narrow"/>
                <w:spacing w:val="0"/>
                <w:szCs w:val="19"/>
              </w:rPr>
              <w:t xml:space="preserve">proyectos organizacionales </w:t>
            </w:r>
            <w:r w:rsidR="00606225">
              <w:rPr>
                <w:rFonts w:ascii="Arial Narrow" w:hAnsi="Arial Narrow"/>
                <w:spacing w:val="0"/>
                <w:szCs w:val="19"/>
              </w:rPr>
              <w:t>durante los últimos cinco años</w:t>
            </w:r>
            <w:r w:rsidR="00606225">
              <w:rPr>
                <w:rStyle w:val="Refdenotaalpie"/>
                <w:rFonts w:ascii="Arial Narrow" w:hAnsi="Arial Narrow"/>
                <w:spacing w:val="0"/>
                <w:szCs w:val="19"/>
              </w:rPr>
              <w:footnoteReference w:id="27"/>
            </w:r>
            <w:r>
              <w:rPr>
                <w:rFonts w:ascii="Arial Narrow" w:hAnsi="Arial Narrow"/>
                <w:spacing w:val="0"/>
                <w:szCs w:val="19"/>
              </w:rPr>
              <w:t>.</w:t>
            </w:r>
          </w:p>
        </w:tc>
        <w:tc>
          <w:tcPr>
            <w:tcW w:w="4112" w:type="dxa"/>
            <w:vMerge w:val="restart"/>
            <w:shd w:val="clear" w:color="auto" w:fill="FFFFFF" w:themeFill="background1"/>
          </w:tcPr>
          <w:p w14:paraId="57347B7C" w14:textId="02AEF980" w:rsidR="000B4109" w:rsidRDefault="000B4109" w:rsidP="000B4109">
            <w:pPr>
              <w:tabs>
                <w:tab w:val="num" w:pos="322"/>
              </w:tabs>
              <w:spacing w:before="20" w:after="20"/>
              <w:contextualSpacing/>
              <w:jc w:val="left"/>
              <w:rPr>
                <w:rFonts w:ascii="Arial Narrow" w:hAnsi="Arial Narrow"/>
                <w:spacing w:val="0"/>
                <w:szCs w:val="19"/>
              </w:rPr>
            </w:pPr>
            <w:r w:rsidRPr="00B0093D">
              <w:rPr>
                <w:rFonts w:ascii="Arial Narrow" w:hAnsi="Arial Narrow"/>
                <w:spacing w:val="0"/>
                <w:szCs w:val="19"/>
              </w:rPr>
              <w:t>Los sistemas de registro de información para el ciclo de adquisiciones facilitan la supervisión y rendición de cuentas. Las etapas de convocatoria, evaluación y adjudicación del ciclo de adquisiciones se practican de manera eficiente de acuerdo a lo establecido en las leyes y reglamentos de compras públicas del país: Ley Orgánica del Sistema Nacional de Contratación Pública (LOSNCP), su Reglamento General; las Resoluciones y regulaciones del SERCOP.</w:t>
            </w:r>
          </w:p>
          <w:p w14:paraId="75955C14" w14:textId="77777777" w:rsidR="000B4109" w:rsidRDefault="000B4109" w:rsidP="000B4109">
            <w:pPr>
              <w:tabs>
                <w:tab w:val="num" w:pos="322"/>
              </w:tabs>
              <w:spacing w:before="20" w:after="20"/>
              <w:contextualSpacing/>
              <w:jc w:val="left"/>
              <w:rPr>
                <w:rFonts w:ascii="Arial Narrow" w:hAnsi="Arial Narrow"/>
                <w:spacing w:val="0"/>
                <w:szCs w:val="19"/>
              </w:rPr>
            </w:pPr>
            <w:r>
              <w:rPr>
                <w:rFonts w:ascii="Arial Narrow" w:hAnsi="Arial Narrow"/>
                <w:spacing w:val="0"/>
                <w:szCs w:val="19"/>
              </w:rPr>
              <w:t xml:space="preserve">En la revisión documental se pudo constatar que la administración de los contratos por parte de la VPR se realiza en forma transparente asegurando el cumplimiento de los cronogramas establecidos. </w:t>
            </w:r>
          </w:p>
          <w:p w14:paraId="0DA65AE0" w14:textId="544788F6" w:rsidR="000B4109" w:rsidRPr="00B0093D" w:rsidRDefault="000B4109" w:rsidP="000B4109">
            <w:pPr>
              <w:tabs>
                <w:tab w:val="num" w:pos="322"/>
              </w:tabs>
              <w:spacing w:before="20" w:after="20"/>
              <w:contextualSpacing/>
              <w:jc w:val="left"/>
              <w:rPr>
                <w:rFonts w:ascii="Arial Narrow" w:hAnsi="Arial Narrow"/>
                <w:spacing w:val="0"/>
                <w:szCs w:val="19"/>
              </w:rPr>
            </w:pPr>
            <w:r>
              <w:rPr>
                <w:rFonts w:ascii="Arial Narrow" w:hAnsi="Arial Narrow"/>
                <w:spacing w:val="0"/>
                <w:szCs w:val="19"/>
              </w:rPr>
              <w:t>El margen de tiempo incrementado en la ejecución es de un 10% del tiempo previsto originalmente y los pagos se realizan en el margen de lo establecido por la normativa, el tiempo final de acreditación a los proveedores depende del MEF directamente.</w:t>
            </w:r>
          </w:p>
          <w:p w14:paraId="0F88B466" w14:textId="211CF67A" w:rsidR="000B4109" w:rsidRPr="00B0093D" w:rsidRDefault="000B4109" w:rsidP="000B4109">
            <w:pPr>
              <w:spacing w:before="20" w:after="20"/>
              <w:contextualSpacing/>
              <w:jc w:val="left"/>
              <w:rPr>
                <w:rFonts w:ascii="Arial Narrow" w:hAnsi="Arial Narrow"/>
                <w:spacing w:val="0"/>
                <w:szCs w:val="19"/>
              </w:rPr>
            </w:pPr>
          </w:p>
        </w:tc>
      </w:tr>
      <w:tr w:rsidR="000B4109" w:rsidRPr="00B0093D" w14:paraId="0B9276A4" w14:textId="77777777" w:rsidTr="00C80373">
        <w:trPr>
          <w:trHeight w:val="1972"/>
        </w:trPr>
        <w:tc>
          <w:tcPr>
            <w:tcW w:w="2409" w:type="dxa"/>
            <w:vMerge/>
            <w:shd w:val="clear" w:color="auto" w:fill="FFFFFF" w:themeFill="background1"/>
          </w:tcPr>
          <w:p w14:paraId="3B16E0F1" w14:textId="77777777" w:rsidR="000B4109" w:rsidRPr="00B0093D" w:rsidRDefault="000B4109" w:rsidP="000B4109">
            <w:pPr>
              <w:tabs>
                <w:tab w:val="num" w:pos="322"/>
              </w:tabs>
              <w:spacing w:before="20" w:after="20"/>
              <w:contextualSpacing/>
              <w:jc w:val="left"/>
              <w:rPr>
                <w:rFonts w:ascii="Arial Narrow" w:hAnsi="Arial Narrow"/>
                <w:i/>
                <w:color w:val="595959" w:themeColor="text1" w:themeTint="A6"/>
                <w:spacing w:val="0"/>
                <w:szCs w:val="19"/>
              </w:rPr>
            </w:pPr>
          </w:p>
        </w:tc>
        <w:tc>
          <w:tcPr>
            <w:tcW w:w="3969" w:type="dxa"/>
            <w:shd w:val="clear" w:color="auto" w:fill="FFFFFF" w:themeFill="background1"/>
          </w:tcPr>
          <w:p w14:paraId="5B637CC0" w14:textId="77777777" w:rsidR="000B4109" w:rsidRPr="00B0093D" w:rsidRDefault="000B4109" w:rsidP="000B4109">
            <w:pPr>
              <w:tabs>
                <w:tab w:val="num" w:pos="322"/>
              </w:tabs>
              <w:spacing w:before="20" w:after="20"/>
              <w:contextualSpacing/>
              <w:jc w:val="left"/>
              <w:rPr>
                <w:rFonts w:ascii="Arial Narrow" w:eastAsia="Times New Roman" w:hAnsi="Arial Narrow" w:cs="Times New Roman"/>
                <w:szCs w:val="16"/>
                <w:lang w:eastAsia="es-ES"/>
              </w:rPr>
            </w:pPr>
            <w:r>
              <w:rPr>
                <w:rFonts w:ascii="Arial Narrow" w:hAnsi="Arial Narrow"/>
                <w:spacing w:val="0"/>
                <w:szCs w:val="19"/>
              </w:rPr>
              <w:t xml:space="preserve">Debido a que la STCNC se encuentra en su etapa de creación, al momento no cuenta con el TH ni el presupuesto destinado para el área de compras Públicas, tesorería y pagos los mismos que se establecerán una vez aprobados en el Ministerio de Trabajo la Matriz de Competencias, el Estatuto Orgánico Funcional por Procesos y el Manual de Clasificación de puestos. </w:t>
            </w:r>
          </w:p>
          <w:p w14:paraId="77C059A2" w14:textId="77777777" w:rsidR="000B4109" w:rsidRDefault="000B4109" w:rsidP="000B4109">
            <w:pPr>
              <w:tabs>
                <w:tab w:val="num" w:pos="322"/>
              </w:tabs>
              <w:spacing w:before="20" w:after="20"/>
              <w:contextualSpacing/>
              <w:jc w:val="left"/>
              <w:rPr>
                <w:rFonts w:ascii="Arial Narrow" w:hAnsi="Arial Narrow"/>
                <w:spacing w:val="0"/>
                <w:szCs w:val="19"/>
              </w:rPr>
            </w:pPr>
          </w:p>
        </w:tc>
        <w:tc>
          <w:tcPr>
            <w:tcW w:w="3969" w:type="dxa"/>
            <w:shd w:val="clear" w:color="auto" w:fill="FFFFFF" w:themeFill="background1"/>
          </w:tcPr>
          <w:p w14:paraId="293BA51F" w14:textId="09003188" w:rsidR="000B4109" w:rsidRPr="00B0093D" w:rsidRDefault="000B4109" w:rsidP="000B4109">
            <w:pPr>
              <w:spacing w:before="20" w:after="20"/>
              <w:contextualSpacing/>
              <w:jc w:val="left"/>
              <w:rPr>
                <w:rFonts w:ascii="Arial Narrow" w:hAnsi="Arial Narrow"/>
                <w:spacing w:val="0"/>
                <w:szCs w:val="19"/>
              </w:rPr>
            </w:pPr>
            <w:r w:rsidRPr="00B0093D">
              <w:rPr>
                <w:rFonts w:ascii="Arial Narrow" w:hAnsi="Arial Narrow"/>
                <w:spacing w:val="0"/>
                <w:szCs w:val="19"/>
              </w:rPr>
              <w:t>Las compras públicas</w:t>
            </w:r>
            <w:r>
              <w:rPr>
                <w:rFonts w:ascii="Arial Narrow" w:hAnsi="Arial Narrow"/>
                <w:spacing w:val="0"/>
                <w:szCs w:val="19"/>
              </w:rPr>
              <w:t xml:space="preserve">, </w:t>
            </w:r>
            <w:r w:rsidRPr="00B0093D">
              <w:rPr>
                <w:rFonts w:ascii="Arial Narrow" w:hAnsi="Arial Narrow"/>
                <w:spacing w:val="0"/>
                <w:szCs w:val="19"/>
              </w:rPr>
              <w:t>se manejan a través del portal de compras públicas del SERCOP</w:t>
            </w:r>
            <w:r>
              <w:rPr>
                <w:rFonts w:ascii="Arial Narrow" w:hAnsi="Arial Narrow"/>
                <w:spacing w:val="0"/>
                <w:szCs w:val="19"/>
              </w:rPr>
              <w:t>, de</w:t>
            </w:r>
            <w:r w:rsidRPr="00B0093D">
              <w:rPr>
                <w:rFonts w:ascii="Arial Narrow" w:hAnsi="Arial Narrow"/>
                <w:spacing w:val="0"/>
                <w:szCs w:val="19"/>
              </w:rPr>
              <w:t>ntro de los tiempos establecidos en el Portal de Compras Pública</w:t>
            </w:r>
            <w:r>
              <w:rPr>
                <w:rFonts w:ascii="Arial Narrow" w:hAnsi="Arial Narrow"/>
                <w:spacing w:val="0"/>
                <w:szCs w:val="19"/>
              </w:rPr>
              <w:t xml:space="preserve">s, donde las principales situaciones que han retrasado las adquisiciones han estado relacionadas con los procesos de aprobación internos de la VPR.  </w:t>
            </w:r>
          </w:p>
        </w:tc>
        <w:tc>
          <w:tcPr>
            <w:tcW w:w="4112" w:type="dxa"/>
            <w:vMerge/>
            <w:shd w:val="clear" w:color="auto" w:fill="FFFFFF" w:themeFill="background1"/>
          </w:tcPr>
          <w:p w14:paraId="703A671B" w14:textId="77777777" w:rsidR="000B4109" w:rsidRPr="00B0093D" w:rsidRDefault="000B4109" w:rsidP="000B4109">
            <w:pPr>
              <w:tabs>
                <w:tab w:val="num" w:pos="322"/>
              </w:tabs>
              <w:spacing w:before="20" w:after="20"/>
              <w:contextualSpacing/>
              <w:jc w:val="left"/>
              <w:rPr>
                <w:rFonts w:ascii="Arial Narrow" w:hAnsi="Arial Narrow"/>
                <w:spacing w:val="0"/>
                <w:szCs w:val="19"/>
              </w:rPr>
            </w:pPr>
          </w:p>
        </w:tc>
      </w:tr>
      <w:tr w:rsidR="000B4109" w:rsidRPr="00B0093D" w14:paraId="728BE788" w14:textId="77777777" w:rsidTr="00CA40F1">
        <w:trPr>
          <w:trHeight w:val="2983"/>
        </w:trPr>
        <w:tc>
          <w:tcPr>
            <w:tcW w:w="2409" w:type="dxa"/>
            <w:vMerge/>
            <w:shd w:val="clear" w:color="auto" w:fill="FFFFFF" w:themeFill="background1"/>
          </w:tcPr>
          <w:p w14:paraId="1C287676" w14:textId="77777777" w:rsidR="000B4109" w:rsidRPr="00B0093D" w:rsidRDefault="000B4109" w:rsidP="000B4109">
            <w:pPr>
              <w:tabs>
                <w:tab w:val="num" w:pos="322"/>
              </w:tabs>
              <w:spacing w:before="20" w:after="20"/>
              <w:contextualSpacing/>
              <w:jc w:val="left"/>
              <w:rPr>
                <w:rFonts w:ascii="Arial Narrow" w:hAnsi="Arial Narrow"/>
                <w:i/>
                <w:color w:val="595959" w:themeColor="text1" w:themeTint="A6"/>
                <w:spacing w:val="0"/>
                <w:szCs w:val="19"/>
              </w:rPr>
            </w:pPr>
          </w:p>
        </w:tc>
        <w:tc>
          <w:tcPr>
            <w:tcW w:w="3969" w:type="dxa"/>
            <w:shd w:val="clear" w:color="auto" w:fill="FFFFFF" w:themeFill="background1"/>
          </w:tcPr>
          <w:p w14:paraId="57554417" w14:textId="20D3E3A3" w:rsidR="000B4109" w:rsidRDefault="000B4109" w:rsidP="000B4109">
            <w:pPr>
              <w:tabs>
                <w:tab w:val="num" w:pos="322"/>
              </w:tabs>
              <w:spacing w:before="20" w:after="20"/>
              <w:contextualSpacing/>
              <w:jc w:val="left"/>
              <w:rPr>
                <w:rFonts w:ascii="Arial Narrow" w:hAnsi="Arial Narrow"/>
                <w:spacing w:val="0"/>
                <w:szCs w:val="19"/>
              </w:rPr>
            </w:pPr>
            <w:r>
              <w:rPr>
                <w:rFonts w:ascii="Arial Narrow" w:hAnsi="Arial Narrow"/>
                <w:spacing w:val="0"/>
                <w:szCs w:val="19"/>
              </w:rPr>
              <w:t>Aún no existe un proyecto de inversión priorizado por ‘Planifica Ecuador’ requisito previo para generación de las asignaciones presupuestarias y avales requeridos para los procesos de contratación pública</w:t>
            </w:r>
          </w:p>
        </w:tc>
        <w:tc>
          <w:tcPr>
            <w:tcW w:w="3969" w:type="dxa"/>
            <w:shd w:val="clear" w:color="auto" w:fill="FFFFFF" w:themeFill="background1"/>
          </w:tcPr>
          <w:p w14:paraId="7D21FB2C" w14:textId="012E37D8" w:rsidR="000B4109" w:rsidRPr="00B0093D" w:rsidRDefault="000B4109" w:rsidP="000B4109">
            <w:pPr>
              <w:spacing w:before="20" w:after="20"/>
              <w:contextualSpacing/>
              <w:jc w:val="left"/>
              <w:rPr>
                <w:rFonts w:ascii="Arial Narrow" w:hAnsi="Arial Narrow"/>
                <w:spacing w:val="0"/>
                <w:szCs w:val="19"/>
              </w:rPr>
            </w:pPr>
            <w:r>
              <w:rPr>
                <w:rFonts w:ascii="Arial Narrow" w:hAnsi="Arial Narrow"/>
                <w:spacing w:val="0"/>
                <w:szCs w:val="19"/>
              </w:rPr>
              <w:t xml:space="preserve">El TH </w:t>
            </w:r>
            <w:r w:rsidRPr="00B0093D">
              <w:rPr>
                <w:rFonts w:ascii="Arial Narrow" w:hAnsi="Arial Narrow"/>
                <w:spacing w:val="0"/>
                <w:szCs w:val="19"/>
              </w:rPr>
              <w:t xml:space="preserve">de adquisiciones </w:t>
            </w:r>
            <w:r>
              <w:rPr>
                <w:rFonts w:ascii="Arial Narrow" w:hAnsi="Arial Narrow"/>
                <w:spacing w:val="0"/>
                <w:szCs w:val="19"/>
              </w:rPr>
              <w:t xml:space="preserve">en la VPR </w:t>
            </w:r>
            <w:r w:rsidRPr="00B0093D">
              <w:rPr>
                <w:rFonts w:ascii="Arial Narrow" w:hAnsi="Arial Narrow"/>
                <w:spacing w:val="0"/>
                <w:szCs w:val="19"/>
              </w:rPr>
              <w:t>cuenta con el perfil adecuado para llevar a cabo las tareas asignadas en el Orgánico Funcional por Procesos</w:t>
            </w:r>
            <w:r>
              <w:rPr>
                <w:rFonts w:ascii="Arial Narrow" w:hAnsi="Arial Narrow"/>
                <w:spacing w:val="0"/>
                <w:szCs w:val="19"/>
              </w:rPr>
              <w:t xml:space="preserve"> y la rotación de su personal es mínima pues es personal de nombramiento.  Sin embargo, la entidad no cuenta con programas de capacitación permanente en adquisiciones.</w:t>
            </w:r>
          </w:p>
        </w:tc>
        <w:tc>
          <w:tcPr>
            <w:tcW w:w="4112" w:type="dxa"/>
            <w:shd w:val="clear" w:color="auto" w:fill="FFFFFF" w:themeFill="background1"/>
          </w:tcPr>
          <w:p w14:paraId="56CF2E34" w14:textId="77777777" w:rsidR="000B4109" w:rsidRDefault="000B4109" w:rsidP="000B4109">
            <w:pPr>
              <w:tabs>
                <w:tab w:val="num" w:pos="322"/>
              </w:tabs>
              <w:spacing w:before="20" w:after="20"/>
              <w:contextualSpacing/>
              <w:jc w:val="left"/>
              <w:rPr>
                <w:rFonts w:ascii="Arial Narrow" w:hAnsi="Arial Narrow"/>
                <w:spacing w:val="0"/>
                <w:szCs w:val="19"/>
              </w:rPr>
            </w:pPr>
            <w:r w:rsidRPr="00B0093D">
              <w:rPr>
                <w:rFonts w:ascii="Arial Narrow" w:hAnsi="Arial Narrow"/>
                <w:spacing w:val="0"/>
                <w:szCs w:val="19"/>
              </w:rPr>
              <w:t>La planificación de adquisiciones es consistente con los planes estratégicos anuales, se encuentran documentadas en los POA</w:t>
            </w:r>
            <w:r>
              <w:rPr>
                <w:rFonts w:ascii="Arial Narrow" w:hAnsi="Arial Narrow"/>
                <w:spacing w:val="0"/>
                <w:szCs w:val="19"/>
              </w:rPr>
              <w:t xml:space="preserve"> de la institución. </w:t>
            </w:r>
            <w:r w:rsidRPr="00B0093D">
              <w:rPr>
                <w:rFonts w:ascii="Arial Narrow" w:hAnsi="Arial Narrow"/>
                <w:spacing w:val="0"/>
                <w:szCs w:val="19"/>
              </w:rPr>
              <w:t xml:space="preserve"> Los procesos de evaluación de ofertas y sus umbrales se encuentran dentro de la normativa nacional de compras públicas vigentes</w:t>
            </w:r>
            <w:r>
              <w:rPr>
                <w:rFonts w:ascii="Arial Narrow" w:hAnsi="Arial Narrow"/>
                <w:spacing w:val="0"/>
                <w:szCs w:val="19"/>
              </w:rPr>
              <w:t xml:space="preserve">. Los </w:t>
            </w:r>
            <w:r w:rsidRPr="00B0093D">
              <w:rPr>
                <w:rFonts w:ascii="Arial Narrow" w:hAnsi="Arial Narrow"/>
                <w:spacing w:val="0"/>
                <w:szCs w:val="19"/>
              </w:rPr>
              <w:t>procesos y procedimientos de compras públicas toma</w:t>
            </w:r>
            <w:r>
              <w:rPr>
                <w:rFonts w:ascii="Arial Narrow" w:hAnsi="Arial Narrow"/>
                <w:spacing w:val="0"/>
                <w:szCs w:val="19"/>
              </w:rPr>
              <w:t>n</w:t>
            </w:r>
            <w:r w:rsidRPr="00B0093D">
              <w:rPr>
                <w:rFonts w:ascii="Arial Narrow" w:hAnsi="Arial Narrow"/>
                <w:spacing w:val="0"/>
                <w:szCs w:val="19"/>
              </w:rPr>
              <w:t xml:space="preserve"> en consideración entre otros la publicidad de las licitaciones, elaboración de documentos de licitación, criterios de adjudicación, elaboración de las actas respectivas, la obligación de contar con las asignaciones presupuestarias. </w:t>
            </w:r>
            <w:r>
              <w:rPr>
                <w:rFonts w:ascii="Arial Narrow" w:hAnsi="Arial Narrow"/>
                <w:spacing w:val="0"/>
                <w:szCs w:val="19"/>
              </w:rPr>
              <w:t xml:space="preserve"> El flujograma de los procesos de adquisición se encuentra documentado y responde a la normativa LOSNCP.</w:t>
            </w:r>
          </w:p>
          <w:p w14:paraId="24F41BF7" w14:textId="77777777" w:rsidR="000B4109" w:rsidRDefault="000B4109" w:rsidP="000B4109">
            <w:pPr>
              <w:tabs>
                <w:tab w:val="num" w:pos="322"/>
              </w:tabs>
              <w:spacing w:before="20" w:after="20"/>
              <w:contextualSpacing/>
              <w:jc w:val="left"/>
              <w:rPr>
                <w:rFonts w:ascii="Arial Narrow" w:hAnsi="Arial Narrow"/>
                <w:spacing w:val="0"/>
                <w:szCs w:val="19"/>
              </w:rPr>
            </w:pPr>
          </w:p>
          <w:p w14:paraId="1BADB881" w14:textId="6778EB9F" w:rsidR="000B4109" w:rsidRPr="00B0093D" w:rsidRDefault="000B4109" w:rsidP="000B4109">
            <w:pPr>
              <w:tabs>
                <w:tab w:val="num" w:pos="322"/>
              </w:tabs>
              <w:spacing w:before="20" w:after="20"/>
              <w:contextualSpacing/>
              <w:jc w:val="left"/>
              <w:rPr>
                <w:rFonts w:ascii="Arial Narrow" w:hAnsi="Arial Narrow"/>
                <w:spacing w:val="0"/>
                <w:szCs w:val="19"/>
              </w:rPr>
            </w:pPr>
          </w:p>
        </w:tc>
      </w:tr>
      <w:tr w:rsidR="000B4109" w:rsidRPr="00B0093D" w14:paraId="6D60D7D0" w14:textId="77777777" w:rsidTr="00747A58">
        <w:trPr>
          <w:trHeight w:val="20"/>
        </w:trPr>
        <w:tc>
          <w:tcPr>
            <w:tcW w:w="14459" w:type="dxa"/>
            <w:gridSpan w:val="4"/>
            <w:shd w:val="clear" w:color="auto" w:fill="D9D9D9" w:themeFill="background1" w:themeFillShade="D9"/>
            <w:vAlign w:val="center"/>
          </w:tcPr>
          <w:p w14:paraId="7B685A65" w14:textId="39D9BDF2" w:rsidR="000B4109" w:rsidRPr="00B0093D" w:rsidRDefault="000B4109" w:rsidP="000B4109">
            <w:pPr>
              <w:pStyle w:val="Prrafodelista"/>
              <w:numPr>
                <w:ilvl w:val="0"/>
                <w:numId w:val="7"/>
              </w:numPr>
              <w:spacing w:before="20" w:after="20"/>
              <w:jc w:val="left"/>
              <w:rPr>
                <w:rFonts w:ascii="Arial Narrow" w:eastAsia="Times New Roman" w:hAnsi="Arial Narrow" w:cs="Times New Roman"/>
                <w:b/>
                <w:i/>
                <w:szCs w:val="16"/>
                <w:lang w:eastAsia="es-ES"/>
              </w:rPr>
            </w:pPr>
            <w:r w:rsidRPr="00B0093D">
              <w:rPr>
                <w:rFonts w:ascii="Arial Narrow" w:eastAsia="Times New Roman" w:hAnsi="Arial Narrow" w:cs="Times New Roman"/>
                <w:b/>
                <w:i/>
                <w:szCs w:val="16"/>
                <w:lang w:eastAsia="es-ES"/>
              </w:rPr>
              <w:t>Gestión Financiera</w:t>
            </w:r>
          </w:p>
        </w:tc>
      </w:tr>
      <w:tr w:rsidR="000B4109" w:rsidRPr="00B0093D" w14:paraId="12B50043" w14:textId="77777777" w:rsidTr="000A27C1">
        <w:trPr>
          <w:trHeight w:val="1500"/>
        </w:trPr>
        <w:tc>
          <w:tcPr>
            <w:tcW w:w="2409" w:type="dxa"/>
            <w:vMerge w:val="restart"/>
            <w:shd w:val="clear" w:color="auto" w:fill="FFFFFF" w:themeFill="background1"/>
          </w:tcPr>
          <w:p w14:paraId="0EC9C1EE" w14:textId="46BD028C" w:rsidR="000B4109" w:rsidRPr="00B0093D" w:rsidRDefault="000B4109" w:rsidP="000B4109">
            <w:pPr>
              <w:tabs>
                <w:tab w:val="num" w:pos="322"/>
              </w:tabs>
              <w:spacing w:before="20" w:after="20"/>
              <w:contextualSpacing/>
              <w:jc w:val="left"/>
              <w:rPr>
                <w:rFonts w:ascii="Arial Narrow" w:hAnsi="Arial Narrow"/>
                <w:i/>
                <w:spacing w:val="0"/>
                <w:szCs w:val="19"/>
              </w:rPr>
            </w:pPr>
            <w:r w:rsidRPr="00B0093D">
              <w:rPr>
                <w:rFonts w:ascii="Arial Narrow" w:hAnsi="Arial Narrow"/>
                <w:i/>
                <w:color w:val="595959" w:themeColor="text1" w:themeTint="A6"/>
                <w:spacing w:val="0"/>
                <w:szCs w:val="19"/>
              </w:rPr>
              <w:t xml:space="preserve">Se evaluó la capacidad de la </w:t>
            </w:r>
            <w:r>
              <w:rPr>
                <w:rFonts w:ascii="Arial Narrow" w:hAnsi="Arial Narrow"/>
                <w:i/>
                <w:color w:val="595959" w:themeColor="text1" w:themeTint="A6"/>
                <w:spacing w:val="0"/>
                <w:szCs w:val="19"/>
              </w:rPr>
              <w:t xml:space="preserve">VPR </w:t>
            </w:r>
            <w:r w:rsidRPr="00B0093D">
              <w:rPr>
                <w:rFonts w:ascii="Arial Narrow" w:hAnsi="Arial Narrow"/>
                <w:i/>
                <w:color w:val="595959" w:themeColor="text1" w:themeTint="A6"/>
                <w:spacing w:val="0"/>
                <w:szCs w:val="19"/>
              </w:rPr>
              <w:t>para llevar un registro, seguimiento y documentación de la información financiera; así como de los mecanismos de control y externos existentes para su supervisión y rendición de cuentas, tomando en consideración las condiciones de ejecutabilidad</w:t>
            </w:r>
            <w:r w:rsidRPr="00B0093D">
              <w:rPr>
                <w:rStyle w:val="Refdenotaalpie"/>
                <w:rFonts w:ascii="Segoe UI" w:hAnsi="Segoe UI" w:cs="Segoe UI"/>
                <w:i/>
                <w:color w:val="595959" w:themeColor="text1" w:themeTint="A6"/>
                <w:szCs w:val="20"/>
              </w:rPr>
              <w:footnoteReference w:id="28"/>
            </w:r>
            <w:r w:rsidRPr="00B0093D">
              <w:rPr>
                <w:rFonts w:ascii="Segoe UI" w:hAnsi="Segoe UI" w:cs="Segoe UI"/>
                <w:i/>
                <w:color w:val="595959" w:themeColor="text1" w:themeTint="A6"/>
                <w:szCs w:val="20"/>
              </w:rPr>
              <w:t>.</w:t>
            </w:r>
          </w:p>
        </w:tc>
        <w:tc>
          <w:tcPr>
            <w:tcW w:w="3969" w:type="dxa"/>
            <w:shd w:val="clear" w:color="auto" w:fill="auto"/>
          </w:tcPr>
          <w:p w14:paraId="6D217A2F" w14:textId="28D98AAB" w:rsidR="000B4109" w:rsidRPr="00B0093D" w:rsidRDefault="000B4109" w:rsidP="000B4109">
            <w:pPr>
              <w:tabs>
                <w:tab w:val="num" w:pos="322"/>
              </w:tabs>
              <w:spacing w:before="20" w:after="20"/>
              <w:contextualSpacing/>
              <w:jc w:val="left"/>
              <w:rPr>
                <w:rFonts w:ascii="Arial Narrow" w:eastAsia="Times New Roman" w:hAnsi="Arial Narrow" w:cs="Times New Roman"/>
                <w:szCs w:val="16"/>
                <w:lang w:eastAsia="es-ES"/>
              </w:rPr>
            </w:pPr>
            <w:r w:rsidRPr="000A27C1">
              <w:rPr>
                <w:rFonts w:ascii="Arial Narrow" w:hAnsi="Arial Narrow"/>
                <w:spacing w:val="0"/>
                <w:szCs w:val="19"/>
              </w:rPr>
              <w:t>La VPR no ha tenido experiencia en le ejecución de Proyectos con el BID y no tiene conocimiento de las políticas de gestión financiera y de desembolsos para Programas financiados por el BID.</w:t>
            </w:r>
          </w:p>
        </w:tc>
        <w:tc>
          <w:tcPr>
            <w:tcW w:w="3969" w:type="dxa"/>
            <w:shd w:val="clear" w:color="auto" w:fill="FFFFFF" w:themeFill="background1"/>
          </w:tcPr>
          <w:p w14:paraId="38595C27" w14:textId="6D3E689D" w:rsidR="000B4109" w:rsidRPr="00B0093D" w:rsidRDefault="000B4109" w:rsidP="000B4109">
            <w:pPr>
              <w:spacing w:before="20" w:after="20"/>
              <w:contextualSpacing/>
              <w:jc w:val="left"/>
              <w:rPr>
                <w:rFonts w:ascii="Arial Narrow" w:hAnsi="Arial Narrow"/>
                <w:spacing w:val="0"/>
                <w:szCs w:val="19"/>
              </w:rPr>
            </w:pPr>
            <w:r w:rsidRPr="00B0093D">
              <w:rPr>
                <w:rFonts w:ascii="Arial Narrow" w:hAnsi="Arial Narrow"/>
                <w:spacing w:val="0"/>
                <w:szCs w:val="19"/>
              </w:rPr>
              <w:t>El e-Sigef no permite la elaboración de informes específicos del uso de los recursos suministrados por prestamos externos (BID), sin embargo, en los programas de la cartera del Banco en el País, se manejan informes separados que revelan el estado y evolución del proyecto que se encuentran validados por el BID</w:t>
            </w:r>
          </w:p>
        </w:tc>
        <w:tc>
          <w:tcPr>
            <w:tcW w:w="4112" w:type="dxa"/>
            <w:shd w:val="clear" w:color="auto" w:fill="FFFFFF" w:themeFill="background1"/>
          </w:tcPr>
          <w:p w14:paraId="57312067" w14:textId="44CD700E" w:rsidR="000B4109" w:rsidRPr="00B0093D" w:rsidRDefault="000B4109" w:rsidP="000B4109">
            <w:pPr>
              <w:spacing w:before="20" w:after="20"/>
              <w:contextualSpacing/>
              <w:jc w:val="left"/>
              <w:rPr>
                <w:rFonts w:ascii="Arial Narrow" w:hAnsi="Arial Narrow"/>
                <w:spacing w:val="0"/>
                <w:szCs w:val="19"/>
              </w:rPr>
            </w:pPr>
            <w:r>
              <w:rPr>
                <w:rFonts w:ascii="Arial Narrow" w:hAnsi="Arial Narrow"/>
                <w:spacing w:val="0"/>
                <w:szCs w:val="19"/>
              </w:rPr>
              <w:t xml:space="preserve">La VPR </w:t>
            </w:r>
            <w:r w:rsidRPr="00B0093D">
              <w:rPr>
                <w:rFonts w:ascii="Arial Narrow" w:hAnsi="Arial Narrow"/>
                <w:spacing w:val="0"/>
                <w:szCs w:val="19"/>
              </w:rPr>
              <w:t>lleva su información financiera sobre la base de la normativa ecuatoriana de contabilidad para el sector público y mediante el sistema informático e-Sigef y el sistema de pagos interbancarios del Banco Central del Ecuador (BCE).  Sistemas validados por el Banco para la ejecución de operaciones.</w:t>
            </w:r>
            <w:r>
              <w:rPr>
                <w:rFonts w:ascii="Arial Narrow" w:hAnsi="Arial Narrow"/>
                <w:spacing w:val="0"/>
                <w:szCs w:val="19"/>
              </w:rPr>
              <w:t xml:space="preserve"> </w:t>
            </w:r>
            <w:r w:rsidRPr="00B0093D">
              <w:rPr>
                <w:rFonts w:ascii="Arial Narrow" w:hAnsi="Arial Narrow"/>
                <w:spacing w:val="0"/>
                <w:szCs w:val="19"/>
              </w:rPr>
              <w:t>El sistema integrado e-Sigef instrumentaliza y estandariza la aplicación de las normas del COPFP.</w:t>
            </w:r>
          </w:p>
        </w:tc>
      </w:tr>
      <w:tr w:rsidR="000B4109" w:rsidRPr="00B0093D" w14:paraId="1B78F678" w14:textId="77777777" w:rsidTr="00C062A0">
        <w:trPr>
          <w:trHeight w:val="656"/>
        </w:trPr>
        <w:tc>
          <w:tcPr>
            <w:tcW w:w="2409" w:type="dxa"/>
            <w:vMerge/>
            <w:shd w:val="clear" w:color="auto" w:fill="FFFFFF" w:themeFill="background1"/>
          </w:tcPr>
          <w:p w14:paraId="66E6C91C" w14:textId="77777777" w:rsidR="000B4109" w:rsidRPr="00B0093D" w:rsidRDefault="000B4109" w:rsidP="000B4109">
            <w:pPr>
              <w:tabs>
                <w:tab w:val="num" w:pos="322"/>
              </w:tabs>
              <w:spacing w:before="20" w:after="20"/>
              <w:contextualSpacing/>
              <w:jc w:val="left"/>
              <w:rPr>
                <w:rFonts w:ascii="Arial Narrow" w:hAnsi="Arial Narrow"/>
                <w:i/>
                <w:color w:val="595959" w:themeColor="text1" w:themeTint="A6"/>
                <w:spacing w:val="0"/>
                <w:szCs w:val="19"/>
              </w:rPr>
            </w:pPr>
          </w:p>
        </w:tc>
        <w:tc>
          <w:tcPr>
            <w:tcW w:w="3969" w:type="dxa"/>
            <w:shd w:val="clear" w:color="auto" w:fill="auto"/>
          </w:tcPr>
          <w:p w14:paraId="3EBE1C07" w14:textId="4A0C12D6" w:rsidR="000B4109" w:rsidRPr="00B0093D" w:rsidRDefault="000B4109" w:rsidP="000B4109">
            <w:pPr>
              <w:tabs>
                <w:tab w:val="num" w:pos="322"/>
              </w:tabs>
              <w:spacing w:before="20" w:after="20"/>
              <w:contextualSpacing/>
              <w:jc w:val="left"/>
              <w:rPr>
                <w:rFonts w:ascii="Arial Narrow" w:hAnsi="Arial Narrow"/>
                <w:spacing w:val="0"/>
                <w:szCs w:val="19"/>
              </w:rPr>
            </w:pPr>
            <w:r>
              <w:rPr>
                <w:rFonts w:ascii="Arial Narrow" w:hAnsi="Arial Narrow"/>
                <w:spacing w:val="0"/>
                <w:szCs w:val="19"/>
              </w:rPr>
              <w:t xml:space="preserve">La STCNC se encuentra en fase de creación y no cuenta aún con el TH ni procedimientos vigentes para </w:t>
            </w:r>
            <w:r w:rsidRPr="00B0093D">
              <w:rPr>
                <w:rFonts w:ascii="Arial Narrow" w:hAnsi="Arial Narrow"/>
                <w:spacing w:val="0"/>
                <w:szCs w:val="19"/>
              </w:rPr>
              <w:t>formular, ejecutar y controlar planes y presupuestos</w:t>
            </w:r>
            <w:r>
              <w:rPr>
                <w:rFonts w:ascii="Arial Narrow" w:hAnsi="Arial Narrow"/>
                <w:spacing w:val="0"/>
                <w:szCs w:val="19"/>
              </w:rPr>
              <w:t xml:space="preserve"> y pagos. Tampoco se encuentran en vigencia los </w:t>
            </w:r>
            <w:r w:rsidRPr="00B0093D">
              <w:rPr>
                <w:rFonts w:ascii="Arial Narrow" w:hAnsi="Arial Narrow"/>
                <w:spacing w:val="0"/>
                <w:szCs w:val="19"/>
              </w:rPr>
              <w:t>mecanismos de control interno satisfactorios para la gestión financiera de recursos.</w:t>
            </w:r>
          </w:p>
        </w:tc>
        <w:tc>
          <w:tcPr>
            <w:tcW w:w="3969" w:type="dxa"/>
            <w:shd w:val="clear" w:color="auto" w:fill="FFFFFF" w:themeFill="background1"/>
          </w:tcPr>
          <w:p w14:paraId="1E45FEC1" w14:textId="1EDB7E5F" w:rsidR="000B4109" w:rsidRPr="00B0093D" w:rsidRDefault="000B4109" w:rsidP="000B4109">
            <w:pPr>
              <w:spacing w:before="20" w:after="20"/>
              <w:contextualSpacing/>
              <w:jc w:val="left"/>
              <w:rPr>
                <w:rFonts w:ascii="Arial Narrow" w:hAnsi="Arial Narrow"/>
                <w:spacing w:val="0"/>
                <w:szCs w:val="19"/>
              </w:rPr>
            </w:pPr>
          </w:p>
        </w:tc>
        <w:tc>
          <w:tcPr>
            <w:tcW w:w="4112" w:type="dxa"/>
            <w:shd w:val="clear" w:color="auto" w:fill="FFFFFF" w:themeFill="background1"/>
          </w:tcPr>
          <w:p w14:paraId="308344A1" w14:textId="688A0FA3" w:rsidR="000B4109" w:rsidRPr="00B0093D" w:rsidRDefault="000B4109" w:rsidP="000B4109">
            <w:pPr>
              <w:spacing w:before="20" w:after="20"/>
              <w:contextualSpacing/>
              <w:jc w:val="left"/>
              <w:rPr>
                <w:rFonts w:ascii="Arial Narrow" w:hAnsi="Arial Narrow"/>
                <w:spacing w:val="0"/>
                <w:szCs w:val="19"/>
              </w:rPr>
            </w:pPr>
            <w:r w:rsidRPr="00B0093D">
              <w:rPr>
                <w:rFonts w:ascii="Arial Narrow" w:hAnsi="Arial Narrow"/>
                <w:spacing w:val="0"/>
                <w:szCs w:val="19"/>
              </w:rPr>
              <w:t>Los procedimientos de gestión financiera se encuentran normados por el COP</w:t>
            </w:r>
            <w:r>
              <w:rPr>
                <w:rFonts w:ascii="Arial Narrow" w:hAnsi="Arial Narrow"/>
                <w:spacing w:val="0"/>
                <w:szCs w:val="19"/>
              </w:rPr>
              <w:t>F</w:t>
            </w:r>
            <w:r w:rsidRPr="00B0093D">
              <w:rPr>
                <w:rFonts w:ascii="Arial Narrow" w:hAnsi="Arial Narrow"/>
                <w:spacing w:val="0"/>
                <w:szCs w:val="19"/>
              </w:rPr>
              <w:t xml:space="preserve">P y su Reglamento y los mecanismos de control por las Normas de Control Interno de la Contraloría General del Estado (CGE).  </w:t>
            </w:r>
          </w:p>
          <w:p w14:paraId="7E4AED27" w14:textId="59173EB5" w:rsidR="000B4109" w:rsidRPr="00B0093D" w:rsidRDefault="000B4109" w:rsidP="000B4109">
            <w:pPr>
              <w:spacing w:before="20" w:after="20"/>
              <w:contextualSpacing/>
              <w:jc w:val="left"/>
              <w:rPr>
                <w:rFonts w:ascii="Arial Narrow" w:hAnsi="Arial Narrow"/>
                <w:spacing w:val="0"/>
                <w:szCs w:val="19"/>
              </w:rPr>
            </w:pPr>
            <w:r w:rsidRPr="00B0093D">
              <w:rPr>
                <w:rFonts w:ascii="Arial Narrow" w:hAnsi="Arial Narrow"/>
                <w:spacing w:val="0"/>
                <w:szCs w:val="19"/>
              </w:rPr>
              <w:t>El COP</w:t>
            </w:r>
            <w:r>
              <w:rPr>
                <w:rFonts w:ascii="Arial Narrow" w:hAnsi="Arial Narrow"/>
                <w:spacing w:val="0"/>
                <w:szCs w:val="19"/>
              </w:rPr>
              <w:t>F</w:t>
            </w:r>
            <w:r w:rsidRPr="00B0093D">
              <w:rPr>
                <w:rFonts w:ascii="Arial Narrow" w:hAnsi="Arial Narrow"/>
                <w:spacing w:val="0"/>
                <w:szCs w:val="19"/>
              </w:rPr>
              <w:t xml:space="preserve">P, establece las normas generales que rigen la programación, formulación, aprobación, ejecución, </w:t>
            </w:r>
            <w:r w:rsidRPr="00B0093D">
              <w:rPr>
                <w:rFonts w:ascii="Arial Narrow" w:hAnsi="Arial Narrow"/>
                <w:spacing w:val="0"/>
                <w:szCs w:val="19"/>
              </w:rPr>
              <w:lastRenderedPageBreak/>
              <w:t>control, evaluación y liquidación de presupuestos. Estas normas son aplicadas a la ejecución de los programas de la cartera del BID en el Ecuador.</w:t>
            </w:r>
          </w:p>
        </w:tc>
      </w:tr>
      <w:tr w:rsidR="000B4109" w:rsidRPr="00B0093D" w14:paraId="4661CAF3" w14:textId="77777777" w:rsidTr="00196BA9">
        <w:trPr>
          <w:trHeight w:val="1354"/>
        </w:trPr>
        <w:tc>
          <w:tcPr>
            <w:tcW w:w="2409" w:type="dxa"/>
            <w:vMerge/>
            <w:shd w:val="clear" w:color="auto" w:fill="FFFFFF" w:themeFill="background1"/>
          </w:tcPr>
          <w:p w14:paraId="5744110B" w14:textId="77777777" w:rsidR="000B4109" w:rsidRPr="00B0093D" w:rsidRDefault="000B4109" w:rsidP="000B4109">
            <w:pPr>
              <w:tabs>
                <w:tab w:val="num" w:pos="322"/>
              </w:tabs>
              <w:spacing w:before="20" w:after="20"/>
              <w:contextualSpacing/>
              <w:jc w:val="left"/>
              <w:rPr>
                <w:rFonts w:ascii="Arial Narrow" w:hAnsi="Arial Narrow"/>
                <w:i/>
                <w:color w:val="595959" w:themeColor="text1" w:themeTint="A6"/>
                <w:spacing w:val="0"/>
                <w:szCs w:val="19"/>
              </w:rPr>
            </w:pPr>
          </w:p>
        </w:tc>
        <w:tc>
          <w:tcPr>
            <w:tcW w:w="3969" w:type="dxa"/>
            <w:shd w:val="clear" w:color="auto" w:fill="auto"/>
          </w:tcPr>
          <w:p w14:paraId="694EA69D" w14:textId="77777777" w:rsidR="000B4109" w:rsidRPr="00B0093D" w:rsidRDefault="000B4109" w:rsidP="000B4109">
            <w:pPr>
              <w:tabs>
                <w:tab w:val="num" w:pos="322"/>
              </w:tabs>
              <w:spacing w:before="20" w:after="20"/>
              <w:contextualSpacing/>
              <w:jc w:val="left"/>
              <w:rPr>
                <w:rFonts w:ascii="Arial Narrow" w:hAnsi="Arial Narrow"/>
                <w:spacing w:val="0"/>
                <w:szCs w:val="19"/>
              </w:rPr>
            </w:pPr>
          </w:p>
        </w:tc>
        <w:tc>
          <w:tcPr>
            <w:tcW w:w="3969" w:type="dxa"/>
            <w:shd w:val="clear" w:color="auto" w:fill="FFFFFF" w:themeFill="background1"/>
          </w:tcPr>
          <w:p w14:paraId="095ACA27" w14:textId="05D8E7B9" w:rsidR="000B4109" w:rsidRPr="00B0093D" w:rsidRDefault="000B4109" w:rsidP="000B4109">
            <w:pPr>
              <w:spacing w:before="20" w:after="20"/>
              <w:contextualSpacing/>
              <w:jc w:val="left"/>
              <w:rPr>
                <w:rFonts w:ascii="Arial Narrow" w:hAnsi="Arial Narrow"/>
                <w:spacing w:val="0"/>
                <w:szCs w:val="19"/>
              </w:rPr>
            </w:pPr>
          </w:p>
        </w:tc>
        <w:tc>
          <w:tcPr>
            <w:tcW w:w="4112" w:type="dxa"/>
            <w:shd w:val="clear" w:color="auto" w:fill="FFFFFF" w:themeFill="background1"/>
          </w:tcPr>
          <w:p w14:paraId="7B09E9F8" w14:textId="32DFC427" w:rsidR="000B4109" w:rsidRPr="00B0093D" w:rsidRDefault="000B4109" w:rsidP="000B4109">
            <w:pPr>
              <w:spacing w:before="20" w:after="20"/>
              <w:contextualSpacing/>
              <w:jc w:val="left"/>
              <w:rPr>
                <w:rFonts w:ascii="Arial Narrow" w:hAnsi="Arial Narrow"/>
                <w:spacing w:val="0"/>
                <w:szCs w:val="19"/>
              </w:rPr>
            </w:pPr>
            <w:r w:rsidRPr="00B0093D">
              <w:rPr>
                <w:rFonts w:ascii="Arial Narrow" w:hAnsi="Arial Narrow"/>
                <w:spacing w:val="0"/>
                <w:szCs w:val="19"/>
              </w:rPr>
              <w:t>El mecanismo de pagos d</w:t>
            </w:r>
            <w:r>
              <w:rPr>
                <w:rFonts w:ascii="Arial Narrow" w:hAnsi="Arial Narrow"/>
                <w:spacing w:val="0"/>
                <w:szCs w:val="19"/>
              </w:rPr>
              <w:t xml:space="preserve">e la VPR </w:t>
            </w:r>
            <w:r w:rsidRPr="00B0093D">
              <w:rPr>
                <w:rFonts w:ascii="Arial Narrow" w:hAnsi="Arial Narrow"/>
                <w:spacing w:val="0"/>
                <w:szCs w:val="19"/>
              </w:rPr>
              <w:t>se realiza a través del sistema e-Sigef mediante débitos a la Cuenta Única del Tesoro Nacional (CUT), la cual unifica la gestión de tesorería de todas las entidades del gobierno central</w:t>
            </w:r>
          </w:p>
        </w:tc>
      </w:tr>
    </w:tbl>
    <w:p w14:paraId="5C81F856" w14:textId="6B81E433" w:rsidR="00F31A67" w:rsidRDefault="00F31A67"/>
    <w:p w14:paraId="3F5CF077" w14:textId="0458AF5B" w:rsidR="00BC1E96" w:rsidRDefault="002E4ED9" w:rsidP="008E18BA">
      <w:pPr>
        <w:jc w:val="left"/>
      </w:pPr>
      <w:r>
        <w:br w:type="page"/>
      </w:r>
    </w:p>
    <w:p w14:paraId="6732F274" w14:textId="086254D4" w:rsidR="002E4ED9" w:rsidRPr="00BC1E96" w:rsidRDefault="002E4ED9" w:rsidP="00BC1E96">
      <w:pPr>
        <w:pStyle w:val="Prrafodelista"/>
        <w:sectPr w:rsidR="002E4ED9" w:rsidRPr="00BC1E96" w:rsidSect="008968B2">
          <w:pgSz w:w="16838" w:h="11906" w:orient="landscape"/>
          <w:pgMar w:top="1418" w:right="1418" w:bottom="1418" w:left="1418" w:header="709" w:footer="709" w:gutter="0"/>
          <w:cols w:space="708"/>
          <w:docGrid w:linePitch="360"/>
        </w:sectPr>
      </w:pPr>
    </w:p>
    <w:p w14:paraId="3FB07DF9" w14:textId="75426BA5" w:rsidR="002E10A9" w:rsidRDefault="00BA58FD" w:rsidP="008E18BA">
      <w:pPr>
        <w:pStyle w:val="Ttulo1"/>
      </w:pPr>
      <w:bookmarkStart w:id="25" w:name="_Toc12543946"/>
      <w:r>
        <w:lastRenderedPageBreak/>
        <w:t xml:space="preserve">Enlaces y </w:t>
      </w:r>
      <w:r w:rsidR="002E10A9">
        <w:t>Anexos</w:t>
      </w:r>
      <w:bookmarkEnd w:id="25"/>
    </w:p>
    <w:p w14:paraId="70DDA1AE" w14:textId="77777777" w:rsidR="00D83EB9" w:rsidRDefault="00D83EB9" w:rsidP="001B387B">
      <w:pPr>
        <w:pStyle w:val="Ttulo2"/>
        <w:numPr>
          <w:ilvl w:val="0"/>
          <w:numId w:val="4"/>
        </w:numPr>
      </w:pPr>
      <w:bookmarkStart w:id="26" w:name="_Toc12543947"/>
      <w:r>
        <w:t xml:space="preserve">Enlaces </w:t>
      </w:r>
      <w:r w:rsidR="001F238B">
        <w:t>d</w:t>
      </w:r>
      <w:r w:rsidR="00140390">
        <w:t>igitales</w:t>
      </w:r>
      <w:bookmarkEnd w:id="26"/>
    </w:p>
    <w:p w14:paraId="01908374" w14:textId="77777777" w:rsidR="00D83EB9" w:rsidRDefault="00D83EB9" w:rsidP="00D83EB9">
      <w:pPr>
        <w:pStyle w:val="Prrafodelista"/>
      </w:pPr>
    </w:p>
    <w:tbl>
      <w:tblPr>
        <w:tblStyle w:val="Tablaconcuadrcula"/>
        <w:tblW w:w="8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268"/>
        <w:gridCol w:w="6651"/>
      </w:tblGrid>
      <w:tr w:rsidR="005E26A2" w:rsidRPr="006904CD" w14:paraId="3E68900D" w14:textId="77777777" w:rsidTr="00151697">
        <w:trPr>
          <w:trHeight w:val="20"/>
        </w:trPr>
        <w:tc>
          <w:tcPr>
            <w:tcW w:w="2268" w:type="dxa"/>
            <w:shd w:val="clear" w:color="auto" w:fill="auto"/>
            <w:vAlign w:val="center"/>
          </w:tcPr>
          <w:p w14:paraId="2D4AC160" w14:textId="72279A80" w:rsidR="005E26A2" w:rsidRPr="0070112B" w:rsidRDefault="005E26A2" w:rsidP="00151697">
            <w:pPr>
              <w:pStyle w:val="Sinespaciado"/>
              <w:jc w:val="left"/>
              <w:rPr>
                <w:rFonts w:ascii="Arial Narrow" w:hAnsi="Arial Narrow"/>
              </w:rPr>
            </w:pPr>
            <w:r w:rsidRPr="0070112B">
              <w:rPr>
                <w:rFonts w:ascii="Arial Narrow" w:hAnsi="Arial Narrow"/>
              </w:rPr>
              <w:t>COPFP</w:t>
            </w:r>
          </w:p>
        </w:tc>
        <w:tc>
          <w:tcPr>
            <w:tcW w:w="6651" w:type="dxa"/>
            <w:shd w:val="clear" w:color="auto" w:fill="auto"/>
            <w:vAlign w:val="center"/>
          </w:tcPr>
          <w:p w14:paraId="27E95B84" w14:textId="77777777" w:rsidR="005E26A2" w:rsidRPr="00B37E35" w:rsidRDefault="008C0638" w:rsidP="00151697">
            <w:pPr>
              <w:pStyle w:val="Default"/>
              <w:rPr>
                <w:rStyle w:val="Hipervnculo"/>
              </w:rPr>
            </w:pPr>
            <w:hyperlink r:id="rId10" w:history="1">
              <w:r w:rsidR="005E26A2" w:rsidRPr="00BA6DC5">
                <w:rPr>
                  <w:rStyle w:val="Hipervnculo"/>
                  <w:rFonts w:ascii="Arial Narrow" w:hAnsi="Arial Narrow"/>
                  <w:sz w:val="20"/>
                  <w:szCs w:val="20"/>
                </w:rPr>
                <w:t>http://www.planificacion.gob.ec/sistema-integrado-de-planificacion-e-inversion-publica/</w:t>
              </w:r>
            </w:hyperlink>
          </w:p>
        </w:tc>
      </w:tr>
      <w:tr w:rsidR="00E3474C" w:rsidRPr="006904CD" w14:paraId="5485061B" w14:textId="77777777" w:rsidTr="000614D3">
        <w:trPr>
          <w:trHeight w:val="20"/>
        </w:trPr>
        <w:tc>
          <w:tcPr>
            <w:tcW w:w="2268" w:type="dxa"/>
            <w:shd w:val="clear" w:color="auto" w:fill="auto"/>
            <w:vAlign w:val="center"/>
          </w:tcPr>
          <w:p w14:paraId="71DC6C22" w14:textId="77777777" w:rsidR="00E3474C" w:rsidRPr="00825DB2" w:rsidRDefault="00E3474C" w:rsidP="000614D3">
            <w:pPr>
              <w:pStyle w:val="Sinespaciado"/>
              <w:jc w:val="left"/>
            </w:pPr>
            <w:r w:rsidRPr="00FF5C8A">
              <w:t>e-Sigef</w:t>
            </w:r>
          </w:p>
        </w:tc>
        <w:tc>
          <w:tcPr>
            <w:tcW w:w="6651" w:type="dxa"/>
            <w:shd w:val="clear" w:color="auto" w:fill="auto"/>
            <w:vAlign w:val="center"/>
          </w:tcPr>
          <w:p w14:paraId="302D4A38" w14:textId="09F05315" w:rsidR="00E3474C" w:rsidRPr="005E26A2" w:rsidRDefault="008C0638" w:rsidP="000614D3">
            <w:pPr>
              <w:pStyle w:val="Default"/>
              <w:rPr>
                <w:rStyle w:val="Hipervnculo"/>
              </w:rPr>
            </w:pPr>
            <w:hyperlink r:id="rId11" w:history="1">
              <w:r w:rsidR="00E3474C" w:rsidRPr="00BA6DC5">
                <w:rPr>
                  <w:rStyle w:val="Hipervnculo"/>
                  <w:rFonts w:ascii="Arial Narrow" w:hAnsi="Arial Narrow"/>
                  <w:sz w:val="20"/>
                  <w:szCs w:val="20"/>
                </w:rPr>
                <w:t>https://esigef.finanzas.gob.ec/eSIGEF/menu/index.html</w:t>
              </w:r>
            </w:hyperlink>
            <w:r w:rsidR="005E26A2">
              <w:rPr>
                <w:rStyle w:val="Hipervnculo"/>
                <w:rFonts w:ascii="Arial Narrow" w:hAnsi="Arial Narrow"/>
                <w:sz w:val="20"/>
                <w:szCs w:val="20"/>
              </w:rPr>
              <w:t xml:space="preserve"> </w:t>
            </w:r>
          </w:p>
        </w:tc>
      </w:tr>
    </w:tbl>
    <w:p w14:paraId="73BE2DEC" w14:textId="77777777" w:rsidR="00E3474C" w:rsidRDefault="00E3474C" w:rsidP="00D83EB9">
      <w:pPr>
        <w:pStyle w:val="Prrafodelista"/>
      </w:pPr>
    </w:p>
    <w:p w14:paraId="656374BF" w14:textId="58CCB3E0" w:rsidR="00140390" w:rsidRDefault="00605749" w:rsidP="001B387B">
      <w:pPr>
        <w:pStyle w:val="Ttulo2"/>
      </w:pPr>
      <w:bookmarkStart w:id="27" w:name="_Toc12543948"/>
      <w:r>
        <w:t>Archivos adjuntos</w:t>
      </w:r>
      <w:bookmarkEnd w:id="27"/>
    </w:p>
    <w:p w14:paraId="714E3390" w14:textId="77777777" w:rsidR="00163F66" w:rsidRDefault="00163F66" w:rsidP="00C53222">
      <w:pPr>
        <w:pStyle w:val="Prrafodelista"/>
      </w:pPr>
    </w:p>
    <w:tbl>
      <w:tblPr>
        <w:tblStyle w:val="Tablaconcuadrcula"/>
        <w:tblW w:w="8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67"/>
        <w:gridCol w:w="8352"/>
      </w:tblGrid>
      <w:tr w:rsidR="00605749" w:rsidRPr="006904CD" w14:paraId="18B8B29B" w14:textId="77777777" w:rsidTr="002626FD">
        <w:trPr>
          <w:trHeight w:val="20"/>
        </w:trPr>
        <w:tc>
          <w:tcPr>
            <w:tcW w:w="567" w:type="dxa"/>
            <w:shd w:val="clear" w:color="auto" w:fill="auto"/>
            <w:vAlign w:val="center"/>
          </w:tcPr>
          <w:p w14:paraId="07E43624" w14:textId="2A757FF7" w:rsidR="00605749" w:rsidRDefault="00BF38E0" w:rsidP="00605749">
            <w:pPr>
              <w:pStyle w:val="Sinespaciado"/>
              <w:jc w:val="left"/>
              <w:rPr>
                <w:rFonts w:ascii="Arial Narrow" w:hAnsi="Arial Narrow"/>
              </w:rPr>
            </w:pPr>
            <w:r>
              <w:rPr>
                <w:rFonts w:ascii="Arial Narrow" w:hAnsi="Arial Narrow"/>
              </w:rPr>
              <w:t>1.</w:t>
            </w:r>
          </w:p>
        </w:tc>
        <w:tc>
          <w:tcPr>
            <w:tcW w:w="8352" w:type="dxa"/>
            <w:shd w:val="clear" w:color="auto" w:fill="auto"/>
          </w:tcPr>
          <w:p w14:paraId="58FDB940" w14:textId="4773A66F" w:rsidR="00605749" w:rsidRPr="00605749" w:rsidRDefault="00BF38E0" w:rsidP="00605749">
            <w:pPr>
              <w:pStyle w:val="Default"/>
              <w:rPr>
                <w:rFonts w:ascii="Arial Narrow" w:hAnsi="Arial Narrow"/>
                <w:sz w:val="20"/>
                <w:szCs w:val="20"/>
              </w:rPr>
            </w:pPr>
            <w:r>
              <w:rPr>
                <w:rFonts w:ascii="Arial Narrow" w:hAnsi="Arial Narrow"/>
                <w:sz w:val="20"/>
                <w:szCs w:val="20"/>
              </w:rPr>
              <w:t>Cuestionario ACI</w:t>
            </w:r>
          </w:p>
        </w:tc>
      </w:tr>
      <w:tr w:rsidR="00605749" w:rsidRPr="006904CD" w14:paraId="754092E4" w14:textId="77777777" w:rsidTr="002626FD">
        <w:trPr>
          <w:trHeight w:val="20"/>
        </w:trPr>
        <w:tc>
          <w:tcPr>
            <w:tcW w:w="567" w:type="dxa"/>
            <w:shd w:val="clear" w:color="auto" w:fill="auto"/>
            <w:vAlign w:val="center"/>
          </w:tcPr>
          <w:p w14:paraId="7E3B4EF5" w14:textId="0A142A76" w:rsidR="00605749" w:rsidRDefault="00BF38E0" w:rsidP="00605749">
            <w:pPr>
              <w:pStyle w:val="Sinespaciado"/>
              <w:jc w:val="left"/>
              <w:rPr>
                <w:rFonts w:ascii="Arial Narrow" w:hAnsi="Arial Narrow"/>
              </w:rPr>
            </w:pPr>
            <w:r>
              <w:rPr>
                <w:rFonts w:ascii="Arial Narrow" w:hAnsi="Arial Narrow"/>
              </w:rPr>
              <w:t>2.</w:t>
            </w:r>
          </w:p>
        </w:tc>
        <w:tc>
          <w:tcPr>
            <w:tcW w:w="8352" w:type="dxa"/>
            <w:shd w:val="clear" w:color="auto" w:fill="auto"/>
          </w:tcPr>
          <w:p w14:paraId="44511287" w14:textId="228205D5" w:rsidR="00605749" w:rsidRDefault="00605749" w:rsidP="00605749">
            <w:pPr>
              <w:pStyle w:val="Default"/>
              <w:rPr>
                <w:rFonts w:ascii="Arial Narrow" w:hAnsi="Arial Narrow"/>
                <w:sz w:val="20"/>
                <w:szCs w:val="20"/>
              </w:rPr>
            </w:pPr>
            <w:r>
              <w:rPr>
                <w:rFonts w:ascii="Arial Narrow" w:hAnsi="Arial Narrow"/>
                <w:sz w:val="20"/>
                <w:szCs w:val="20"/>
              </w:rPr>
              <w:t xml:space="preserve">Estatuto Orgánico de Gestión Organizacional por Procesos </w:t>
            </w:r>
            <w:r w:rsidR="00BF38E0">
              <w:rPr>
                <w:rFonts w:ascii="Arial Narrow" w:hAnsi="Arial Narrow"/>
                <w:sz w:val="20"/>
                <w:szCs w:val="20"/>
              </w:rPr>
              <w:t>de la VPR</w:t>
            </w:r>
          </w:p>
        </w:tc>
      </w:tr>
      <w:tr w:rsidR="00BF38E0" w:rsidRPr="006904CD" w14:paraId="698557B4" w14:textId="77777777" w:rsidTr="002626FD">
        <w:trPr>
          <w:trHeight w:val="20"/>
        </w:trPr>
        <w:tc>
          <w:tcPr>
            <w:tcW w:w="567" w:type="dxa"/>
            <w:shd w:val="clear" w:color="auto" w:fill="auto"/>
            <w:vAlign w:val="center"/>
          </w:tcPr>
          <w:p w14:paraId="3291FEE2" w14:textId="724DF4ED" w:rsidR="00BF38E0" w:rsidRDefault="00BF38E0" w:rsidP="00605749">
            <w:pPr>
              <w:pStyle w:val="Sinespaciado"/>
              <w:jc w:val="left"/>
              <w:rPr>
                <w:rFonts w:ascii="Arial Narrow" w:hAnsi="Arial Narrow"/>
              </w:rPr>
            </w:pPr>
            <w:r>
              <w:rPr>
                <w:rFonts w:ascii="Arial Narrow" w:hAnsi="Arial Narrow"/>
              </w:rPr>
              <w:t xml:space="preserve">3. </w:t>
            </w:r>
          </w:p>
        </w:tc>
        <w:tc>
          <w:tcPr>
            <w:tcW w:w="8352" w:type="dxa"/>
            <w:shd w:val="clear" w:color="auto" w:fill="auto"/>
          </w:tcPr>
          <w:p w14:paraId="25EBFE3E" w14:textId="2063E060" w:rsidR="00BF38E0" w:rsidRDefault="00BF38E0" w:rsidP="00605749">
            <w:pPr>
              <w:pStyle w:val="Default"/>
              <w:rPr>
                <w:rFonts w:ascii="Arial Narrow" w:hAnsi="Arial Narrow"/>
                <w:sz w:val="20"/>
                <w:szCs w:val="20"/>
              </w:rPr>
            </w:pPr>
            <w:r>
              <w:rPr>
                <w:rFonts w:ascii="Arial Narrow" w:hAnsi="Arial Narrow"/>
                <w:sz w:val="20"/>
                <w:szCs w:val="20"/>
              </w:rPr>
              <w:t xml:space="preserve">Fichas de Proyectos de la VPR </w:t>
            </w:r>
          </w:p>
        </w:tc>
      </w:tr>
      <w:tr w:rsidR="00BF38E0" w:rsidRPr="006904CD" w14:paraId="4EEBFFC7" w14:textId="77777777" w:rsidTr="002626FD">
        <w:trPr>
          <w:trHeight w:val="20"/>
        </w:trPr>
        <w:tc>
          <w:tcPr>
            <w:tcW w:w="567" w:type="dxa"/>
            <w:shd w:val="clear" w:color="auto" w:fill="auto"/>
            <w:vAlign w:val="center"/>
          </w:tcPr>
          <w:p w14:paraId="3813889E" w14:textId="3BA00E54" w:rsidR="00BF38E0" w:rsidRDefault="00BF38E0" w:rsidP="00605749">
            <w:pPr>
              <w:pStyle w:val="Sinespaciado"/>
              <w:jc w:val="left"/>
              <w:rPr>
                <w:rFonts w:ascii="Arial Narrow" w:hAnsi="Arial Narrow"/>
              </w:rPr>
            </w:pPr>
            <w:r>
              <w:rPr>
                <w:rFonts w:ascii="Arial Narrow" w:hAnsi="Arial Narrow"/>
              </w:rPr>
              <w:t xml:space="preserve">4. </w:t>
            </w:r>
          </w:p>
        </w:tc>
        <w:tc>
          <w:tcPr>
            <w:tcW w:w="8352" w:type="dxa"/>
            <w:shd w:val="clear" w:color="auto" w:fill="auto"/>
          </w:tcPr>
          <w:p w14:paraId="606CF47B" w14:textId="5E4532EB" w:rsidR="00BF38E0" w:rsidRDefault="00BF38E0" w:rsidP="00605749">
            <w:pPr>
              <w:pStyle w:val="Default"/>
              <w:rPr>
                <w:rFonts w:ascii="Arial Narrow" w:hAnsi="Arial Narrow"/>
                <w:sz w:val="20"/>
                <w:szCs w:val="20"/>
              </w:rPr>
            </w:pPr>
            <w:r>
              <w:rPr>
                <w:rFonts w:ascii="Arial Narrow" w:hAnsi="Arial Narrow"/>
                <w:sz w:val="20"/>
                <w:szCs w:val="20"/>
              </w:rPr>
              <w:t>Borrador de Decreto Ejecutivo de creación del Consejo Nacional de Competitividad</w:t>
            </w:r>
          </w:p>
        </w:tc>
      </w:tr>
    </w:tbl>
    <w:p w14:paraId="46AF3670" w14:textId="36C47C5A" w:rsidR="006B5B9F" w:rsidRDefault="006B5B9F" w:rsidP="00C53222">
      <w:pPr>
        <w:pStyle w:val="Prrafodelista"/>
      </w:pPr>
    </w:p>
    <w:p w14:paraId="2AE348C3" w14:textId="68512836" w:rsidR="00BF38E0" w:rsidRDefault="00BF38E0" w:rsidP="00BF38E0">
      <w:pPr>
        <w:pStyle w:val="Ttulo2"/>
      </w:pPr>
      <w:bookmarkStart w:id="28" w:name="_Toc12543949"/>
      <w:r>
        <w:t>Anexos</w:t>
      </w:r>
      <w:bookmarkEnd w:id="28"/>
    </w:p>
    <w:p w14:paraId="2F51A4A3" w14:textId="4B80B3B6" w:rsidR="00C53222" w:rsidRDefault="00C53222" w:rsidP="00017A81">
      <w:pPr>
        <w:pStyle w:val="Prrafodelista"/>
      </w:pPr>
    </w:p>
    <w:tbl>
      <w:tblPr>
        <w:tblStyle w:val="Tablaconcuadrcula"/>
        <w:tblW w:w="8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67"/>
        <w:gridCol w:w="8352"/>
      </w:tblGrid>
      <w:tr w:rsidR="00BF38E0" w:rsidRPr="006904CD" w14:paraId="29A7AB46" w14:textId="77777777" w:rsidTr="00BD495E">
        <w:trPr>
          <w:trHeight w:val="20"/>
        </w:trPr>
        <w:tc>
          <w:tcPr>
            <w:tcW w:w="567" w:type="dxa"/>
            <w:shd w:val="clear" w:color="auto" w:fill="auto"/>
            <w:vAlign w:val="center"/>
          </w:tcPr>
          <w:p w14:paraId="47BA695B" w14:textId="0CA94661" w:rsidR="00BF38E0" w:rsidRDefault="00BF38E0" w:rsidP="00BD495E">
            <w:pPr>
              <w:pStyle w:val="Sinespaciado"/>
              <w:jc w:val="left"/>
              <w:rPr>
                <w:rFonts w:ascii="Arial Narrow" w:hAnsi="Arial Narrow"/>
              </w:rPr>
            </w:pPr>
            <w:r>
              <w:rPr>
                <w:rFonts w:ascii="Arial Narrow" w:hAnsi="Arial Narrow"/>
              </w:rPr>
              <w:t xml:space="preserve">1. </w:t>
            </w:r>
          </w:p>
        </w:tc>
        <w:tc>
          <w:tcPr>
            <w:tcW w:w="8352" w:type="dxa"/>
            <w:shd w:val="clear" w:color="auto" w:fill="auto"/>
          </w:tcPr>
          <w:p w14:paraId="55689EF9" w14:textId="7FA9D12F" w:rsidR="00BF38E0" w:rsidRPr="00605749" w:rsidRDefault="00BF38E0" w:rsidP="00BD495E">
            <w:pPr>
              <w:pStyle w:val="Default"/>
              <w:rPr>
                <w:rFonts w:ascii="Arial Narrow" w:hAnsi="Arial Narrow"/>
                <w:sz w:val="20"/>
                <w:szCs w:val="20"/>
              </w:rPr>
            </w:pPr>
            <w:r w:rsidRPr="00BF38E0">
              <w:rPr>
                <w:rFonts w:ascii="Arial Narrow" w:hAnsi="Arial Narrow"/>
                <w:sz w:val="20"/>
                <w:szCs w:val="20"/>
              </w:rPr>
              <w:t>Identificación de requerimiento de fortalecimiento para la ejecución – análisis causa efecto</w:t>
            </w:r>
          </w:p>
        </w:tc>
      </w:tr>
      <w:tr w:rsidR="00BF38E0" w:rsidRPr="006904CD" w14:paraId="31233615" w14:textId="77777777" w:rsidTr="00BD495E">
        <w:trPr>
          <w:trHeight w:val="20"/>
        </w:trPr>
        <w:tc>
          <w:tcPr>
            <w:tcW w:w="567" w:type="dxa"/>
            <w:shd w:val="clear" w:color="auto" w:fill="auto"/>
            <w:vAlign w:val="center"/>
          </w:tcPr>
          <w:p w14:paraId="206256BA" w14:textId="407B03A3" w:rsidR="00BF38E0" w:rsidRDefault="00BF38E0" w:rsidP="00BD495E">
            <w:pPr>
              <w:pStyle w:val="Sinespaciado"/>
              <w:jc w:val="left"/>
              <w:rPr>
                <w:rFonts w:ascii="Arial Narrow" w:hAnsi="Arial Narrow"/>
              </w:rPr>
            </w:pPr>
            <w:r>
              <w:rPr>
                <w:rFonts w:ascii="Arial Narrow" w:hAnsi="Arial Narrow"/>
              </w:rPr>
              <w:t xml:space="preserve">2. </w:t>
            </w:r>
          </w:p>
        </w:tc>
        <w:tc>
          <w:tcPr>
            <w:tcW w:w="8352" w:type="dxa"/>
            <w:shd w:val="clear" w:color="auto" w:fill="auto"/>
          </w:tcPr>
          <w:p w14:paraId="77A5DD2E" w14:textId="26A6B4C8" w:rsidR="00BF38E0" w:rsidRDefault="00BF38E0" w:rsidP="00BD495E">
            <w:pPr>
              <w:pStyle w:val="Default"/>
              <w:rPr>
                <w:rFonts w:ascii="Arial Narrow" w:hAnsi="Arial Narrow"/>
                <w:sz w:val="20"/>
                <w:szCs w:val="20"/>
              </w:rPr>
            </w:pPr>
            <w:r>
              <w:rPr>
                <w:rFonts w:ascii="Arial Narrow" w:hAnsi="Arial Narrow"/>
                <w:sz w:val="20"/>
                <w:szCs w:val="20"/>
              </w:rPr>
              <w:t>Listado de Proyectos</w:t>
            </w:r>
            <w:r w:rsidR="00971E35" w:rsidRPr="00971E35">
              <w:rPr>
                <w:rFonts w:ascii="Arial Narrow" w:hAnsi="Arial Narrow"/>
                <w:sz w:val="20"/>
                <w:szCs w:val="20"/>
              </w:rPr>
              <w:t xml:space="preserve"> de inversión ejecutados por la VPR registrados en el SIPeIP</w:t>
            </w:r>
          </w:p>
        </w:tc>
      </w:tr>
      <w:tr w:rsidR="00971E35" w:rsidRPr="006904CD" w14:paraId="462AB834" w14:textId="77777777" w:rsidTr="00BD495E">
        <w:trPr>
          <w:trHeight w:val="20"/>
        </w:trPr>
        <w:tc>
          <w:tcPr>
            <w:tcW w:w="567" w:type="dxa"/>
            <w:shd w:val="clear" w:color="auto" w:fill="auto"/>
            <w:vAlign w:val="center"/>
          </w:tcPr>
          <w:p w14:paraId="47506415" w14:textId="698B78D0" w:rsidR="00971E35" w:rsidRDefault="00971E35" w:rsidP="00BD495E">
            <w:pPr>
              <w:pStyle w:val="Sinespaciado"/>
              <w:jc w:val="left"/>
              <w:rPr>
                <w:rFonts w:ascii="Arial Narrow" w:hAnsi="Arial Narrow"/>
              </w:rPr>
            </w:pPr>
            <w:r>
              <w:rPr>
                <w:rFonts w:ascii="Arial Narrow" w:hAnsi="Arial Narrow"/>
              </w:rPr>
              <w:t>3.</w:t>
            </w:r>
          </w:p>
        </w:tc>
        <w:tc>
          <w:tcPr>
            <w:tcW w:w="8352" w:type="dxa"/>
            <w:shd w:val="clear" w:color="auto" w:fill="auto"/>
          </w:tcPr>
          <w:p w14:paraId="721C63BA" w14:textId="6A71315E" w:rsidR="00971E35" w:rsidRDefault="00971E35" w:rsidP="00BD495E">
            <w:pPr>
              <w:pStyle w:val="Default"/>
              <w:rPr>
                <w:rFonts w:ascii="Arial Narrow" w:hAnsi="Arial Narrow"/>
                <w:sz w:val="20"/>
                <w:szCs w:val="20"/>
              </w:rPr>
            </w:pPr>
            <w:r>
              <w:rPr>
                <w:rFonts w:ascii="Arial Narrow" w:hAnsi="Arial Narrow"/>
                <w:sz w:val="20"/>
                <w:szCs w:val="20"/>
              </w:rPr>
              <w:t xml:space="preserve">Listado de </w:t>
            </w:r>
            <w:r w:rsidRPr="00971E35">
              <w:rPr>
                <w:rFonts w:ascii="Arial Narrow" w:hAnsi="Arial Narrow"/>
                <w:sz w:val="20"/>
                <w:szCs w:val="20"/>
              </w:rPr>
              <w:t>Proyectos ejecutados por la VPR registrados en el GPR (proyectos internos VPR- no se tiene CUP)</w:t>
            </w:r>
          </w:p>
        </w:tc>
      </w:tr>
    </w:tbl>
    <w:p w14:paraId="237B2EAD" w14:textId="77777777" w:rsidR="00BF38E0" w:rsidRPr="00017A81" w:rsidRDefault="00BF38E0" w:rsidP="00017A81">
      <w:pPr>
        <w:pStyle w:val="Prrafodelista"/>
      </w:pPr>
    </w:p>
    <w:p w14:paraId="2E1FA599" w14:textId="77777777" w:rsidR="00E24251" w:rsidRPr="0012380A" w:rsidRDefault="00E24251" w:rsidP="00E24251">
      <w:pPr>
        <w:spacing w:after="0" w:line="240" w:lineRule="auto"/>
        <w:contextualSpacing/>
        <w:rPr>
          <w:rFonts w:ascii="Arial" w:hAnsi="Arial" w:cs="Arial"/>
          <w:szCs w:val="20"/>
        </w:rPr>
      </w:pPr>
    </w:p>
    <w:p w14:paraId="0F20A086" w14:textId="0B8893EC" w:rsidR="00AA098D" w:rsidRDefault="00AA098D">
      <w:pPr>
        <w:jc w:val="left"/>
        <w:rPr>
          <w:rFonts w:ascii="Arial" w:hAnsi="Arial" w:cs="Arial"/>
          <w:szCs w:val="20"/>
        </w:rPr>
      </w:pPr>
    </w:p>
    <w:p w14:paraId="401A2999" w14:textId="77777777" w:rsidR="00BD1FF8" w:rsidRDefault="00BD1FF8" w:rsidP="00E24251">
      <w:pPr>
        <w:spacing w:after="0" w:line="240" w:lineRule="auto"/>
        <w:contextualSpacing/>
        <w:rPr>
          <w:rFonts w:ascii="Arial" w:hAnsi="Arial" w:cs="Arial"/>
          <w:szCs w:val="20"/>
        </w:rPr>
      </w:pPr>
    </w:p>
    <w:p w14:paraId="7FFFF93A" w14:textId="77777777" w:rsidR="00BD1FF8" w:rsidRDefault="00BD1FF8" w:rsidP="00E24251">
      <w:pPr>
        <w:spacing w:after="0" w:line="240" w:lineRule="auto"/>
        <w:contextualSpacing/>
        <w:rPr>
          <w:rFonts w:ascii="Arial" w:hAnsi="Arial" w:cs="Arial"/>
          <w:szCs w:val="20"/>
        </w:rPr>
      </w:pPr>
    </w:p>
    <w:p w14:paraId="3A3AFA45" w14:textId="77777777" w:rsidR="006C4050" w:rsidRDefault="006C4050" w:rsidP="00E24251">
      <w:pPr>
        <w:spacing w:after="0" w:line="240" w:lineRule="auto"/>
        <w:contextualSpacing/>
        <w:rPr>
          <w:rFonts w:ascii="Arial" w:hAnsi="Arial" w:cs="Arial"/>
          <w:szCs w:val="20"/>
        </w:rPr>
      </w:pPr>
    </w:p>
    <w:p w14:paraId="4C0814A9" w14:textId="77777777" w:rsidR="00AA098D" w:rsidRDefault="00AA098D" w:rsidP="00E24251">
      <w:pPr>
        <w:spacing w:after="0" w:line="240" w:lineRule="auto"/>
        <w:contextualSpacing/>
        <w:rPr>
          <w:rFonts w:ascii="Arial" w:hAnsi="Arial" w:cs="Arial"/>
          <w:szCs w:val="20"/>
        </w:rPr>
      </w:pPr>
    </w:p>
    <w:p w14:paraId="367ECAD3" w14:textId="345828F2" w:rsidR="00FC751E" w:rsidRDefault="00FC751E">
      <w:pPr>
        <w:jc w:val="left"/>
        <w:rPr>
          <w:rFonts w:ascii="Arial" w:hAnsi="Arial" w:cs="Arial"/>
          <w:szCs w:val="20"/>
        </w:rPr>
      </w:pPr>
      <w:r>
        <w:rPr>
          <w:rFonts w:ascii="Arial" w:hAnsi="Arial" w:cs="Arial"/>
          <w:szCs w:val="20"/>
        </w:rPr>
        <w:br w:type="page"/>
      </w:r>
    </w:p>
    <w:p w14:paraId="62A95AD8" w14:textId="77777777" w:rsidR="00BF38E0" w:rsidRDefault="00BF38E0" w:rsidP="00BF38E0">
      <w:pPr>
        <w:pStyle w:val="Descripcin"/>
        <w:keepNext/>
        <w:sectPr w:rsidR="00BF38E0" w:rsidSect="00A837AB">
          <w:headerReference w:type="even" r:id="rId12"/>
          <w:headerReference w:type="default" r:id="rId13"/>
          <w:footerReference w:type="even" r:id="rId14"/>
          <w:footerReference w:type="default" r:id="rId15"/>
          <w:headerReference w:type="first" r:id="rId16"/>
          <w:footerReference w:type="first" r:id="rId17"/>
          <w:pgSz w:w="11906" w:h="16838"/>
          <w:pgMar w:top="1417" w:right="1418" w:bottom="1417" w:left="1418" w:header="708" w:footer="708" w:gutter="0"/>
          <w:cols w:space="708"/>
          <w:docGrid w:linePitch="360"/>
        </w:sectPr>
      </w:pPr>
    </w:p>
    <w:p w14:paraId="30D09269" w14:textId="1886AB46" w:rsidR="00BF38E0" w:rsidRDefault="00BF38E0" w:rsidP="00BF38E0">
      <w:pPr>
        <w:pStyle w:val="Descripcin"/>
        <w:keepNext/>
      </w:pPr>
      <w:bookmarkStart w:id="29" w:name="_Toc12543954"/>
      <w:r>
        <w:lastRenderedPageBreak/>
        <w:t xml:space="preserve">Tabla </w:t>
      </w:r>
      <w:r>
        <w:rPr>
          <w:noProof/>
        </w:rPr>
        <w:fldChar w:fldCharType="begin"/>
      </w:r>
      <w:r>
        <w:rPr>
          <w:noProof/>
        </w:rPr>
        <w:instrText xml:space="preserve"> SEQ Tabla \* ARABIC </w:instrText>
      </w:r>
      <w:r>
        <w:rPr>
          <w:noProof/>
        </w:rPr>
        <w:fldChar w:fldCharType="separate"/>
      </w:r>
      <w:r w:rsidR="00606225">
        <w:rPr>
          <w:noProof/>
        </w:rPr>
        <w:t>5</w:t>
      </w:r>
      <w:r>
        <w:rPr>
          <w:noProof/>
        </w:rPr>
        <w:fldChar w:fldCharType="end"/>
      </w:r>
      <w:r>
        <w:t>. Identificación de requerimiento de fortalecimiento para la ejecución – análisis causa efecto</w:t>
      </w:r>
      <w:bookmarkEnd w:id="29"/>
      <w:r>
        <w:t xml:space="preserve"> </w:t>
      </w:r>
    </w:p>
    <w:tbl>
      <w:tblPr>
        <w:tblStyle w:val="Tablaconcuadrcula1"/>
        <w:tblW w:w="14459" w:type="dxa"/>
        <w:tblInd w:w="-147" w:type="dxa"/>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Layout w:type="fixed"/>
        <w:tblCellMar>
          <w:top w:w="57" w:type="dxa"/>
          <w:bottom w:w="57" w:type="dxa"/>
        </w:tblCellMar>
        <w:tblLook w:val="04A0" w:firstRow="1" w:lastRow="0" w:firstColumn="1" w:lastColumn="0" w:noHBand="0" w:noVBand="1"/>
      </w:tblPr>
      <w:tblGrid>
        <w:gridCol w:w="1135"/>
        <w:gridCol w:w="4441"/>
        <w:gridCol w:w="4300"/>
        <w:gridCol w:w="4583"/>
      </w:tblGrid>
      <w:tr w:rsidR="00BF38E0" w:rsidRPr="003209F3" w14:paraId="171C3A0A" w14:textId="77777777" w:rsidTr="00BD495E">
        <w:trPr>
          <w:trHeight w:val="366"/>
          <w:tblHeader/>
        </w:trPr>
        <w:tc>
          <w:tcPr>
            <w:tcW w:w="1135" w:type="dxa"/>
            <w:shd w:val="clear" w:color="auto" w:fill="BFBFBF" w:themeFill="background1" w:themeFillShade="BF"/>
          </w:tcPr>
          <w:p w14:paraId="4C8D841C" w14:textId="77777777" w:rsidR="00BF38E0" w:rsidRPr="003209F3" w:rsidRDefault="00BF38E0" w:rsidP="00BD495E">
            <w:pPr>
              <w:jc w:val="left"/>
              <w:rPr>
                <w:rFonts w:ascii="Arial Narrow" w:hAnsi="Arial Narrow"/>
                <w:b/>
                <w:spacing w:val="0"/>
                <w:szCs w:val="19"/>
                <w:u w:val="single"/>
                <w:lang w:val="es-MX"/>
              </w:rPr>
            </w:pPr>
            <w:r>
              <w:rPr>
                <w:rFonts w:ascii="Arial Narrow" w:hAnsi="Arial Narrow"/>
                <w:b/>
                <w:spacing w:val="0"/>
                <w:szCs w:val="19"/>
                <w:u w:val="single"/>
                <w:lang w:val="es-MX"/>
              </w:rPr>
              <w:t>Modulo</w:t>
            </w:r>
          </w:p>
        </w:tc>
        <w:tc>
          <w:tcPr>
            <w:tcW w:w="4441" w:type="dxa"/>
            <w:shd w:val="clear" w:color="auto" w:fill="BFBFBF" w:themeFill="background1" w:themeFillShade="BF"/>
          </w:tcPr>
          <w:p w14:paraId="6C120853" w14:textId="77777777" w:rsidR="00BF38E0" w:rsidRPr="003209F3" w:rsidRDefault="00BF38E0" w:rsidP="00BD495E">
            <w:pPr>
              <w:jc w:val="left"/>
              <w:rPr>
                <w:rFonts w:ascii="Arial Narrow" w:hAnsi="Arial Narrow"/>
                <w:b/>
                <w:spacing w:val="0"/>
                <w:szCs w:val="19"/>
                <w:u w:val="single"/>
                <w:lang w:val="es-MX"/>
              </w:rPr>
            </w:pPr>
            <w:r>
              <w:rPr>
                <w:rFonts w:ascii="Arial Narrow" w:hAnsi="Arial Narrow"/>
                <w:b/>
                <w:spacing w:val="0"/>
                <w:szCs w:val="19"/>
                <w:u w:val="single"/>
                <w:lang w:val="es-MX"/>
              </w:rPr>
              <w:t>Situación Identificada</w:t>
            </w:r>
          </w:p>
        </w:tc>
        <w:tc>
          <w:tcPr>
            <w:tcW w:w="4300" w:type="dxa"/>
            <w:shd w:val="clear" w:color="auto" w:fill="BFBFBF" w:themeFill="background1" w:themeFillShade="BF"/>
          </w:tcPr>
          <w:p w14:paraId="0AD65669" w14:textId="77777777" w:rsidR="00BF38E0" w:rsidRPr="003209F3" w:rsidRDefault="00BF38E0" w:rsidP="00BD495E">
            <w:pPr>
              <w:jc w:val="left"/>
              <w:rPr>
                <w:rFonts w:ascii="Arial Narrow" w:hAnsi="Arial Narrow"/>
                <w:b/>
                <w:spacing w:val="0"/>
                <w:szCs w:val="19"/>
                <w:u w:val="single"/>
                <w:lang w:val="es-MX"/>
              </w:rPr>
            </w:pPr>
            <w:r>
              <w:rPr>
                <w:rFonts w:ascii="Arial Narrow" w:hAnsi="Arial Narrow"/>
                <w:b/>
                <w:spacing w:val="0"/>
                <w:szCs w:val="19"/>
                <w:u w:val="single"/>
                <w:lang w:val="es-MX"/>
              </w:rPr>
              <w:t>Causas principales</w:t>
            </w:r>
          </w:p>
        </w:tc>
        <w:tc>
          <w:tcPr>
            <w:tcW w:w="4583" w:type="dxa"/>
            <w:shd w:val="clear" w:color="auto" w:fill="BFBFBF" w:themeFill="background1" w:themeFillShade="BF"/>
          </w:tcPr>
          <w:p w14:paraId="5BBDB02B" w14:textId="77777777" w:rsidR="00BF38E0" w:rsidRPr="003209F3" w:rsidRDefault="00BF38E0" w:rsidP="00BD495E">
            <w:pPr>
              <w:jc w:val="left"/>
              <w:rPr>
                <w:rFonts w:ascii="Arial Narrow" w:hAnsi="Arial Narrow"/>
                <w:b/>
                <w:spacing w:val="0"/>
                <w:szCs w:val="19"/>
                <w:u w:val="single"/>
                <w:lang w:val="es-MX"/>
              </w:rPr>
            </w:pPr>
            <w:r>
              <w:rPr>
                <w:rFonts w:ascii="Arial Narrow" w:hAnsi="Arial Narrow"/>
                <w:b/>
                <w:spacing w:val="0"/>
                <w:szCs w:val="19"/>
                <w:u w:val="single"/>
                <w:lang w:val="es-MX"/>
              </w:rPr>
              <w:t>Causa Raíz</w:t>
            </w:r>
          </w:p>
        </w:tc>
      </w:tr>
      <w:tr w:rsidR="00BF38E0" w:rsidRPr="003209F3" w14:paraId="27A873D6" w14:textId="77777777" w:rsidTr="00BD495E">
        <w:trPr>
          <w:trHeight w:val="20"/>
        </w:trPr>
        <w:tc>
          <w:tcPr>
            <w:tcW w:w="1135" w:type="dxa"/>
            <w:shd w:val="clear" w:color="auto" w:fill="auto"/>
          </w:tcPr>
          <w:p w14:paraId="30EB51FF" w14:textId="77777777" w:rsidR="00BF38E0" w:rsidRDefault="00BF38E0" w:rsidP="00BD495E">
            <w:pPr>
              <w:jc w:val="left"/>
              <w:rPr>
                <w:rFonts w:ascii="Arial Narrow" w:hAnsi="Arial Narrow"/>
              </w:rPr>
            </w:pPr>
            <w:r>
              <w:rPr>
                <w:rFonts w:ascii="Arial Narrow" w:hAnsi="Arial Narrow"/>
              </w:rPr>
              <w:t>Marco Legal</w:t>
            </w:r>
          </w:p>
        </w:tc>
        <w:tc>
          <w:tcPr>
            <w:tcW w:w="4441" w:type="dxa"/>
            <w:shd w:val="clear" w:color="auto" w:fill="auto"/>
          </w:tcPr>
          <w:p w14:paraId="4EB57E99" w14:textId="77777777" w:rsidR="00BF38E0" w:rsidRDefault="00BF38E0" w:rsidP="00BD495E">
            <w:pPr>
              <w:jc w:val="left"/>
              <w:rPr>
                <w:rFonts w:ascii="Arial Narrow" w:hAnsi="Arial Narrow"/>
                <w:spacing w:val="0"/>
                <w:szCs w:val="19"/>
              </w:rPr>
            </w:pPr>
            <w:r>
              <w:rPr>
                <w:rFonts w:ascii="Arial Narrow" w:hAnsi="Arial Narrow"/>
                <w:spacing w:val="0"/>
                <w:szCs w:val="19"/>
              </w:rPr>
              <w:t xml:space="preserve">El componente 1 del programa lo ejecutará la VPR a través de la </w:t>
            </w:r>
            <w:r w:rsidRPr="00B0093D">
              <w:rPr>
                <w:rFonts w:ascii="Arial Narrow" w:hAnsi="Arial Narrow"/>
                <w:spacing w:val="0"/>
                <w:szCs w:val="19"/>
              </w:rPr>
              <w:t>Secretaría Técnica del CNC</w:t>
            </w:r>
            <w:r>
              <w:rPr>
                <w:rFonts w:ascii="Arial Narrow" w:hAnsi="Arial Narrow"/>
                <w:spacing w:val="0"/>
                <w:szCs w:val="19"/>
              </w:rPr>
              <w:t xml:space="preserve">. El </w:t>
            </w:r>
            <w:r>
              <w:rPr>
                <w:rFonts w:ascii="Arial Narrow" w:hAnsi="Arial Narrow"/>
                <w:spacing w:val="0"/>
                <w:szCs w:val="19"/>
                <w:lang w:val="es-MX"/>
              </w:rPr>
              <w:t xml:space="preserve">CNC y la STCNC son entidades nuevas en proceso de creación. El proceso de creación puede demorar la aprobación de la operación y su ejecución.  </w:t>
            </w:r>
          </w:p>
        </w:tc>
        <w:tc>
          <w:tcPr>
            <w:tcW w:w="4300" w:type="dxa"/>
            <w:shd w:val="clear" w:color="auto" w:fill="auto"/>
          </w:tcPr>
          <w:p w14:paraId="23C6A10E" w14:textId="77777777" w:rsidR="00BF38E0" w:rsidRDefault="00BF38E0" w:rsidP="00BD495E">
            <w:pPr>
              <w:jc w:val="left"/>
              <w:rPr>
                <w:rFonts w:ascii="Arial Narrow" w:hAnsi="Arial Narrow"/>
                <w:spacing w:val="0"/>
                <w:szCs w:val="19"/>
              </w:rPr>
            </w:pPr>
            <w:r>
              <w:rPr>
                <w:rFonts w:ascii="Arial Narrow" w:hAnsi="Arial Narrow"/>
                <w:spacing w:val="0"/>
                <w:szCs w:val="19"/>
                <w:lang w:val="es-MX"/>
              </w:rPr>
              <w:t>El CNC no se encuentra constituido, se espera la suscripción del decreto presidencial de creación de la CNC y la STCNC a finales de junio de 2019.</w:t>
            </w:r>
            <w:r>
              <w:rPr>
                <w:rFonts w:ascii="Arial Narrow" w:hAnsi="Arial Narrow"/>
                <w:spacing w:val="0"/>
                <w:szCs w:val="19"/>
              </w:rPr>
              <w:t xml:space="preserve"> </w:t>
            </w:r>
          </w:p>
          <w:p w14:paraId="161D5807" w14:textId="77777777" w:rsidR="00BF38E0" w:rsidRDefault="00BF38E0" w:rsidP="00BD495E">
            <w:pPr>
              <w:jc w:val="left"/>
              <w:rPr>
                <w:rFonts w:ascii="Arial Narrow" w:hAnsi="Arial Narrow"/>
                <w:spacing w:val="0"/>
                <w:szCs w:val="19"/>
                <w:lang w:val="es-MX"/>
              </w:rPr>
            </w:pPr>
            <w:r>
              <w:rPr>
                <w:rFonts w:ascii="Arial Narrow" w:hAnsi="Arial Narrow"/>
                <w:spacing w:val="0"/>
                <w:szCs w:val="19"/>
              </w:rPr>
              <w:t xml:space="preserve">La STCNC será una entidad de derecho público adscrito a la VPR, que contará con personería jurídica y estará dotada de autonomía </w:t>
            </w:r>
            <w:r w:rsidRPr="00B0093D">
              <w:rPr>
                <w:rFonts w:ascii="Arial Narrow" w:hAnsi="Arial Narrow"/>
                <w:spacing w:val="0"/>
                <w:szCs w:val="19"/>
              </w:rPr>
              <w:t>administrativa y financiera.</w:t>
            </w:r>
            <w:r>
              <w:rPr>
                <w:rFonts w:ascii="Arial Narrow" w:hAnsi="Arial Narrow"/>
                <w:spacing w:val="0"/>
                <w:szCs w:val="19"/>
              </w:rPr>
              <w:t xml:space="preserve"> </w:t>
            </w:r>
            <w:r>
              <w:rPr>
                <w:rFonts w:ascii="Arial Narrow" w:hAnsi="Arial Narrow"/>
                <w:spacing w:val="0"/>
                <w:szCs w:val="19"/>
                <w:lang w:val="es-MX"/>
              </w:rPr>
              <w:t xml:space="preserve">La CTCNC parte del CNC </w:t>
            </w:r>
            <w:r>
              <w:rPr>
                <w:rFonts w:ascii="Arial Narrow" w:hAnsi="Arial Narrow"/>
                <w:spacing w:val="0"/>
                <w:szCs w:val="19"/>
              </w:rPr>
              <w:t xml:space="preserve">será presidido por la </w:t>
            </w:r>
            <w:r w:rsidRPr="00B0093D">
              <w:rPr>
                <w:rFonts w:ascii="Arial Narrow" w:hAnsi="Arial Narrow"/>
                <w:spacing w:val="0"/>
                <w:szCs w:val="19"/>
              </w:rPr>
              <w:t>V</w:t>
            </w:r>
            <w:r>
              <w:rPr>
                <w:rFonts w:ascii="Arial Narrow" w:hAnsi="Arial Narrow"/>
                <w:spacing w:val="0"/>
                <w:szCs w:val="19"/>
              </w:rPr>
              <w:t>P</w:t>
            </w:r>
            <w:r w:rsidRPr="00B0093D">
              <w:rPr>
                <w:rFonts w:ascii="Arial Narrow" w:hAnsi="Arial Narrow"/>
                <w:spacing w:val="0"/>
                <w:szCs w:val="19"/>
              </w:rPr>
              <w:t>R</w:t>
            </w:r>
            <w:r>
              <w:rPr>
                <w:rFonts w:ascii="Arial Narrow" w:hAnsi="Arial Narrow"/>
                <w:spacing w:val="0"/>
                <w:szCs w:val="19"/>
              </w:rPr>
              <w:t>,</w:t>
            </w:r>
            <w:r w:rsidRPr="00B0093D">
              <w:rPr>
                <w:rFonts w:ascii="Arial Narrow" w:hAnsi="Arial Narrow"/>
                <w:spacing w:val="0"/>
                <w:szCs w:val="19"/>
              </w:rPr>
              <w:t xml:space="preserve"> </w:t>
            </w:r>
            <w:r>
              <w:rPr>
                <w:rFonts w:ascii="Arial Narrow" w:hAnsi="Arial Narrow"/>
                <w:spacing w:val="0"/>
                <w:szCs w:val="19"/>
              </w:rPr>
              <w:t xml:space="preserve">y </w:t>
            </w:r>
            <w:r w:rsidRPr="00B0093D">
              <w:rPr>
                <w:rFonts w:ascii="Arial Narrow" w:hAnsi="Arial Narrow"/>
                <w:spacing w:val="0"/>
                <w:szCs w:val="19"/>
              </w:rPr>
              <w:t>será el órgano de ejecución de las políticas de competitividad y de la Agenda Nacional de Competitividad</w:t>
            </w:r>
            <w:r>
              <w:rPr>
                <w:rFonts w:ascii="Arial Narrow" w:hAnsi="Arial Narrow"/>
                <w:spacing w:val="0"/>
                <w:szCs w:val="19"/>
              </w:rPr>
              <w:t>.</w:t>
            </w:r>
          </w:p>
        </w:tc>
        <w:tc>
          <w:tcPr>
            <w:tcW w:w="4583" w:type="dxa"/>
            <w:shd w:val="clear" w:color="auto" w:fill="auto"/>
          </w:tcPr>
          <w:p w14:paraId="7EC6B205" w14:textId="77777777" w:rsidR="00BF38E0" w:rsidRDefault="00BF38E0" w:rsidP="00BD495E">
            <w:pPr>
              <w:jc w:val="left"/>
              <w:rPr>
                <w:rFonts w:ascii="Arial Narrow" w:hAnsi="Arial Narrow"/>
                <w:spacing w:val="0"/>
                <w:szCs w:val="19"/>
                <w:lang w:val="es-MX"/>
              </w:rPr>
            </w:pPr>
            <w:r>
              <w:rPr>
                <w:rFonts w:ascii="Arial Narrow" w:hAnsi="Arial Narrow"/>
                <w:spacing w:val="0"/>
                <w:szCs w:val="19"/>
                <w:lang w:val="es-MX"/>
              </w:rPr>
              <w:t>Procesos de aprobación y acuerdos internos para la creación del CNC en desarrollo</w:t>
            </w:r>
          </w:p>
        </w:tc>
      </w:tr>
      <w:tr w:rsidR="00BF38E0" w:rsidRPr="003209F3" w14:paraId="302092FD" w14:textId="77777777" w:rsidTr="00BD495E">
        <w:trPr>
          <w:trHeight w:val="20"/>
        </w:trPr>
        <w:tc>
          <w:tcPr>
            <w:tcW w:w="1135" w:type="dxa"/>
            <w:vMerge w:val="restart"/>
            <w:shd w:val="clear" w:color="auto" w:fill="auto"/>
          </w:tcPr>
          <w:p w14:paraId="0470A2B3" w14:textId="77777777" w:rsidR="00BF38E0" w:rsidRDefault="00BF38E0" w:rsidP="00BD495E">
            <w:pPr>
              <w:jc w:val="left"/>
              <w:rPr>
                <w:rFonts w:ascii="Arial Narrow" w:hAnsi="Arial Narrow"/>
                <w:b/>
                <w:spacing w:val="0"/>
                <w:szCs w:val="19"/>
                <w:u w:val="single"/>
                <w:lang w:val="es-MX"/>
              </w:rPr>
            </w:pPr>
            <w:r>
              <w:rPr>
                <w:rFonts w:ascii="Arial Narrow" w:hAnsi="Arial Narrow"/>
              </w:rPr>
              <w:t>Gobernanza y Entorno Institucional</w:t>
            </w:r>
          </w:p>
        </w:tc>
        <w:tc>
          <w:tcPr>
            <w:tcW w:w="4441" w:type="dxa"/>
            <w:shd w:val="clear" w:color="auto" w:fill="auto"/>
          </w:tcPr>
          <w:p w14:paraId="701E6B37" w14:textId="77777777" w:rsidR="00BF38E0" w:rsidRPr="003C489E" w:rsidRDefault="00BF38E0" w:rsidP="00BD495E">
            <w:pPr>
              <w:jc w:val="left"/>
              <w:rPr>
                <w:rFonts w:ascii="Arial Narrow" w:hAnsi="Arial Narrow"/>
                <w:spacing w:val="0"/>
                <w:szCs w:val="19"/>
                <w:lang w:val="es-MX"/>
              </w:rPr>
            </w:pPr>
            <w:r>
              <w:rPr>
                <w:rFonts w:ascii="Arial Narrow" w:eastAsia="Times New Roman" w:hAnsi="Arial Narrow" w:cs="Times New Roman"/>
                <w:szCs w:val="16"/>
                <w:lang w:eastAsia="es-ES"/>
              </w:rPr>
              <w:t>La entidad que ejecutará el componente “STCNC”, aún no tiene establecido en el presupuesto nacional el monto de recursos de los que dispondrá para su funcionamiento, aspecto fundamental pues los recursos para su funcionamiento provienen del gobierno central</w:t>
            </w:r>
            <w:r w:rsidRPr="00273EA5">
              <w:rPr>
                <w:rFonts w:ascii="Arial Narrow" w:eastAsia="Times New Roman" w:hAnsi="Arial Narrow" w:cs="Times New Roman"/>
                <w:szCs w:val="16"/>
                <w:lang w:eastAsia="es-ES"/>
              </w:rPr>
              <w:t xml:space="preserve">. </w:t>
            </w:r>
            <w:r>
              <w:rPr>
                <w:rFonts w:ascii="Arial Narrow" w:eastAsia="Times New Roman" w:hAnsi="Arial Narrow" w:cs="Times New Roman"/>
                <w:szCs w:val="16"/>
                <w:lang w:eastAsia="es-ES"/>
              </w:rPr>
              <w:t xml:space="preserve"> </w:t>
            </w:r>
          </w:p>
        </w:tc>
        <w:tc>
          <w:tcPr>
            <w:tcW w:w="4300" w:type="dxa"/>
            <w:shd w:val="clear" w:color="auto" w:fill="auto"/>
          </w:tcPr>
          <w:p w14:paraId="5A04140A" w14:textId="77777777" w:rsidR="00BF38E0" w:rsidRPr="003C489E" w:rsidRDefault="00BF38E0" w:rsidP="00BD495E">
            <w:pPr>
              <w:jc w:val="left"/>
              <w:rPr>
                <w:rFonts w:ascii="Arial Narrow" w:hAnsi="Arial Narrow"/>
                <w:spacing w:val="0"/>
                <w:szCs w:val="19"/>
                <w:lang w:val="es-MX"/>
              </w:rPr>
            </w:pPr>
            <w:r w:rsidRPr="00273EA5">
              <w:rPr>
                <w:rFonts w:ascii="Arial Narrow" w:eastAsia="Times New Roman" w:hAnsi="Arial Narrow" w:cs="Times New Roman"/>
                <w:szCs w:val="16"/>
                <w:lang w:eastAsia="es-ES"/>
              </w:rPr>
              <w:t xml:space="preserve">La STCNC </w:t>
            </w:r>
            <w:r>
              <w:rPr>
                <w:rFonts w:ascii="Arial Narrow" w:eastAsia="Times New Roman" w:hAnsi="Arial Narrow" w:cs="Times New Roman"/>
                <w:szCs w:val="16"/>
                <w:lang w:eastAsia="es-ES"/>
              </w:rPr>
              <w:t xml:space="preserve">es una entidad en etapa de creación, la STCNC será una </w:t>
            </w:r>
            <w:r w:rsidRPr="00273EA5">
              <w:rPr>
                <w:rFonts w:ascii="Arial Narrow" w:eastAsia="Times New Roman" w:hAnsi="Arial Narrow" w:cs="Times New Roman"/>
                <w:szCs w:val="16"/>
                <w:lang w:eastAsia="es-ES"/>
              </w:rPr>
              <w:t>entidad de derecho público adscrito a la VPR, que contará con personería jurídica y estará dotada de autonomía administrativa y financiera</w:t>
            </w:r>
            <w:r>
              <w:rPr>
                <w:rFonts w:ascii="Arial Narrow" w:eastAsia="Times New Roman" w:hAnsi="Arial Narrow" w:cs="Times New Roman"/>
                <w:szCs w:val="16"/>
                <w:lang w:eastAsia="es-ES"/>
              </w:rPr>
              <w:t>.</w:t>
            </w:r>
          </w:p>
        </w:tc>
        <w:tc>
          <w:tcPr>
            <w:tcW w:w="4583" w:type="dxa"/>
            <w:shd w:val="clear" w:color="auto" w:fill="auto"/>
          </w:tcPr>
          <w:p w14:paraId="6981B599" w14:textId="77777777" w:rsidR="00BF38E0" w:rsidRPr="003C489E" w:rsidRDefault="00BF38E0" w:rsidP="00BD495E">
            <w:pPr>
              <w:jc w:val="left"/>
              <w:rPr>
                <w:rFonts w:ascii="Arial Narrow" w:hAnsi="Arial Narrow"/>
                <w:spacing w:val="0"/>
                <w:szCs w:val="19"/>
                <w:lang w:val="es-MX"/>
              </w:rPr>
            </w:pPr>
            <w:r>
              <w:rPr>
                <w:rFonts w:ascii="Arial Narrow" w:hAnsi="Arial Narrow"/>
                <w:spacing w:val="0"/>
                <w:szCs w:val="19"/>
                <w:lang w:val="es-MX"/>
              </w:rPr>
              <w:t>Procesos de aprobación y acuerdos internos para la creación del CNC en desarrollo</w:t>
            </w:r>
          </w:p>
        </w:tc>
      </w:tr>
      <w:tr w:rsidR="00BF38E0" w:rsidRPr="003209F3" w14:paraId="31F13E94" w14:textId="77777777" w:rsidTr="00BD495E">
        <w:trPr>
          <w:trHeight w:val="20"/>
        </w:trPr>
        <w:tc>
          <w:tcPr>
            <w:tcW w:w="1135" w:type="dxa"/>
            <w:vMerge/>
            <w:shd w:val="clear" w:color="auto" w:fill="auto"/>
          </w:tcPr>
          <w:p w14:paraId="6CB3B6AB" w14:textId="77777777" w:rsidR="00BF38E0" w:rsidRDefault="00BF38E0" w:rsidP="00BD495E">
            <w:pPr>
              <w:jc w:val="left"/>
              <w:rPr>
                <w:rFonts w:ascii="Arial Narrow" w:hAnsi="Arial Narrow"/>
              </w:rPr>
            </w:pPr>
          </w:p>
        </w:tc>
        <w:tc>
          <w:tcPr>
            <w:tcW w:w="4441" w:type="dxa"/>
            <w:shd w:val="clear" w:color="auto" w:fill="auto"/>
          </w:tcPr>
          <w:p w14:paraId="4573B841" w14:textId="77777777" w:rsidR="00BF38E0" w:rsidRDefault="00BF38E0" w:rsidP="00BD495E">
            <w:pPr>
              <w:jc w:val="left"/>
              <w:rPr>
                <w:rFonts w:ascii="Arial Narrow" w:hAnsi="Arial Narrow"/>
                <w:spacing w:val="0"/>
                <w:szCs w:val="19"/>
              </w:rPr>
            </w:pPr>
            <w:r>
              <w:rPr>
                <w:rFonts w:ascii="Arial Narrow" w:hAnsi="Arial Narrow"/>
                <w:spacing w:val="0"/>
                <w:szCs w:val="19"/>
              </w:rPr>
              <w:t>Se prevé un cambio de autoridades durante la ejecución del Programa</w:t>
            </w:r>
          </w:p>
        </w:tc>
        <w:tc>
          <w:tcPr>
            <w:tcW w:w="4300" w:type="dxa"/>
            <w:shd w:val="clear" w:color="auto" w:fill="auto"/>
          </w:tcPr>
          <w:p w14:paraId="03707274" w14:textId="77777777" w:rsidR="00BF38E0" w:rsidRDefault="00BF38E0" w:rsidP="00BD495E">
            <w:pPr>
              <w:jc w:val="left"/>
              <w:rPr>
                <w:rFonts w:ascii="Arial Narrow" w:hAnsi="Arial Narrow"/>
                <w:spacing w:val="0"/>
                <w:szCs w:val="19"/>
                <w:lang w:val="es-MX"/>
              </w:rPr>
            </w:pPr>
          </w:p>
        </w:tc>
        <w:tc>
          <w:tcPr>
            <w:tcW w:w="4583" w:type="dxa"/>
            <w:shd w:val="clear" w:color="auto" w:fill="auto"/>
          </w:tcPr>
          <w:p w14:paraId="0BE381A5" w14:textId="77777777" w:rsidR="00BF38E0" w:rsidRDefault="00BF38E0" w:rsidP="00BD495E">
            <w:pPr>
              <w:jc w:val="left"/>
              <w:rPr>
                <w:rFonts w:ascii="Arial Narrow" w:hAnsi="Arial Narrow"/>
                <w:spacing w:val="0"/>
                <w:szCs w:val="19"/>
                <w:lang w:val="es-MX"/>
              </w:rPr>
            </w:pPr>
            <w:r w:rsidRPr="00652C3F">
              <w:rPr>
                <w:rFonts w:ascii="Arial Narrow" w:hAnsi="Arial Narrow"/>
                <w:spacing w:val="0"/>
                <w:szCs w:val="19"/>
              </w:rPr>
              <w:t>La ejecución del programa tiene un horizonte previsto de 5 años, por lo que enfrentará un cambio de autoridades durante su ejecución 2021. No se prevé otras modificaciones adicionales.  A nivel de autoridades intermedias, la estabilidad se encuentra de la mano de los cambios de autoridad</w:t>
            </w:r>
            <w:r>
              <w:rPr>
                <w:rFonts w:ascii="Arial Narrow" w:hAnsi="Arial Narrow"/>
                <w:spacing w:val="0"/>
                <w:szCs w:val="19"/>
              </w:rPr>
              <w:t>.</w:t>
            </w:r>
          </w:p>
        </w:tc>
      </w:tr>
      <w:tr w:rsidR="00BF38E0" w:rsidRPr="003209F3" w14:paraId="5D0122D8" w14:textId="77777777" w:rsidTr="00BD495E">
        <w:trPr>
          <w:trHeight w:val="20"/>
        </w:trPr>
        <w:tc>
          <w:tcPr>
            <w:tcW w:w="1135" w:type="dxa"/>
            <w:shd w:val="clear" w:color="auto" w:fill="auto"/>
          </w:tcPr>
          <w:p w14:paraId="0EFA90FB" w14:textId="77777777" w:rsidR="00BF38E0" w:rsidRDefault="00BF38E0" w:rsidP="00BD495E">
            <w:pPr>
              <w:jc w:val="left"/>
              <w:rPr>
                <w:rFonts w:ascii="Arial Narrow" w:hAnsi="Arial Narrow"/>
              </w:rPr>
            </w:pPr>
            <w:r>
              <w:rPr>
                <w:rFonts w:ascii="Arial Narrow" w:hAnsi="Arial Narrow"/>
              </w:rPr>
              <w:t>Entorno General</w:t>
            </w:r>
          </w:p>
        </w:tc>
        <w:tc>
          <w:tcPr>
            <w:tcW w:w="4441" w:type="dxa"/>
            <w:shd w:val="clear" w:color="auto" w:fill="auto"/>
          </w:tcPr>
          <w:p w14:paraId="3D989F29" w14:textId="77777777" w:rsidR="00BF38E0" w:rsidRPr="00652C3F" w:rsidRDefault="00BF38E0" w:rsidP="00BD495E">
            <w:pPr>
              <w:jc w:val="left"/>
              <w:rPr>
                <w:rFonts w:ascii="Arial Narrow" w:hAnsi="Arial Narrow"/>
                <w:spacing w:val="0"/>
                <w:szCs w:val="19"/>
              </w:rPr>
            </w:pPr>
            <w:r>
              <w:rPr>
                <w:rFonts w:ascii="Arial Narrow" w:eastAsia="Times New Roman" w:hAnsi="Arial Narrow" w:cs="Times New Roman"/>
                <w:szCs w:val="16"/>
                <w:lang w:eastAsia="es-ES"/>
              </w:rPr>
              <w:t>L</w:t>
            </w:r>
            <w:r w:rsidRPr="00B0093D">
              <w:rPr>
                <w:rFonts w:ascii="Arial Narrow" w:eastAsia="Times New Roman" w:hAnsi="Arial Narrow" w:cs="Times New Roman"/>
                <w:szCs w:val="16"/>
                <w:lang w:eastAsia="es-ES"/>
              </w:rPr>
              <w:t>a materialización de riesgos</w:t>
            </w:r>
            <w:r>
              <w:rPr>
                <w:rFonts w:ascii="Arial Narrow" w:eastAsia="Times New Roman" w:hAnsi="Arial Narrow" w:cs="Times New Roman"/>
                <w:szCs w:val="16"/>
                <w:lang w:eastAsia="es-ES"/>
              </w:rPr>
              <w:t xml:space="preserve">, particularmente eventos fuera de control de la VPR, durante la creación de la STCNC y durante la ejecución del Programa </w:t>
            </w:r>
            <w:r w:rsidRPr="00B0093D">
              <w:rPr>
                <w:rFonts w:ascii="Arial Narrow" w:eastAsia="Times New Roman" w:hAnsi="Arial Narrow" w:cs="Times New Roman"/>
                <w:szCs w:val="16"/>
                <w:lang w:eastAsia="es-ES"/>
              </w:rPr>
              <w:t>puede afectar significativamente la percepción de su gestión.</w:t>
            </w:r>
            <w:r w:rsidRPr="00B0093D">
              <w:rPr>
                <w:rFonts w:ascii="Arial Narrow" w:eastAsia="Times New Roman" w:hAnsi="Arial Narrow" w:cs="Times New Roman"/>
                <w:szCs w:val="16"/>
                <w:highlight w:val="yellow"/>
                <w:lang w:eastAsia="es-ES"/>
              </w:rPr>
              <w:t xml:space="preserve">  </w:t>
            </w:r>
          </w:p>
        </w:tc>
        <w:tc>
          <w:tcPr>
            <w:tcW w:w="4300" w:type="dxa"/>
            <w:shd w:val="clear" w:color="auto" w:fill="auto"/>
          </w:tcPr>
          <w:p w14:paraId="231EC7A8" w14:textId="77777777" w:rsidR="00BF38E0" w:rsidRDefault="00BF38E0" w:rsidP="00BD495E">
            <w:pPr>
              <w:jc w:val="left"/>
              <w:rPr>
                <w:rFonts w:ascii="Arial Narrow" w:hAnsi="Arial Narrow"/>
                <w:spacing w:val="0"/>
                <w:szCs w:val="19"/>
                <w:lang w:val="es-MX"/>
              </w:rPr>
            </w:pPr>
            <w:r>
              <w:rPr>
                <w:rFonts w:ascii="Arial Narrow" w:hAnsi="Arial Narrow"/>
                <w:spacing w:val="0"/>
                <w:szCs w:val="19"/>
                <w:lang w:val="es-MX"/>
              </w:rPr>
              <w:t>El CNC no se encuentra constituido, se espera la suscripción del decreto presidencial de la CNC y la STCNC a finales de junio de 2019</w:t>
            </w:r>
          </w:p>
        </w:tc>
        <w:tc>
          <w:tcPr>
            <w:tcW w:w="4583" w:type="dxa"/>
            <w:shd w:val="clear" w:color="auto" w:fill="auto"/>
          </w:tcPr>
          <w:p w14:paraId="6EDE30C0" w14:textId="77777777" w:rsidR="00BF38E0" w:rsidRPr="0041090D" w:rsidRDefault="00BF38E0" w:rsidP="00BD495E">
            <w:pPr>
              <w:jc w:val="left"/>
              <w:rPr>
                <w:rFonts w:ascii="Arial Narrow" w:hAnsi="Arial Narrow"/>
                <w:spacing w:val="0"/>
                <w:szCs w:val="19"/>
              </w:rPr>
            </w:pPr>
            <w:r>
              <w:rPr>
                <w:rFonts w:ascii="Arial Narrow" w:hAnsi="Arial Narrow"/>
                <w:spacing w:val="0"/>
                <w:szCs w:val="19"/>
                <w:lang w:val="es-MX"/>
              </w:rPr>
              <w:t>Procesos de aprobación y acuerdos internos para la creación del CNC en desarrollo</w:t>
            </w:r>
          </w:p>
        </w:tc>
      </w:tr>
      <w:tr w:rsidR="00BF38E0" w:rsidRPr="003209F3" w14:paraId="09268F95" w14:textId="77777777" w:rsidTr="00BD495E">
        <w:trPr>
          <w:trHeight w:val="20"/>
        </w:trPr>
        <w:tc>
          <w:tcPr>
            <w:tcW w:w="1135" w:type="dxa"/>
            <w:vMerge w:val="restart"/>
            <w:shd w:val="clear" w:color="auto" w:fill="auto"/>
          </w:tcPr>
          <w:p w14:paraId="0FA2A44B" w14:textId="77777777" w:rsidR="00BF38E0" w:rsidRDefault="00BF38E0" w:rsidP="00BD495E">
            <w:pPr>
              <w:jc w:val="left"/>
              <w:rPr>
                <w:rFonts w:ascii="Arial Narrow" w:hAnsi="Arial Narrow"/>
              </w:rPr>
            </w:pPr>
            <w:r>
              <w:rPr>
                <w:rFonts w:ascii="Arial Narrow" w:hAnsi="Arial Narrow"/>
              </w:rPr>
              <w:t>Talento Humano. y capacidades Gerenciales y Técnicas</w:t>
            </w:r>
          </w:p>
        </w:tc>
        <w:tc>
          <w:tcPr>
            <w:tcW w:w="4441" w:type="dxa"/>
            <w:shd w:val="clear" w:color="auto" w:fill="auto"/>
          </w:tcPr>
          <w:p w14:paraId="6D859355" w14:textId="77777777" w:rsidR="00BF38E0" w:rsidRPr="00B0093D" w:rsidRDefault="00BF38E0" w:rsidP="00BD495E">
            <w:pPr>
              <w:tabs>
                <w:tab w:val="num" w:pos="322"/>
              </w:tabs>
              <w:spacing w:before="20" w:after="20"/>
              <w:contextualSpacing/>
              <w:jc w:val="left"/>
              <w:rPr>
                <w:rFonts w:ascii="Arial Narrow" w:eastAsia="Times New Roman" w:hAnsi="Arial Narrow" w:cs="Times New Roman"/>
                <w:szCs w:val="16"/>
                <w:lang w:eastAsia="es-ES"/>
              </w:rPr>
            </w:pPr>
            <w:r>
              <w:rPr>
                <w:rFonts w:ascii="Arial Narrow" w:eastAsia="Times New Roman" w:hAnsi="Arial Narrow" w:cs="Times New Roman"/>
                <w:szCs w:val="16"/>
                <w:lang w:eastAsia="es-ES"/>
              </w:rPr>
              <w:t xml:space="preserve">La entidad que ejecutará el componente “STCNC”, </w:t>
            </w:r>
            <w:r>
              <w:rPr>
                <w:rFonts w:ascii="Arial Narrow" w:hAnsi="Arial Narrow"/>
                <w:spacing w:val="0"/>
                <w:szCs w:val="19"/>
              </w:rPr>
              <w:t xml:space="preserve">no tiene establecida la dotación y distribución del Talento Humano (TH) para dicha entidad, la cual se establecerá una vez aprobados en el Ministerio de Trabajo la Matriz de Competencias, el Estatuto Orgánico Funcional por Procesos y el Manual de Clasificación de puestos. </w:t>
            </w:r>
          </w:p>
          <w:p w14:paraId="387205A9" w14:textId="77777777" w:rsidR="00BF38E0" w:rsidRDefault="00BF38E0" w:rsidP="00BD495E">
            <w:pPr>
              <w:jc w:val="left"/>
              <w:rPr>
                <w:rFonts w:ascii="Arial Narrow" w:eastAsia="Times New Roman" w:hAnsi="Arial Narrow" w:cs="Times New Roman"/>
                <w:szCs w:val="16"/>
                <w:lang w:eastAsia="es-ES"/>
              </w:rPr>
            </w:pPr>
          </w:p>
        </w:tc>
        <w:tc>
          <w:tcPr>
            <w:tcW w:w="4300" w:type="dxa"/>
            <w:shd w:val="clear" w:color="auto" w:fill="auto"/>
          </w:tcPr>
          <w:p w14:paraId="094FFFE3" w14:textId="77777777" w:rsidR="00BF38E0" w:rsidRDefault="00BF38E0" w:rsidP="00BD495E">
            <w:pPr>
              <w:jc w:val="left"/>
              <w:rPr>
                <w:rFonts w:ascii="Arial Narrow" w:hAnsi="Arial Narrow"/>
                <w:spacing w:val="0"/>
                <w:szCs w:val="19"/>
                <w:lang w:val="es-MX"/>
              </w:rPr>
            </w:pPr>
            <w:r w:rsidRPr="00273EA5">
              <w:rPr>
                <w:rFonts w:ascii="Arial Narrow" w:eastAsia="Times New Roman" w:hAnsi="Arial Narrow" w:cs="Times New Roman"/>
                <w:szCs w:val="16"/>
                <w:lang w:eastAsia="es-ES"/>
              </w:rPr>
              <w:t xml:space="preserve">La STCNC </w:t>
            </w:r>
            <w:r>
              <w:rPr>
                <w:rFonts w:ascii="Arial Narrow" w:eastAsia="Times New Roman" w:hAnsi="Arial Narrow" w:cs="Times New Roman"/>
                <w:szCs w:val="16"/>
                <w:lang w:eastAsia="es-ES"/>
              </w:rPr>
              <w:t xml:space="preserve">es una entidad en etapa de creación, la STCNC será una </w:t>
            </w:r>
            <w:r w:rsidRPr="00273EA5">
              <w:rPr>
                <w:rFonts w:ascii="Arial Narrow" w:eastAsia="Times New Roman" w:hAnsi="Arial Narrow" w:cs="Times New Roman"/>
                <w:szCs w:val="16"/>
                <w:lang w:eastAsia="es-ES"/>
              </w:rPr>
              <w:t>entidad de derecho público adscrito a la VPR, que contará con personería jurídica y estará dotada de autonomía administrativa y financiera</w:t>
            </w:r>
            <w:r>
              <w:rPr>
                <w:rFonts w:ascii="Arial Narrow" w:eastAsia="Times New Roman" w:hAnsi="Arial Narrow" w:cs="Times New Roman"/>
                <w:szCs w:val="16"/>
                <w:lang w:eastAsia="es-ES"/>
              </w:rPr>
              <w:t>.</w:t>
            </w:r>
          </w:p>
        </w:tc>
        <w:tc>
          <w:tcPr>
            <w:tcW w:w="4583" w:type="dxa"/>
            <w:shd w:val="clear" w:color="auto" w:fill="auto"/>
          </w:tcPr>
          <w:p w14:paraId="5D18529F" w14:textId="77777777" w:rsidR="00BF38E0" w:rsidRDefault="00BF38E0" w:rsidP="00BD495E">
            <w:pPr>
              <w:jc w:val="left"/>
              <w:rPr>
                <w:rFonts w:ascii="Arial Narrow" w:hAnsi="Arial Narrow"/>
                <w:spacing w:val="0"/>
                <w:szCs w:val="19"/>
                <w:lang w:val="es-MX"/>
              </w:rPr>
            </w:pPr>
            <w:r>
              <w:rPr>
                <w:rFonts w:ascii="Arial Narrow" w:hAnsi="Arial Narrow"/>
                <w:spacing w:val="0"/>
                <w:szCs w:val="19"/>
                <w:lang w:val="es-MX"/>
              </w:rPr>
              <w:t>Procesos de aprobación y acuerdos internos para la creación del CNC en desarrollo</w:t>
            </w:r>
          </w:p>
        </w:tc>
      </w:tr>
      <w:tr w:rsidR="00BF38E0" w:rsidRPr="003209F3" w14:paraId="7A4D743F" w14:textId="77777777" w:rsidTr="00BD495E">
        <w:trPr>
          <w:trHeight w:val="20"/>
        </w:trPr>
        <w:tc>
          <w:tcPr>
            <w:tcW w:w="1135" w:type="dxa"/>
            <w:vMerge/>
            <w:shd w:val="clear" w:color="auto" w:fill="auto"/>
          </w:tcPr>
          <w:p w14:paraId="275EF73C" w14:textId="77777777" w:rsidR="00BF38E0" w:rsidRDefault="00BF38E0" w:rsidP="00BD495E">
            <w:pPr>
              <w:jc w:val="left"/>
              <w:rPr>
                <w:rFonts w:ascii="Arial Narrow" w:hAnsi="Arial Narrow"/>
                <w:b/>
                <w:spacing w:val="0"/>
                <w:szCs w:val="19"/>
                <w:u w:val="single"/>
                <w:lang w:val="es-MX"/>
              </w:rPr>
            </w:pPr>
          </w:p>
        </w:tc>
        <w:tc>
          <w:tcPr>
            <w:tcW w:w="4441" w:type="dxa"/>
            <w:shd w:val="clear" w:color="auto" w:fill="auto"/>
          </w:tcPr>
          <w:p w14:paraId="013F83CE" w14:textId="77777777" w:rsidR="00BF38E0" w:rsidRPr="003C489E" w:rsidRDefault="00BF38E0" w:rsidP="00BD495E">
            <w:pPr>
              <w:tabs>
                <w:tab w:val="num" w:pos="322"/>
              </w:tabs>
              <w:spacing w:before="20" w:after="20"/>
              <w:contextualSpacing/>
              <w:jc w:val="left"/>
              <w:rPr>
                <w:rFonts w:ascii="Arial Narrow" w:hAnsi="Arial Narrow"/>
                <w:spacing w:val="0"/>
                <w:szCs w:val="19"/>
                <w:lang w:val="es-MX"/>
              </w:rPr>
            </w:pPr>
            <w:r>
              <w:rPr>
                <w:rFonts w:ascii="Arial Narrow" w:hAnsi="Arial Narrow"/>
                <w:spacing w:val="0"/>
                <w:szCs w:val="19"/>
                <w:lang w:val="es-MX"/>
              </w:rPr>
              <w:t>La STCNC y la VPR no cuentan con una estructura para manejo de proyectos con financiamiento internacional</w:t>
            </w:r>
          </w:p>
        </w:tc>
        <w:tc>
          <w:tcPr>
            <w:tcW w:w="4300" w:type="dxa"/>
            <w:shd w:val="clear" w:color="auto" w:fill="auto"/>
          </w:tcPr>
          <w:p w14:paraId="7CB0227D" w14:textId="77777777" w:rsidR="00BF38E0" w:rsidRPr="003C489E" w:rsidRDefault="00BF38E0" w:rsidP="00BD495E">
            <w:pPr>
              <w:jc w:val="left"/>
              <w:rPr>
                <w:rFonts w:ascii="Arial Narrow" w:hAnsi="Arial Narrow"/>
                <w:spacing w:val="0"/>
                <w:szCs w:val="19"/>
                <w:lang w:val="es-MX"/>
              </w:rPr>
            </w:pPr>
          </w:p>
        </w:tc>
        <w:tc>
          <w:tcPr>
            <w:tcW w:w="4583" w:type="dxa"/>
            <w:shd w:val="clear" w:color="auto" w:fill="auto"/>
          </w:tcPr>
          <w:p w14:paraId="0C281F82" w14:textId="6A7071F7" w:rsidR="00BF38E0" w:rsidRPr="003C489E" w:rsidRDefault="00BF38E0" w:rsidP="00BD495E">
            <w:pPr>
              <w:jc w:val="left"/>
              <w:rPr>
                <w:rFonts w:ascii="Arial Narrow" w:hAnsi="Arial Narrow"/>
                <w:spacing w:val="0"/>
                <w:szCs w:val="19"/>
                <w:lang w:val="es-MX"/>
              </w:rPr>
            </w:pPr>
            <w:r>
              <w:rPr>
                <w:rFonts w:ascii="Arial Narrow" w:hAnsi="Arial Narrow"/>
                <w:spacing w:val="0"/>
                <w:szCs w:val="19"/>
              </w:rPr>
              <w:t xml:space="preserve">La VPR </w:t>
            </w:r>
            <w:r w:rsidRPr="00B0093D">
              <w:rPr>
                <w:rFonts w:ascii="Arial Narrow" w:hAnsi="Arial Narrow"/>
                <w:spacing w:val="0"/>
                <w:szCs w:val="19"/>
              </w:rPr>
              <w:t xml:space="preserve">no tiene experiencia previa en la ejecución de proyectos con el BID </w:t>
            </w:r>
            <w:r>
              <w:rPr>
                <w:rFonts w:ascii="Arial Narrow" w:hAnsi="Arial Narrow"/>
                <w:spacing w:val="0"/>
                <w:szCs w:val="19"/>
              </w:rPr>
              <w:t>y no ha ejecutado proyectos de inversión</w:t>
            </w:r>
            <w:r w:rsidR="00606225">
              <w:rPr>
                <w:rFonts w:ascii="Arial Narrow" w:hAnsi="Arial Narrow"/>
                <w:spacing w:val="0"/>
                <w:szCs w:val="19"/>
              </w:rPr>
              <w:t xml:space="preserve"> </w:t>
            </w:r>
            <w:r w:rsidR="00606225">
              <w:rPr>
                <w:rFonts w:ascii="Arial Narrow" w:hAnsi="Arial Narrow"/>
                <w:spacing w:val="0"/>
                <w:szCs w:val="19"/>
              </w:rPr>
              <w:lastRenderedPageBreak/>
              <w:t>registrados en el SIPeIP</w:t>
            </w:r>
            <w:r>
              <w:rPr>
                <w:rFonts w:ascii="Arial Narrow" w:hAnsi="Arial Narrow"/>
                <w:spacing w:val="0"/>
                <w:szCs w:val="19"/>
              </w:rPr>
              <w:t xml:space="preserve"> financiados con recursos externos ni con fondos locales desde 2013</w:t>
            </w:r>
          </w:p>
        </w:tc>
      </w:tr>
      <w:tr w:rsidR="00BF38E0" w:rsidRPr="006F1105" w14:paraId="107B4B78" w14:textId="77777777" w:rsidTr="00BD495E">
        <w:trPr>
          <w:trHeight w:val="20"/>
        </w:trPr>
        <w:tc>
          <w:tcPr>
            <w:tcW w:w="1135" w:type="dxa"/>
            <w:vMerge/>
            <w:shd w:val="clear" w:color="auto" w:fill="auto"/>
          </w:tcPr>
          <w:p w14:paraId="087193AB" w14:textId="77777777" w:rsidR="00BF38E0" w:rsidRDefault="00BF38E0" w:rsidP="00BD495E">
            <w:pPr>
              <w:jc w:val="left"/>
              <w:rPr>
                <w:rFonts w:ascii="Arial Narrow" w:hAnsi="Arial Narrow"/>
              </w:rPr>
            </w:pPr>
          </w:p>
        </w:tc>
        <w:tc>
          <w:tcPr>
            <w:tcW w:w="4441" w:type="dxa"/>
            <w:shd w:val="clear" w:color="auto" w:fill="auto"/>
          </w:tcPr>
          <w:p w14:paraId="083AC77D" w14:textId="77777777" w:rsidR="00BF38E0" w:rsidRDefault="00BF38E0" w:rsidP="00BD495E">
            <w:pPr>
              <w:jc w:val="left"/>
              <w:rPr>
                <w:rFonts w:ascii="Arial Narrow" w:hAnsi="Arial Narrow"/>
                <w:spacing w:val="0"/>
                <w:szCs w:val="19"/>
                <w:lang w:val="es-MX"/>
              </w:rPr>
            </w:pPr>
            <w:r>
              <w:rPr>
                <w:rFonts w:ascii="Arial Narrow" w:hAnsi="Arial Narrow"/>
                <w:spacing w:val="0"/>
                <w:szCs w:val="19"/>
                <w:lang w:val="es-MX"/>
              </w:rPr>
              <w:t xml:space="preserve">Existe dificultad en cubrir las </w:t>
            </w:r>
            <w:r>
              <w:rPr>
                <w:rFonts w:ascii="Arial Narrow" w:eastAsia="Times New Roman" w:hAnsi="Arial Narrow" w:cs="Times New Roman"/>
                <w:szCs w:val="16"/>
                <w:lang w:eastAsia="es-ES"/>
              </w:rPr>
              <w:t>necesidades ocasionales que pudieran presentarse por cargas adicionales laborales relacionadas con el Programa, en la VPR.</w:t>
            </w:r>
          </w:p>
        </w:tc>
        <w:tc>
          <w:tcPr>
            <w:tcW w:w="4300" w:type="dxa"/>
            <w:shd w:val="clear" w:color="auto" w:fill="auto"/>
          </w:tcPr>
          <w:p w14:paraId="5203BB02" w14:textId="77777777" w:rsidR="00BF38E0" w:rsidRPr="003C489E" w:rsidRDefault="00BF38E0" w:rsidP="00BD495E">
            <w:pPr>
              <w:jc w:val="left"/>
              <w:rPr>
                <w:rFonts w:ascii="Arial Narrow" w:hAnsi="Arial Narrow"/>
                <w:spacing w:val="0"/>
                <w:szCs w:val="19"/>
                <w:lang w:val="es-MX"/>
              </w:rPr>
            </w:pPr>
          </w:p>
        </w:tc>
        <w:tc>
          <w:tcPr>
            <w:tcW w:w="4583" w:type="dxa"/>
            <w:shd w:val="clear" w:color="auto" w:fill="auto"/>
          </w:tcPr>
          <w:p w14:paraId="742A2932" w14:textId="77777777" w:rsidR="00BF38E0" w:rsidRDefault="00BF38E0" w:rsidP="00BD495E">
            <w:pPr>
              <w:jc w:val="left"/>
              <w:rPr>
                <w:rFonts w:ascii="Arial Narrow" w:hAnsi="Arial Narrow"/>
                <w:spacing w:val="0"/>
                <w:szCs w:val="19"/>
                <w:lang w:val="es-MX"/>
              </w:rPr>
            </w:pPr>
            <w:r>
              <w:rPr>
                <w:rFonts w:ascii="Arial Narrow" w:hAnsi="Arial Narrow"/>
                <w:spacing w:val="0"/>
                <w:szCs w:val="19"/>
                <w:lang w:val="es-MX"/>
              </w:rPr>
              <w:t xml:space="preserve">Esquema de austeridad las restricciones financieras, </w:t>
            </w:r>
            <w:r>
              <w:rPr>
                <w:rFonts w:ascii="Arial Narrow" w:eastAsia="Times New Roman" w:hAnsi="Arial Narrow" w:cs="Times New Roman"/>
                <w:szCs w:val="16"/>
                <w:lang w:eastAsia="es-ES"/>
              </w:rPr>
              <w:t>no facilitan financiar con el presupuesto de la organización la contratación de TH</w:t>
            </w:r>
          </w:p>
        </w:tc>
      </w:tr>
      <w:tr w:rsidR="00BF38E0" w:rsidRPr="003209F3" w14:paraId="1FDD150C" w14:textId="77777777" w:rsidTr="00BD495E">
        <w:trPr>
          <w:trHeight w:val="20"/>
        </w:trPr>
        <w:tc>
          <w:tcPr>
            <w:tcW w:w="1135" w:type="dxa"/>
            <w:vMerge w:val="restart"/>
            <w:shd w:val="clear" w:color="auto" w:fill="auto"/>
          </w:tcPr>
          <w:p w14:paraId="650AE813" w14:textId="77777777" w:rsidR="00BF38E0" w:rsidRDefault="00BF38E0" w:rsidP="00BD495E">
            <w:pPr>
              <w:jc w:val="left"/>
              <w:rPr>
                <w:rFonts w:ascii="Arial Narrow" w:hAnsi="Arial Narrow"/>
              </w:rPr>
            </w:pPr>
            <w:r>
              <w:rPr>
                <w:rFonts w:ascii="Arial Narrow" w:hAnsi="Arial Narrow"/>
              </w:rPr>
              <w:t>Administración de proyectos</w:t>
            </w:r>
          </w:p>
        </w:tc>
        <w:tc>
          <w:tcPr>
            <w:tcW w:w="4441" w:type="dxa"/>
            <w:shd w:val="clear" w:color="auto" w:fill="auto"/>
          </w:tcPr>
          <w:p w14:paraId="6E76048E" w14:textId="77777777" w:rsidR="00BF38E0" w:rsidRDefault="00BF38E0" w:rsidP="00BD495E">
            <w:pPr>
              <w:jc w:val="left"/>
              <w:rPr>
                <w:rFonts w:ascii="Arial Narrow" w:hAnsi="Arial Narrow"/>
                <w:spacing w:val="0"/>
                <w:szCs w:val="19"/>
                <w:lang w:val="es-MX"/>
              </w:rPr>
            </w:pPr>
            <w:r>
              <w:rPr>
                <w:rFonts w:ascii="Arial Narrow" w:hAnsi="Arial Narrow"/>
                <w:spacing w:val="0"/>
                <w:szCs w:val="19"/>
              </w:rPr>
              <w:t>L</w:t>
            </w:r>
            <w:r w:rsidRPr="00091EDA">
              <w:rPr>
                <w:rFonts w:ascii="Arial Narrow" w:hAnsi="Arial Narrow"/>
                <w:spacing w:val="0"/>
                <w:szCs w:val="19"/>
                <w:lang w:val="es-MX"/>
              </w:rPr>
              <w:t xml:space="preserve">a STCNC no cuenta aún la normativa organizacional (Manual Orgánico Funcional por Procesos, Manuales de Procesos), y </w:t>
            </w:r>
            <w:r>
              <w:rPr>
                <w:rFonts w:ascii="Arial Narrow" w:hAnsi="Arial Narrow"/>
                <w:spacing w:val="0"/>
                <w:szCs w:val="19"/>
                <w:lang w:val="es-MX"/>
              </w:rPr>
              <w:t xml:space="preserve">tampoco </w:t>
            </w:r>
            <w:r w:rsidRPr="00091EDA">
              <w:rPr>
                <w:rFonts w:ascii="Arial Narrow" w:hAnsi="Arial Narrow"/>
                <w:spacing w:val="0"/>
                <w:szCs w:val="19"/>
                <w:lang w:val="es-MX"/>
              </w:rPr>
              <w:t>con una estructura para la ejecución y monitoreo de Proyectos.</w:t>
            </w:r>
          </w:p>
        </w:tc>
        <w:tc>
          <w:tcPr>
            <w:tcW w:w="4300" w:type="dxa"/>
            <w:shd w:val="clear" w:color="auto" w:fill="auto"/>
          </w:tcPr>
          <w:p w14:paraId="4099ABC1" w14:textId="77777777" w:rsidR="00BF38E0" w:rsidRPr="003C489E" w:rsidRDefault="00BF38E0" w:rsidP="00BD495E">
            <w:pPr>
              <w:jc w:val="left"/>
              <w:rPr>
                <w:rFonts w:ascii="Arial Narrow" w:hAnsi="Arial Narrow"/>
                <w:spacing w:val="0"/>
                <w:szCs w:val="19"/>
                <w:lang w:val="es-MX"/>
              </w:rPr>
            </w:pPr>
            <w:r w:rsidRPr="00273EA5">
              <w:rPr>
                <w:rFonts w:ascii="Arial Narrow" w:eastAsia="Times New Roman" w:hAnsi="Arial Narrow" w:cs="Times New Roman"/>
                <w:szCs w:val="16"/>
                <w:lang w:eastAsia="es-ES"/>
              </w:rPr>
              <w:t xml:space="preserve">La STCNC </w:t>
            </w:r>
            <w:r>
              <w:rPr>
                <w:rFonts w:ascii="Arial Narrow" w:eastAsia="Times New Roman" w:hAnsi="Arial Narrow" w:cs="Times New Roman"/>
                <w:szCs w:val="16"/>
                <w:lang w:eastAsia="es-ES"/>
              </w:rPr>
              <w:t xml:space="preserve">es una entidad en etapa de creación, la STCNC será una </w:t>
            </w:r>
            <w:r w:rsidRPr="00273EA5">
              <w:rPr>
                <w:rFonts w:ascii="Arial Narrow" w:eastAsia="Times New Roman" w:hAnsi="Arial Narrow" w:cs="Times New Roman"/>
                <w:szCs w:val="16"/>
                <w:lang w:eastAsia="es-ES"/>
              </w:rPr>
              <w:t>entidad de derecho público adscrito a la VPR, que contará con personería jurídica y estará dotada de autonomía administrativa y financiera</w:t>
            </w:r>
            <w:r>
              <w:rPr>
                <w:rFonts w:ascii="Arial Narrow" w:eastAsia="Times New Roman" w:hAnsi="Arial Narrow" w:cs="Times New Roman"/>
                <w:szCs w:val="16"/>
                <w:lang w:eastAsia="es-ES"/>
              </w:rPr>
              <w:t>.</w:t>
            </w:r>
          </w:p>
        </w:tc>
        <w:tc>
          <w:tcPr>
            <w:tcW w:w="4583" w:type="dxa"/>
            <w:shd w:val="clear" w:color="auto" w:fill="auto"/>
          </w:tcPr>
          <w:p w14:paraId="625EE1CE" w14:textId="77777777" w:rsidR="00BF38E0" w:rsidRDefault="00BF38E0" w:rsidP="00BD495E">
            <w:pPr>
              <w:jc w:val="left"/>
              <w:rPr>
                <w:rFonts w:ascii="Arial Narrow" w:hAnsi="Arial Narrow"/>
                <w:spacing w:val="0"/>
                <w:szCs w:val="19"/>
                <w:lang w:val="es-MX"/>
              </w:rPr>
            </w:pPr>
            <w:r>
              <w:rPr>
                <w:rFonts w:ascii="Arial Narrow" w:hAnsi="Arial Narrow"/>
                <w:spacing w:val="0"/>
                <w:szCs w:val="19"/>
                <w:lang w:val="es-MX"/>
              </w:rPr>
              <w:t>Procesos de aprobación y acuerdos internos para la creación del CNC en desarrollo.</w:t>
            </w:r>
          </w:p>
          <w:p w14:paraId="6D097BBE" w14:textId="77777777" w:rsidR="00BF38E0" w:rsidRDefault="00BF38E0" w:rsidP="00BD495E">
            <w:pPr>
              <w:jc w:val="left"/>
              <w:rPr>
                <w:rFonts w:ascii="Arial Narrow" w:hAnsi="Arial Narrow"/>
                <w:spacing w:val="0"/>
                <w:szCs w:val="19"/>
                <w:lang w:val="es-MX"/>
              </w:rPr>
            </w:pPr>
            <w:r>
              <w:rPr>
                <w:rFonts w:ascii="Arial Narrow" w:hAnsi="Arial Narrow"/>
                <w:spacing w:val="0"/>
                <w:szCs w:val="19"/>
                <w:lang w:val="es-MX"/>
              </w:rPr>
              <w:t xml:space="preserve">La STCNC, aún no dispone de una </w:t>
            </w:r>
            <w:r w:rsidRPr="00091EDA">
              <w:rPr>
                <w:rFonts w:ascii="Arial Narrow" w:hAnsi="Arial Narrow"/>
                <w:spacing w:val="0"/>
                <w:szCs w:val="19"/>
                <w:lang w:val="es-MX"/>
              </w:rPr>
              <w:t>estructura para la ejecución y monitoreo de Proyectos.</w:t>
            </w:r>
          </w:p>
        </w:tc>
      </w:tr>
      <w:tr w:rsidR="00BF38E0" w:rsidRPr="003209F3" w14:paraId="54FB9B70" w14:textId="77777777" w:rsidTr="00BD495E">
        <w:trPr>
          <w:trHeight w:val="1147"/>
        </w:trPr>
        <w:tc>
          <w:tcPr>
            <w:tcW w:w="1135" w:type="dxa"/>
            <w:vMerge/>
            <w:shd w:val="clear" w:color="auto" w:fill="auto"/>
          </w:tcPr>
          <w:p w14:paraId="7F7D2BEC" w14:textId="77777777" w:rsidR="00BF38E0" w:rsidRDefault="00BF38E0" w:rsidP="00BD495E">
            <w:pPr>
              <w:jc w:val="left"/>
              <w:rPr>
                <w:rFonts w:ascii="Arial Narrow" w:hAnsi="Arial Narrow"/>
                <w:b/>
                <w:spacing w:val="0"/>
                <w:szCs w:val="19"/>
                <w:u w:val="single"/>
                <w:lang w:val="es-MX"/>
              </w:rPr>
            </w:pPr>
          </w:p>
        </w:tc>
        <w:tc>
          <w:tcPr>
            <w:tcW w:w="4441" w:type="dxa"/>
            <w:shd w:val="clear" w:color="auto" w:fill="auto"/>
          </w:tcPr>
          <w:p w14:paraId="000AF047" w14:textId="77777777" w:rsidR="00BF38E0" w:rsidRPr="003C489E" w:rsidRDefault="00BF38E0" w:rsidP="00BD495E">
            <w:pPr>
              <w:jc w:val="left"/>
              <w:rPr>
                <w:rFonts w:ascii="Arial Narrow" w:hAnsi="Arial Narrow"/>
                <w:spacing w:val="0"/>
                <w:szCs w:val="19"/>
                <w:lang w:val="es-MX"/>
              </w:rPr>
            </w:pPr>
            <w:r w:rsidRPr="00CA40F1">
              <w:rPr>
                <w:rFonts w:ascii="Arial Narrow" w:hAnsi="Arial Narrow"/>
                <w:spacing w:val="0"/>
                <w:szCs w:val="19"/>
                <w:lang w:val="es-MX"/>
              </w:rPr>
              <w:t>Existen requerimientos de inversión pública que requieren aprobaciones de organismos externos como ‘Planifica Ecuador’ (priorización de proyectos; PAI); y MEF (aspectos presupuestarios, etc.), que podrían demorar la ejecución del Proyecto.</w:t>
            </w:r>
          </w:p>
        </w:tc>
        <w:tc>
          <w:tcPr>
            <w:tcW w:w="4300" w:type="dxa"/>
            <w:shd w:val="clear" w:color="auto" w:fill="auto"/>
          </w:tcPr>
          <w:p w14:paraId="3EB08ADE" w14:textId="77777777" w:rsidR="00BF38E0" w:rsidRPr="003C489E" w:rsidRDefault="00BF38E0" w:rsidP="00BD495E">
            <w:pPr>
              <w:jc w:val="left"/>
              <w:rPr>
                <w:rFonts w:ascii="Arial Narrow" w:hAnsi="Arial Narrow"/>
                <w:spacing w:val="0"/>
                <w:szCs w:val="19"/>
                <w:lang w:val="es-MX"/>
              </w:rPr>
            </w:pPr>
          </w:p>
        </w:tc>
        <w:tc>
          <w:tcPr>
            <w:tcW w:w="4583" w:type="dxa"/>
            <w:shd w:val="clear" w:color="auto" w:fill="auto"/>
          </w:tcPr>
          <w:p w14:paraId="15CC2D89" w14:textId="77777777" w:rsidR="00BF38E0" w:rsidRPr="003C489E" w:rsidRDefault="00BF38E0" w:rsidP="00BD495E">
            <w:pPr>
              <w:jc w:val="left"/>
              <w:rPr>
                <w:rFonts w:ascii="Arial Narrow" w:hAnsi="Arial Narrow"/>
                <w:spacing w:val="0"/>
                <w:szCs w:val="19"/>
                <w:lang w:val="es-MX"/>
              </w:rPr>
            </w:pPr>
            <w:r>
              <w:rPr>
                <w:rFonts w:ascii="Arial Narrow" w:hAnsi="Arial Narrow"/>
                <w:spacing w:val="0"/>
                <w:szCs w:val="19"/>
                <w:lang w:val="es-MX"/>
              </w:rPr>
              <w:t xml:space="preserve">Actualmente No existe un Proyecto de Inversión para la ejecución del Componente </w:t>
            </w:r>
            <w:r w:rsidRPr="0072144C">
              <w:rPr>
                <w:rFonts w:ascii="Arial Narrow" w:hAnsi="Arial Narrow"/>
                <w:spacing w:val="0"/>
                <w:szCs w:val="19"/>
                <w:lang w:val="es-MX"/>
              </w:rPr>
              <w:t xml:space="preserve">y en consecuencia </w:t>
            </w:r>
            <w:r>
              <w:rPr>
                <w:rFonts w:ascii="Arial Narrow" w:hAnsi="Arial Narrow"/>
                <w:spacing w:val="0"/>
                <w:szCs w:val="19"/>
                <w:lang w:val="es-MX"/>
              </w:rPr>
              <w:t xml:space="preserve">se requiere su formulación, priorización </w:t>
            </w:r>
            <w:r w:rsidRPr="00CA40F1">
              <w:rPr>
                <w:rFonts w:ascii="Arial Narrow" w:hAnsi="Arial Narrow"/>
                <w:spacing w:val="0"/>
                <w:szCs w:val="19"/>
                <w:lang w:val="es-MX"/>
              </w:rPr>
              <w:t>por ‘Planifica Ecuador’ requisito previo para la firma del convenio de préstamo y la ejecución del componente.</w:t>
            </w:r>
            <w:r>
              <w:rPr>
                <w:rFonts w:ascii="Arial Narrow" w:hAnsi="Arial Narrow"/>
                <w:spacing w:val="0"/>
                <w:szCs w:val="19"/>
                <w:lang w:val="es-MX"/>
              </w:rPr>
              <w:t xml:space="preserve"> Asimismo, para la ejecución se requiere la incorporación en los PAI correspondientes y en los POA de la nueva organización</w:t>
            </w:r>
            <w:r w:rsidRPr="0072144C">
              <w:rPr>
                <w:rFonts w:ascii="Arial Narrow" w:hAnsi="Arial Narrow"/>
                <w:spacing w:val="0"/>
                <w:szCs w:val="19"/>
                <w:lang w:val="es-MX"/>
              </w:rPr>
              <w:t>.</w:t>
            </w:r>
          </w:p>
        </w:tc>
      </w:tr>
      <w:tr w:rsidR="00BF38E0" w:rsidRPr="003209F3" w14:paraId="334D8E6C" w14:textId="77777777" w:rsidTr="00BD495E">
        <w:trPr>
          <w:trHeight w:val="696"/>
        </w:trPr>
        <w:tc>
          <w:tcPr>
            <w:tcW w:w="1135" w:type="dxa"/>
            <w:vMerge/>
            <w:shd w:val="clear" w:color="auto" w:fill="auto"/>
          </w:tcPr>
          <w:p w14:paraId="5386FA24" w14:textId="77777777" w:rsidR="00BF38E0" w:rsidRDefault="00BF38E0" w:rsidP="00BD495E">
            <w:pPr>
              <w:jc w:val="left"/>
              <w:rPr>
                <w:rFonts w:ascii="Arial Narrow" w:hAnsi="Arial Narrow"/>
                <w:b/>
                <w:spacing w:val="0"/>
                <w:szCs w:val="19"/>
                <w:u w:val="single"/>
                <w:lang w:val="es-MX"/>
              </w:rPr>
            </w:pPr>
          </w:p>
        </w:tc>
        <w:tc>
          <w:tcPr>
            <w:tcW w:w="4441" w:type="dxa"/>
            <w:shd w:val="clear" w:color="auto" w:fill="auto"/>
          </w:tcPr>
          <w:p w14:paraId="7C372AD7" w14:textId="722C94DB" w:rsidR="00BF38E0" w:rsidRPr="00CA40F1" w:rsidRDefault="00BF38E0" w:rsidP="00BD495E">
            <w:pPr>
              <w:jc w:val="left"/>
              <w:rPr>
                <w:rFonts w:ascii="Arial Narrow" w:hAnsi="Arial Narrow"/>
                <w:spacing w:val="0"/>
                <w:szCs w:val="19"/>
                <w:lang w:val="es-MX"/>
              </w:rPr>
            </w:pPr>
            <w:r>
              <w:rPr>
                <w:rFonts w:ascii="Arial Narrow" w:hAnsi="Arial Narrow"/>
                <w:spacing w:val="0"/>
                <w:szCs w:val="19"/>
              </w:rPr>
              <w:t xml:space="preserve">La STCNC, no ha ejecutado proyectos y la VPR, </w:t>
            </w:r>
            <w:r w:rsidRPr="0041090D">
              <w:rPr>
                <w:rFonts w:ascii="Arial Narrow" w:hAnsi="Arial Narrow"/>
                <w:spacing w:val="0"/>
                <w:szCs w:val="19"/>
              </w:rPr>
              <w:t>no ha</w:t>
            </w:r>
            <w:r>
              <w:rPr>
                <w:rFonts w:ascii="Arial Narrow" w:hAnsi="Arial Narrow"/>
                <w:spacing w:val="0"/>
                <w:szCs w:val="19"/>
              </w:rPr>
              <w:t xml:space="preserve"> priorizado ni ejecutado </w:t>
            </w:r>
            <w:r w:rsidRPr="0041090D">
              <w:rPr>
                <w:rFonts w:ascii="Arial Narrow" w:hAnsi="Arial Narrow"/>
                <w:spacing w:val="0"/>
                <w:szCs w:val="19"/>
              </w:rPr>
              <w:t xml:space="preserve">proyectos de inversión </w:t>
            </w:r>
            <w:r w:rsidR="00606225">
              <w:rPr>
                <w:rFonts w:ascii="Arial Narrow" w:hAnsi="Arial Narrow"/>
                <w:spacing w:val="0"/>
                <w:szCs w:val="19"/>
              </w:rPr>
              <w:t xml:space="preserve">registrados en el SIPeIP </w:t>
            </w:r>
            <w:r w:rsidRPr="0041090D">
              <w:rPr>
                <w:rFonts w:ascii="Arial Narrow" w:hAnsi="Arial Narrow"/>
                <w:spacing w:val="0"/>
                <w:szCs w:val="19"/>
              </w:rPr>
              <w:t>desde 2013.</w:t>
            </w:r>
          </w:p>
        </w:tc>
        <w:tc>
          <w:tcPr>
            <w:tcW w:w="4300" w:type="dxa"/>
            <w:shd w:val="clear" w:color="auto" w:fill="auto"/>
          </w:tcPr>
          <w:p w14:paraId="6B736C4B" w14:textId="77777777" w:rsidR="00BF38E0" w:rsidRDefault="00BF38E0" w:rsidP="00BD495E">
            <w:pPr>
              <w:jc w:val="left"/>
              <w:rPr>
                <w:rFonts w:ascii="Arial Narrow" w:hAnsi="Arial Narrow"/>
                <w:spacing w:val="0"/>
                <w:szCs w:val="19"/>
                <w:lang w:val="es-MX"/>
              </w:rPr>
            </w:pPr>
          </w:p>
        </w:tc>
        <w:tc>
          <w:tcPr>
            <w:tcW w:w="4583" w:type="dxa"/>
            <w:shd w:val="clear" w:color="auto" w:fill="auto"/>
          </w:tcPr>
          <w:p w14:paraId="460E728E" w14:textId="77777777" w:rsidR="00BF38E0" w:rsidRPr="003C489E" w:rsidRDefault="00BF38E0" w:rsidP="00BD495E">
            <w:pPr>
              <w:jc w:val="left"/>
              <w:rPr>
                <w:rFonts w:ascii="Arial Narrow" w:hAnsi="Arial Narrow"/>
                <w:spacing w:val="0"/>
                <w:szCs w:val="19"/>
                <w:lang w:val="es-MX"/>
              </w:rPr>
            </w:pPr>
            <w:r>
              <w:rPr>
                <w:rFonts w:ascii="Arial Narrow" w:hAnsi="Arial Narrow"/>
                <w:spacing w:val="0"/>
                <w:szCs w:val="19"/>
                <w:lang w:val="es-MX"/>
              </w:rPr>
              <w:t>El papel de la VPR ha estado enfocado más en la coordinación de políticas que en la ejecución de proyectos.</w:t>
            </w:r>
          </w:p>
        </w:tc>
      </w:tr>
      <w:tr w:rsidR="00BF38E0" w:rsidRPr="003209F3" w14:paraId="0F9A8940" w14:textId="77777777" w:rsidTr="00BD495E">
        <w:trPr>
          <w:trHeight w:val="20"/>
        </w:trPr>
        <w:tc>
          <w:tcPr>
            <w:tcW w:w="1135" w:type="dxa"/>
            <w:vMerge w:val="restart"/>
            <w:shd w:val="clear" w:color="auto" w:fill="auto"/>
          </w:tcPr>
          <w:p w14:paraId="415DA119" w14:textId="77777777" w:rsidR="00BF38E0" w:rsidRDefault="00BF38E0" w:rsidP="00BD495E">
            <w:pPr>
              <w:jc w:val="left"/>
              <w:rPr>
                <w:rFonts w:ascii="Arial Narrow" w:hAnsi="Arial Narrow"/>
                <w:b/>
                <w:spacing w:val="0"/>
                <w:szCs w:val="19"/>
                <w:u w:val="single"/>
                <w:lang w:val="es-MX"/>
              </w:rPr>
            </w:pPr>
            <w:r>
              <w:rPr>
                <w:rFonts w:ascii="Arial Narrow" w:hAnsi="Arial Narrow"/>
              </w:rPr>
              <w:t>Adquisiciones y Financiero</w:t>
            </w:r>
          </w:p>
        </w:tc>
        <w:tc>
          <w:tcPr>
            <w:tcW w:w="4441" w:type="dxa"/>
            <w:shd w:val="clear" w:color="auto" w:fill="auto"/>
          </w:tcPr>
          <w:p w14:paraId="3FFA0A15" w14:textId="77777777" w:rsidR="00BF38E0" w:rsidRPr="003C489E" w:rsidRDefault="00BF38E0" w:rsidP="00BD495E">
            <w:pPr>
              <w:jc w:val="left"/>
              <w:rPr>
                <w:rFonts w:ascii="Arial Narrow" w:hAnsi="Arial Narrow"/>
                <w:spacing w:val="0"/>
                <w:szCs w:val="19"/>
                <w:lang w:val="es-MX"/>
              </w:rPr>
            </w:pPr>
            <w:r>
              <w:rPr>
                <w:rFonts w:ascii="Arial Narrow" w:hAnsi="Arial Narrow"/>
                <w:spacing w:val="0"/>
                <w:szCs w:val="19"/>
                <w:lang w:val="es-MX"/>
              </w:rPr>
              <w:t xml:space="preserve">La STCNC y la VPR </w:t>
            </w:r>
            <w:r w:rsidRPr="00842AB8">
              <w:rPr>
                <w:rFonts w:ascii="Arial Narrow" w:hAnsi="Arial Narrow"/>
                <w:spacing w:val="0"/>
                <w:szCs w:val="19"/>
                <w:lang w:val="es-MX"/>
              </w:rPr>
              <w:t>no tiene</w:t>
            </w:r>
            <w:r>
              <w:rPr>
                <w:rFonts w:ascii="Arial Narrow" w:hAnsi="Arial Narrow"/>
                <w:spacing w:val="0"/>
                <w:szCs w:val="19"/>
                <w:lang w:val="es-MX"/>
              </w:rPr>
              <w:t>n</w:t>
            </w:r>
            <w:r w:rsidRPr="00842AB8">
              <w:rPr>
                <w:rFonts w:ascii="Arial Narrow" w:hAnsi="Arial Narrow"/>
                <w:spacing w:val="0"/>
                <w:szCs w:val="19"/>
                <w:lang w:val="es-MX"/>
              </w:rPr>
              <w:t xml:space="preserve"> </w:t>
            </w:r>
            <w:r>
              <w:rPr>
                <w:rFonts w:ascii="Arial Narrow" w:hAnsi="Arial Narrow"/>
                <w:spacing w:val="0"/>
                <w:szCs w:val="19"/>
                <w:lang w:val="es-MX"/>
              </w:rPr>
              <w:t xml:space="preserve">experiencia, ni </w:t>
            </w:r>
            <w:r w:rsidRPr="00842AB8">
              <w:rPr>
                <w:rFonts w:ascii="Arial Narrow" w:hAnsi="Arial Narrow"/>
                <w:spacing w:val="0"/>
                <w:szCs w:val="19"/>
                <w:lang w:val="es-MX"/>
              </w:rPr>
              <w:t>conocimiento de las Políticas de adquisiciones y contrataciones del Banco</w:t>
            </w:r>
            <w:r>
              <w:rPr>
                <w:rFonts w:ascii="Arial Narrow" w:hAnsi="Arial Narrow"/>
                <w:spacing w:val="0"/>
                <w:szCs w:val="19"/>
                <w:lang w:val="es-MX"/>
              </w:rPr>
              <w:t xml:space="preserve">, tampoco de las </w:t>
            </w:r>
            <w:r w:rsidRPr="00A2480A">
              <w:rPr>
                <w:rFonts w:ascii="Arial Narrow" w:hAnsi="Arial Narrow"/>
                <w:spacing w:val="0"/>
                <w:szCs w:val="19"/>
                <w:lang w:val="es-MX"/>
              </w:rPr>
              <w:t>políticas de gestión financiera y de desembolsos para Programas financiados por el BID.</w:t>
            </w:r>
          </w:p>
        </w:tc>
        <w:tc>
          <w:tcPr>
            <w:tcW w:w="4300" w:type="dxa"/>
            <w:shd w:val="clear" w:color="auto" w:fill="auto"/>
          </w:tcPr>
          <w:p w14:paraId="7661A4D6" w14:textId="77777777" w:rsidR="00BF38E0" w:rsidRPr="003C489E" w:rsidRDefault="00BF38E0" w:rsidP="00BD495E">
            <w:pPr>
              <w:jc w:val="left"/>
              <w:rPr>
                <w:rFonts w:ascii="Arial Narrow" w:hAnsi="Arial Narrow"/>
                <w:spacing w:val="0"/>
                <w:szCs w:val="19"/>
                <w:lang w:val="es-MX"/>
              </w:rPr>
            </w:pPr>
          </w:p>
        </w:tc>
        <w:tc>
          <w:tcPr>
            <w:tcW w:w="4583" w:type="dxa"/>
            <w:shd w:val="clear" w:color="auto" w:fill="auto"/>
          </w:tcPr>
          <w:p w14:paraId="1AFDA473" w14:textId="4EEA6103" w:rsidR="00BF38E0" w:rsidRPr="003C489E" w:rsidRDefault="00BF38E0" w:rsidP="00BD495E">
            <w:pPr>
              <w:jc w:val="left"/>
              <w:rPr>
                <w:rFonts w:ascii="Arial Narrow" w:hAnsi="Arial Narrow"/>
                <w:spacing w:val="0"/>
                <w:szCs w:val="19"/>
                <w:lang w:val="es-MX"/>
              </w:rPr>
            </w:pPr>
            <w:r>
              <w:rPr>
                <w:rFonts w:ascii="Arial Narrow" w:hAnsi="Arial Narrow"/>
                <w:spacing w:val="0"/>
                <w:szCs w:val="19"/>
              </w:rPr>
              <w:t xml:space="preserve">La STCNC, no ha ejecutado proyectos y la VPR, </w:t>
            </w:r>
            <w:r w:rsidRPr="0041090D">
              <w:rPr>
                <w:rFonts w:ascii="Arial Narrow" w:hAnsi="Arial Narrow"/>
                <w:spacing w:val="0"/>
                <w:szCs w:val="19"/>
              </w:rPr>
              <w:t>no ha</w:t>
            </w:r>
            <w:r>
              <w:rPr>
                <w:rFonts w:ascii="Arial Narrow" w:hAnsi="Arial Narrow"/>
                <w:spacing w:val="0"/>
                <w:szCs w:val="19"/>
              </w:rPr>
              <w:t xml:space="preserve"> priorizado ni ejecutado </w:t>
            </w:r>
            <w:r w:rsidRPr="0041090D">
              <w:rPr>
                <w:rFonts w:ascii="Arial Narrow" w:hAnsi="Arial Narrow"/>
                <w:spacing w:val="0"/>
                <w:szCs w:val="19"/>
              </w:rPr>
              <w:t xml:space="preserve">proyectos de inversión </w:t>
            </w:r>
            <w:r w:rsidR="00606225">
              <w:rPr>
                <w:rFonts w:ascii="Arial Narrow" w:hAnsi="Arial Narrow"/>
                <w:spacing w:val="0"/>
                <w:szCs w:val="19"/>
              </w:rPr>
              <w:t xml:space="preserve">registrados en el SIPeIP </w:t>
            </w:r>
            <w:r w:rsidRPr="0041090D">
              <w:rPr>
                <w:rFonts w:ascii="Arial Narrow" w:hAnsi="Arial Narrow"/>
                <w:spacing w:val="0"/>
                <w:szCs w:val="19"/>
              </w:rPr>
              <w:t>desde 2013.</w:t>
            </w:r>
          </w:p>
        </w:tc>
      </w:tr>
      <w:tr w:rsidR="00BF38E0" w:rsidRPr="003209F3" w14:paraId="2FCFB5F3" w14:textId="77777777" w:rsidTr="00BD495E">
        <w:trPr>
          <w:trHeight w:val="20"/>
        </w:trPr>
        <w:tc>
          <w:tcPr>
            <w:tcW w:w="1135" w:type="dxa"/>
            <w:vMerge/>
            <w:shd w:val="clear" w:color="auto" w:fill="auto"/>
          </w:tcPr>
          <w:p w14:paraId="36901BF1" w14:textId="77777777" w:rsidR="00BF38E0" w:rsidRDefault="00BF38E0" w:rsidP="00BD495E">
            <w:pPr>
              <w:jc w:val="left"/>
              <w:rPr>
                <w:rFonts w:ascii="Arial Narrow" w:hAnsi="Arial Narrow"/>
              </w:rPr>
            </w:pPr>
          </w:p>
        </w:tc>
        <w:tc>
          <w:tcPr>
            <w:tcW w:w="4441" w:type="dxa"/>
            <w:shd w:val="clear" w:color="auto" w:fill="auto"/>
          </w:tcPr>
          <w:p w14:paraId="518CAF29" w14:textId="77777777" w:rsidR="00BF38E0" w:rsidRDefault="00BF38E0" w:rsidP="00BD495E">
            <w:pPr>
              <w:jc w:val="left"/>
              <w:rPr>
                <w:rFonts w:ascii="Arial Narrow" w:hAnsi="Arial Narrow"/>
                <w:spacing w:val="0"/>
                <w:szCs w:val="19"/>
                <w:lang w:val="es-MX"/>
              </w:rPr>
            </w:pPr>
            <w:r>
              <w:rPr>
                <w:rFonts w:ascii="Arial Narrow" w:hAnsi="Arial Narrow"/>
                <w:spacing w:val="0"/>
                <w:szCs w:val="19"/>
              </w:rPr>
              <w:t>Debido a que la STCNC se encuentra en su etapa de creación, al momento no cuenta con el TH ni el presupuesto destinado para el área de compras Públicas, tesorería y pagos los mismos que se establecerán una vez aprobados en el Ministerio de Trabajo la Matriz de Competencias, el Estatuto Orgánico Funcional por Procesos y el Manual de Clasificación de puestos</w:t>
            </w:r>
          </w:p>
        </w:tc>
        <w:tc>
          <w:tcPr>
            <w:tcW w:w="4300" w:type="dxa"/>
            <w:shd w:val="clear" w:color="auto" w:fill="auto"/>
          </w:tcPr>
          <w:p w14:paraId="1D28A418" w14:textId="77777777" w:rsidR="00BF38E0" w:rsidRPr="003C489E" w:rsidRDefault="00BF38E0" w:rsidP="00BD495E">
            <w:pPr>
              <w:jc w:val="left"/>
              <w:rPr>
                <w:rFonts w:ascii="Arial Narrow" w:hAnsi="Arial Narrow"/>
                <w:spacing w:val="0"/>
                <w:szCs w:val="19"/>
                <w:lang w:val="es-MX"/>
              </w:rPr>
            </w:pPr>
            <w:r w:rsidRPr="00273EA5">
              <w:rPr>
                <w:rFonts w:ascii="Arial Narrow" w:eastAsia="Times New Roman" w:hAnsi="Arial Narrow" w:cs="Times New Roman"/>
                <w:szCs w:val="16"/>
                <w:lang w:eastAsia="es-ES"/>
              </w:rPr>
              <w:t xml:space="preserve">La STCNC </w:t>
            </w:r>
            <w:r>
              <w:rPr>
                <w:rFonts w:ascii="Arial Narrow" w:eastAsia="Times New Roman" w:hAnsi="Arial Narrow" w:cs="Times New Roman"/>
                <w:szCs w:val="16"/>
                <w:lang w:eastAsia="es-ES"/>
              </w:rPr>
              <w:t xml:space="preserve">es una entidad en etapa de creación, la STCNC será una </w:t>
            </w:r>
            <w:r w:rsidRPr="00273EA5">
              <w:rPr>
                <w:rFonts w:ascii="Arial Narrow" w:eastAsia="Times New Roman" w:hAnsi="Arial Narrow" w:cs="Times New Roman"/>
                <w:szCs w:val="16"/>
                <w:lang w:eastAsia="es-ES"/>
              </w:rPr>
              <w:t>entidad de derecho público adscrito a la VPR, que contará con personería jurídica y estará dotada de autonomía administrativa y financiera</w:t>
            </w:r>
            <w:r>
              <w:rPr>
                <w:rFonts w:ascii="Arial Narrow" w:eastAsia="Times New Roman" w:hAnsi="Arial Narrow" w:cs="Times New Roman"/>
                <w:szCs w:val="16"/>
                <w:lang w:eastAsia="es-ES"/>
              </w:rPr>
              <w:t>.</w:t>
            </w:r>
          </w:p>
        </w:tc>
        <w:tc>
          <w:tcPr>
            <w:tcW w:w="4583" w:type="dxa"/>
            <w:shd w:val="clear" w:color="auto" w:fill="auto"/>
          </w:tcPr>
          <w:p w14:paraId="3B2BEB49" w14:textId="77777777" w:rsidR="00BF38E0" w:rsidRDefault="00BF38E0" w:rsidP="00BD495E">
            <w:pPr>
              <w:jc w:val="left"/>
              <w:rPr>
                <w:rFonts w:ascii="Arial Narrow" w:hAnsi="Arial Narrow"/>
                <w:spacing w:val="0"/>
                <w:szCs w:val="19"/>
                <w:lang w:val="es-MX"/>
              </w:rPr>
            </w:pPr>
            <w:r>
              <w:rPr>
                <w:rFonts w:ascii="Arial Narrow" w:hAnsi="Arial Narrow"/>
                <w:spacing w:val="0"/>
                <w:szCs w:val="19"/>
                <w:lang w:val="es-MX"/>
              </w:rPr>
              <w:t>Procesos de aprobación y acuerdos internos para la creación del CNC en desarrollo.</w:t>
            </w:r>
          </w:p>
          <w:p w14:paraId="1EEE1CB3" w14:textId="77777777" w:rsidR="00BF38E0" w:rsidRDefault="00BF38E0" w:rsidP="00BD495E">
            <w:pPr>
              <w:jc w:val="left"/>
              <w:rPr>
                <w:rFonts w:ascii="Arial Narrow" w:hAnsi="Arial Narrow"/>
                <w:spacing w:val="0"/>
                <w:szCs w:val="19"/>
              </w:rPr>
            </w:pPr>
            <w:r>
              <w:rPr>
                <w:rFonts w:ascii="Arial Narrow" w:hAnsi="Arial Narrow"/>
                <w:spacing w:val="0"/>
                <w:szCs w:val="19"/>
                <w:lang w:val="es-MX"/>
              </w:rPr>
              <w:t xml:space="preserve">La STCNC, aún no dispone de una </w:t>
            </w:r>
            <w:r w:rsidRPr="00091EDA">
              <w:rPr>
                <w:rFonts w:ascii="Arial Narrow" w:hAnsi="Arial Narrow"/>
                <w:spacing w:val="0"/>
                <w:szCs w:val="19"/>
                <w:lang w:val="es-MX"/>
              </w:rPr>
              <w:t>estructura para la ejecución y monitoreo de Proyectos.</w:t>
            </w:r>
          </w:p>
        </w:tc>
      </w:tr>
      <w:tr w:rsidR="00BF38E0" w:rsidRPr="003209F3" w14:paraId="3EC8F821" w14:textId="77777777" w:rsidTr="00BD495E">
        <w:trPr>
          <w:trHeight w:val="20"/>
        </w:trPr>
        <w:tc>
          <w:tcPr>
            <w:tcW w:w="1135" w:type="dxa"/>
            <w:vMerge/>
            <w:shd w:val="clear" w:color="auto" w:fill="auto"/>
          </w:tcPr>
          <w:p w14:paraId="4E840A96" w14:textId="77777777" w:rsidR="00BF38E0" w:rsidRDefault="00BF38E0" w:rsidP="00BD495E">
            <w:pPr>
              <w:jc w:val="left"/>
              <w:rPr>
                <w:rFonts w:ascii="Arial Narrow" w:hAnsi="Arial Narrow"/>
              </w:rPr>
            </w:pPr>
          </w:p>
        </w:tc>
        <w:tc>
          <w:tcPr>
            <w:tcW w:w="4441" w:type="dxa"/>
            <w:shd w:val="clear" w:color="auto" w:fill="auto"/>
          </w:tcPr>
          <w:p w14:paraId="3A96F821" w14:textId="77777777" w:rsidR="00BF38E0" w:rsidRDefault="00BF38E0" w:rsidP="00BD495E">
            <w:pPr>
              <w:jc w:val="left"/>
              <w:rPr>
                <w:rFonts w:ascii="Arial Narrow" w:hAnsi="Arial Narrow"/>
                <w:spacing w:val="0"/>
                <w:szCs w:val="19"/>
              </w:rPr>
            </w:pPr>
            <w:r>
              <w:rPr>
                <w:rFonts w:ascii="Arial Narrow" w:hAnsi="Arial Narrow"/>
                <w:spacing w:val="0"/>
                <w:szCs w:val="19"/>
                <w:lang w:val="es-MX"/>
              </w:rPr>
              <w:t xml:space="preserve">Actualmente No existe un Proyecto de Inversión para la ejecución del Componente </w:t>
            </w:r>
            <w:r w:rsidRPr="0072144C">
              <w:rPr>
                <w:rFonts w:ascii="Arial Narrow" w:hAnsi="Arial Narrow"/>
                <w:spacing w:val="0"/>
                <w:szCs w:val="19"/>
                <w:lang w:val="es-MX"/>
              </w:rPr>
              <w:t xml:space="preserve">y en consecuencia </w:t>
            </w:r>
            <w:r>
              <w:rPr>
                <w:rFonts w:ascii="Arial Narrow" w:hAnsi="Arial Narrow"/>
                <w:spacing w:val="0"/>
                <w:szCs w:val="19"/>
                <w:lang w:val="es-MX"/>
              </w:rPr>
              <w:t xml:space="preserve">se requiere su formulación, priorización </w:t>
            </w:r>
            <w:r w:rsidRPr="00CA40F1">
              <w:rPr>
                <w:rFonts w:ascii="Arial Narrow" w:hAnsi="Arial Narrow"/>
                <w:spacing w:val="0"/>
                <w:szCs w:val="19"/>
                <w:lang w:val="es-MX"/>
              </w:rPr>
              <w:t>por ‘Planifica Ecuador’ requisito previo para la firma del convenio de préstamo y la ejecución del componente.</w:t>
            </w:r>
            <w:r>
              <w:rPr>
                <w:rFonts w:ascii="Arial Narrow" w:hAnsi="Arial Narrow"/>
                <w:spacing w:val="0"/>
                <w:szCs w:val="19"/>
                <w:lang w:val="es-MX"/>
              </w:rPr>
              <w:t xml:space="preserve"> Asimismo, para la ejecución se requiere la incorporación en los PAI correspondientes y en los POA de la nueva organización</w:t>
            </w:r>
            <w:r w:rsidRPr="0072144C">
              <w:rPr>
                <w:rFonts w:ascii="Arial Narrow" w:hAnsi="Arial Narrow"/>
                <w:spacing w:val="0"/>
                <w:szCs w:val="19"/>
                <w:lang w:val="es-MX"/>
              </w:rPr>
              <w:t>.</w:t>
            </w:r>
          </w:p>
        </w:tc>
        <w:tc>
          <w:tcPr>
            <w:tcW w:w="4300" w:type="dxa"/>
            <w:shd w:val="clear" w:color="auto" w:fill="auto"/>
          </w:tcPr>
          <w:p w14:paraId="4CB9E972" w14:textId="77777777" w:rsidR="00BF38E0" w:rsidRPr="00273EA5" w:rsidRDefault="00BF38E0" w:rsidP="00BD495E">
            <w:pPr>
              <w:jc w:val="left"/>
              <w:rPr>
                <w:rFonts w:ascii="Arial Narrow" w:eastAsia="Times New Roman" w:hAnsi="Arial Narrow" w:cs="Times New Roman"/>
                <w:szCs w:val="16"/>
                <w:lang w:eastAsia="es-ES"/>
              </w:rPr>
            </w:pPr>
          </w:p>
        </w:tc>
        <w:tc>
          <w:tcPr>
            <w:tcW w:w="4583" w:type="dxa"/>
            <w:shd w:val="clear" w:color="auto" w:fill="auto"/>
          </w:tcPr>
          <w:p w14:paraId="133DA3FE" w14:textId="77777777" w:rsidR="00BF38E0" w:rsidRDefault="00BF38E0" w:rsidP="00BD495E">
            <w:pPr>
              <w:jc w:val="left"/>
              <w:rPr>
                <w:rFonts w:ascii="Arial Narrow" w:hAnsi="Arial Narrow"/>
                <w:spacing w:val="0"/>
                <w:szCs w:val="19"/>
                <w:lang w:val="es-MX"/>
              </w:rPr>
            </w:pPr>
            <w:r>
              <w:rPr>
                <w:rFonts w:ascii="Arial Narrow" w:hAnsi="Arial Narrow"/>
                <w:spacing w:val="0"/>
                <w:szCs w:val="19"/>
                <w:lang w:val="es-MX"/>
              </w:rPr>
              <w:t xml:space="preserve">La STCNC, aún no dispone de una </w:t>
            </w:r>
            <w:r w:rsidRPr="00091EDA">
              <w:rPr>
                <w:rFonts w:ascii="Arial Narrow" w:hAnsi="Arial Narrow"/>
                <w:spacing w:val="0"/>
                <w:szCs w:val="19"/>
                <w:lang w:val="es-MX"/>
              </w:rPr>
              <w:t>estructura para la ejecución y monitoreo de Proyectos.</w:t>
            </w:r>
          </w:p>
        </w:tc>
      </w:tr>
    </w:tbl>
    <w:p w14:paraId="3EE3CDF3" w14:textId="77777777" w:rsidR="00BF38E0" w:rsidRDefault="00BF38E0" w:rsidP="00BF38E0"/>
    <w:p w14:paraId="55ED6A93" w14:textId="77777777" w:rsidR="00971E35" w:rsidRDefault="002D2A75" w:rsidP="00BD495E">
      <w:pPr>
        <w:pStyle w:val="Descripcin"/>
        <w:keepNext/>
        <w:rPr>
          <w:rFonts w:ascii="Arial" w:hAnsi="Arial" w:cs="Arial"/>
          <w:szCs w:val="20"/>
        </w:rPr>
      </w:pPr>
      <w:r>
        <w:rPr>
          <w:rFonts w:ascii="Arial" w:hAnsi="Arial" w:cs="Arial"/>
          <w:szCs w:val="20"/>
        </w:rPr>
        <w:br w:type="page"/>
      </w:r>
    </w:p>
    <w:p w14:paraId="34595FF5" w14:textId="5F315784" w:rsidR="00971E35" w:rsidRDefault="00971E35" w:rsidP="00971E35">
      <w:pPr>
        <w:pStyle w:val="Descripcin"/>
        <w:keepNext/>
      </w:pPr>
      <w:bookmarkStart w:id="30" w:name="_Toc12543955"/>
      <w:r>
        <w:lastRenderedPageBreak/>
        <w:t xml:space="preserve">Tabla </w:t>
      </w:r>
      <w:r>
        <w:fldChar w:fldCharType="begin"/>
      </w:r>
      <w:r>
        <w:instrText xml:space="preserve"> SEQ Tabla \* ARABIC </w:instrText>
      </w:r>
      <w:r>
        <w:fldChar w:fldCharType="separate"/>
      </w:r>
      <w:r w:rsidR="00606225">
        <w:rPr>
          <w:noProof/>
        </w:rPr>
        <w:t>6</w:t>
      </w:r>
      <w:r>
        <w:fldChar w:fldCharType="end"/>
      </w:r>
      <w:r>
        <w:t>. Proyectos de inversión ejecutados por la VPR registrados en el SIPeIP</w:t>
      </w:r>
      <w:bookmarkEnd w:id="30"/>
      <w:r>
        <w:t xml:space="preserve"> </w:t>
      </w:r>
    </w:p>
    <w:tbl>
      <w:tblPr>
        <w:tblStyle w:val="Tablaconcuadrcula1"/>
        <w:tblW w:w="14317" w:type="dxa"/>
        <w:tblInd w:w="-147" w:type="dxa"/>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Layout w:type="fixed"/>
        <w:tblCellMar>
          <w:top w:w="57" w:type="dxa"/>
          <w:bottom w:w="57" w:type="dxa"/>
        </w:tblCellMar>
        <w:tblLook w:val="04A0" w:firstRow="1" w:lastRow="0" w:firstColumn="1" w:lastColumn="0" w:noHBand="0" w:noVBand="1"/>
      </w:tblPr>
      <w:tblGrid>
        <w:gridCol w:w="709"/>
        <w:gridCol w:w="2410"/>
        <w:gridCol w:w="8080"/>
        <w:gridCol w:w="1134"/>
        <w:gridCol w:w="1984"/>
      </w:tblGrid>
      <w:tr w:rsidR="00971E35" w:rsidRPr="00506873" w14:paraId="6150D7B9" w14:textId="77777777" w:rsidTr="00FF0AA6">
        <w:trPr>
          <w:trHeight w:val="227"/>
          <w:tblHeader/>
        </w:trPr>
        <w:tc>
          <w:tcPr>
            <w:tcW w:w="709" w:type="dxa"/>
            <w:shd w:val="clear" w:color="auto" w:fill="BFBFBF" w:themeFill="background1" w:themeFillShade="BF"/>
            <w:vAlign w:val="center"/>
          </w:tcPr>
          <w:p w14:paraId="63C2FC04" w14:textId="77777777" w:rsidR="00971E35" w:rsidRPr="00506873" w:rsidRDefault="00971E35" w:rsidP="00FF0AA6">
            <w:pPr>
              <w:jc w:val="left"/>
              <w:rPr>
                <w:rFonts w:ascii="Arial Narrow" w:hAnsi="Arial Narrow"/>
                <w:b/>
                <w:spacing w:val="0"/>
                <w:sz w:val="18"/>
                <w:szCs w:val="18"/>
                <w:u w:val="single"/>
                <w:lang w:val="es-MX"/>
              </w:rPr>
            </w:pPr>
            <w:r w:rsidRPr="00506873">
              <w:rPr>
                <w:rFonts w:ascii="Arial Narrow" w:hAnsi="Arial Narrow"/>
                <w:b/>
                <w:spacing w:val="0"/>
                <w:sz w:val="18"/>
                <w:szCs w:val="18"/>
                <w:u w:val="single"/>
                <w:lang w:val="es-MX"/>
              </w:rPr>
              <w:t>Año</w:t>
            </w:r>
          </w:p>
        </w:tc>
        <w:tc>
          <w:tcPr>
            <w:tcW w:w="2410" w:type="dxa"/>
            <w:shd w:val="clear" w:color="auto" w:fill="BFBFBF" w:themeFill="background1" w:themeFillShade="BF"/>
            <w:vAlign w:val="center"/>
          </w:tcPr>
          <w:p w14:paraId="4A4B0044" w14:textId="77777777" w:rsidR="00971E35" w:rsidRPr="00506873" w:rsidRDefault="00971E35" w:rsidP="00FF0AA6">
            <w:pPr>
              <w:jc w:val="left"/>
              <w:rPr>
                <w:rFonts w:ascii="Arial Narrow" w:hAnsi="Arial Narrow"/>
                <w:b/>
                <w:spacing w:val="0"/>
                <w:sz w:val="18"/>
                <w:szCs w:val="18"/>
                <w:u w:val="single"/>
                <w:lang w:val="es-MX"/>
              </w:rPr>
            </w:pPr>
            <w:r w:rsidRPr="00506873">
              <w:rPr>
                <w:rFonts w:ascii="Arial Narrow" w:hAnsi="Arial Narrow"/>
                <w:b/>
                <w:spacing w:val="0"/>
                <w:sz w:val="18"/>
                <w:szCs w:val="18"/>
                <w:u w:val="single"/>
                <w:lang w:val="es-MX"/>
              </w:rPr>
              <w:t>Nombre del Proyecto</w:t>
            </w:r>
          </w:p>
        </w:tc>
        <w:tc>
          <w:tcPr>
            <w:tcW w:w="8080" w:type="dxa"/>
            <w:shd w:val="clear" w:color="auto" w:fill="BFBFBF" w:themeFill="background1" w:themeFillShade="BF"/>
            <w:vAlign w:val="center"/>
          </w:tcPr>
          <w:p w14:paraId="3A56103D" w14:textId="77777777" w:rsidR="00971E35" w:rsidRPr="00506873" w:rsidRDefault="00971E35" w:rsidP="00FF0AA6">
            <w:pPr>
              <w:jc w:val="left"/>
              <w:rPr>
                <w:rFonts w:ascii="Arial Narrow" w:hAnsi="Arial Narrow"/>
                <w:b/>
                <w:spacing w:val="0"/>
                <w:sz w:val="18"/>
                <w:szCs w:val="18"/>
                <w:u w:val="single"/>
                <w:lang w:val="es-MX"/>
              </w:rPr>
            </w:pPr>
            <w:r w:rsidRPr="00506873">
              <w:rPr>
                <w:rFonts w:ascii="Arial Narrow" w:hAnsi="Arial Narrow"/>
                <w:b/>
                <w:spacing w:val="0"/>
                <w:sz w:val="18"/>
                <w:szCs w:val="18"/>
                <w:u w:val="single"/>
                <w:lang w:val="es-MX"/>
              </w:rPr>
              <w:t>Objetivo o Propósito</w:t>
            </w:r>
          </w:p>
        </w:tc>
        <w:tc>
          <w:tcPr>
            <w:tcW w:w="1134" w:type="dxa"/>
            <w:shd w:val="clear" w:color="auto" w:fill="BFBFBF" w:themeFill="background1" w:themeFillShade="BF"/>
            <w:vAlign w:val="center"/>
          </w:tcPr>
          <w:p w14:paraId="12B9BE58" w14:textId="77777777" w:rsidR="00971E35" w:rsidRPr="00506873" w:rsidRDefault="00971E35" w:rsidP="00FF0AA6">
            <w:pPr>
              <w:jc w:val="left"/>
              <w:rPr>
                <w:rFonts w:ascii="Arial Narrow" w:hAnsi="Arial Narrow"/>
                <w:b/>
                <w:spacing w:val="0"/>
                <w:sz w:val="18"/>
                <w:szCs w:val="18"/>
                <w:u w:val="single"/>
                <w:lang w:val="es-MX"/>
              </w:rPr>
            </w:pPr>
            <w:r w:rsidRPr="00506873">
              <w:rPr>
                <w:rFonts w:ascii="Arial Narrow" w:hAnsi="Arial Narrow"/>
                <w:b/>
                <w:spacing w:val="0"/>
                <w:sz w:val="18"/>
                <w:szCs w:val="18"/>
                <w:u w:val="single"/>
                <w:lang w:val="es-MX"/>
              </w:rPr>
              <w:t>Fin</w:t>
            </w:r>
          </w:p>
        </w:tc>
        <w:tc>
          <w:tcPr>
            <w:tcW w:w="1984" w:type="dxa"/>
            <w:shd w:val="clear" w:color="auto" w:fill="BFBFBF" w:themeFill="background1" w:themeFillShade="BF"/>
            <w:vAlign w:val="center"/>
          </w:tcPr>
          <w:p w14:paraId="7AC7E2B3" w14:textId="77777777" w:rsidR="00971E35" w:rsidRPr="00506873" w:rsidRDefault="00971E35" w:rsidP="00FF0AA6">
            <w:pPr>
              <w:jc w:val="left"/>
              <w:rPr>
                <w:rFonts w:ascii="Arial Narrow" w:hAnsi="Arial Narrow"/>
                <w:b/>
                <w:spacing w:val="0"/>
                <w:sz w:val="18"/>
                <w:szCs w:val="18"/>
                <w:u w:val="single"/>
                <w:lang w:val="es-MX"/>
              </w:rPr>
            </w:pPr>
            <w:r w:rsidRPr="00506873">
              <w:rPr>
                <w:rFonts w:ascii="Arial Narrow" w:hAnsi="Arial Narrow"/>
                <w:b/>
                <w:spacing w:val="0"/>
                <w:sz w:val="18"/>
                <w:szCs w:val="18"/>
                <w:u w:val="single"/>
                <w:lang w:val="es-MX"/>
              </w:rPr>
              <w:t xml:space="preserve"> CUP </w:t>
            </w:r>
          </w:p>
        </w:tc>
      </w:tr>
      <w:tr w:rsidR="00971E35" w:rsidRPr="00506873" w14:paraId="3EE8CF62" w14:textId="77777777" w:rsidTr="00FF0AA6">
        <w:trPr>
          <w:trHeight w:val="20"/>
        </w:trPr>
        <w:tc>
          <w:tcPr>
            <w:tcW w:w="709" w:type="dxa"/>
            <w:shd w:val="clear" w:color="auto" w:fill="auto"/>
          </w:tcPr>
          <w:p w14:paraId="7570C738" w14:textId="77777777" w:rsidR="00971E35" w:rsidRPr="00506873" w:rsidRDefault="00971E35" w:rsidP="00FF0AA6">
            <w:pPr>
              <w:jc w:val="left"/>
              <w:rPr>
                <w:rFonts w:ascii="Arial Narrow" w:hAnsi="Arial Narrow"/>
                <w:sz w:val="18"/>
                <w:szCs w:val="18"/>
              </w:rPr>
            </w:pPr>
            <w:r w:rsidRPr="00506873">
              <w:rPr>
                <w:rFonts w:ascii="Arial Narrow" w:hAnsi="Arial Narrow"/>
                <w:sz w:val="18"/>
                <w:szCs w:val="18"/>
              </w:rPr>
              <w:t>201</w:t>
            </w:r>
            <w:r>
              <w:rPr>
                <w:rFonts w:ascii="Arial Narrow" w:hAnsi="Arial Narrow"/>
                <w:sz w:val="18"/>
                <w:szCs w:val="18"/>
              </w:rPr>
              <w:t>0</w:t>
            </w:r>
          </w:p>
        </w:tc>
        <w:tc>
          <w:tcPr>
            <w:tcW w:w="2410" w:type="dxa"/>
            <w:shd w:val="clear" w:color="auto" w:fill="auto"/>
          </w:tcPr>
          <w:p w14:paraId="0297A895" w14:textId="77777777" w:rsidR="00971E35" w:rsidRPr="00506873" w:rsidRDefault="00971E35" w:rsidP="00FF0AA6">
            <w:pPr>
              <w:jc w:val="left"/>
              <w:rPr>
                <w:rFonts w:ascii="Arial Narrow" w:hAnsi="Arial Narrow"/>
                <w:spacing w:val="0"/>
                <w:sz w:val="18"/>
                <w:szCs w:val="18"/>
              </w:rPr>
            </w:pPr>
            <w:r w:rsidRPr="00971E35">
              <w:rPr>
                <w:rFonts w:ascii="Arial Narrow" w:hAnsi="Arial Narrow"/>
                <w:spacing w:val="0"/>
                <w:sz w:val="18"/>
                <w:szCs w:val="18"/>
              </w:rPr>
              <w:t>SISTEMA DE ACOGIDA A PERSONAS CON DISCAPACIDAD INTELECTUAL SEVERA</w:t>
            </w:r>
          </w:p>
        </w:tc>
        <w:tc>
          <w:tcPr>
            <w:tcW w:w="8080" w:type="dxa"/>
            <w:shd w:val="clear" w:color="auto" w:fill="auto"/>
          </w:tcPr>
          <w:p w14:paraId="0F2B0BB6" w14:textId="77777777" w:rsidR="00971E35" w:rsidRPr="00506873" w:rsidRDefault="00971E35" w:rsidP="00FF0AA6">
            <w:pPr>
              <w:jc w:val="left"/>
              <w:rPr>
                <w:rFonts w:ascii="Arial Narrow" w:hAnsi="Arial Narrow"/>
                <w:spacing w:val="0"/>
                <w:sz w:val="18"/>
                <w:szCs w:val="18"/>
                <w:lang w:val="es-MX"/>
              </w:rPr>
            </w:pPr>
            <w:r w:rsidRPr="00971E35">
              <w:rPr>
                <w:rFonts w:ascii="Arial Narrow" w:hAnsi="Arial Narrow"/>
                <w:spacing w:val="0"/>
                <w:sz w:val="18"/>
                <w:szCs w:val="18"/>
                <w:lang w:val="es-MX"/>
              </w:rPr>
              <w:t>FORTALECER LA ATENCIÓN Y CUIDADO INTEGRAL A</w:t>
            </w:r>
            <w:r>
              <w:rPr>
                <w:rFonts w:ascii="Arial Narrow" w:hAnsi="Arial Narrow"/>
                <w:spacing w:val="0"/>
                <w:sz w:val="18"/>
                <w:szCs w:val="18"/>
                <w:lang w:val="es-MX"/>
              </w:rPr>
              <w:t xml:space="preserve"> </w:t>
            </w:r>
            <w:r w:rsidRPr="00971E35">
              <w:rPr>
                <w:rFonts w:ascii="Arial Narrow" w:hAnsi="Arial Narrow"/>
                <w:spacing w:val="0"/>
                <w:sz w:val="18"/>
                <w:szCs w:val="18"/>
                <w:lang w:val="es-MX"/>
              </w:rPr>
              <w:t>LAS PERSONAS CON DISCAPACIDAD SEVERA EN ESTADO CRÍTICO (FÍSICO MOTORA, INTELECTUAL, MENTAL</w:t>
            </w:r>
            <w:r>
              <w:rPr>
                <w:rFonts w:ascii="Arial Narrow" w:hAnsi="Arial Narrow"/>
                <w:spacing w:val="0"/>
                <w:sz w:val="18"/>
                <w:szCs w:val="18"/>
                <w:lang w:val="es-MX"/>
              </w:rPr>
              <w:t xml:space="preserve"> </w:t>
            </w:r>
            <w:r w:rsidRPr="00971E35">
              <w:rPr>
                <w:rFonts w:ascii="Arial Narrow" w:hAnsi="Arial Narrow"/>
                <w:spacing w:val="0"/>
                <w:sz w:val="18"/>
                <w:szCs w:val="18"/>
                <w:lang w:val="es-MX"/>
              </w:rPr>
              <w:t>Y MULTIDISCAPACIDAD), A TRAVÉS DEL APOYO, CAPACITACIÓN, RECONOCIMIENTO DE DERECHOS Y</w:t>
            </w:r>
            <w:r>
              <w:rPr>
                <w:rFonts w:ascii="Arial Narrow" w:hAnsi="Arial Narrow"/>
                <w:spacing w:val="0"/>
                <w:sz w:val="18"/>
                <w:szCs w:val="18"/>
                <w:lang w:val="es-MX"/>
              </w:rPr>
              <w:t xml:space="preserve"> </w:t>
            </w:r>
            <w:r w:rsidRPr="00971E35">
              <w:rPr>
                <w:rFonts w:ascii="Arial Narrow" w:hAnsi="Arial Narrow"/>
                <w:spacing w:val="0"/>
                <w:sz w:val="18"/>
                <w:szCs w:val="18"/>
                <w:lang w:val="es-MX"/>
              </w:rPr>
              <w:t>RETRIBUCIÓN ECONÓMICA A LA PERSONA CUIDADORA DE LA PERSONA CON DISCAPACIDAD. EL</w:t>
            </w:r>
            <w:r>
              <w:rPr>
                <w:rFonts w:ascii="Arial Narrow" w:hAnsi="Arial Narrow"/>
                <w:spacing w:val="0"/>
                <w:sz w:val="18"/>
                <w:szCs w:val="18"/>
                <w:lang w:val="es-MX"/>
              </w:rPr>
              <w:t xml:space="preserve"> </w:t>
            </w:r>
            <w:r w:rsidRPr="00971E35">
              <w:rPr>
                <w:rFonts w:ascii="Arial Narrow" w:hAnsi="Arial Narrow"/>
                <w:spacing w:val="0"/>
                <w:sz w:val="18"/>
                <w:szCs w:val="18"/>
                <w:lang w:val="es-MX"/>
              </w:rPr>
              <w:t>MECANISMO DE RETRIBUCIÓN ECONÓMICA PARA LA PERSONA CUIDADORA SE REALIZA A TRAVÉS DE LA</w:t>
            </w:r>
            <w:r>
              <w:rPr>
                <w:rFonts w:ascii="Arial Narrow" w:hAnsi="Arial Narrow"/>
                <w:spacing w:val="0"/>
                <w:sz w:val="18"/>
                <w:szCs w:val="18"/>
                <w:lang w:val="es-MX"/>
              </w:rPr>
              <w:t xml:space="preserve"> </w:t>
            </w:r>
            <w:r w:rsidRPr="00971E35">
              <w:rPr>
                <w:rFonts w:ascii="Arial Narrow" w:hAnsi="Arial Narrow"/>
                <w:spacing w:val="0"/>
                <w:sz w:val="18"/>
                <w:szCs w:val="18"/>
                <w:lang w:val="es-MX"/>
              </w:rPr>
              <w:t>CREACIÓN (MEDIANTE DECRETO EJECUTIVO) DEL BONO "JOAQUÍN GALLEGOS LARA" DE US$ 240</w:t>
            </w:r>
            <w:r>
              <w:rPr>
                <w:rFonts w:ascii="Arial Narrow" w:hAnsi="Arial Narrow"/>
                <w:spacing w:val="0"/>
                <w:sz w:val="18"/>
                <w:szCs w:val="18"/>
                <w:lang w:val="es-MX"/>
              </w:rPr>
              <w:t xml:space="preserve"> </w:t>
            </w:r>
            <w:r w:rsidRPr="00971E35">
              <w:rPr>
                <w:rFonts w:ascii="Arial Narrow" w:hAnsi="Arial Narrow"/>
                <w:spacing w:val="0"/>
                <w:sz w:val="18"/>
                <w:szCs w:val="18"/>
                <w:lang w:val="es-MX"/>
              </w:rPr>
              <w:t>MENSUALES .</w:t>
            </w:r>
            <w:r w:rsidRPr="00506873">
              <w:rPr>
                <w:rFonts w:ascii="Arial Narrow" w:hAnsi="Arial Narrow"/>
                <w:spacing w:val="0"/>
                <w:sz w:val="18"/>
                <w:szCs w:val="18"/>
                <w:lang w:val="es-MX"/>
              </w:rPr>
              <w:t>.</w:t>
            </w:r>
          </w:p>
        </w:tc>
        <w:tc>
          <w:tcPr>
            <w:tcW w:w="1134" w:type="dxa"/>
          </w:tcPr>
          <w:p w14:paraId="016D05B6" w14:textId="77777777" w:rsidR="00971E35" w:rsidRPr="00506873" w:rsidRDefault="00971E35" w:rsidP="00FF0AA6">
            <w:pPr>
              <w:jc w:val="left"/>
              <w:rPr>
                <w:rFonts w:ascii="Arial Narrow" w:hAnsi="Arial Narrow"/>
                <w:spacing w:val="0"/>
                <w:sz w:val="18"/>
                <w:szCs w:val="18"/>
                <w:lang w:val="es-MX"/>
              </w:rPr>
            </w:pPr>
            <w:r>
              <w:rPr>
                <w:rFonts w:ascii="Arial Narrow" w:hAnsi="Arial Narrow"/>
                <w:spacing w:val="0"/>
                <w:sz w:val="18"/>
                <w:szCs w:val="18"/>
                <w:lang w:val="es-MX"/>
              </w:rPr>
              <w:t>Diciembre 2013</w:t>
            </w:r>
          </w:p>
        </w:tc>
        <w:tc>
          <w:tcPr>
            <w:tcW w:w="1984" w:type="dxa"/>
            <w:shd w:val="clear" w:color="auto" w:fill="FFFFFF" w:themeFill="background1"/>
          </w:tcPr>
          <w:p w14:paraId="4E80D143" w14:textId="77777777" w:rsidR="00971E35" w:rsidRPr="00506873" w:rsidRDefault="00971E35" w:rsidP="00FF0AA6">
            <w:pPr>
              <w:jc w:val="left"/>
              <w:rPr>
                <w:rFonts w:ascii="Arial Narrow" w:hAnsi="Arial Narrow"/>
                <w:spacing w:val="0"/>
                <w:sz w:val="18"/>
                <w:szCs w:val="18"/>
                <w:lang w:val="es-MX"/>
              </w:rPr>
            </w:pPr>
            <w:r w:rsidRPr="00BD79FA">
              <w:rPr>
                <w:rFonts w:ascii="Arial Narrow" w:hAnsi="Arial Narrow"/>
                <w:spacing w:val="0"/>
                <w:sz w:val="18"/>
                <w:szCs w:val="18"/>
                <w:lang w:val="es-MX"/>
              </w:rPr>
              <w:t>30210000.1065.4622</w:t>
            </w:r>
          </w:p>
        </w:tc>
      </w:tr>
      <w:tr w:rsidR="00971E35" w:rsidRPr="00506873" w14:paraId="4D9BF071" w14:textId="77777777" w:rsidTr="00FF0AA6">
        <w:trPr>
          <w:trHeight w:val="20"/>
        </w:trPr>
        <w:tc>
          <w:tcPr>
            <w:tcW w:w="709" w:type="dxa"/>
            <w:shd w:val="clear" w:color="auto" w:fill="auto"/>
          </w:tcPr>
          <w:p w14:paraId="0468B1F4" w14:textId="77777777" w:rsidR="00971E35" w:rsidRPr="00506873" w:rsidRDefault="00971E35" w:rsidP="00FF0AA6">
            <w:pPr>
              <w:jc w:val="left"/>
              <w:rPr>
                <w:rFonts w:ascii="Arial Narrow" w:hAnsi="Arial Narrow"/>
                <w:sz w:val="18"/>
                <w:szCs w:val="18"/>
              </w:rPr>
            </w:pPr>
            <w:r>
              <w:rPr>
                <w:rFonts w:ascii="Arial Narrow" w:hAnsi="Arial Narrow"/>
                <w:sz w:val="18"/>
                <w:szCs w:val="18"/>
              </w:rPr>
              <w:t>2011</w:t>
            </w:r>
          </w:p>
        </w:tc>
        <w:tc>
          <w:tcPr>
            <w:tcW w:w="2410" w:type="dxa"/>
            <w:shd w:val="clear" w:color="auto" w:fill="auto"/>
          </w:tcPr>
          <w:p w14:paraId="3F7F9ED4" w14:textId="77777777" w:rsidR="00971E35" w:rsidRPr="00971E35" w:rsidRDefault="00971E35" w:rsidP="00FF0AA6">
            <w:pPr>
              <w:jc w:val="left"/>
              <w:rPr>
                <w:rFonts w:ascii="Arial Narrow" w:hAnsi="Arial Narrow"/>
                <w:spacing w:val="0"/>
                <w:sz w:val="18"/>
                <w:szCs w:val="18"/>
              </w:rPr>
            </w:pPr>
            <w:r w:rsidRPr="00971E35">
              <w:rPr>
                <w:rFonts w:ascii="Arial Narrow" w:hAnsi="Arial Narrow"/>
                <w:spacing w:val="0"/>
                <w:sz w:val="18"/>
                <w:szCs w:val="18"/>
              </w:rPr>
              <w:t>CENTROS PERMANENTE DE ATENCION Y PROTECCION INFANTIL PARA BRINDAR OPORTUNIDADES DE</w:t>
            </w:r>
          </w:p>
          <w:p w14:paraId="1DFD05E8" w14:textId="77777777" w:rsidR="00971E35" w:rsidRPr="00971E35" w:rsidRDefault="00971E35" w:rsidP="00FF0AA6">
            <w:pPr>
              <w:jc w:val="left"/>
              <w:rPr>
                <w:rFonts w:ascii="Arial Narrow" w:hAnsi="Arial Narrow"/>
                <w:spacing w:val="0"/>
                <w:sz w:val="18"/>
                <w:szCs w:val="18"/>
              </w:rPr>
            </w:pPr>
            <w:r w:rsidRPr="00971E35">
              <w:rPr>
                <w:rFonts w:ascii="Arial Narrow" w:hAnsi="Arial Narrow"/>
                <w:spacing w:val="0"/>
                <w:sz w:val="18"/>
                <w:szCs w:val="18"/>
              </w:rPr>
              <w:t>EDUCACION FORMAL A LOS NIÑOS RESCATADOS DE LOS CENTROS DE REHABILITACION SOCIAL</w:t>
            </w:r>
          </w:p>
        </w:tc>
        <w:tc>
          <w:tcPr>
            <w:tcW w:w="8080" w:type="dxa"/>
            <w:shd w:val="clear" w:color="auto" w:fill="auto"/>
          </w:tcPr>
          <w:p w14:paraId="0ED8556C" w14:textId="77777777" w:rsidR="00971E35" w:rsidRPr="00971E35" w:rsidRDefault="00971E35" w:rsidP="00FF0AA6">
            <w:pPr>
              <w:jc w:val="left"/>
              <w:rPr>
                <w:rFonts w:ascii="Arial Narrow" w:hAnsi="Arial Narrow"/>
                <w:spacing w:val="0"/>
                <w:sz w:val="18"/>
                <w:szCs w:val="18"/>
                <w:lang w:val="es-MX"/>
              </w:rPr>
            </w:pPr>
            <w:r w:rsidRPr="00971E35">
              <w:rPr>
                <w:rFonts w:ascii="Arial Narrow" w:hAnsi="Arial Narrow"/>
                <w:spacing w:val="0"/>
                <w:sz w:val="18"/>
                <w:szCs w:val="18"/>
                <w:lang w:val="es-MX"/>
              </w:rPr>
              <w:t>MANTENIMIENTO DE LA ATENCION Y PROTECCION DE LOS NNA RESCATADOS DE LOS CENTROS DE</w:t>
            </w:r>
            <w:r>
              <w:rPr>
                <w:rFonts w:ascii="Arial Narrow" w:hAnsi="Arial Narrow"/>
                <w:spacing w:val="0"/>
                <w:sz w:val="18"/>
                <w:szCs w:val="18"/>
                <w:lang w:val="es-MX"/>
              </w:rPr>
              <w:t xml:space="preserve"> </w:t>
            </w:r>
            <w:r w:rsidRPr="00971E35">
              <w:rPr>
                <w:rFonts w:ascii="Arial Narrow" w:hAnsi="Arial Narrow"/>
                <w:spacing w:val="0"/>
                <w:sz w:val="18"/>
                <w:szCs w:val="18"/>
                <w:lang w:val="es-MX"/>
              </w:rPr>
              <w:t>REHABILITACION SOCIAL, ES IMPORTANTE QUE ESTE PROYECTO SE EJECUTE DE MANERA CONJUNTA CON</w:t>
            </w:r>
          </w:p>
          <w:p w14:paraId="1C51D64B" w14:textId="77777777" w:rsidR="00971E35" w:rsidRPr="00971E35" w:rsidRDefault="00971E35" w:rsidP="00FF0AA6">
            <w:pPr>
              <w:jc w:val="left"/>
              <w:rPr>
                <w:rFonts w:ascii="Arial Narrow" w:hAnsi="Arial Narrow"/>
                <w:spacing w:val="0"/>
                <w:sz w:val="18"/>
                <w:szCs w:val="18"/>
                <w:lang w:val="es-MX"/>
              </w:rPr>
            </w:pPr>
            <w:r w:rsidRPr="00971E35">
              <w:rPr>
                <w:rFonts w:ascii="Arial Narrow" w:hAnsi="Arial Narrow"/>
                <w:spacing w:val="0"/>
                <w:sz w:val="18"/>
                <w:szCs w:val="18"/>
                <w:lang w:val="es-MX"/>
              </w:rPr>
              <w:t>EL MIES - INFA</w:t>
            </w:r>
          </w:p>
        </w:tc>
        <w:tc>
          <w:tcPr>
            <w:tcW w:w="1134" w:type="dxa"/>
          </w:tcPr>
          <w:p w14:paraId="0A96CEB8" w14:textId="77777777" w:rsidR="00971E35" w:rsidRDefault="00971E35" w:rsidP="00FF0AA6">
            <w:pPr>
              <w:jc w:val="left"/>
              <w:rPr>
                <w:rFonts w:ascii="Arial Narrow" w:hAnsi="Arial Narrow"/>
                <w:spacing w:val="0"/>
                <w:sz w:val="18"/>
                <w:szCs w:val="18"/>
                <w:lang w:val="es-MX"/>
              </w:rPr>
            </w:pPr>
            <w:r>
              <w:rPr>
                <w:rFonts w:ascii="Arial Narrow" w:hAnsi="Arial Narrow"/>
                <w:spacing w:val="0"/>
                <w:sz w:val="18"/>
                <w:szCs w:val="18"/>
                <w:lang w:val="es-MX"/>
              </w:rPr>
              <w:t>Diciembre 2013</w:t>
            </w:r>
          </w:p>
        </w:tc>
        <w:tc>
          <w:tcPr>
            <w:tcW w:w="1984" w:type="dxa"/>
            <w:shd w:val="clear" w:color="auto" w:fill="FFFFFF" w:themeFill="background1"/>
          </w:tcPr>
          <w:p w14:paraId="568529A8" w14:textId="77777777" w:rsidR="00971E35" w:rsidRPr="00BD79FA" w:rsidRDefault="00971E35" w:rsidP="00FF0AA6">
            <w:pPr>
              <w:jc w:val="left"/>
              <w:rPr>
                <w:rFonts w:ascii="Arial Narrow" w:hAnsi="Arial Narrow"/>
                <w:spacing w:val="0"/>
                <w:sz w:val="18"/>
                <w:szCs w:val="18"/>
                <w:lang w:val="es-MX"/>
              </w:rPr>
            </w:pPr>
            <w:r w:rsidRPr="00971E35">
              <w:rPr>
                <w:rFonts w:ascii="Arial Narrow" w:hAnsi="Arial Narrow"/>
                <w:spacing w:val="0"/>
                <w:sz w:val="18"/>
                <w:szCs w:val="18"/>
                <w:lang w:val="es-MX"/>
              </w:rPr>
              <w:t>30210000.1064.4620</w:t>
            </w:r>
          </w:p>
        </w:tc>
      </w:tr>
    </w:tbl>
    <w:p w14:paraId="2B248D9C" w14:textId="507B2B79" w:rsidR="00971E35" w:rsidRDefault="00971E35" w:rsidP="00BD495E">
      <w:pPr>
        <w:pStyle w:val="Descripcin"/>
        <w:keepNext/>
        <w:rPr>
          <w:i w:val="0"/>
          <w:iCs w:val="0"/>
        </w:rPr>
      </w:pPr>
    </w:p>
    <w:p w14:paraId="203FAA15" w14:textId="77777777" w:rsidR="00971E35" w:rsidRDefault="00971E35">
      <w:pPr>
        <w:jc w:val="left"/>
        <w:rPr>
          <w:color w:val="44546A" w:themeColor="text2"/>
          <w:sz w:val="18"/>
          <w:szCs w:val="18"/>
        </w:rPr>
      </w:pPr>
      <w:r>
        <w:rPr>
          <w:i/>
          <w:iCs/>
        </w:rPr>
        <w:br w:type="page"/>
      </w:r>
    </w:p>
    <w:p w14:paraId="431CEDBE" w14:textId="5B1E0EA4" w:rsidR="00BD495E" w:rsidRDefault="00BD495E" w:rsidP="00BD495E">
      <w:pPr>
        <w:pStyle w:val="Descripcin"/>
        <w:keepNext/>
      </w:pPr>
      <w:bookmarkStart w:id="31" w:name="_Toc12543956"/>
      <w:r>
        <w:lastRenderedPageBreak/>
        <w:t xml:space="preserve">Tabla </w:t>
      </w:r>
      <w:r>
        <w:fldChar w:fldCharType="begin"/>
      </w:r>
      <w:r>
        <w:instrText xml:space="preserve"> SEQ Tabla \* ARABIC </w:instrText>
      </w:r>
      <w:r>
        <w:fldChar w:fldCharType="separate"/>
      </w:r>
      <w:r w:rsidR="00506873">
        <w:rPr>
          <w:noProof/>
        </w:rPr>
        <w:t>6</w:t>
      </w:r>
      <w:r>
        <w:fldChar w:fldCharType="end"/>
      </w:r>
      <w:r>
        <w:t xml:space="preserve">. </w:t>
      </w:r>
      <w:bookmarkStart w:id="32" w:name="_Hlk12544727"/>
      <w:r w:rsidR="005B2CEC">
        <w:t>Proyectos ejecutados por la VPR registrados en el GPR</w:t>
      </w:r>
      <w:r>
        <w:t xml:space="preserve"> </w:t>
      </w:r>
      <w:r w:rsidR="000E1841">
        <w:t>(proyectos internos</w:t>
      </w:r>
      <w:r w:rsidR="00EC06D0">
        <w:t xml:space="preserve"> </w:t>
      </w:r>
      <w:r w:rsidR="000D2B95">
        <w:t>VPR</w:t>
      </w:r>
      <w:r w:rsidR="00EC06D0">
        <w:t>- no se tiene CUP</w:t>
      </w:r>
      <w:r w:rsidR="000E1841">
        <w:t>)</w:t>
      </w:r>
      <w:bookmarkEnd w:id="31"/>
    </w:p>
    <w:tbl>
      <w:tblPr>
        <w:tblStyle w:val="Tablaconcuadrcula1"/>
        <w:tblW w:w="14317" w:type="dxa"/>
        <w:tblInd w:w="-147" w:type="dxa"/>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Layout w:type="fixed"/>
        <w:tblCellMar>
          <w:top w:w="57" w:type="dxa"/>
          <w:bottom w:w="57" w:type="dxa"/>
        </w:tblCellMar>
        <w:tblLook w:val="04A0" w:firstRow="1" w:lastRow="0" w:firstColumn="1" w:lastColumn="0" w:noHBand="0" w:noVBand="1"/>
      </w:tblPr>
      <w:tblGrid>
        <w:gridCol w:w="709"/>
        <w:gridCol w:w="4678"/>
        <w:gridCol w:w="6804"/>
        <w:gridCol w:w="1276"/>
        <w:gridCol w:w="850"/>
      </w:tblGrid>
      <w:tr w:rsidR="000E1841" w:rsidRPr="00506873" w14:paraId="3AC2FF50" w14:textId="77777777" w:rsidTr="00BD79FA">
        <w:trPr>
          <w:trHeight w:val="227"/>
          <w:tblHeader/>
        </w:trPr>
        <w:tc>
          <w:tcPr>
            <w:tcW w:w="709" w:type="dxa"/>
            <w:shd w:val="clear" w:color="auto" w:fill="BFBFBF" w:themeFill="background1" w:themeFillShade="BF"/>
            <w:vAlign w:val="center"/>
          </w:tcPr>
          <w:bookmarkEnd w:id="32"/>
          <w:p w14:paraId="47D96CEA" w14:textId="32CECD87" w:rsidR="000E1841" w:rsidRPr="00506873" w:rsidRDefault="000E1841" w:rsidP="009B7FC3">
            <w:pPr>
              <w:jc w:val="left"/>
              <w:rPr>
                <w:rFonts w:ascii="Arial Narrow" w:hAnsi="Arial Narrow"/>
                <w:b/>
                <w:spacing w:val="0"/>
                <w:sz w:val="18"/>
                <w:szCs w:val="18"/>
                <w:u w:val="single"/>
                <w:lang w:val="es-MX"/>
              </w:rPr>
            </w:pPr>
            <w:r w:rsidRPr="00506873">
              <w:rPr>
                <w:rFonts w:ascii="Arial Narrow" w:hAnsi="Arial Narrow"/>
                <w:b/>
                <w:spacing w:val="0"/>
                <w:sz w:val="18"/>
                <w:szCs w:val="18"/>
                <w:u w:val="single"/>
                <w:lang w:val="es-MX"/>
              </w:rPr>
              <w:t>Año</w:t>
            </w:r>
          </w:p>
        </w:tc>
        <w:tc>
          <w:tcPr>
            <w:tcW w:w="4678" w:type="dxa"/>
            <w:shd w:val="clear" w:color="auto" w:fill="BFBFBF" w:themeFill="background1" w:themeFillShade="BF"/>
            <w:vAlign w:val="center"/>
          </w:tcPr>
          <w:p w14:paraId="7B34189B" w14:textId="72CCE721" w:rsidR="000E1841" w:rsidRPr="00506873" w:rsidRDefault="000E1841" w:rsidP="009B7FC3">
            <w:pPr>
              <w:jc w:val="left"/>
              <w:rPr>
                <w:rFonts w:ascii="Arial Narrow" w:hAnsi="Arial Narrow"/>
                <w:b/>
                <w:spacing w:val="0"/>
                <w:sz w:val="18"/>
                <w:szCs w:val="18"/>
                <w:u w:val="single"/>
                <w:lang w:val="es-MX"/>
              </w:rPr>
            </w:pPr>
            <w:r w:rsidRPr="00506873">
              <w:rPr>
                <w:rFonts w:ascii="Arial Narrow" w:hAnsi="Arial Narrow"/>
                <w:b/>
                <w:spacing w:val="0"/>
                <w:sz w:val="18"/>
                <w:szCs w:val="18"/>
                <w:u w:val="single"/>
                <w:lang w:val="es-MX"/>
              </w:rPr>
              <w:t>Nombre del Proyecto</w:t>
            </w:r>
          </w:p>
        </w:tc>
        <w:tc>
          <w:tcPr>
            <w:tcW w:w="6804" w:type="dxa"/>
            <w:shd w:val="clear" w:color="auto" w:fill="BFBFBF" w:themeFill="background1" w:themeFillShade="BF"/>
            <w:vAlign w:val="center"/>
          </w:tcPr>
          <w:p w14:paraId="18A0FD14" w14:textId="0BAE4DA9" w:rsidR="000E1841" w:rsidRPr="00506873" w:rsidRDefault="000E1841" w:rsidP="009B7FC3">
            <w:pPr>
              <w:jc w:val="left"/>
              <w:rPr>
                <w:rFonts w:ascii="Arial Narrow" w:hAnsi="Arial Narrow"/>
                <w:b/>
                <w:spacing w:val="0"/>
                <w:sz w:val="18"/>
                <w:szCs w:val="18"/>
                <w:u w:val="single"/>
                <w:lang w:val="es-MX"/>
              </w:rPr>
            </w:pPr>
            <w:r w:rsidRPr="00506873">
              <w:rPr>
                <w:rFonts w:ascii="Arial Narrow" w:hAnsi="Arial Narrow"/>
                <w:b/>
                <w:spacing w:val="0"/>
                <w:sz w:val="18"/>
                <w:szCs w:val="18"/>
                <w:u w:val="single"/>
                <w:lang w:val="es-MX"/>
              </w:rPr>
              <w:t>Objetivo o Propósito</w:t>
            </w:r>
          </w:p>
        </w:tc>
        <w:tc>
          <w:tcPr>
            <w:tcW w:w="1276" w:type="dxa"/>
            <w:shd w:val="clear" w:color="auto" w:fill="BFBFBF" w:themeFill="background1" w:themeFillShade="BF"/>
            <w:vAlign w:val="center"/>
          </w:tcPr>
          <w:p w14:paraId="73171283" w14:textId="421B9F0E" w:rsidR="000E1841" w:rsidRPr="00506873" w:rsidRDefault="000E1841" w:rsidP="009B7FC3">
            <w:pPr>
              <w:jc w:val="left"/>
              <w:rPr>
                <w:rFonts w:ascii="Arial Narrow" w:hAnsi="Arial Narrow"/>
                <w:b/>
                <w:spacing w:val="0"/>
                <w:sz w:val="18"/>
                <w:szCs w:val="18"/>
                <w:u w:val="single"/>
                <w:lang w:val="es-MX"/>
              </w:rPr>
            </w:pPr>
            <w:r w:rsidRPr="00506873">
              <w:rPr>
                <w:rFonts w:ascii="Arial Narrow" w:hAnsi="Arial Narrow"/>
                <w:b/>
                <w:spacing w:val="0"/>
                <w:sz w:val="18"/>
                <w:szCs w:val="18"/>
                <w:u w:val="single"/>
                <w:lang w:val="es-MX"/>
              </w:rPr>
              <w:t>Fin</w:t>
            </w:r>
          </w:p>
        </w:tc>
        <w:tc>
          <w:tcPr>
            <w:tcW w:w="850" w:type="dxa"/>
            <w:shd w:val="clear" w:color="auto" w:fill="BFBFBF" w:themeFill="background1" w:themeFillShade="BF"/>
            <w:vAlign w:val="center"/>
          </w:tcPr>
          <w:p w14:paraId="368C4C62" w14:textId="7E7895C8" w:rsidR="000E1841" w:rsidRPr="00506873" w:rsidRDefault="000E1841" w:rsidP="009B7FC3">
            <w:pPr>
              <w:jc w:val="left"/>
              <w:rPr>
                <w:rFonts w:ascii="Arial Narrow" w:hAnsi="Arial Narrow"/>
                <w:b/>
                <w:spacing w:val="0"/>
                <w:sz w:val="18"/>
                <w:szCs w:val="18"/>
                <w:u w:val="single"/>
                <w:lang w:val="es-MX"/>
              </w:rPr>
            </w:pPr>
            <w:r w:rsidRPr="00506873">
              <w:rPr>
                <w:rFonts w:ascii="Arial Narrow" w:hAnsi="Arial Narrow"/>
                <w:b/>
                <w:spacing w:val="0"/>
                <w:sz w:val="18"/>
                <w:szCs w:val="18"/>
                <w:u w:val="single"/>
                <w:lang w:val="es-MX"/>
              </w:rPr>
              <w:t xml:space="preserve"> CUP </w:t>
            </w:r>
          </w:p>
        </w:tc>
      </w:tr>
      <w:tr w:rsidR="000E1841" w:rsidRPr="00506873" w14:paraId="4EAA5202" w14:textId="77777777" w:rsidTr="00BD79FA">
        <w:trPr>
          <w:trHeight w:val="20"/>
        </w:trPr>
        <w:tc>
          <w:tcPr>
            <w:tcW w:w="709" w:type="dxa"/>
            <w:shd w:val="clear" w:color="auto" w:fill="auto"/>
          </w:tcPr>
          <w:p w14:paraId="65C97CE6" w14:textId="32298E65" w:rsidR="000E1841" w:rsidRPr="00506873" w:rsidRDefault="000E1841" w:rsidP="00BD79FA">
            <w:pPr>
              <w:jc w:val="left"/>
              <w:rPr>
                <w:rFonts w:ascii="Arial Narrow" w:hAnsi="Arial Narrow"/>
                <w:sz w:val="18"/>
                <w:szCs w:val="18"/>
              </w:rPr>
            </w:pPr>
            <w:r w:rsidRPr="00506873">
              <w:rPr>
                <w:rFonts w:ascii="Arial Narrow" w:hAnsi="Arial Narrow"/>
                <w:sz w:val="18"/>
                <w:szCs w:val="18"/>
              </w:rPr>
              <w:t>2013</w:t>
            </w:r>
          </w:p>
        </w:tc>
        <w:tc>
          <w:tcPr>
            <w:tcW w:w="4678" w:type="dxa"/>
            <w:shd w:val="clear" w:color="auto" w:fill="auto"/>
          </w:tcPr>
          <w:p w14:paraId="7DC95F6A" w14:textId="703B661A" w:rsidR="000E1841" w:rsidRPr="00506873" w:rsidRDefault="000E1841" w:rsidP="00BD79FA">
            <w:pPr>
              <w:jc w:val="left"/>
              <w:rPr>
                <w:rFonts w:ascii="Arial Narrow" w:hAnsi="Arial Narrow"/>
                <w:spacing w:val="0"/>
                <w:sz w:val="18"/>
                <w:szCs w:val="18"/>
              </w:rPr>
            </w:pPr>
            <w:r w:rsidRPr="00506873">
              <w:rPr>
                <w:rFonts w:ascii="Arial Narrow" w:hAnsi="Arial Narrow"/>
                <w:spacing w:val="0"/>
                <w:sz w:val="18"/>
                <w:szCs w:val="18"/>
              </w:rPr>
              <w:t>Levantamiento de la Información CURs de Pago y Contables, físicos del área de Contabilidad</w:t>
            </w:r>
          </w:p>
        </w:tc>
        <w:tc>
          <w:tcPr>
            <w:tcW w:w="6804" w:type="dxa"/>
            <w:shd w:val="clear" w:color="auto" w:fill="auto"/>
          </w:tcPr>
          <w:p w14:paraId="0BAA9D4D" w14:textId="7288CF36"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Lograr una localización eficiente de CURS CONTABLES mediante el levantamiento y actualización de base de documentos contables.</w:t>
            </w:r>
          </w:p>
        </w:tc>
        <w:tc>
          <w:tcPr>
            <w:tcW w:w="1276" w:type="dxa"/>
          </w:tcPr>
          <w:p w14:paraId="21419D45" w14:textId="61D325DE"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Marzo 2014</w:t>
            </w:r>
          </w:p>
        </w:tc>
        <w:tc>
          <w:tcPr>
            <w:tcW w:w="850" w:type="dxa"/>
            <w:shd w:val="clear" w:color="auto" w:fill="FFFFFF" w:themeFill="background1"/>
          </w:tcPr>
          <w:p w14:paraId="0F7D42DF" w14:textId="06FB0D5A"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 xml:space="preserve">n.d. </w:t>
            </w:r>
          </w:p>
        </w:tc>
      </w:tr>
      <w:tr w:rsidR="000E1841" w:rsidRPr="00506873" w14:paraId="5A7F98BF" w14:textId="77777777" w:rsidTr="00BD79FA">
        <w:trPr>
          <w:trHeight w:val="20"/>
        </w:trPr>
        <w:tc>
          <w:tcPr>
            <w:tcW w:w="709" w:type="dxa"/>
            <w:shd w:val="clear" w:color="auto" w:fill="auto"/>
          </w:tcPr>
          <w:p w14:paraId="7E26D769" w14:textId="1B0E00E7" w:rsidR="000E1841" w:rsidRPr="00506873" w:rsidRDefault="000E1841" w:rsidP="00BD79FA">
            <w:pPr>
              <w:jc w:val="left"/>
              <w:rPr>
                <w:rFonts w:ascii="Arial Narrow" w:hAnsi="Arial Narrow"/>
                <w:sz w:val="18"/>
                <w:szCs w:val="18"/>
              </w:rPr>
            </w:pPr>
            <w:r w:rsidRPr="00506873">
              <w:rPr>
                <w:rFonts w:ascii="Arial Narrow" w:hAnsi="Arial Narrow"/>
                <w:sz w:val="18"/>
                <w:szCs w:val="18"/>
              </w:rPr>
              <w:t>2013</w:t>
            </w:r>
          </w:p>
        </w:tc>
        <w:tc>
          <w:tcPr>
            <w:tcW w:w="4678" w:type="dxa"/>
            <w:shd w:val="clear" w:color="auto" w:fill="auto"/>
          </w:tcPr>
          <w:p w14:paraId="3322C032" w14:textId="511C29C6" w:rsidR="000E1841" w:rsidRPr="00506873" w:rsidRDefault="000E1841" w:rsidP="00BD79FA">
            <w:pPr>
              <w:jc w:val="left"/>
              <w:rPr>
                <w:rFonts w:ascii="Arial Narrow" w:hAnsi="Arial Narrow"/>
                <w:spacing w:val="0"/>
                <w:sz w:val="18"/>
                <w:szCs w:val="18"/>
              </w:rPr>
            </w:pPr>
            <w:r w:rsidRPr="00506873">
              <w:rPr>
                <w:rFonts w:ascii="Arial Narrow" w:hAnsi="Arial Narrow"/>
                <w:spacing w:val="0"/>
                <w:sz w:val="18"/>
                <w:szCs w:val="18"/>
              </w:rPr>
              <w:t>Desarrollar y ejecutar un Plan Integral de Comunicación</w:t>
            </w:r>
          </w:p>
        </w:tc>
        <w:tc>
          <w:tcPr>
            <w:tcW w:w="6804" w:type="dxa"/>
            <w:shd w:val="clear" w:color="auto" w:fill="auto"/>
          </w:tcPr>
          <w:p w14:paraId="57340B1D" w14:textId="1111F747"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Obtener un plan integral de comunicación alineado a una estrategia que permita el cumplimiento de los objetivos</w:t>
            </w:r>
            <w:r w:rsidRPr="00506873">
              <w:rPr>
                <w:rFonts w:ascii="Arial Narrow" w:hAnsi="Arial Narrow"/>
                <w:spacing w:val="0"/>
                <w:sz w:val="18"/>
                <w:szCs w:val="18"/>
                <w:lang w:val="es-MX"/>
              </w:rPr>
              <w:t xml:space="preserve"> </w:t>
            </w:r>
            <w:r w:rsidRPr="00506873">
              <w:rPr>
                <w:rFonts w:ascii="Arial Narrow" w:hAnsi="Arial Narrow"/>
                <w:spacing w:val="0"/>
                <w:sz w:val="18"/>
                <w:szCs w:val="18"/>
                <w:lang w:val="es-MX"/>
              </w:rPr>
              <w:t>institucionales.</w:t>
            </w:r>
          </w:p>
        </w:tc>
        <w:tc>
          <w:tcPr>
            <w:tcW w:w="1276" w:type="dxa"/>
          </w:tcPr>
          <w:p w14:paraId="1318373E" w14:textId="5006BD4D"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Diciembre 2014</w:t>
            </w:r>
          </w:p>
        </w:tc>
        <w:tc>
          <w:tcPr>
            <w:tcW w:w="850" w:type="dxa"/>
            <w:shd w:val="clear" w:color="auto" w:fill="FFFFFF" w:themeFill="background1"/>
          </w:tcPr>
          <w:p w14:paraId="029B4649" w14:textId="6918D4AE"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 xml:space="preserve">n.d. </w:t>
            </w:r>
          </w:p>
        </w:tc>
      </w:tr>
      <w:tr w:rsidR="000E1841" w:rsidRPr="00506873" w14:paraId="0A5EB785" w14:textId="77777777" w:rsidTr="00BD79FA">
        <w:trPr>
          <w:trHeight w:val="20"/>
        </w:trPr>
        <w:tc>
          <w:tcPr>
            <w:tcW w:w="709" w:type="dxa"/>
            <w:shd w:val="clear" w:color="auto" w:fill="auto"/>
          </w:tcPr>
          <w:p w14:paraId="21F58F4A" w14:textId="4C3D7F08" w:rsidR="000E1841" w:rsidRPr="00506873" w:rsidRDefault="000E1841" w:rsidP="00BD79FA">
            <w:pPr>
              <w:jc w:val="left"/>
              <w:rPr>
                <w:rFonts w:ascii="Arial Narrow" w:hAnsi="Arial Narrow"/>
                <w:sz w:val="18"/>
                <w:szCs w:val="18"/>
              </w:rPr>
            </w:pPr>
            <w:r w:rsidRPr="00506873">
              <w:rPr>
                <w:rFonts w:ascii="Arial Narrow" w:hAnsi="Arial Narrow"/>
                <w:sz w:val="18"/>
                <w:szCs w:val="18"/>
              </w:rPr>
              <w:t>2014</w:t>
            </w:r>
          </w:p>
        </w:tc>
        <w:tc>
          <w:tcPr>
            <w:tcW w:w="4678" w:type="dxa"/>
            <w:shd w:val="clear" w:color="auto" w:fill="auto"/>
          </w:tcPr>
          <w:p w14:paraId="6486D94E" w14:textId="311A73FC" w:rsidR="000E1841" w:rsidRPr="00506873" w:rsidRDefault="000E1841" w:rsidP="00BD79FA">
            <w:pPr>
              <w:jc w:val="left"/>
              <w:rPr>
                <w:rFonts w:ascii="Arial Narrow" w:hAnsi="Arial Narrow"/>
                <w:spacing w:val="0"/>
                <w:sz w:val="18"/>
                <w:szCs w:val="18"/>
              </w:rPr>
            </w:pPr>
            <w:r w:rsidRPr="00506873">
              <w:rPr>
                <w:rFonts w:ascii="Arial Narrow" w:hAnsi="Arial Narrow"/>
                <w:spacing w:val="0"/>
                <w:sz w:val="18"/>
                <w:szCs w:val="18"/>
              </w:rPr>
              <w:t>Sistematización del control de activos fijos y bienes de control administrativo</w:t>
            </w:r>
          </w:p>
        </w:tc>
        <w:tc>
          <w:tcPr>
            <w:tcW w:w="6804" w:type="dxa"/>
            <w:shd w:val="clear" w:color="auto" w:fill="auto"/>
          </w:tcPr>
          <w:p w14:paraId="244B73DB" w14:textId="77222E8B"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 xml:space="preserve">La normativa relacionada a la administración </w:t>
            </w:r>
            <w:r w:rsidRPr="00506873">
              <w:rPr>
                <w:rFonts w:ascii="Arial Narrow" w:hAnsi="Arial Narrow"/>
                <w:spacing w:val="0"/>
                <w:sz w:val="18"/>
                <w:szCs w:val="18"/>
                <w:lang w:val="es-MX"/>
              </w:rPr>
              <w:t>de bienes</w:t>
            </w:r>
            <w:r w:rsidRPr="00506873">
              <w:rPr>
                <w:rFonts w:ascii="Arial Narrow" w:hAnsi="Arial Narrow"/>
                <w:spacing w:val="0"/>
                <w:sz w:val="18"/>
                <w:szCs w:val="18"/>
                <w:lang w:val="es-MX"/>
              </w:rPr>
              <w:t xml:space="preserve"> del sector público amerita implementar herramientas que faciliten el control</w:t>
            </w:r>
            <w:r w:rsidRPr="00506873">
              <w:rPr>
                <w:rFonts w:ascii="Arial Narrow" w:hAnsi="Arial Narrow"/>
                <w:spacing w:val="0"/>
                <w:sz w:val="18"/>
                <w:szCs w:val="18"/>
                <w:lang w:val="es-MX"/>
              </w:rPr>
              <w:t xml:space="preserve"> </w:t>
            </w:r>
            <w:r w:rsidRPr="00506873">
              <w:rPr>
                <w:rFonts w:ascii="Arial Narrow" w:hAnsi="Arial Narrow"/>
                <w:spacing w:val="0"/>
                <w:sz w:val="18"/>
                <w:szCs w:val="18"/>
                <w:lang w:val="es-MX"/>
              </w:rPr>
              <w:t>adecuado de los bienes institucionales</w:t>
            </w:r>
          </w:p>
        </w:tc>
        <w:tc>
          <w:tcPr>
            <w:tcW w:w="1276" w:type="dxa"/>
          </w:tcPr>
          <w:p w14:paraId="1E7BB9BE" w14:textId="3CDF6FB8"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Diciembre 2014</w:t>
            </w:r>
          </w:p>
        </w:tc>
        <w:tc>
          <w:tcPr>
            <w:tcW w:w="850" w:type="dxa"/>
            <w:shd w:val="clear" w:color="auto" w:fill="FFFFFF" w:themeFill="background1"/>
          </w:tcPr>
          <w:p w14:paraId="7DA86F52" w14:textId="4ACB5523"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 xml:space="preserve">n.d. </w:t>
            </w:r>
          </w:p>
        </w:tc>
      </w:tr>
      <w:tr w:rsidR="000E1841" w:rsidRPr="00506873" w14:paraId="192A51B6" w14:textId="77777777" w:rsidTr="00BD79FA">
        <w:trPr>
          <w:trHeight w:val="20"/>
        </w:trPr>
        <w:tc>
          <w:tcPr>
            <w:tcW w:w="709" w:type="dxa"/>
            <w:shd w:val="clear" w:color="auto" w:fill="auto"/>
          </w:tcPr>
          <w:p w14:paraId="0BF66D9A" w14:textId="72699E88" w:rsidR="000E1841" w:rsidRPr="00506873" w:rsidRDefault="000E1841" w:rsidP="00BD79FA">
            <w:pPr>
              <w:jc w:val="left"/>
              <w:rPr>
                <w:rFonts w:ascii="Arial Narrow" w:hAnsi="Arial Narrow"/>
                <w:sz w:val="18"/>
                <w:szCs w:val="18"/>
              </w:rPr>
            </w:pPr>
            <w:r w:rsidRPr="00506873">
              <w:rPr>
                <w:rFonts w:ascii="Arial Narrow" w:hAnsi="Arial Narrow"/>
                <w:sz w:val="18"/>
                <w:szCs w:val="18"/>
              </w:rPr>
              <w:t>2014</w:t>
            </w:r>
          </w:p>
        </w:tc>
        <w:tc>
          <w:tcPr>
            <w:tcW w:w="4678" w:type="dxa"/>
            <w:shd w:val="clear" w:color="auto" w:fill="auto"/>
          </w:tcPr>
          <w:p w14:paraId="07D760A6" w14:textId="288293AC" w:rsidR="000E1841" w:rsidRPr="00506873" w:rsidRDefault="000E1841" w:rsidP="00BD79FA">
            <w:pPr>
              <w:jc w:val="left"/>
              <w:rPr>
                <w:rFonts w:ascii="Arial Narrow" w:hAnsi="Arial Narrow"/>
                <w:spacing w:val="0"/>
                <w:sz w:val="18"/>
                <w:szCs w:val="18"/>
              </w:rPr>
            </w:pPr>
            <w:r w:rsidRPr="00506873">
              <w:rPr>
                <w:rFonts w:ascii="Arial Narrow" w:hAnsi="Arial Narrow"/>
                <w:spacing w:val="0"/>
                <w:sz w:val="18"/>
                <w:szCs w:val="18"/>
              </w:rPr>
              <w:t>Elaboración de un instructivo para completar los formatos en la tapa preparatoria de los</w:t>
            </w:r>
            <w:r w:rsidR="00BD79FA">
              <w:rPr>
                <w:rFonts w:ascii="Arial Narrow" w:hAnsi="Arial Narrow"/>
                <w:spacing w:val="0"/>
                <w:sz w:val="18"/>
                <w:szCs w:val="18"/>
              </w:rPr>
              <w:t xml:space="preserve"> </w:t>
            </w:r>
            <w:r w:rsidRPr="00506873">
              <w:rPr>
                <w:rFonts w:ascii="Arial Narrow" w:hAnsi="Arial Narrow"/>
                <w:spacing w:val="0"/>
                <w:sz w:val="18"/>
                <w:szCs w:val="18"/>
              </w:rPr>
              <w:t>procesos de contratación pública.</w:t>
            </w:r>
          </w:p>
        </w:tc>
        <w:tc>
          <w:tcPr>
            <w:tcW w:w="6804" w:type="dxa"/>
            <w:shd w:val="clear" w:color="auto" w:fill="auto"/>
          </w:tcPr>
          <w:p w14:paraId="6CA38084" w14:textId="61427B6B"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Diseñar un instructivo para completar los formatos en la tapa preparatoria de los procesos de contratación pública., que permita a las</w:t>
            </w:r>
            <w:r w:rsidRPr="00506873">
              <w:rPr>
                <w:rFonts w:ascii="Arial Narrow" w:hAnsi="Arial Narrow"/>
                <w:spacing w:val="0"/>
                <w:sz w:val="18"/>
                <w:szCs w:val="18"/>
                <w:lang w:val="es-MX"/>
              </w:rPr>
              <w:t xml:space="preserve"> </w:t>
            </w:r>
            <w:r w:rsidRPr="00506873">
              <w:rPr>
                <w:rFonts w:ascii="Arial Narrow" w:hAnsi="Arial Narrow"/>
                <w:spacing w:val="0"/>
                <w:sz w:val="18"/>
                <w:szCs w:val="18"/>
                <w:lang w:val="es-MX"/>
              </w:rPr>
              <w:t>Unidades Administrativas conocer los</w:t>
            </w:r>
            <w:r w:rsidRPr="00506873">
              <w:rPr>
                <w:rFonts w:ascii="Arial Narrow" w:hAnsi="Arial Narrow"/>
                <w:spacing w:val="0"/>
                <w:sz w:val="18"/>
                <w:szCs w:val="18"/>
                <w:lang w:val="es-MX"/>
              </w:rPr>
              <w:t xml:space="preserve"> </w:t>
            </w:r>
            <w:r w:rsidRPr="00506873">
              <w:rPr>
                <w:rFonts w:ascii="Arial Narrow" w:hAnsi="Arial Narrow"/>
                <w:spacing w:val="0"/>
                <w:sz w:val="18"/>
                <w:szCs w:val="18"/>
                <w:lang w:val="es-MX"/>
              </w:rPr>
              <w:t>procedimientos en la etapa preparatoria y su correcta aplicación en la Institución.</w:t>
            </w:r>
          </w:p>
        </w:tc>
        <w:tc>
          <w:tcPr>
            <w:tcW w:w="1276" w:type="dxa"/>
          </w:tcPr>
          <w:p w14:paraId="57863B57" w14:textId="1D351183"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Octubre 2015</w:t>
            </w:r>
          </w:p>
        </w:tc>
        <w:tc>
          <w:tcPr>
            <w:tcW w:w="850" w:type="dxa"/>
            <w:shd w:val="clear" w:color="auto" w:fill="FFFFFF" w:themeFill="background1"/>
          </w:tcPr>
          <w:p w14:paraId="539F6E51" w14:textId="16781F9C"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 xml:space="preserve">n.d. </w:t>
            </w:r>
          </w:p>
        </w:tc>
      </w:tr>
      <w:tr w:rsidR="000E1841" w:rsidRPr="00506873" w14:paraId="67A86445" w14:textId="77777777" w:rsidTr="00BD79FA">
        <w:trPr>
          <w:trHeight w:val="20"/>
        </w:trPr>
        <w:tc>
          <w:tcPr>
            <w:tcW w:w="709" w:type="dxa"/>
            <w:shd w:val="clear" w:color="auto" w:fill="auto"/>
          </w:tcPr>
          <w:p w14:paraId="448D556F" w14:textId="058AC3E3" w:rsidR="000E1841" w:rsidRPr="00506873" w:rsidRDefault="000E1841" w:rsidP="00BD79FA">
            <w:pPr>
              <w:jc w:val="left"/>
              <w:rPr>
                <w:rFonts w:ascii="Arial Narrow" w:hAnsi="Arial Narrow"/>
                <w:sz w:val="18"/>
                <w:szCs w:val="18"/>
              </w:rPr>
            </w:pPr>
            <w:r w:rsidRPr="00506873">
              <w:rPr>
                <w:rFonts w:ascii="Arial Narrow" w:hAnsi="Arial Narrow"/>
                <w:sz w:val="18"/>
                <w:szCs w:val="18"/>
              </w:rPr>
              <w:t>2015</w:t>
            </w:r>
          </w:p>
        </w:tc>
        <w:tc>
          <w:tcPr>
            <w:tcW w:w="4678" w:type="dxa"/>
            <w:shd w:val="clear" w:color="auto" w:fill="auto"/>
          </w:tcPr>
          <w:p w14:paraId="7D135C1C" w14:textId="12B61ECC" w:rsidR="000E1841" w:rsidRPr="00506873" w:rsidRDefault="000E1841" w:rsidP="00BD79FA">
            <w:pPr>
              <w:jc w:val="left"/>
              <w:rPr>
                <w:rFonts w:ascii="Arial Narrow" w:hAnsi="Arial Narrow"/>
                <w:spacing w:val="0"/>
                <w:sz w:val="18"/>
                <w:szCs w:val="18"/>
              </w:rPr>
            </w:pPr>
            <w:r w:rsidRPr="00506873">
              <w:rPr>
                <w:rFonts w:ascii="Arial Narrow" w:hAnsi="Arial Narrow"/>
                <w:spacing w:val="0"/>
                <w:sz w:val="18"/>
                <w:szCs w:val="18"/>
              </w:rPr>
              <w:t>Digitalización de la documentación activa de la Institución del año 2015</w:t>
            </w:r>
          </w:p>
        </w:tc>
        <w:tc>
          <w:tcPr>
            <w:tcW w:w="6804" w:type="dxa"/>
            <w:shd w:val="clear" w:color="auto" w:fill="auto"/>
          </w:tcPr>
          <w:p w14:paraId="6AC1A7BD" w14:textId="517AC91F"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 xml:space="preserve">Esta digitalización </w:t>
            </w:r>
            <w:r w:rsidRPr="00506873">
              <w:rPr>
                <w:rFonts w:ascii="Arial Narrow" w:hAnsi="Arial Narrow"/>
                <w:spacing w:val="0"/>
                <w:sz w:val="18"/>
                <w:szCs w:val="18"/>
                <w:lang w:val="es-MX"/>
              </w:rPr>
              <w:t>servirá</w:t>
            </w:r>
            <w:r w:rsidRPr="00506873">
              <w:rPr>
                <w:rFonts w:ascii="Arial Narrow" w:hAnsi="Arial Narrow"/>
                <w:spacing w:val="0"/>
                <w:sz w:val="18"/>
                <w:szCs w:val="18"/>
                <w:lang w:val="es-MX"/>
              </w:rPr>
              <w:t xml:space="preserve"> para tener la información subida a la </w:t>
            </w:r>
            <w:r w:rsidRPr="00506873">
              <w:rPr>
                <w:rFonts w:ascii="Arial Narrow" w:hAnsi="Arial Narrow"/>
                <w:spacing w:val="0"/>
                <w:sz w:val="18"/>
                <w:szCs w:val="18"/>
                <w:lang w:val="es-MX"/>
              </w:rPr>
              <w:t>página</w:t>
            </w:r>
            <w:r w:rsidRPr="00506873">
              <w:rPr>
                <w:rFonts w:ascii="Arial Narrow" w:hAnsi="Arial Narrow"/>
                <w:spacing w:val="0"/>
                <w:sz w:val="18"/>
                <w:szCs w:val="18"/>
                <w:lang w:val="es-MX"/>
              </w:rPr>
              <w:t xml:space="preserve"> Web</w:t>
            </w:r>
          </w:p>
        </w:tc>
        <w:tc>
          <w:tcPr>
            <w:tcW w:w="1276" w:type="dxa"/>
          </w:tcPr>
          <w:p w14:paraId="224CEA62" w14:textId="4ECBD9C1"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Diciembre 2016</w:t>
            </w:r>
          </w:p>
        </w:tc>
        <w:tc>
          <w:tcPr>
            <w:tcW w:w="850" w:type="dxa"/>
            <w:shd w:val="clear" w:color="auto" w:fill="FFFFFF" w:themeFill="background1"/>
          </w:tcPr>
          <w:p w14:paraId="7BC87A94" w14:textId="647E6D25"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 xml:space="preserve">n.d. </w:t>
            </w:r>
          </w:p>
        </w:tc>
      </w:tr>
      <w:tr w:rsidR="000E1841" w:rsidRPr="00506873" w14:paraId="732B372C" w14:textId="77777777" w:rsidTr="00BD79FA">
        <w:trPr>
          <w:trHeight w:val="20"/>
        </w:trPr>
        <w:tc>
          <w:tcPr>
            <w:tcW w:w="709" w:type="dxa"/>
            <w:shd w:val="clear" w:color="auto" w:fill="auto"/>
          </w:tcPr>
          <w:p w14:paraId="6FFF6D49" w14:textId="54997D0D" w:rsidR="000E1841" w:rsidRPr="00506873" w:rsidRDefault="000E1841" w:rsidP="00BD79FA">
            <w:pPr>
              <w:jc w:val="left"/>
              <w:rPr>
                <w:rFonts w:ascii="Arial Narrow" w:hAnsi="Arial Narrow"/>
                <w:sz w:val="18"/>
                <w:szCs w:val="18"/>
              </w:rPr>
            </w:pPr>
            <w:r w:rsidRPr="00506873">
              <w:rPr>
                <w:rFonts w:ascii="Arial Narrow" w:hAnsi="Arial Narrow"/>
                <w:sz w:val="18"/>
                <w:szCs w:val="18"/>
              </w:rPr>
              <w:t>2015</w:t>
            </w:r>
          </w:p>
        </w:tc>
        <w:tc>
          <w:tcPr>
            <w:tcW w:w="4678" w:type="dxa"/>
            <w:shd w:val="clear" w:color="auto" w:fill="auto"/>
          </w:tcPr>
          <w:p w14:paraId="35108766" w14:textId="127B6CAF" w:rsidR="000E1841" w:rsidRPr="00506873" w:rsidRDefault="000E1841" w:rsidP="00BD79FA">
            <w:pPr>
              <w:jc w:val="left"/>
              <w:rPr>
                <w:rFonts w:ascii="Arial Narrow" w:hAnsi="Arial Narrow"/>
                <w:spacing w:val="0"/>
                <w:sz w:val="18"/>
                <w:szCs w:val="18"/>
              </w:rPr>
            </w:pPr>
            <w:r w:rsidRPr="00506873">
              <w:rPr>
                <w:rFonts w:ascii="Arial Narrow" w:hAnsi="Arial Narrow"/>
                <w:spacing w:val="0"/>
                <w:sz w:val="18"/>
                <w:szCs w:val="18"/>
              </w:rPr>
              <w:t>Seguimiento y Evaluación a la Cadenas Productivas en Territorio.</w:t>
            </w:r>
          </w:p>
        </w:tc>
        <w:tc>
          <w:tcPr>
            <w:tcW w:w="6804" w:type="dxa"/>
            <w:shd w:val="clear" w:color="auto" w:fill="auto"/>
          </w:tcPr>
          <w:p w14:paraId="562733E3" w14:textId="7D8516A6"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Para a</w:t>
            </w:r>
            <w:r w:rsidRPr="00506873">
              <w:rPr>
                <w:rFonts w:ascii="Arial Narrow" w:hAnsi="Arial Narrow"/>
                <w:spacing w:val="0"/>
                <w:sz w:val="18"/>
                <w:szCs w:val="18"/>
                <w:lang w:val="es-MX"/>
              </w:rPr>
              <w:t>rticular las políticas productivas generadas por gobierno central a las iniciativas provinciales y a los emprendimientos</w:t>
            </w:r>
            <w:r w:rsidRPr="00506873">
              <w:rPr>
                <w:rFonts w:ascii="Arial Narrow" w:hAnsi="Arial Narrow"/>
                <w:spacing w:val="0"/>
                <w:sz w:val="18"/>
                <w:szCs w:val="18"/>
                <w:lang w:val="es-MX"/>
              </w:rPr>
              <w:t xml:space="preserve"> </w:t>
            </w:r>
            <w:r w:rsidRPr="00506873">
              <w:rPr>
                <w:rFonts w:ascii="Arial Narrow" w:hAnsi="Arial Narrow"/>
                <w:spacing w:val="0"/>
                <w:sz w:val="18"/>
                <w:szCs w:val="18"/>
                <w:lang w:val="es-MX"/>
              </w:rPr>
              <w:t>productivos privados</w:t>
            </w:r>
            <w:r w:rsidRPr="00506873">
              <w:rPr>
                <w:rFonts w:ascii="Arial Narrow" w:hAnsi="Arial Narrow"/>
                <w:spacing w:val="0"/>
                <w:sz w:val="18"/>
                <w:szCs w:val="18"/>
                <w:lang w:val="es-MX"/>
              </w:rPr>
              <w:t>. (talleres de trabajo con los GAD)</w:t>
            </w:r>
          </w:p>
        </w:tc>
        <w:tc>
          <w:tcPr>
            <w:tcW w:w="1276" w:type="dxa"/>
          </w:tcPr>
          <w:p w14:paraId="38FE7185" w14:textId="2C272FB2"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Diciembre de 2015</w:t>
            </w:r>
          </w:p>
        </w:tc>
        <w:tc>
          <w:tcPr>
            <w:tcW w:w="850" w:type="dxa"/>
            <w:shd w:val="clear" w:color="auto" w:fill="FFFFFF" w:themeFill="background1"/>
          </w:tcPr>
          <w:p w14:paraId="1455BDEE" w14:textId="0C27BA77"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 xml:space="preserve">n.d. </w:t>
            </w:r>
          </w:p>
        </w:tc>
      </w:tr>
      <w:tr w:rsidR="000E1841" w:rsidRPr="00506873" w14:paraId="7A32FDEF" w14:textId="77777777" w:rsidTr="00BD79FA">
        <w:trPr>
          <w:trHeight w:val="20"/>
        </w:trPr>
        <w:tc>
          <w:tcPr>
            <w:tcW w:w="709" w:type="dxa"/>
            <w:shd w:val="clear" w:color="auto" w:fill="auto"/>
          </w:tcPr>
          <w:p w14:paraId="52B132F8" w14:textId="7FF039FD" w:rsidR="000E1841" w:rsidRPr="00506873" w:rsidRDefault="000E1841" w:rsidP="00BD79FA">
            <w:pPr>
              <w:jc w:val="left"/>
              <w:rPr>
                <w:rFonts w:ascii="Arial Narrow" w:hAnsi="Arial Narrow"/>
                <w:sz w:val="18"/>
                <w:szCs w:val="18"/>
              </w:rPr>
            </w:pPr>
            <w:r w:rsidRPr="00506873">
              <w:rPr>
                <w:rFonts w:ascii="Arial Narrow" w:hAnsi="Arial Narrow"/>
                <w:sz w:val="18"/>
                <w:szCs w:val="18"/>
              </w:rPr>
              <w:t>2015</w:t>
            </w:r>
          </w:p>
        </w:tc>
        <w:tc>
          <w:tcPr>
            <w:tcW w:w="4678" w:type="dxa"/>
            <w:shd w:val="clear" w:color="auto" w:fill="auto"/>
          </w:tcPr>
          <w:p w14:paraId="72FD2DA1" w14:textId="235BC035" w:rsidR="000E1841" w:rsidRPr="00506873" w:rsidRDefault="000E1841" w:rsidP="00BD79FA">
            <w:pPr>
              <w:jc w:val="left"/>
              <w:rPr>
                <w:rFonts w:ascii="Arial Narrow" w:hAnsi="Arial Narrow"/>
                <w:spacing w:val="0"/>
                <w:sz w:val="18"/>
                <w:szCs w:val="18"/>
              </w:rPr>
            </w:pPr>
            <w:r w:rsidRPr="00506873">
              <w:rPr>
                <w:rFonts w:ascii="Arial Narrow" w:hAnsi="Arial Narrow"/>
                <w:spacing w:val="0"/>
                <w:sz w:val="18"/>
                <w:szCs w:val="18"/>
              </w:rPr>
              <w:t>Generación de un documento metodológico para análisis de cadenas agrícolas</w:t>
            </w:r>
            <w:r w:rsidRPr="00506873">
              <w:rPr>
                <w:rFonts w:ascii="Arial Narrow" w:hAnsi="Arial Narrow"/>
                <w:spacing w:val="0"/>
                <w:sz w:val="18"/>
                <w:szCs w:val="18"/>
              </w:rPr>
              <w:t xml:space="preserve"> </w:t>
            </w:r>
            <w:r w:rsidRPr="00506873">
              <w:rPr>
                <w:rFonts w:ascii="Arial Narrow" w:hAnsi="Arial Narrow"/>
                <w:spacing w:val="0"/>
                <w:sz w:val="18"/>
                <w:szCs w:val="18"/>
              </w:rPr>
              <w:t>priorizadas para el Cambio de Matriz Productiva</w:t>
            </w:r>
          </w:p>
        </w:tc>
        <w:tc>
          <w:tcPr>
            <w:tcW w:w="6804" w:type="dxa"/>
            <w:shd w:val="clear" w:color="auto" w:fill="auto"/>
          </w:tcPr>
          <w:p w14:paraId="75CC7C03" w14:textId="36DB3BF7" w:rsidR="000E1841" w:rsidRPr="00506873" w:rsidRDefault="000E1841" w:rsidP="00BD79FA">
            <w:pPr>
              <w:jc w:val="left"/>
              <w:rPr>
                <w:rFonts w:ascii="Arial Narrow" w:hAnsi="Arial Narrow"/>
                <w:spacing w:val="0"/>
                <w:sz w:val="18"/>
                <w:szCs w:val="18"/>
              </w:rPr>
            </w:pPr>
            <w:r w:rsidRPr="00506873">
              <w:rPr>
                <w:rFonts w:ascii="Arial Narrow" w:hAnsi="Arial Narrow"/>
                <w:spacing w:val="0"/>
                <w:sz w:val="18"/>
                <w:szCs w:val="18"/>
              </w:rPr>
              <w:t>Documento metodológico que permita analizar las cadenas agrícolas priorizadas en la Estrategia Nacional para el Cambio de</w:t>
            </w:r>
            <w:r w:rsidRPr="00506873">
              <w:rPr>
                <w:rFonts w:ascii="Arial Narrow" w:hAnsi="Arial Narrow"/>
                <w:spacing w:val="0"/>
                <w:sz w:val="18"/>
                <w:szCs w:val="18"/>
              </w:rPr>
              <w:t xml:space="preserve"> </w:t>
            </w:r>
            <w:r w:rsidRPr="00506873">
              <w:rPr>
                <w:rFonts w:ascii="Arial Narrow" w:hAnsi="Arial Narrow"/>
                <w:spacing w:val="0"/>
                <w:sz w:val="18"/>
                <w:szCs w:val="18"/>
              </w:rPr>
              <w:t>la Matriz Productiva</w:t>
            </w:r>
          </w:p>
        </w:tc>
        <w:tc>
          <w:tcPr>
            <w:tcW w:w="1276" w:type="dxa"/>
          </w:tcPr>
          <w:p w14:paraId="40BE691D" w14:textId="664CC2B4" w:rsidR="000E1841" w:rsidRPr="00506873" w:rsidRDefault="000E1841" w:rsidP="00BD79FA">
            <w:pPr>
              <w:jc w:val="left"/>
              <w:rPr>
                <w:rFonts w:ascii="Arial Narrow" w:hAnsi="Arial Narrow"/>
                <w:spacing w:val="0"/>
                <w:sz w:val="18"/>
                <w:szCs w:val="18"/>
              </w:rPr>
            </w:pPr>
            <w:r w:rsidRPr="00506873">
              <w:rPr>
                <w:rFonts w:ascii="Arial Narrow" w:hAnsi="Arial Narrow"/>
                <w:spacing w:val="0"/>
                <w:sz w:val="18"/>
                <w:szCs w:val="18"/>
              </w:rPr>
              <w:t>Diciembre de 2015</w:t>
            </w:r>
          </w:p>
        </w:tc>
        <w:tc>
          <w:tcPr>
            <w:tcW w:w="850" w:type="dxa"/>
            <w:shd w:val="clear" w:color="auto" w:fill="FFFFFF" w:themeFill="background1"/>
          </w:tcPr>
          <w:p w14:paraId="63D35845" w14:textId="6C812EA6" w:rsidR="000E1841" w:rsidRPr="00506873" w:rsidRDefault="000E1841"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 xml:space="preserve">n.d. </w:t>
            </w:r>
          </w:p>
        </w:tc>
      </w:tr>
      <w:tr w:rsidR="000E1841" w:rsidRPr="00506873" w14:paraId="39F1AD07" w14:textId="77777777" w:rsidTr="00BD79FA">
        <w:trPr>
          <w:trHeight w:val="20"/>
        </w:trPr>
        <w:tc>
          <w:tcPr>
            <w:tcW w:w="709" w:type="dxa"/>
            <w:shd w:val="clear" w:color="auto" w:fill="auto"/>
          </w:tcPr>
          <w:p w14:paraId="6DB92AE4" w14:textId="51784875" w:rsidR="000E1841" w:rsidRPr="00506873" w:rsidRDefault="000E1841" w:rsidP="00BD79FA">
            <w:pPr>
              <w:jc w:val="left"/>
              <w:rPr>
                <w:rFonts w:ascii="Arial Narrow" w:hAnsi="Arial Narrow"/>
                <w:sz w:val="18"/>
                <w:szCs w:val="18"/>
              </w:rPr>
            </w:pPr>
            <w:r w:rsidRPr="00506873">
              <w:rPr>
                <w:rFonts w:ascii="Arial Narrow" w:hAnsi="Arial Narrow"/>
                <w:sz w:val="18"/>
                <w:szCs w:val="18"/>
              </w:rPr>
              <w:t>2016</w:t>
            </w:r>
          </w:p>
        </w:tc>
        <w:tc>
          <w:tcPr>
            <w:tcW w:w="4678" w:type="dxa"/>
            <w:shd w:val="clear" w:color="auto" w:fill="auto"/>
          </w:tcPr>
          <w:p w14:paraId="73AF5AE5" w14:textId="31B57CF4" w:rsidR="000E1841" w:rsidRPr="00506873" w:rsidRDefault="00BA2997" w:rsidP="00BD79FA">
            <w:pPr>
              <w:jc w:val="left"/>
              <w:rPr>
                <w:rFonts w:ascii="Arial Narrow" w:hAnsi="Arial Narrow"/>
                <w:spacing w:val="0"/>
                <w:sz w:val="18"/>
                <w:szCs w:val="18"/>
              </w:rPr>
            </w:pPr>
            <w:r w:rsidRPr="00506873">
              <w:rPr>
                <w:rFonts w:ascii="Arial Narrow" w:hAnsi="Arial Narrow"/>
                <w:spacing w:val="0"/>
                <w:sz w:val="18"/>
                <w:szCs w:val="18"/>
              </w:rPr>
              <w:t>Integración y Ordenamiento de expedientes del archivo pasivo de la Institución</w:t>
            </w:r>
          </w:p>
        </w:tc>
        <w:tc>
          <w:tcPr>
            <w:tcW w:w="6804" w:type="dxa"/>
            <w:shd w:val="clear" w:color="auto" w:fill="auto"/>
          </w:tcPr>
          <w:p w14:paraId="293EFCF4" w14:textId="77CDFBCB" w:rsidR="000E1841" w:rsidRPr="00506873" w:rsidRDefault="00BA2997" w:rsidP="00BD79FA">
            <w:pPr>
              <w:jc w:val="left"/>
              <w:rPr>
                <w:rFonts w:ascii="Arial Narrow" w:hAnsi="Arial Narrow"/>
                <w:spacing w:val="0"/>
                <w:sz w:val="18"/>
                <w:szCs w:val="18"/>
              </w:rPr>
            </w:pPr>
            <w:r w:rsidRPr="00506873">
              <w:rPr>
                <w:rFonts w:ascii="Arial Narrow" w:hAnsi="Arial Narrow"/>
                <w:spacing w:val="0"/>
                <w:sz w:val="18"/>
                <w:szCs w:val="18"/>
              </w:rPr>
              <w:t>Esta integración y ordenación servirá para mantener la información en buen estado y su perduración.</w:t>
            </w:r>
          </w:p>
        </w:tc>
        <w:tc>
          <w:tcPr>
            <w:tcW w:w="1276" w:type="dxa"/>
          </w:tcPr>
          <w:p w14:paraId="707AD68F" w14:textId="00407537" w:rsidR="000E1841" w:rsidRPr="00506873" w:rsidRDefault="00BA2997" w:rsidP="00BD79FA">
            <w:pPr>
              <w:jc w:val="left"/>
              <w:rPr>
                <w:rFonts w:ascii="Arial Narrow" w:hAnsi="Arial Narrow"/>
                <w:spacing w:val="0"/>
                <w:sz w:val="18"/>
                <w:szCs w:val="18"/>
              </w:rPr>
            </w:pPr>
            <w:r w:rsidRPr="00506873">
              <w:rPr>
                <w:rFonts w:ascii="Arial Narrow" w:hAnsi="Arial Narrow"/>
                <w:spacing w:val="0"/>
                <w:sz w:val="18"/>
                <w:szCs w:val="18"/>
              </w:rPr>
              <w:t>Diciembre 2016</w:t>
            </w:r>
          </w:p>
        </w:tc>
        <w:tc>
          <w:tcPr>
            <w:tcW w:w="850" w:type="dxa"/>
            <w:shd w:val="clear" w:color="auto" w:fill="FFFFFF" w:themeFill="background1"/>
          </w:tcPr>
          <w:p w14:paraId="33861573" w14:textId="1A108158" w:rsidR="000E1841" w:rsidRPr="00506873" w:rsidRDefault="00BA2997"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n.d.</w:t>
            </w:r>
          </w:p>
        </w:tc>
      </w:tr>
      <w:tr w:rsidR="00BA2997" w:rsidRPr="00506873" w14:paraId="6BB8CD11" w14:textId="77777777" w:rsidTr="00BD79FA">
        <w:trPr>
          <w:trHeight w:val="20"/>
        </w:trPr>
        <w:tc>
          <w:tcPr>
            <w:tcW w:w="709" w:type="dxa"/>
            <w:shd w:val="clear" w:color="auto" w:fill="auto"/>
          </w:tcPr>
          <w:p w14:paraId="5B10906E" w14:textId="6E3BBB74" w:rsidR="00BA2997" w:rsidRPr="00506873" w:rsidRDefault="00EC06D0" w:rsidP="00BD79FA">
            <w:pPr>
              <w:jc w:val="left"/>
              <w:rPr>
                <w:rFonts w:ascii="Arial Narrow" w:hAnsi="Arial Narrow"/>
                <w:sz w:val="18"/>
                <w:szCs w:val="18"/>
              </w:rPr>
            </w:pPr>
            <w:r w:rsidRPr="00506873">
              <w:rPr>
                <w:rFonts w:ascii="Arial Narrow" w:hAnsi="Arial Narrow"/>
                <w:sz w:val="18"/>
                <w:szCs w:val="18"/>
              </w:rPr>
              <w:t>2016</w:t>
            </w:r>
          </w:p>
        </w:tc>
        <w:tc>
          <w:tcPr>
            <w:tcW w:w="4678" w:type="dxa"/>
            <w:shd w:val="clear" w:color="auto" w:fill="auto"/>
          </w:tcPr>
          <w:p w14:paraId="2581AD85" w14:textId="4FB1C43C" w:rsidR="00BA2997" w:rsidRPr="00506873" w:rsidRDefault="00EC06D0" w:rsidP="00BD79FA">
            <w:pPr>
              <w:jc w:val="left"/>
              <w:rPr>
                <w:rFonts w:ascii="Arial Narrow" w:hAnsi="Arial Narrow"/>
                <w:spacing w:val="0"/>
                <w:sz w:val="18"/>
                <w:szCs w:val="18"/>
              </w:rPr>
            </w:pPr>
            <w:r w:rsidRPr="00506873">
              <w:rPr>
                <w:rFonts w:ascii="Arial Narrow" w:hAnsi="Arial Narrow"/>
                <w:spacing w:val="0"/>
                <w:sz w:val="18"/>
                <w:szCs w:val="18"/>
              </w:rPr>
              <w:t>Levantamiento y Diseño de los procesos de la Vicepresidencia de la República.</w:t>
            </w:r>
          </w:p>
        </w:tc>
        <w:tc>
          <w:tcPr>
            <w:tcW w:w="6804" w:type="dxa"/>
            <w:shd w:val="clear" w:color="auto" w:fill="auto"/>
          </w:tcPr>
          <w:p w14:paraId="7AEA8DD2" w14:textId="687ADC31" w:rsidR="00BA2997" w:rsidRPr="00506873" w:rsidRDefault="00EC06D0" w:rsidP="00BD79FA">
            <w:pPr>
              <w:jc w:val="left"/>
              <w:rPr>
                <w:rFonts w:ascii="Arial Narrow" w:hAnsi="Arial Narrow"/>
                <w:spacing w:val="0"/>
                <w:sz w:val="18"/>
                <w:szCs w:val="18"/>
              </w:rPr>
            </w:pPr>
            <w:r w:rsidRPr="00506873">
              <w:rPr>
                <w:rFonts w:ascii="Arial Narrow" w:hAnsi="Arial Narrow"/>
                <w:spacing w:val="0"/>
                <w:sz w:val="18"/>
                <w:szCs w:val="18"/>
              </w:rPr>
              <w:t>Realizar el levantamiento y diseño de los procesos de la Vicepresidencia de la República.</w:t>
            </w:r>
          </w:p>
        </w:tc>
        <w:tc>
          <w:tcPr>
            <w:tcW w:w="1276" w:type="dxa"/>
          </w:tcPr>
          <w:p w14:paraId="134FAE92" w14:textId="1FA8F301" w:rsidR="00BA2997" w:rsidRPr="00506873" w:rsidRDefault="00EC06D0" w:rsidP="00BD79FA">
            <w:pPr>
              <w:jc w:val="left"/>
              <w:rPr>
                <w:rFonts w:ascii="Arial Narrow" w:hAnsi="Arial Narrow"/>
                <w:spacing w:val="0"/>
                <w:sz w:val="18"/>
                <w:szCs w:val="18"/>
              </w:rPr>
            </w:pPr>
            <w:r w:rsidRPr="00506873">
              <w:rPr>
                <w:rFonts w:ascii="Arial Narrow" w:hAnsi="Arial Narrow"/>
                <w:spacing w:val="0"/>
                <w:sz w:val="18"/>
                <w:szCs w:val="18"/>
              </w:rPr>
              <w:t>Diciembre 2016</w:t>
            </w:r>
          </w:p>
        </w:tc>
        <w:tc>
          <w:tcPr>
            <w:tcW w:w="850" w:type="dxa"/>
            <w:shd w:val="clear" w:color="auto" w:fill="FFFFFF" w:themeFill="background1"/>
          </w:tcPr>
          <w:p w14:paraId="72E8E57C" w14:textId="4C189FF7" w:rsidR="00BA2997" w:rsidRPr="00506873" w:rsidRDefault="00EC06D0"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n.d.</w:t>
            </w:r>
          </w:p>
        </w:tc>
      </w:tr>
      <w:tr w:rsidR="00506873" w:rsidRPr="00506873" w14:paraId="0266463F" w14:textId="77777777" w:rsidTr="00BD79FA">
        <w:trPr>
          <w:trHeight w:val="20"/>
        </w:trPr>
        <w:tc>
          <w:tcPr>
            <w:tcW w:w="709" w:type="dxa"/>
            <w:shd w:val="clear" w:color="auto" w:fill="auto"/>
          </w:tcPr>
          <w:p w14:paraId="756966D7" w14:textId="02DDB2ED" w:rsidR="00506873" w:rsidRPr="00506873" w:rsidRDefault="00506873" w:rsidP="00BD79FA">
            <w:pPr>
              <w:jc w:val="left"/>
              <w:rPr>
                <w:rFonts w:ascii="Arial Narrow" w:hAnsi="Arial Narrow"/>
                <w:sz w:val="18"/>
                <w:szCs w:val="18"/>
              </w:rPr>
            </w:pPr>
            <w:r w:rsidRPr="00506873">
              <w:rPr>
                <w:rFonts w:ascii="Arial Narrow" w:hAnsi="Arial Narrow"/>
                <w:sz w:val="18"/>
                <w:szCs w:val="18"/>
              </w:rPr>
              <w:t>2016</w:t>
            </w:r>
          </w:p>
        </w:tc>
        <w:tc>
          <w:tcPr>
            <w:tcW w:w="4678" w:type="dxa"/>
            <w:shd w:val="clear" w:color="auto" w:fill="auto"/>
          </w:tcPr>
          <w:p w14:paraId="679B3359" w14:textId="2E8DF4B3" w:rsidR="00506873" w:rsidRPr="00506873" w:rsidRDefault="00506873" w:rsidP="00BD79FA">
            <w:pPr>
              <w:jc w:val="left"/>
              <w:rPr>
                <w:rFonts w:ascii="Arial Narrow" w:hAnsi="Arial Narrow"/>
                <w:spacing w:val="0"/>
                <w:sz w:val="18"/>
                <w:szCs w:val="18"/>
              </w:rPr>
            </w:pPr>
            <w:r w:rsidRPr="00506873">
              <w:rPr>
                <w:rFonts w:ascii="Arial Narrow" w:hAnsi="Arial Narrow"/>
                <w:spacing w:val="0"/>
                <w:sz w:val="18"/>
                <w:szCs w:val="18"/>
              </w:rPr>
              <w:t>Implementación del EGSI (Esquema Gubernamental de la Seguridad de la Información)</w:t>
            </w:r>
          </w:p>
        </w:tc>
        <w:tc>
          <w:tcPr>
            <w:tcW w:w="6804" w:type="dxa"/>
            <w:shd w:val="clear" w:color="auto" w:fill="auto"/>
          </w:tcPr>
          <w:p w14:paraId="480DD73D" w14:textId="0E25E207" w:rsidR="00506873" w:rsidRPr="00506873" w:rsidRDefault="00506873" w:rsidP="00BD79FA">
            <w:pPr>
              <w:jc w:val="left"/>
              <w:rPr>
                <w:rFonts w:ascii="Arial Narrow" w:hAnsi="Arial Narrow"/>
                <w:spacing w:val="0"/>
                <w:sz w:val="18"/>
                <w:szCs w:val="18"/>
              </w:rPr>
            </w:pPr>
            <w:r w:rsidRPr="00506873">
              <w:rPr>
                <w:rFonts w:ascii="Arial Narrow" w:hAnsi="Arial Narrow" w:cs="Arial"/>
                <w:spacing w:val="0"/>
                <w:sz w:val="18"/>
                <w:szCs w:val="18"/>
              </w:rPr>
              <w:t>Aumentar los niveles de seguridad de la información de la institución</w:t>
            </w:r>
          </w:p>
        </w:tc>
        <w:tc>
          <w:tcPr>
            <w:tcW w:w="1276" w:type="dxa"/>
          </w:tcPr>
          <w:p w14:paraId="56072D4E" w14:textId="7D9C3656" w:rsidR="00506873" w:rsidRPr="00506873" w:rsidRDefault="00506873" w:rsidP="00BD79FA">
            <w:pPr>
              <w:jc w:val="left"/>
              <w:rPr>
                <w:rFonts w:ascii="Arial Narrow" w:hAnsi="Arial Narrow"/>
                <w:spacing w:val="0"/>
                <w:sz w:val="18"/>
                <w:szCs w:val="18"/>
              </w:rPr>
            </w:pPr>
            <w:r w:rsidRPr="00506873">
              <w:rPr>
                <w:rFonts w:ascii="Arial Narrow" w:hAnsi="Arial Narrow"/>
                <w:spacing w:val="0"/>
                <w:sz w:val="18"/>
                <w:szCs w:val="18"/>
              </w:rPr>
              <w:t>Diciembre 2016</w:t>
            </w:r>
          </w:p>
        </w:tc>
        <w:tc>
          <w:tcPr>
            <w:tcW w:w="850" w:type="dxa"/>
            <w:shd w:val="clear" w:color="auto" w:fill="FFFFFF" w:themeFill="background1"/>
          </w:tcPr>
          <w:p w14:paraId="6C61E39F" w14:textId="6CDD821E" w:rsidR="00506873" w:rsidRPr="00506873" w:rsidRDefault="00506873"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n.d.</w:t>
            </w:r>
          </w:p>
        </w:tc>
      </w:tr>
      <w:tr w:rsidR="00506873" w:rsidRPr="00506873" w14:paraId="28ECC73C" w14:textId="77777777" w:rsidTr="00BD79FA">
        <w:trPr>
          <w:trHeight w:val="20"/>
        </w:trPr>
        <w:tc>
          <w:tcPr>
            <w:tcW w:w="709" w:type="dxa"/>
            <w:shd w:val="clear" w:color="auto" w:fill="auto"/>
          </w:tcPr>
          <w:p w14:paraId="3936E523" w14:textId="05D58C16" w:rsidR="00506873" w:rsidRPr="00506873" w:rsidRDefault="00506873" w:rsidP="00BD79FA">
            <w:pPr>
              <w:jc w:val="left"/>
              <w:rPr>
                <w:rFonts w:ascii="Arial Narrow" w:hAnsi="Arial Narrow"/>
                <w:sz w:val="18"/>
                <w:szCs w:val="18"/>
              </w:rPr>
            </w:pPr>
            <w:r w:rsidRPr="00506873">
              <w:rPr>
                <w:rFonts w:ascii="Arial Narrow" w:hAnsi="Arial Narrow"/>
                <w:sz w:val="18"/>
                <w:szCs w:val="18"/>
              </w:rPr>
              <w:t>2017</w:t>
            </w:r>
          </w:p>
        </w:tc>
        <w:tc>
          <w:tcPr>
            <w:tcW w:w="4678" w:type="dxa"/>
            <w:shd w:val="clear" w:color="auto" w:fill="auto"/>
          </w:tcPr>
          <w:p w14:paraId="0A0150FA" w14:textId="6588E89D" w:rsidR="00506873" w:rsidRPr="00506873" w:rsidRDefault="00506873" w:rsidP="00BD79FA">
            <w:pPr>
              <w:jc w:val="left"/>
              <w:rPr>
                <w:rFonts w:ascii="Arial Narrow" w:hAnsi="Arial Narrow"/>
                <w:spacing w:val="0"/>
                <w:sz w:val="18"/>
                <w:szCs w:val="18"/>
              </w:rPr>
            </w:pPr>
            <w:r w:rsidRPr="00506873">
              <w:rPr>
                <w:rFonts w:ascii="Arial Narrow" w:hAnsi="Arial Narrow"/>
                <w:spacing w:val="0"/>
                <w:sz w:val="18"/>
                <w:szCs w:val="18"/>
              </w:rPr>
              <w:t>Implementación del Esquema Gubernamental de Seguridad de la información (</w:t>
            </w:r>
            <w:r w:rsidRPr="00506873">
              <w:rPr>
                <w:rFonts w:ascii="Arial Narrow" w:hAnsi="Arial Narrow"/>
                <w:spacing w:val="0"/>
                <w:sz w:val="18"/>
                <w:szCs w:val="18"/>
              </w:rPr>
              <w:t>EGSI) FASE</w:t>
            </w:r>
            <w:r w:rsidRPr="00506873">
              <w:rPr>
                <w:rFonts w:ascii="Arial Narrow" w:hAnsi="Arial Narrow"/>
                <w:spacing w:val="0"/>
                <w:sz w:val="18"/>
                <w:szCs w:val="18"/>
              </w:rPr>
              <w:t xml:space="preserve"> II</w:t>
            </w:r>
          </w:p>
        </w:tc>
        <w:tc>
          <w:tcPr>
            <w:tcW w:w="6804" w:type="dxa"/>
            <w:shd w:val="clear" w:color="auto" w:fill="auto"/>
          </w:tcPr>
          <w:p w14:paraId="6F8C3174" w14:textId="20B80FA3" w:rsidR="00506873" w:rsidRPr="00506873" w:rsidRDefault="00506873" w:rsidP="00BD79FA">
            <w:pPr>
              <w:jc w:val="left"/>
              <w:rPr>
                <w:rFonts w:ascii="Arial Narrow" w:hAnsi="Arial Narrow" w:cs="Arial"/>
                <w:spacing w:val="0"/>
                <w:sz w:val="18"/>
                <w:szCs w:val="18"/>
              </w:rPr>
            </w:pPr>
            <w:r w:rsidRPr="00506873">
              <w:rPr>
                <w:rFonts w:ascii="Arial Narrow" w:hAnsi="Arial Narrow" w:cs="Arial"/>
                <w:spacing w:val="0"/>
                <w:sz w:val="18"/>
                <w:szCs w:val="18"/>
              </w:rPr>
              <w:t>I</w:t>
            </w:r>
            <w:r w:rsidRPr="00506873">
              <w:rPr>
                <w:rFonts w:ascii="Arial Narrow" w:hAnsi="Arial Narrow" w:cs="Arial"/>
                <w:spacing w:val="0"/>
                <w:sz w:val="18"/>
                <w:szCs w:val="18"/>
              </w:rPr>
              <w:t>mplementar las directrices prioritarias establecidas en el Esquema Gubernamental de</w:t>
            </w:r>
            <w:r>
              <w:rPr>
                <w:rFonts w:ascii="Arial Narrow" w:hAnsi="Arial Narrow" w:cs="Arial"/>
                <w:spacing w:val="0"/>
                <w:sz w:val="18"/>
                <w:szCs w:val="18"/>
              </w:rPr>
              <w:t xml:space="preserve"> </w:t>
            </w:r>
            <w:r w:rsidRPr="00506873">
              <w:rPr>
                <w:rFonts w:ascii="Arial Narrow" w:hAnsi="Arial Narrow" w:cs="Arial"/>
                <w:spacing w:val="0"/>
                <w:sz w:val="18"/>
                <w:szCs w:val="18"/>
              </w:rPr>
              <w:t>Seguridad de la Información (EGSI) conforme establece homologados y actividades establecidas en el Acuerdo Ministerial 166 en la</w:t>
            </w:r>
            <w:r>
              <w:rPr>
                <w:rFonts w:ascii="Arial Narrow" w:hAnsi="Arial Narrow" w:cs="Arial"/>
                <w:spacing w:val="0"/>
                <w:sz w:val="18"/>
                <w:szCs w:val="18"/>
              </w:rPr>
              <w:t xml:space="preserve"> </w:t>
            </w:r>
            <w:r w:rsidRPr="00506873">
              <w:rPr>
                <w:rFonts w:ascii="Arial Narrow" w:hAnsi="Arial Narrow" w:cs="Arial"/>
                <w:spacing w:val="0"/>
                <w:sz w:val="18"/>
                <w:szCs w:val="18"/>
              </w:rPr>
              <w:t>entidad.</w:t>
            </w:r>
          </w:p>
        </w:tc>
        <w:tc>
          <w:tcPr>
            <w:tcW w:w="1276" w:type="dxa"/>
          </w:tcPr>
          <w:p w14:paraId="7052168A" w14:textId="1869D7BA" w:rsidR="00506873" w:rsidRPr="00506873" w:rsidRDefault="00506873" w:rsidP="00BD79FA">
            <w:pPr>
              <w:jc w:val="left"/>
              <w:rPr>
                <w:rFonts w:ascii="Arial Narrow" w:hAnsi="Arial Narrow"/>
                <w:spacing w:val="0"/>
                <w:sz w:val="18"/>
                <w:szCs w:val="18"/>
              </w:rPr>
            </w:pPr>
            <w:r w:rsidRPr="00506873">
              <w:rPr>
                <w:rFonts w:ascii="Arial Narrow" w:hAnsi="Arial Narrow"/>
                <w:spacing w:val="0"/>
                <w:sz w:val="18"/>
                <w:szCs w:val="18"/>
              </w:rPr>
              <w:t>Junio 2017</w:t>
            </w:r>
          </w:p>
        </w:tc>
        <w:tc>
          <w:tcPr>
            <w:tcW w:w="850" w:type="dxa"/>
            <w:shd w:val="clear" w:color="auto" w:fill="FFFFFF" w:themeFill="background1"/>
          </w:tcPr>
          <w:p w14:paraId="18379F73" w14:textId="02168E06" w:rsidR="00506873" w:rsidRPr="00506873" w:rsidRDefault="00506873" w:rsidP="00BD79FA">
            <w:pPr>
              <w:jc w:val="left"/>
              <w:rPr>
                <w:rFonts w:ascii="Arial Narrow" w:hAnsi="Arial Narrow"/>
                <w:spacing w:val="0"/>
                <w:sz w:val="18"/>
                <w:szCs w:val="18"/>
                <w:lang w:val="es-MX"/>
              </w:rPr>
            </w:pPr>
            <w:r w:rsidRPr="00506873">
              <w:rPr>
                <w:rFonts w:ascii="Arial Narrow" w:hAnsi="Arial Narrow"/>
                <w:spacing w:val="0"/>
                <w:sz w:val="18"/>
                <w:szCs w:val="18"/>
                <w:lang w:val="es-MX"/>
              </w:rPr>
              <w:t>n.d.</w:t>
            </w:r>
          </w:p>
        </w:tc>
      </w:tr>
      <w:tr w:rsidR="00506873" w:rsidRPr="00506873" w14:paraId="421F2926" w14:textId="77777777" w:rsidTr="00BD79FA">
        <w:trPr>
          <w:trHeight w:val="20"/>
        </w:trPr>
        <w:tc>
          <w:tcPr>
            <w:tcW w:w="709" w:type="dxa"/>
            <w:shd w:val="clear" w:color="auto" w:fill="auto"/>
          </w:tcPr>
          <w:p w14:paraId="5E1BA4DD" w14:textId="7D90C1BB" w:rsidR="00506873" w:rsidRPr="00506873" w:rsidRDefault="00506873" w:rsidP="00BD79FA">
            <w:pPr>
              <w:jc w:val="left"/>
              <w:rPr>
                <w:rFonts w:ascii="Arial Narrow" w:hAnsi="Arial Narrow"/>
                <w:sz w:val="18"/>
                <w:szCs w:val="18"/>
              </w:rPr>
            </w:pPr>
            <w:r w:rsidRPr="00506873">
              <w:rPr>
                <w:rFonts w:ascii="Arial Narrow" w:hAnsi="Arial Narrow"/>
                <w:sz w:val="18"/>
                <w:szCs w:val="18"/>
              </w:rPr>
              <w:t>2017</w:t>
            </w:r>
          </w:p>
        </w:tc>
        <w:tc>
          <w:tcPr>
            <w:tcW w:w="4678" w:type="dxa"/>
            <w:shd w:val="clear" w:color="auto" w:fill="auto"/>
          </w:tcPr>
          <w:p w14:paraId="6590ABE4" w14:textId="68CA3ABC" w:rsidR="00506873" w:rsidRPr="00506873" w:rsidRDefault="00506873" w:rsidP="00BD79FA">
            <w:pPr>
              <w:jc w:val="left"/>
              <w:rPr>
                <w:rFonts w:ascii="Arial Narrow" w:hAnsi="Arial Narrow"/>
                <w:spacing w:val="0"/>
                <w:sz w:val="18"/>
                <w:szCs w:val="18"/>
              </w:rPr>
            </w:pPr>
            <w:r w:rsidRPr="00506873">
              <w:rPr>
                <w:rFonts w:ascii="Arial Narrow" w:hAnsi="Arial Narrow"/>
                <w:spacing w:val="0"/>
                <w:sz w:val="18"/>
                <w:szCs w:val="18"/>
              </w:rPr>
              <w:t>Sistematización del parque automotor</w:t>
            </w:r>
          </w:p>
        </w:tc>
        <w:tc>
          <w:tcPr>
            <w:tcW w:w="6804" w:type="dxa"/>
            <w:shd w:val="clear" w:color="auto" w:fill="auto"/>
          </w:tcPr>
          <w:p w14:paraId="7A1F4276" w14:textId="71742E0D" w:rsidR="00506873" w:rsidRPr="00506873" w:rsidRDefault="00506873" w:rsidP="00BD79FA">
            <w:pPr>
              <w:jc w:val="left"/>
              <w:rPr>
                <w:rFonts w:ascii="Arial Narrow" w:hAnsi="Arial Narrow" w:cs="Arial"/>
                <w:spacing w:val="0"/>
                <w:sz w:val="18"/>
                <w:szCs w:val="18"/>
              </w:rPr>
            </w:pPr>
            <w:r w:rsidRPr="00506873">
              <w:rPr>
                <w:rFonts w:ascii="Arial Narrow" w:hAnsi="Arial Narrow" w:cs="Arial"/>
                <w:spacing w:val="0"/>
                <w:sz w:val="18"/>
                <w:szCs w:val="18"/>
              </w:rPr>
              <w:t>Contar con una herramienta tecnológica que permita administrar de manera oportuna el parque automotor de la Institución</w:t>
            </w:r>
            <w:r>
              <w:rPr>
                <w:rFonts w:ascii="Arial Narrow" w:hAnsi="Arial Narrow" w:cs="Arial"/>
                <w:spacing w:val="0"/>
                <w:sz w:val="18"/>
                <w:szCs w:val="18"/>
              </w:rPr>
              <w:t xml:space="preserve"> </w:t>
            </w:r>
            <w:r w:rsidRPr="00506873">
              <w:rPr>
                <w:rFonts w:ascii="Arial Narrow" w:hAnsi="Arial Narrow" w:cs="Arial"/>
                <w:spacing w:val="0"/>
                <w:sz w:val="18"/>
                <w:szCs w:val="18"/>
              </w:rPr>
              <w:t xml:space="preserve">(Establecer registros para el control del Kilometraje </w:t>
            </w:r>
            <w:r w:rsidRPr="00506873">
              <w:rPr>
                <w:rFonts w:ascii="Arial Narrow" w:hAnsi="Arial Narrow" w:cs="Arial"/>
                <w:spacing w:val="0"/>
                <w:sz w:val="18"/>
                <w:szCs w:val="18"/>
              </w:rPr>
              <w:t>vehicular, combustible</w:t>
            </w:r>
            <w:r w:rsidRPr="00506873">
              <w:rPr>
                <w:rFonts w:ascii="Arial Narrow" w:hAnsi="Arial Narrow" w:cs="Arial"/>
                <w:spacing w:val="0"/>
                <w:sz w:val="18"/>
                <w:szCs w:val="18"/>
              </w:rPr>
              <w:t>, mantenimiento, vigencia matriculas y SOAT, siniestros)</w:t>
            </w:r>
          </w:p>
        </w:tc>
        <w:tc>
          <w:tcPr>
            <w:tcW w:w="1276" w:type="dxa"/>
          </w:tcPr>
          <w:p w14:paraId="1C4593A4" w14:textId="477E5416" w:rsidR="00506873" w:rsidRPr="00506873" w:rsidRDefault="00506873" w:rsidP="00BD79FA">
            <w:pPr>
              <w:jc w:val="left"/>
              <w:rPr>
                <w:rFonts w:ascii="Arial Narrow" w:hAnsi="Arial Narrow"/>
                <w:spacing w:val="0"/>
                <w:sz w:val="18"/>
                <w:szCs w:val="18"/>
              </w:rPr>
            </w:pPr>
            <w:r>
              <w:rPr>
                <w:rFonts w:ascii="Arial Narrow" w:hAnsi="Arial Narrow"/>
                <w:spacing w:val="0"/>
                <w:sz w:val="18"/>
                <w:szCs w:val="18"/>
              </w:rPr>
              <w:t>Diciembre 2017</w:t>
            </w:r>
          </w:p>
        </w:tc>
        <w:tc>
          <w:tcPr>
            <w:tcW w:w="850" w:type="dxa"/>
            <w:shd w:val="clear" w:color="auto" w:fill="FFFFFF" w:themeFill="background1"/>
          </w:tcPr>
          <w:p w14:paraId="343DCE46" w14:textId="4113FB40" w:rsidR="00506873" w:rsidRPr="00506873" w:rsidRDefault="00506873" w:rsidP="00BD79FA">
            <w:pPr>
              <w:jc w:val="left"/>
              <w:rPr>
                <w:rFonts w:ascii="Arial Narrow" w:hAnsi="Arial Narrow"/>
                <w:spacing w:val="0"/>
                <w:sz w:val="18"/>
                <w:szCs w:val="18"/>
                <w:lang w:val="es-MX"/>
              </w:rPr>
            </w:pPr>
            <w:r>
              <w:rPr>
                <w:rFonts w:ascii="Arial Narrow" w:hAnsi="Arial Narrow"/>
                <w:spacing w:val="0"/>
                <w:sz w:val="18"/>
                <w:szCs w:val="18"/>
                <w:lang w:val="es-MX"/>
              </w:rPr>
              <w:t>n.d.</w:t>
            </w:r>
          </w:p>
        </w:tc>
      </w:tr>
      <w:tr w:rsidR="00506873" w:rsidRPr="00506873" w14:paraId="458134CB" w14:textId="77777777" w:rsidTr="00BD79FA">
        <w:trPr>
          <w:trHeight w:val="20"/>
        </w:trPr>
        <w:tc>
          <w:tcPr>
            <w:tcW w:w="709" w:type="dxa"/>
            <w:shd w:val="clear" w:color="auto" w:fill="auto"/>
          </w:tcPr>
          <w:p w14:paraId="7905CFD0" w14:textId="1FCC98B6" w:rsidR="00506873" w:rsidRPr="00506873" w:rsidRDefault="00506873" w:rsidP="00BD79FA">
            <w:pPr>
              <w:jc w:val="left"/>
              <w:rPr>
                <w:rFonts w:ascii="Arial Narrow" w:hAnsi="Arial Narrow"/>
                <w:sz w:val="18"/>
                <w:szCs w:val="18"/>
              </w:rPr>
            </w:pPr>
            <w:r>
              <w:rPr>
                <w:rFonts w:ascii="Arial Narrow" w:hAnsi="Arial Narrow"/>
                <w:sz w:val="18"/>
                <w:szCs w:val="18"/>
              </w:rPr>
              <w:t>2018</w:t>
            </w:r>
          </w:p>
        </w:tc>
        <w:tc>
          <w:tcPr>
            <w:tcW w:w="4678" w:type="dxa"/>
            <w:shd w:val="clear" w:color="auto" w:fill="auto"/>
          </w:tcPr>
          <w:p w14:paraId="6F02504D" w14:textId="76882054" w:rsidR="00506873" w:rsidRPr="00506873" w:rsidRDefault="00506873" w:rsidP="00BD79FA">
            <w:pPr>
              <w:jc w:val="left"/>
              <w:rPr>
                <w:rFonts w:ascii="Arial Narrow" w:hAnsi="Arial Narrow"/>
                <w:spacing w:val="0"/>
                <w:sz w:val="18"/>
                <w:szCs w:val="18"/>
              </w:rPr>
            </w:pPr>
            <w:r w:rsidRPr="00506873">
              <w:rPr>
                <w:rFonts w:ascii="Arial Narrow" w:hAnsi="Arial Narrow"/>
                <w:spacing w:val="0"/>
                <w:sz w:val="18"/>
                <w:szCs w:val="18"/>
              </w:rPr>
              <w:t>Actualización del EGSI (Esquema Gubernamental de la Seguridad de la Información)</w:t>
            </w:r>
          </w:p>
        </w:tc>
        <w:tc>
          <w:tcPr>
            <w:tcW w:w="6804" w:type="dxa"/>
            <w:shd w:val="clear" w:color="auto" w:fill="auto"/>
          </w:tcPr>
          <w:p w14:paraId="46CF8FFC" w14:textId="77C971BD" w:rsidR="00506873" w:rsidRPr="00506873" w:rsidRDefault="00BD79FA" w:rsidP="00BD79FA">
            <w:pPr>
              <w:jc w:val="left"/>
              <w:rPr>
                <w:rFonts w:ascii="Arial Narrow" w:hAnsi="Arial Narrow" w:cs="Arial"/>
                <w:spacing w:val="0"/>
                <w:sz w:val="18"/>
                <w:szCs w:val="18"/>
              </w:rPr>
            </w:pPr>
            <w:r w:rsidRPr="00BD79FA">
              <w:rPr>
                <w:rFonts w:ascii="Arial Narrow" w:hAnsi="Arial Narrow" w:cs="Arial"/>
                <w:spacing w:val="0"/>
                <w:sz w:val="18"/>
                <w:szCs w:val="18"/>
              </w:rPr>
              <w:t>Aumentar los niveles de seguridad de la información de la institución</w:t>
            </w:r>
          </w:p>
        </w:tc>
        <w:tc>
          <w:tcPr>
            <w:tcW w:w="1276" w:type="dxa"/>
          </w:tcPr>
          <w:p w14:paraId="23D393AF" w14:textId="3D926947" w:rsidR="00506873" w:rsidRDefault="00506873" w:rsidP="00BD79FA">
            <w:pPr>
              <w:jc w:val="left"/>
              <w:rPr>
                <w:rFonts w:ascii="Arial Narrow" w:hAnsi="Arial Narrow"/>
                <w:spacing w:val="0"/>
                <w:sz w:val="18"/>
                <w:szCs w:val="18"/>
              </w:rPr>
            </w:pPr>
            <w:r>
              <w:rPr>
                <w:rFonts w:ascii="Arial Narrow" w:hAnsi="Arial Narrow"/>
                <w:spacing w:val="0"/>
                <w:sz w:val="18"/>
                <w:szCs w:val="18"/>
              </w:rPr>
              <w:t>Diciembre 2018</w:t>
            </w:r>
          </w:p>
        </w:tc>
        <w:tc>
          <w:tcPr>
            <w:tcW w:w="850" w:type="dxa"/>
            <w:shd w:val="clear" w:color="auto" w:fill="FFFFFF" w:themeFill="background1"/>
          </w:tcPr>
          <w:p w14:paraId="06D571F3" w14:textId="0EB37725" w:rsidR="00506873" w:rsidRDefault="00506873" w:rsidP="00BD79FA">
            <w:pPr>
              <w:jc w:val="left"/>
              <w:rPr>
                <w:rFonts w:ascii="Arial Narrow" w:hAnsi="Arial Narrow"/>
                <w:spacing w:val="0"/>
                <w:sz w:val="18"/>
                <w:szCs w:val="18"/>
                <w:lang w:val="es-MX"/>
              </w:rPr>
            </w:pPr>
            <w:r>
              <w:rPr>
                <w:rFonts w:ascii="Arial Narrow" w:hAnsi="Arial Narrow"/>
                <w:spacing w:val="0"/>
                <w:sz w:val="18"/>
                <w:szCs w:val="18"/>
                <w:lang w:val="es-MX"/>
              </w:rPr>
              <w:t>n.d.</w:t>
            </w:r>
          </w:p>
        </w:tc>
      </w:tr>
      <w:tr w:rsidR="00BD79FA" w:rsidRPr="00506873" w14:paraId="592D8A67" w14:textId="77777777" w:rsidTr="00BD79FA">
        <w:trPr>
          <w:trHeight w:val="20"/>
        </w:trPr>
        <w:tc>
          <w:tcPr>
            <w:tcW w:w="709" w:type="dxa"/>
            <w:shd w:val="clear" w:color="auto" w:fill="auto"/>
          </w:tcPr>
          <w:p w14:paraId="48294F22" w14:textId="7557561E" w:rsidR="00BD79FA" w:rsidRDefault="00BD79FA" w:rsidP="00BD79FA">
            <w:pPr>
              <w:jc w:val="left"/>
              <w:rPr>
                <w:rFonts w:ascii="Arial Narrow" w:hAnsi="Arial Narrow"/>
                <w:sz w:val="18"/>
                <w:szCs w:val="18"/>
              </w:rPr>
            </w:pPr>
            <w:r>
              <w:rPr>
                <w:rFonts w:ascii="Arial Narrow" w:hAnsi="Arial Narrow"/>
                <w:sz w:val="18"/>
                <w:szCs w:val="18"/>
              </w:rPr>
              <w:t>2018</w:t>
            </w:r>
          </w:p>
        </w:tc>
        <w:tc>
          <w:tcPr>
            <w:tcW w:w="4678" w:type="dxa"/>
            <w:shd w:val="clear" w:color="auto" w:fill="auto"/>
          </w:tcPr>
          <w:p w14:paraId="73CDB599" w14:textId="20E899E4" w:rsidR="00BD79FA" w:rsidRPr="00506873" w:rsidRDefault="00BD79FA" w:rsidP="00BD79FA">
            <w:pPr>
              <w:jc w:val="left"/>
              <w:rPr>
                <w:rFonts w:ascii="Arial Narrow" w:hAnsi="Arial Narrow"/>
                <w:spacing w:val="0"/>
                <w:sz w:val="18"/>
                <w:szCs w:val="18"/>
              </w:rPr>
            </w:pPr>
            <w:r w:rsidRPr="00BD79FA">
              <w:rPr>
                <w:rFonts w:ascii="Arial Narrow" w:hAnsi="Arial Narrow"/>
                <w:spacing w:val="0"/>
                <w:sz w:val="18"/>
                <w:szCs w:val="18"/>
              </w:rPr>
              <w:t>Implementar una herramienta para automatizar la administración, riesgo y control de la</w:t>
            </w:r>
            <w:r>
              <w:rPr>
                <w:rFonts w:ascii="Arial Narrow" w:hAnsi="Arial Narrow"/>
                <w:spacing w:val="0"/>
                <w:sz w:val="18"/>
                <w:szCs w:val="18"/>
              </w:rPr>
              <w:t xml:space="preserve"> </w:t>
            </w:r>
            <w:r w:rsidRPr="00BD79FA">
              <w:rPr>
                <w:rFonts w:ascii="Arial Narrow" w:hAnsi="Arial Narrow"/>
                <w:spacing w:val="0"/>
                <w:sz w:val="18"/>
                <w:szCs w:val="18"/>
              </w:rPr>
              <w:t>Gestión de Transporte de la Vicepresidencia.</w:t>
            </w:r>
          </w:p>
        </w:tc>
        <w:tc>
          <w:tcPr>
            <w:tcW w:w="6804" w:type="dxa"/>
            <w:shd w:val="clear" w:color="auto" w:fill="auto"/>
          </w:tcPr>
          <w:p w14:paraId="35BC9E27" w14:textId="335F3D98" w:rsidR="00BD79FA" w:rsidRPr="00BD79FA" w:rsidRDefault="00BD79FA" w:rsidP="00BD79FA">
            <w:pPr>
              <w:jc w:val="left"/>
              <w:rPr>
                <w:rFonts w:ascii="Arial Narrow" w:hAnsi="Arial Narrow" w:cs="Arial"/>
                <w:spacing w:val="0"/>
                <w:sz w:val="18"/>
                <w:szCs w:val="18"/>
              </w:rPr>
            </w:pPr>
            <w:r w:rsidRPr="00BD79FA">
              <w:rPr>
                <w:rFonts w:ascii="Arial Narrow" w:hAnsi="Arial Narrow" w:cs="Arial"/>
                <w:spacing w:val="0"/>
                <w:sz w:val="18"/>
                <w:szCs w:val="18"/>
              </w:rPr>
              <w:t>Disponer de información, mejorar los tiempos e implementar actividades de control, en apego a la normativa y</w:t>
            </w:r>
            <w:r>
              <w:rPr>
                <w:rFonts w:ascii="Arial Narrow" w:hAnsi="Arial Narrow" w:cs="Arial"/>
                <w:spacing w:val="0"/>
                <w:sz w:val="18"/>
                <w:szCs w:val="18"/>
              </w:rPr>
              <w:t xml:space="preserve"> </w:t>
            </w:r>
            <w:r w:rsidRPr="00BD79FA">
              <w:rPr>
                <w:rFonts w:ascii="Arial Narrow" w:hAnsi="Arial Narrow" w:cs="Arial"/>
                <w:spacing w:val="0"/>
                <w:sz w:val="18"/>
                <w:szCs w:val="18"/>
              </w:rPr>
              <w:t>recomendaciones de Auditoria</w:t>
            </w:r>
          </w:p>
        </w:tc>
        <w:tc>
          <w:tcPr>
            <w:tcW w:w="1276" w:type="dxa"/>
          </w:tcPr>
          <w:p w14:paraId="200C037B" w14:textId="06B4D3A4" w:rsidR="00BD79FA" w:rsidRDefault="00BD79FA" w:rsidP="00BD79FA">
            <w:pPr>
              <w:jc w:val="left"/>
              <w:rPr>
                <w:rFonts w:ascii="Arial Narrow" w:hAnsi="Arial Narrow"/>
                <w:spacing w:val="0"/>
                <w:sz w:val="18"/>
                <w:szCs w:val="18"/>
              </w:rPr>
            </w:pPr>
            <w:r>
              <w:rPr>
                <w:rFonts w:ascii="Arial Narrow" w:hAnsi="Arial Narrow"/>
                <w:spacing w:val="0"/>
                <w:sz w:val="18"/>
                <w:szCs w:val="18"/>
              </w:rPr>
              <w:t>Julio 2018</w:t>
            </w:r>
          </w:p>
        </w:tc>
        <w:tc>
          <w:tcPr>
            <w:tcW w:w="850" w:type="dxa"/>
            <w:shd w:val="clear" w:color="auto" w:fill="FFFFFF" w:themeFill="background1"/>
          </w:tcPr>
          <w:p w14:paraId="07EE39D6" w14:textId="4A72CF61" w:rsidR="00BD79FA" w:rsidRDefault="00BD79FA" w:rsidP="00BD79FA">
            <w:pPr>
              <w:jc w:val="left"/>
              <w:rPr>
                <w:rFonts w:ascii="Arial Narrow" w:hAnsi="Arial Narrow"/>
                <w:spacing w:val="0"/>
                <w:sz w:val="18"/>
                <w:szCs w:val="18"/>
                <w:lang w:val="es-MX"/>
              </w:rPr>
            </w:pPr>
            <w:r>
              <w:rPr>
                <w:rFonts w:ascii="Arial Narrow" w:hAnsi="Arial Narrow"/>
                <w:spacing w:val="0"/>
                <w:sz w:val="18"/>
                <w:szCs w:val="18"/>
                <w:lang w:val="es-MX"/>
              </w:rPr>
              <w:t>n.d.</w:t>
            </w:r>
          </w:p>
        </w:tc>
      </w:tr>
    </w:tbl>
    <w:p w14:paraId="00BF39E6" w14:textId="77777777" w:rsidR="00BF38E0" w:rsidRDefault="00BF38E0" w:rsidP="00E24251">
      <w:pPr>
        <w:spacing w:after="0" w:line="240" w:lineRule="auto"/>
        <w:contextualSpacing/>
        <w:rPr>
          <w:rFonts w:ascii="Arial" w:hAnsi="Arial" w:cs="Arial"/>
          <w:szCs w:val="20"/>
        </w:rPr>
        <w:sectPr w:rsidR="00BF38E0" w:rsidSect="00BF38E0">
          <w:pgSz w:w="16838" w:h="11906" w:orient="landscape"/>
          <w:pgMar w:top="1418" w:right="1418" w:bottom="1418" w:left="1418" w:header="709" w:footer="709" w:gutter="0"/>
          <w:cols w:space="708"/>
          <w:docGrid w:linePitch="360"/>
        </w:sectPr>
      </w:pPr>
    </w:p>
    <w:p w14:paraId="35279D70" w14:textId="160F0C41" w:rsidR="00AA098D" w:rsidRPr="0012380A" w:rsidRDefault="00AA098D" w:rsidP="00E24251">
      <w:pPr>
        <w:spacing w:after="0" w:line="240" w:lineRule="auto"/>
        <w:contextualSpacing/>
        <w:rPr>
          <w:rFonts w:ascii="Arial" w:hAnsi="Arial" w:cs="Arial"/>
          <w:szCs w:val="20"/>
        </w:rPr>
      </w:pPr>
    </w:p>
    <w:sectPr w:rsidR="00AA098D" w:rsidRPr="0012380A" w:rsidSect="00A837AB">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54FD9" w14:textId="77777777" w:rsidR="003B7158" w:rsidRDefault="003B7158" w:rsidP="004D1C1C">
      <w:pPr>
        <w:spacing w:after="0" w:line="240" w:lineRule="auto"/>
      </w:pPr>
      <w:r>
        <w:separator/>
      </w:r>
    </w:p>
  </w:endnote>
  <w:endnote w:type="continuationSeparator" w:id="0">
    <w:p w14:paraId="7C7AD8EC" w14:textId="77777777" w:rsidR="003B7158" w:rsidRDefault="003B7158" w:rsidP="004D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011286"/>
      <w:docPartObj>
        <w:docPartGallery w:val="Page Numbers (Bottom of Page)"/>
        <w:docPartUnique/>
      </w:docPartObj>
    </w:sdtPr>
    <w:sdtContent>
      <w:p w14:paraId="291C8AD8" w14:textId="7B6BF08E" w:rsidR="00BD495E" w:rsidRDefault="00BD495E">
        <w:pPr>
          <w:pStyle w:val="Piedepgina"/>
          <w:jc w:val="right"/>
        </w:pPr>
        <w:r>
          <w:fldChar w:fldCharType="begin"/>
        </w:r>
        <w:r>
          <w:instrText>PAGE   \* MERGEFORMAT</w:instrText>
        </w:r>
        <w:r>
          <w:fldChar w:fldCharType="separate"/>
        </w:r>
        <w:r>
          <w:rPr>
            <w:lang w:val="es-ES"/>
          </w:rPr>
          <w:t>2</w:t>
        </w:r>
        <w:r>
          <w:fldChar w:fldCharType="end"/>
        </w:r>
      </w:p>
    </w:sdtContent>
  </w:sdt>
  <w:p w14:paraId="4E0C116C" w14:textId="77777777" w:rsidR="00BD495E" w:rsidRDefault="00BD49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650336"/>
      <w:docPartObj>
        <w:docPartGallery w:val="Page Numbers (Bottom of Page)"/>
        <w:docPartUnique/>
      </w:docPartObj>
    </w:sdtPr>
    <w:sdtEndPr>
      <w:rPr>
        <w:sz w:val="16"/>
        <w:szCs w:val="16"/>
      </w:rPr>
    </w:sdtEndPr>
    <w:sdtContent>
      <w:sdt>
        <w:sdtPr>
          <w:rPr>
            <w:sz w:val="16"/>
            <w:szCs w:val="16"/>
          </w:rPr>
          <w:id w:val="332269360"/>
          <w:docPartObj>
            <w:docPartGallery w:val="Page Numbers (Top of Page)"/>
            <w:docPartUnique/>
          </w:docPartObj>
        </w:sdtPr>
        <w:sdtContent>
          <w:p w14:paraId="04936E4B" w14:textId="02C57522" w:rsidR="00BD495E" w:rsidRPr="000275EE" w:rsidRDefault="00BD495E">
            <w:pPr>
              <w:pStyle w:val="Piedepgina"/>
              <w:jc w:val="right"/>
              <w:rPr>
                <w:sz w:val="16"/>
                <w:szCs w:val="16"/>
              </w:rPr>
            </w:pPr>
            <w:r w:rsidRPr="000275EE">
              <w:rPr>
                <w:sz w:val="16"/>
                <w:szCs w:val="16"/>
                <w:lang w:val="es-ES"/>
              </w:rPr>
              <w:t xml:space="preserve">Página </w:t>
            </w:r>
            <w:r w:rsidRPr="000275EE">
              <w:rPr>
                <w:b/>
                <w:bCs/>
                <w:sz w:val="16"/>
                <w:szCs w:val="16"/>
              </w:rPr>
              <w:fldChar w:fldCharType="begin"/>
            </w:r>
            <w:r w:rsidRPr="000275EE">
              <w:rPr>
                <w:b/>
                <w:bCs/>
                <w:sz w:val="16"/>
                <w:szCs w:val="16"/>
              </w:rPr>
              <w:instrText>PAGE</w:instrText>
            </w:r>
            <w:r w:rsidRPr="000275EE">
              <w:rPr>
                <w:b/>
                <w:bCs/>
                <w:sz w:val="16"/>
                <w:szCs w:val="16"/>
              </w:rPr>
              <w:fldChar w:fldCharType="separate"/>
            </w:r>
            <w:r w:rsidRPr="000275EE">
              <w:rPr>
                <w:b/>
                <w:bCs/>
                <w:sz w:val="16"/>
                <w:szCs w:val="16"/>
                <w:lang w:val="es-ES"/>
              </w:rPr>
              <w:t>2</w:t>
            </w:r>
            <w:r w:rsidRPr="000275EE">
              <w:rPr>
                <w:b/>
                <w:bCs/>
                <w:sz w:val="16"/>
                <w:szCs w:val="16"/>
              </w:rPr>
              <w:fldChar w:fldCharType="end"/>
            </w:r>
            <w:r w:rsidRPr="000275EE">
              <w:rPr>
                <w:sz w:val="16"/>
                <w:szCs w:val="16"/>
                <w:lang w:val="es-ES"/>
              </w:rPr>
              <w:t xml:space="preserve"> de </w:t>
            </w:r>
            <w:r w:rsidRPr="000275EE">
              <w:rPr>
                <w:b/>
                <w:bCs/>
                <w:sz w:val="16"/>
                <w:szCs w:val="16"/>
              </w:rPr>
              <w:fldChar w:fldCharType="begin"/>
            </w:r>
            <w:r w:rsidRPr="000275EE">
              <w:rPr>
                <w:b/>
                <w:bCs/>
                <w:sz w:val="16"/>
                <w:szCs w:val="16"/>
              </w:rPr>
              <w:instrText>NUMPAGES</w:instrText>
            </w:r>
            <w:r w:rsidRPr="000275EE">
              <w:rPr>
                <w:b/>
                <w:bCs/>
                <w:sz w:val="16"/>
                <w:szCs w:val="16"/>
              </w:rPr>
              <w:fldChar w:fldCharType="separate"/>
            </w:r>
            <w:r w:rsidRPr="000275EE">
              <w:rPr>
                <w:b/>
                <w:bCs/>
                <w:sz w:val="16"/>
                <w:szCs w:val="16"/>
                <w:lang w:val="es-ES"/>
              </w:rPr>
              <w:t>2</w:t>
            </w:r>
            <w:r w:rsidRPr="000275EE">
              <w:rPr>
                <w:b/>
                <w:bCs/>
                <w:sz w:val="16"/>
                <w:szCs w:val="16"/>
              </w:rPr>
              <w:fldChar w:fldCharType="end"/>
            </w:r>
          </w:p>
        </w:sdtContent>
      </w:sdt>
    </w:sdtContent>
  </w:sdt>
  <w:p w14:paraId="32A7EA79" w14:textId="77777777" w:rsidR="00BD495E" w:rsidRDefault="00BD49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55AB" w14:textId="77777777" w:rsidR="00BD495E" w:rsidRDefault="00BD495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90266299"/>
      <w:docPartObj>
        <w:docPartGallery w:val="Page Numbers (Bottom of Page)"/>
        <w:docPartUnique/>
      </w:docPartObj>
    </w:sdtPr>
    <w:sdtContent>
      <w:sdt>
        <w:sdtPr>
          <w:rPr>
            <w:sz w:val="16"/>
            <w:szCs w:val="16"/>
          </w:rPr>
          <w:id w:val="1693649979"/>
          <w:docPartObj>
            <w:docPartGallery w:val="Page Numbers (Top of Page)"/>
            <w:docPartUnique/>
          </w:docPartObj>
        </w:sdtPr>
        <w:sdtContent>
          <w:p w14:paraId="1339813A" w14:textId="77777777" w:rsidR="00BD495E" w:rsidRPr="00E87FE6" w:rsidRDefault="00BD495E">
            <w:pPr>
              <w:pStyle w:val="Piedepgina"/>
              <w:jc w:val="right"/>
              <w:rPr>
                <w:sz w:val="16"/>
                <w:szCs w:val="16"/>
              </w:rPr>
            </w:pPr>
            <w:r w:rsidRPr="00E87FE6">
              <w:rPr>
                <w:sz w:val="16"/>
                <w:szCs w:val="16"/>
                <w:lang w:val="es-ES"/>
              </w:rPr>
              <w:t xml:space="preserve">Página </w:t>
            </w:r>
            <w:r w:rsidRPr="00E87FE6">
              <w:rPr>
                <w:b/>
                <w:bCs/>
                <w:sz w:val="16"/>
                <w:szCs w:val="16"/>
              </w:rPr>
              <w:fldChar w:fldCharType="begin"/>
            </w:r>
            <w:r w:rsidRPr="00E87FE6">
              <w:rPr>
                <w:b/>
                <w:bCs/>
                <w:sz w:val="16"/>
                <w:szCs w:val="16"/>
              </w:rPr>
              <w:instrText>PAGE</w:instrText>
            </w:r>
            <w:r w:rsidRPr="00E87FE6">
              <w:rPr>
                <w:b/>
                <w:bCs/>
                <w:sz w:val="16"/>
                <w:szCs w:val="16"/>
              </w:rPr>
              <w:fldChar w:fldCharType="separate"/>
            </w:r>
            <w:r>
              <w:rPr>
                <w:b/>
                <w:bCs/>
                <w:noProof/>
                <w:sz w:val="16"/>
                <w:szCs w:val="16"/>
              </w:rPr>
              <w:t>2</w:t>
            </w:r>
            <w:r w:rsidRPr="00E87FE6">
              <w:rPr>
                <w:b/>
                <w:bCs/>
                <w:sz w:val="16"/>
                <w:szCs w:val="16"/>
              </w:rPr>
              <w:fldChar w:fldCharType="end"/>
            </w:r>
            <w:r w:rsidRPr="00E87FE6">
              <w:rPr>
                <w:sz w:val="16"/>
                <w:szCs w:val="16"/>
                <w:lang w:val="es-ES"/>
              </w:rPr>
              <w:t xml:space="preserve"> de </w:t>
            </w:r>
            <w:r w:rsidRPr="00E87FE6">
              <w:rPr>
                <w:b/>
                <w:bCs/>
                <w:sz w:val="16"/>
                <w:szCs w:val="16"/>
              </w:rPr>
              <w:fldChar w:fldCharType="begin"/>
            </w:r>
            <w:r w:rsidRPr="00E87FE6">
              <w:rPr>
                <w:b/>
                <w:bCs/>
                <w:sz w:val="16"/>
                <w:szCs w:val="16"/>
              </w:rPr>
              <w:instrText>NUMPAGES</w:instrText>
            </w:r>
            <w:r w:rsidRPr="00E87FE6">
              <w:rPr>
                <w:b/>
                <w:bCs/>
                <w:sz w:val="16"/>
                <w:szCs w:val="16"/>
              </w:rPr>
              <w:fldChar w:fldCharType="separate"/>
            </w:r>
            <w:r>
              <w:rPr>
                <w:b/>
                <w:bCs/>
                <w:noProof/>
                <w:sz w:val="16"/>
                <w:szCs w:val="16"/>
              </w:rPr>
              <w:t>17</w:t>
            </w:r>
            <w:r w:rsidRPr="00E87FE6">
              <w:rPr>
                <w:b/>
                <w:bCs/>
                <w:sz w:val="16"/>
                <w:szCs w:val="16"/>
              </w:rPr>
              <w:fldChar w:fldCharType="end"/>
            </w:r>
          </w:p>
        </w:sdtContent>
      </w:sdt>
    </w:sdtContent>
  </w:sdt>
  <w:p w14:paraId="201F5721" w14:textId="77777777" w:rsidR="00BD495E" w:rsidRDefault="00BD495E">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5022" w14:textId="77777777" w:rsidR="00BD495E" w:rsidRDefault="00BD49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40D6C" w14:textId="77777777" w:rsidR="003B7158" w:rsidRDefault="003B7158" w:rsidP="004D1C1C">
      <w:pPr>
        <w:spacing w:after="0" w:line="240" w:lineRule="auto"/>
      </w:pPr>
      <w:r>
        <w:separator/>
      </w:r>
    </w:p>
  </w:footnote>
  <w:footnote w:type="continuationSeparator" w:id="0">
    <w:p w14:paraId="56E9563C" w14:textId="77777777" w:rsidR="003B7158" w:rsidRDefault="003B7158" w:rsidP="004D1C1C">
      <w:pPr>
        <w:spacing w:after="0" w:line="240" w:lineRule="auto"/>
      </w:pPr>
      <w:r>
        <w:continuationSeparator/>
      </w:r>
    </w:p>
  </w:footnote>
  <w:footnote w:id="1">
    <w:p w14:paraId="5227E3F1" w14:textId="5DEF187E" w:rsidR="00BD495E" w:rsidRDefault="00BD495E">
      <w:pPr>
        <w:pStyle w:val="Textonotapie"/>
      </w:pPr>
      <w:r>
        <w:rPr>
          <w:rStyle w:val="Refdenotaalpie"/>
        </w:rPr>
        <w:footnoteRef/>
      </w:r>
      <w:r>
        <w:t xml:space="preserve"> Estatuto Orgánico de Gestión Organizacional por Procesos de la VPR, expedido mediante acuerdo N°001-2018, publicado en el RO N°544 de septiembre 18 de 2018.</w:t>
      </w:r>
    </w:p>
  </w:footnote>
  <w:footnote w:id="2">
    <w:p w14:paraId="16576E4A" w14:textId="5FD55B8A" w:rsidR="00BD495E" w:rsidRDefault="00BD495E">
      <w:pPr>
        <w:pStyle w:val="Textonotapie"/>
      </w:pPr>
      <w:r>
        <w:rPr>
          <w:rStyle w:val="Refdenotaalpie"/>
        </w:rPr>
        <w:footnoteRef/>
      </w:r>
      <w:r>
        <w:t xml:space="preserve"> Ibid. 1</w:t>
      </w:r>
    </w:p>
  </w:footnote>
  <w:footnote w:id="3">
    <w:p w14:paraId="51597785" w14:textId="388B7317" w:rsidR="00BD495E" w:rsidRDefault="00BD495E">
      <w:pPr>
        <w:pStyle w:val="Textonotapie"/>
      </w:pPr>
      <w:r>
        <w:rPr>
          <w:rStyle w:val="Refdenotaalpie"/>
        </w:rPr>
        <w:footnoteRef/>
      </w:r>
      <w:r>
        <w:t xml:space="preserve"> Capítulo IV De la estructura Institucional Descriptiva; artículo 12; numeral 1. Nivel de gestión central, 1.1.1.2 Gestión General de la Vicepresidencia de la República. Estatuto Orgánico de Gestión Organizacional por Procesos de la VPR, expedido mediante acuerdo N°001-2018, publicado en el RO N°544 de septiembre 18 de 2018.</w:t>
      </w:r>
    </w:p>
  </w:footnote>
  <w:footnote w:id="4">
    <w:p w14:paraId="790B5AD7" w14:textId="5A3E5367" w:rsidR="00BD495E" w:rsidRDefault="00BD495E">
      <w:pPr>
        <w:pStyle w:val="Textonotapie"/>
      </w:pPr>
      <w:r>
        <w:rPr>
          <w:rStyle w:val="Refdenotaalpie"/>
        </w:rPr>
        <w:footnoteRef/>
      </w:r>
      <w:r>
        <w:t xml:space="preserve"> Se creará mediante Decreto Presidencial, se ha tenido acceso al borrador del decreto de creación para la elaboración del presente documento.</w:t>
      </w:r>
    </w:p>
  </w:footnote>
  <w:footnote w:id="5">
    <w:p w14:paraId="18ED86DB" w14:textId="149260B3" w:rsidR="00BD495E" w:rsidRDefault="00BD495E" w:rsidP="000B74EA">
      <w:pPr>
        <w:pStyle w:val="Textonotapie"/>
      </w:pPr>
      <w:r>
        <w:rPr>
          <w:rStyle w:val="Refdenotaalpie"/>
        </w:rPr>
        <w:footnoteRef/>
      </w:r>
      <w:r>
        <w:t xml:space="preserve"> El CNC se encontrará conformado por: a) El titular de la Vicepresidencia de la República, quién lo presidirá; b) el titular de la Secretaría General de la Presidencia; c) el titular del ente rector de la Economía y Finanzas; d)</w:t>
      </w:r>
      <w:r>
        <w:tab/>
        <w:t>el titular del ente rector de la Producción, Comercio e Inversiones; e) el titular del ente rector de Trabajo; f) el titular del ente rector de Aduanas y Rentas Internas; g)</w:t>
      </w:r>
      <w:r>
        <w:tab/>
        <w:t xml:space="preserve"> el titular del ente rector de Telecomunicaciones y de la Sociedad de la Información; h) el titular del ente rector de Energía y Recursos Naturales No Renovables; i)</w:t>
      </w:r>
      <w:r>
        <w:tab/>
        <w:t>el titular del ente rector del Directorio del Instituto Ecuatoriano de Seguridad Social; j) el titular del ente rector de Educación Superior, Ciencia, Tecnología e Innovación, y; k) el Presidente de cada uno de los Gabinetes Sectoriales.</w:t>
      </w:r>
    </w:p>
  </w:footnote>
  <w:footnote w:id="6">
    <w:p w14:paraId="78EA60AC" w14:textId="77777777" w:rsidR="00BD495E" w:rsidRDefault="00BD495E" w:rsidP="001576E6">
      <w:pPr>
        <w:pStyle w:val="Textonotapie"/>
      </w:pPr>
      <w:r>
        <w:rPr>
          <w:rStyle w:val="Refdenotaalpie"/>
        </w:rPr>
        <w:footnoteRef/>
      </w:r>
      <w:r>
        <w:t xml:space="preserve"> Ibid. 1</w:t>
      </w:r>
    </w:p>
  </w:footnote>
  <w:footnote w:id="7">
    <w:p w14:paraId="19C1C9B1" w14:textId="77777777" w:rsidR="00BD495E" w:rsidRDefault="00BD495E" w:rsidP="00734765">
      <w:pPr>
        <w:pStyle w:val="Textonotapie"/>
      </w:pPr>
      <w:r>
        <w:rPr>
          <w:rStyle w:val="Refdenotaalpie"/>
        </w:rPr>
        <w:footnoteRef/>
      </w:r>
      <w:r>
        <w:t xml:space="preserve"> Decreto Ejecutivo N° 622 del 22 de diciembre de 2018</w:t>
      </w:r>
    </w:p>
  </w:footnote>
  <w:footnote w:id="8">
    <w:p w14:paraId="7E55A31B" w14:textId="77777777" w:rsidR="00BD495E" w:rsidRDefault="00BD495E" w:rsidP="00FB1306">
      <w:pPr>
        <w:pStyle w:val="Textonotapie"/>
      </w:pPr>
      <w:r>
        <w:rPr>
          <w:rStyle w:val="Refdenotaalpie"/>
        </w:rPr>
        <w:footnoteRef/>
      </w:r>
      <w:r>
        <w:t xml:space="preserve"> Decreto Ejecutivo N° 451 de 17 de julio de 2018</w:t>
      </w:r>
    </w:p>
  </w:footnote>
  <w:footnote w:id="9">
    <w:p w14:paraId="60E2CD58" w14:textId="77777777" w:rsidR="00BD495E" w:rsidRDefault="00BD495E" w:rsidP="00734765">
      <w:pPr>
        <w:pStyle w:val="Textonotapie"/>
      </w:pPr>
      <w:r>
        <w:rPr>
          <w:rStyle w:val="Refdenotaalpie"/>
        </w:rPr>
        <w:footnoteRef/>
      </w:r>
      <w:r>
        <w:t xml:space="preserve"> Decreto Ejecutivo N° 622 del 22 de diciembre de 2018</w:t>
      </w:r>
    </w:p>
  </w:footnote>
  <w:footnote w:id="10">
    <w:p w14:paraId="4CD57FC1" w14:textId="77777777" w:rsidR="00BD495E" w:rsidRDefault="00BD495E" w:rsidP="00387B06">
      <w:pPr>
        <w:pStyle w:val="Textonotapie"/>
      </w:pPr>
      <w:r>
        <w:rPr>
          <w:rStyle w:val="Refdenotaalpie"/>
        </w:rPr>
        <w:footnoteRef/>
      </w:r>
      <w:r>
        <w:t xml:space="preserve">  </w:t>
      </w:r>
      <w:r w:rsidRPr="00387B06">
        <w:t>En el POD del Programa se establece que cada OSE será el responsable directo de la administración de los recursos del financiamiento que les serán transferidos considerando la preparación de los Términos de Referencia para las compras y contrataciones, así como de los procesos administrativos para que estas se realicen, garantizando un estricto cumplimiento de las políticas del Banco en la materia, y el envío de toda la documentación requerida al Banco para su no objeción.</w:t>
      </w:r>
    </w:p>
  </w:footnote>
  <w:footnote w:id="11">
    <w:p w14:paraId="2122445E" w14:textId="1D45761C" w:rsidR="00BD495E" w:rsidRDefault="00BD495E">
      <w:pPr>
        <w:pStyle w:val="Textonotapie"/>
      </w:pPr>
      <w:r>
        <w:rPr>
          <w:rStyle w:val="Refdenotaalpie"/>
        </w:rPr>
        <w:footnoteRef/>
      </w:r>
      <w:r>
        <w:t xml:space="preserve">   Se espera que durante el mes de junio de 2019 se suscriba el decreto ejecutivo de creación del CNC, cuyo borrador se anexa al presente documento.</w:t>
      </w:r>
    </w:p>
  </w:footnote>
  <w:footnote w:id="12">
    <w:p w14:paraId="1441C1B1" w14:textId="2CDB031D" w:rsidR="00BD495E" w:rsidRDefault="00BD495E">
      <w:pPr>
        <w:pStyle w:val="Textonotapie"/>
      </w:pPr>
      <w:r>
        <w:rPr>
          <w:rStyle w:val="Refdenotaalpie"/>
        </w:rPr>
        <w:footnoteRef/>
      </w:r>
      <w:r>
        <w:t xml:space="preserve">   </w:t>
      </w:r>
      <w:r w:rsidRPr="00154A08">
        <w:t>La STCNC</w:t>
      </w:r>
      <w:r>
        <w:t xml:space="preserve">, órgano ejecutor del CNC, será </w:t>
      </w:r>
      <w:r w:rsidRPr="00154A08">
        <w:t>una entidad de derecho público adscrit</w:t>
      </w:r>
      <w:r>
        <w:t>a</w:t>
      </w:r>
      <w:r w:rsidRPr="00154A08">
        <w:t xml:space="preserve"> a la VPR, que contará con personería jurídica y estará dotada de autonomía administrativa y financiera.  </w:t>
      </w:r>
      <w:r>
        <w:t xml:space="preserve"> </w:t>
      </w:r>
    </w:p>
  </w:footnote>
  <w:footnote w:id="13">
    <w:p w14:paraId="1C297461" w14:textId="77777777" w:rsidR="00BD495E" w:rsidRDefault="00BD495E" w:rsidP="00D22CB1">
      <w:pPr>
        <w:pStyle w:val="Textonotapie"/>
      </w:pPr>
      <w:r>
        <w:rPr>
          <w:rStyle w:val="Refdenotaalpie"/>
        </w:rPr>
        <w:footnoteRef/>
      </w:r>
      <w:r>
        <w:t xml:space="preserve"> Mediante Decreto presidencial 732 de mayo 13 de 2019, en su artículo 1, se suprime la Secretaría Nacional de Planificación y Desarrollo (SENPLADES) y en su artículo 2 se crea la Secretaría Técnica de Planificación “Planifica Ecuador”, como entidad de derecho público, con personería jurídica, dotada de autonomía administrativa y financiera, adscrita a la Presidencia de la República, a cargo de la planificación nacional de forma integral y de todos los componentes e instrumentos del Sistema.</w:t>
      </w:r>
    </w:p>
  </w:footnote>
  <w:footnote w:id="14">
    <w:p w14:paraId="6DDE6970" w14:textId="53CE1406" w:rsidR="00BD495E" w:rsidRDefault="00BD495E">
      <w:pPr>
        <w:pStyle w:val="Textonotapie"/>
      </w:pPr>
      <w:r>
        <w:rPr>
          <w:rStyle w:val="Refdenotaalpie"/>
        </w:rPr>
        <w:footnoteRef/>
      </w:r>
      <w:r>
        <w:t xml:space="preserve"> </w:t>
      </w:r>
      <w:r w:rsidRPr="005D38BE">
        <w:t>La STCNC, estará respaldada por el Programa</w:t>
      </w:r>
      <w:r>
        <w:t xml:space="preserve"> EC-L1250</w:t>
      </w:r>
      <w:r w:rsidRPr="005D38BE">
        <w:t>, el cual apoyará la implementación de la entidad mediante el financiamiento de su director ejecutivo y equipo técnico</w:t>
      </w:r>
      <w:r>
        <w:t xml:space="preserve">; </w:t>
      </w:r>
      <w:r w:rsidRPr="005D38BE">
        <w:t>las áreas de apoyo (Financiera, Compras Públicas y Planificación) estarán cubiertas con fondos locales</w:t>
      </w:r>
      <w:r>
        <w:t>.</w:t>
      </w:r>
    </w:p>
  </w:footnote>
  <w:footnote w:id="15">
    <w:p w14:paraId="3A1479F2" w14:textId="6BEA1EAB" w:rsidR="00BD495E" w:rsidRDefault="00BD495E">
      <w:pPr>
        <w:pStyle w:val="Textonotapie"/>
      </w:pPr>
      <w:r>
        <w:rPr>
          <w:rStyle w:val="Refdenotaalpie"/>
        </w:rPr>
        <w:footnoteRef/>
      </w:r>
      <w:r>
        <w:t xml:space="preserve"> C</w:t>
      </w:r>
      <w:r w:rsidRPr="0035725F">
        <w:t>apacitaciones intensivas en gestión de proyectos con el BID, PM4R; Políticas para Adquisición de Obras y Bienes Financiados por el BID; Políticas para la Selección y Contratación de Consultores Financiados por el BID; Guías de  buenas prácticas para evaluación de ofertas y negociación de contratos del BID; Política de Gestión Financiera para Programas Financiados por el BID; Guía de Desembolsos para Programas financiados por el BID; Guías de Informes Financieros y de Auditoría Externa de las Operaciones Financiadas por el Banco.</w:t>
      </w:r>
    </w:p>
  </w:footnote>
  <w:footnote w:id="16">
    <w:p w14:paraId="0C9A0267" w14:textId="5B05B7AA" w:rsidR="00BD495E" w:rsidRDefault="00BD495E">
      <w:pPr>
        <w:pStyle w:val="Textonotapie"/>
      </w:pPr>
      <w:r>
        <w:rPr>
          <w:rStyle w:val="Refdenotaalpie"/>
        </w:rPr>
        <w:footnoteRef/>
      </w:r>
      <w:r>
        <w:t xml:space="preserve"> </w:t>
      </w:r>
      <w:r w:rsidRPr="005C70CA">
        <w:t>El modelo de dirección y gestión de la VPR, no presenta obstáculos para la ejecución del Proyecto. La VPR cuenta con una estructura definida con la que viene operando satisfactoriamente, la cual se refleja en el Orgánico Funcional por Procesos. Asimismo, cuenta con herramientas que facilitan la programación financiera (POA); la programación física de actividades, resultados e indicadores (GPR); mecanismos de seguimiento y manuales de procesos y procedimientos documentados, así como, mecanismos para prevenir y detectar prácticas prohibidas. Durante la revisión documental realizada de sus archivos, se pudo constatar un sistema de registro y archivo adecuado: se mantiene en físico en las oficinas de la VPR ordenado secuencialmente por CUR de pago y cuenta, la documentación archivada permite dar cuentas de las actividades de contratación y pagos desarrolladas y sirven como fuente de información y de soporte a las decisiones tomadas; se recomienda sin embargo, la incorporación de un check list en los respectivos files para facilitar el manejo de la documentación.</w:t>
      </w:r>
    </w:p>
  </w:footnote>
  <w:footnote w:id="17">
    <w:p w14:paraId="3A9AE516" w14:textId="77777777" w:rsidR="00BD495E" w:rsidRDefault="00BD495E" w:rsidP="005C70CA">
      <w:pPr>
        <w:pStyle w:val="Textonotapie"/>
      </w:pPr>
      <w:r>
        <w:rPr>
          <w:rStyle w:val="Refdenotaalpie"/>
        </w:rPr>
        <w:footnoteRef/>
      </w:r>
      <w:r>
        <w:t xml:space="preserve"> Proyectos registrados en el SIPeIP con un CUP en la Secretaría Nacional de Planificación y Desarrollo ahora ‘Planifica Ecuador’</w:t>
      </w:r>
    </w:p>
  </w:footnote>
  <w:footnote w:id="18">
    <w:p w14:paraId="635348BE" w14:textId="3F255AF8" w:rsidR="00BD495E" w:rsidRDefault="00BD495E" w:rsidP="005C70CA">
      <w:pPr>
        <w:pStyle w:val="Textonotapie"/>
      </w:pPr>
      <w:r>
        <w:rPr>
          <w:rStyle w:val="Refdenotaalpie"/>
        </w:rPr>
        <w:footnoteRef/>
      </w:r>
      <w:r>
        <w:t xml:space="preserve"> Ver listado y fichas de proyectos en anexos</w:t>
      </w:r>
    </w:p>
  </w:footnote>
  <w:footnote w:id="19">
    <w:p w14:paraId="48C2B5E5" w14:textId="65682B73" w:rsidR="00BD495E" w:rsidRDefault="00BD495E">
      <w:pPr>
        <w:pStyle w:val="Textonotapie"/>
      </w:pPr>
      <w:r>
        <w:rPr>
          <w:rStyle w:val="Refdenotaalpie"/>
        </w:rPr>
        <w:footnoteRef/>
      </w:r>
      <w:r>
        <w:t xml:space="preserve"> Ibid. 15.</w:t>
      </w:r>
    </w:p>
  </w:footnote>
  <w:footnote w:id="20">
    <w:p w14:paraId="08809606" w14:textId="77777777" w:rsidR="00BD495E" w:rsidRDefault="00BD495E" w:rsidP="00FC0EB5">
      <w:pPr>
        <w:pStyle w:val="Textonotapie"/>
      </w:pPr>
      <w:r>
        <w:rPr>
          <w:rStyle w:val="Refdenotaalpie"/>
        </w:rPr>
        <w:footnoteRef/>
      </w:r>
      <w:r>
        <w:t xml:space="preserve"> Condiciones de ejecutabilidad del marco legal analizadas: </w:t>
      </w:r>
      <w:r w:rsidRPr="003A14AC">
        <w:t>(i) El marco legal al que está sujeto el OE le da las competencias necesarias para asumir la responsabilidad del proyecto; (ii) El marco legal y regulatorio de los sistemas transversales de gestión pública le permiten al OE una ejecución eficaz, eficiente y transparente; (iii) Las normas a las que está sujeto el OE establecen que su gestión se debe desarrollar bajo un ambiente de control que promueva la transparencia y seguimiento de buenas prácticas reconocidas internacionalmente.</w:t>
      </w:r>
    </w:p>
  </w:footnote>
  <w:footnote w:id="21">
    <w:p w14:paraId="114FE38D" w14:textId="77777777" w:rsidR="00BD495E" w:rsidRDefault="00BD495E">
      <w:pPr>
        <w:pStyle w:val="Textonotapie"/>
      </w:pPr>
      <w:r>
        <w:rPr>
          <w:rStyle w:val="Refdenotaalpie"/>
        </w:rPr>
        <w:footnoteRef/>
      </w:r>
      <w:r>
        <w:t xml:space="preserve"> Mediante Decreto presidencial 732 de mayo 13 de 2019, en su artículo 1, se suprime la Secretaría Nacional de Planificación y Desarrollo (SENPLADES) y en su artículo 2 se crea la Secretaría Técnica de Planificación “Planifica Ecuador”, como entidad de derecho público, con personería jurídica, dotada de autonomía administrativa y financiera, adscrita a la Presidencia de la República, a cargo de la planificación nacional de forma integral y de todos los componentes e instrumentos del Sistema.</w:t>
      </w:r>
    </w:p>
  </w:footnote>
  <w:footnote w:id="22">
    <w:p w14:paraId="3ECCFA04" w14:textId="109C0D39" w:rsidR="00BD495E" w:rsidRDefault="00BD495E" w:rsidP="000847CA">
      <w:pPr>
        <w:pStyle w:val="Textonotapie"/>
      </w:pPr>
      <w:r>
        <w:rPr>
          <w:rStyle w:val="Refdenotaalpie"/>
        </w:rPr>
        <w:footnoteRef/>
      </w:r>
      <w:r>
        <w:t xml:space="preserve"> Condiciones de Ejecutabilidad de Gobernanza y Entorno Institucional analizadas: </w:t>
      </w:r>
      <w:r w:rsidRPr="003A14AC">
        <w:t>(i) La naturaleza de la inserción del OE en el Sector Público del País Prestatario no obstaculiza la ejecución del proyecto; (ii) El modelo de dirección y gestión del OE no presenta obstáculos significativos para la ejecución del proyecto; (iii) Las relaciones desarrolladas por la</w:t>
      </w:r>
      <w:r>
        <w:t xml:space="preserve"> OE </w:t>
      </w:r>
      <w:r w:rsidRPr="003A14AC">
        <w:t xml:space="preserve">con el contexto o entorno directo sectorial de su gestión viabilizan la ejecución del proyecto y la obtención de los resultados e impactos buscados; (iv) La </w:t>
      </w:r>
      <w:r>
        <w:t xml:space="preserve">OE </w:t>
      </w:r>
      <w:r w:rsidRPr="003A14AC">
        <w:t>cuenta con mecanismos adecuados para prevenir, detectar y dar respuesta a las prácticas prohibidas..</w:t>
      </w:r>
    </w:p>
  </w:footnote>
  <w:footnote w:id="23">
    <w:p w14:paraId="43AC1BF8" w14:textId="38AB8E78" w:rsidR="00BD495E" w:rsidRDefault="00BD495E" w:rsidP="0051346F">
      <w:pPr>
        <w:pStyle w:val="Textonotapie"/>
      </w:pPr>
      <w:r>
        <w:rPr>
          <w:rStyle w:val="Refdenotaalpie"/>
        </w:rPr>
        <w:footnoteRef/>
      </w:r>
      <w:r>
        <w:t xml:space="preserve"> </w:t>
      </w:r>
      <w:r w:rsidRPr="003A14AC">
        <w:t>(i</w:t>
      </w:r>
      <w:r>
        <w:t>) El OE tiene identificados los principales riesgos externos que pueden afectar su entorno y sus respectivos impactos; (ii) El OE cuenta con políticas e instrumentos adecuados de prevención y mitigación de los riesgos provenientes del entorno general</w:t>
      </w:r>
      <w:r w:rsidRPr="003A14AC">
        <w:t>.</w:t>
      </w:r>
    </w:p>
  </w:footnote>
  <w:footnote w:id="24">
    <w:p w14:paraId="1C9867FA" w14:textId="77777777" w:rsidR="00BD495E" w:rsidRDefault="00BD495E" w:rsidP="006F06D9">
      <w:pPr>
        <w:pStyle w:val="Textonotapie"/>
      </w:pPr>
      <w:r>
        <w:rPr>
          <w:rStyle w:val="Refdenotaalpie"/>
        </w:rPr>
        <w:footnoteRef/>
      </w:r>
      <w:r>
        <w:t xml:space="preserve"> </w:t>
      </w:r>
      <w:r w:rsidRPr="003A14AC">
        <w:t xml:space="preserve">(i) </w:t>
      </w:r>
      <w:r>
        <w:t>El OE cuenta con una dotación y distribución de sus RRHH que facilita la implementación y sostenibilidad del proyecto; (ii) Los subsistemas funcionales de la Gerencia de Recursos Humanos del OE muestran el grado de desarrollo y madurez necesarios para la gestión, desarrollo y sostenibilidad del proyecto; (iii) El OE cuenta con personal disponible y con las competencias gerenciales y técnicas necesarias para ejercer la Dirección General y la Coordinación Técnica del proyecto de tal manera que se alcancen los objetivos del proyecto y de cada uno de sus componentes.</w:t>
      </w:r>
    </w:p>
  </w:footnote>
  <w:footnote w:id="25">
    <w:p w14:paraId="37D51FDF" w14:textId="77777777" w:rsidR="00BD495E" w:rsidRDefault="00BD495E" w:rsidP="005709B0">
      <w:pPr>
        <w:pStyle w:val="Textonotapie"/>
      </w:pPr>
      <w:r>
        <w:rPr>
          <w:rStyle w:val="Refdenotaalpie"/>
        </w:rPr>
        <w:footnoteRef/>
      </w:r>
      <w:r>
        <w:t xml:space="preserve"> </w:t>
      </w:r>
      <w:r w:rsidRPr="003A14AC">
        <w:t>(i</w:t>
      </w:r>
      <w:r>
        <w:t>) Los sistemas que regulan los programas de inversión pública del país facilitan una rápida puesta en marcha y ejecución de los proyectos; (ii) El OE cuenta con conocimientos y experiencia previa en la administración de proyectos como para apoyar la gerencia y coordinación técnica del proyecto; (iii) Los procedimientos, herramientas y prácticas de administración de proyectos del OE promueven una adecuada ejecución y control del proyecto; (iv) El OE tiene lineamientos documentados y prácticas adecuadas para la evaluación de resultados e impactos de sus proyectos.</w:t>
      </w:r>
    </w:p>
  </w:footnote>
  <w:footnote w:id="26">
    <w:p w14:paraId="7166A632" w14:textId="77777777" w:rsidR="00BD495E" w:rsidRDefault="00BD495E" w:rsidP="006215C4">
      <w:pPr>
        <w:pStyle w:val="Textonotapie"/>
      </w:pPr>
      <w:r>
        <w:rPr>
          <w:rStyle w:val="Refdenotaalpie"/>
        </w:rPr>
        <w:footnoteRef/>
      </w:r>
      <w:r>
        <w:t xml:space="preserve"> </w:t>
      </w:r>
      <w:r w:rsidRPr="003A14AC">
        <w:t>(i</w:t>
      </w:r>
      <w:r>
        <w:t>) El sistema nacional de adquisiciones y contrataciones que utiliza el OE se encuentra aceptado por el BID para el uso en los proyectos del Banco; (ii) El marco legal y regulatorio sobre las compras y contrataciones del OE le otorga las competencias para que lleve a cabo las adquisiciones en forma eficaz, eficiente y transparente; (iii) Las etapas de convocatoria, evaluación, selección y adjudicación del ciclo de adquisiciones del OE se practican en forma eficaz y eficiente y dentro de plazos razonables; (iv) La administración de contratos del OE se realiza en forma eficaz y transparente asegurando el cumplimiento del cronograma contractual y la calidad de las obras, bienes y servicios recibidos; (v) Los sistemas de registro de información para el seguimiento de las etapas del ciclo de adquisiciones permiten una adecuada supervisión, rendición de cuentas y estadísticas de gestión.</w:t>
      </w:r>
    </w:p>
  </w:footnote>
  <w:footnote w:id="27">
    <w:p w14:paraId="5D896778" w14:textId="77C57790" w:rsidR="00606225" w:rsidRDefault="00606225">
      <w:pPr>
        <w:pStyle w:val="Textonotapie"/>
      </w:pPr>
      <w:r>
        <w:rPr>
          <w:rStyle w:val="Refdenotaalpie"/>
        </w:rPr>
        <w:footnoteRef/>
      </w:r>
      <w:r>
        <w:t xml:space="preserve"> Listado de </w:t>
      </w:r>
      <w:r w:rsidRPr="00606225">
        <w:t>Proyectos ejecutados por la VPR registrados en el GPR (proyectos internos VPR- no se tiene CUP)</w:t>
      </w:r>
      <w:r>
        <w:t>, en anexos</w:t>
      </w:r>
    </w:p>
  </w:footnote>
  <w:footnote w:id="28">
    <w:p w14:paraId="49114697" w14:textId="549547B7" w:rsidR="00BD495E" w:rsidRDefault="00BD495E" w:rsidP="00D50B1C">
      <w:pPr>
        <w:pStyle w:val="Textonotapie"/>
      </w:pPr>
      <w:r>
        <w:rPr>
          <w:rStyle w:val="Refdenotaalpie"/>
        </w:rPr>
        <w:footnoteRef/>
      </w:r>
      <w:r>
        <w:t xml:space="preserve"> </w:t>
      </w:r>
      <w:r w:rsidRPr="003A14AC">
        <w:t>(i</w:t>
      </w:r>
      <w:r>
        <w:t>) El OE cuenta con competencia y experiencia suficiente para el manejo del financiamiento externo de sus proyectos de inversión; (ii) El sistema nacional/</w:t>
      </w:r>
      <w:r w:rsidR="00E73166">
        <w:t>subnacional</w:t>
      </w:r>
      <w:r>
        <w:t xml:space="preserve"> de gestión financiera que utiliza el OE se encuentra validado por el BID; (iii) El OE cuenta y/o utiliza los procedimientos del país para formular, ejecutar y controlar planes y presupuestos con plazos claramente definidos; (iv) El OE cuenta con un sistema de tesorería (de país y/o propio) que considera un mecanismo para el flujo de fondos del proyecto (identificación de las necesidades de fondos, programación y ejecución de pagos); (v) Existen mecanismos de registro contable, rendición de cuentas y de reportes financieros; (vi) </w:t>
      </w:r>
    </w:p>
    <w:p w14:paraId="36CDEEFD" w14:textId="77777777" w:rsidR="00BD495E" w:rsidRDefault="00BD495E" w:rsidP="00D50B1C">
      <w:pPr>
        <w:pStyle w:val="Textonotapie"/>
      </w:pPr>
      <w:r>
        <w:t>Existen mecanismos de control interno satisfactorio para la gestión financiera de recursos del OE; (vii) Existen mecanismos de control externo y de auditoría independiente.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FD65" w14:textId="77777777" w:rsidR="00BD495E" w:rsidRDefault="00BD49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A228" w14:textId="77777777" w:rsidR="00BD495E" w:rsidRDefault="00BD495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804E" w14:textId="77777777" w:rsidR="00BD495E" w:rsidRDefault="00BD49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E55"/>
    <w:multiLevelType w:val="hybridMultilevel"/>
    <w:tmpl w:val="50B6C44A"/>
    <w:lvl w:ilvl="0" w:tplc="B9C0752E">
      <w:start w:val="1"/>
      <w:numFmt w:val="bullet"/>
      <w:lvlText w:val="-"/>
      <w:lvlJc w:val="left"/>
      <w:pPr>
        <w:ind w:left="2061" w:hanging="360"/>
      </w:pPr>
      <w:rPr>
        <w:rFonts w:ascii="Arial Narrow" w:hAnsi="Arial Narrow" w:hint="default"/>
      </w:rPr>
    </w:lvl>
    <w:lvl w:ilvl="1" w:tplc="300A0003" w:tentative="1">
      <w:start w:val="1"/>
      <w:numFmt w:val="bullet"/>
      <w:lvlText w:val="o"/>
      <w:lvlJc w:val="left"/>
      <w:pPr>
        <w:ind w:left="2781" w:hanging="360"/>
      </w:pPr>
      <w:rPr>
        <w:rFonts w:ascii="Courier New" w:hAnsi="Courier New" w:cs="Courier New" w:hint="default"/>
      </w:rPr>
    </w:lvl>
    <w:lvl w:ilvl="2" w:tplc="300A0005" w:tentative="1">
      <w:start w:val="1"/>
      <w:numFmt w:val="bullet"/>
      <w:lvlText w:val=""/>
      <w:lvlJc w:val="left"/>
      <w:pPr>
        <w:ind w:left="3501" w:hanging="360"/>
      </w:pPr>
      <w:rPr>
        <w:rFonts w:ascii="Wingdings" w:hAnsi="Wingdings" w:hint="default"/>
      </w:rPr>
    </w:lvl>
    <w:lvl w:ilvl="3" w:tplc="300A0001" w:tentative="1">
      <w:start w:val="1"/>
      <w:numFmt w:val="bullet"/>
      <w:lvlText w:val=""/>
      <w:lvlJc w:val="left"/>
      <w:pPr>
        <w:ind w:left="4221" w:hanging="360"/>
      </w:pPr>
      <w:rPr>
        <w:rFonts w:ascii="Symbol" w:hAnsi="Symbol" w:hint="default"/>
      </w:rPr>
    </w:lvl>
    <w:lvl w:ilvl="4" w:tplc="300A0003" w:tentative="1">
      <w:start w:val="1"/>
      <w:numFmt w:val="bullet"/>
      <w:lvlText w:val="o"/>
      <w:lvlJc w:val="left"/>
      <w:pPr>
        <w:ind w:left="4941" w:hanging="360"/>
      </w:pPr>
      <w:rPr>
        <w:rFonts w:ascii="Courier New" w:hAnsi="Courier New" w:cs="Courier New" w:hint="default"/>
      </w:rPr>
    </w:lvl>
    <w:lvl w:ilvl="5" w:tplc="300A0005" w:tentative="1">
      <w:start w:val="1"/>
      <w:numFmt w:val="bullet"/>
      <w:lvlText w:val=""/>
      <w:lvlJc w:val="left"/>
      <w:pPr>
        <w:ind w:left="5661" w:hanging="360"/>
      </w:pPr>
      <w:rPr>
        <w:rFonts w:ascii="Wingdings" w:hAnsi="Wingdings" w:hint="default"/>
      </w:rPr>
    </w:lvl>
    <w:lvl w:ilvl="6" w:tplc="300A0001" w:tentative="1">
      <w:start w:val="1"/>
      <w:numFmt w:val="bullet"/>
      <w:lvlText w:val=""/>
      <w:lvlJc w:val="left"/>
      <w:pPr>
        <w:ind w:left="6381" w:hanging="360"/>
      </w:pPr>
      <w:rPr>
        <w:rFonts w:ascii="Symbol" w:hAnsi="Symbol" w:hint="default"/>
      </w:rPr>
    </w:lvl>
    <w:lvl w:ilvl="7" w:tplc="300A0003" w:tentative="1">
      <w:start w:val="1"/>
      <w:numFmt w:val="bullet"/>
      <w:lvlText w:val="o"/>
      <w:lvlJc w:val="left"/>
      <w:pPr>
        <w:ind w:left="7101" w:hanging="360"/>
      </w:pPr>
      <w:rPr>
        <w:rFonts w:ascii="Courier New" w:hAnsi="Courier New" w:cs="Courier New" w:hint="default"/>
      </w:rPr>
    </w:lvl>
    <w:lvl w:ilvl="8" w:tplc="300A0005" w:tentative="1">
      <w:start w:val="1"/>
      <w:numFmt w:val="bullet"/>
      <w:lvlText w:val=""/>
      <w:lvlJc w:val="left"/>
      <w:pPr>
        <w:ind w:left="7821" w:hanging="360"/>
      </w:pPr>
      <w:rPr>
        <w:rFonts w:ascii="Wingdings" w:hAnsi="Wingdings" w:hint="default"/>
      </w:rPr>
    </w:lvl>
  </w:abstractNum>
  <w:abstractNum w:abstractNumId="1" w15:restartNumberingAfterBreak="0">
    <w:nsid w:val="04014957"/>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15:restartNumberingAfterBreak="0">
    <w:nsid w:val="05CE6CB9"/>
    <w:multiLevelType w:val="hybridMultilevel"/>
    <w:tmpl w:val="8BCCB1EC"/>
    <w:lvl w:ilvl="0" w:tplc="E6C6D954">
      <w:start w:val="1"/>
      <w:numFmt w:val="decimal"/>
      <w:lvlText w:val="P%1."/>
      <w:lvlJc w:val="left"/>
      <w:pPr>
        <w:ind w:left="360" w:hanging="360"/>
      </w:pPr>
      <w:rPr>
        <w:rFonts w:ascii="Arial Narrow" w:hAnsi="Arial Narrow" w:hint="default"/>
        <w:sz w:val="18"/>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087D4D87"/>
    <w:multiLevelType w:val="hybridMultilevel"/>
    <w:tmpl w:val="588AFA06"/>
    <w:lvl w:ilvl="0" w:tplc="D44AA09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FCC37E5"/>
    <w:multiLevelType w:val="hybridMultilevel"/>
    <w:tmpl w:val="F61E91D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17E01B21"/>
    <w:multiLevelType w:val="hybridMultilevel"/>
    <w:tmpl w:val="D876CD4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23454ED9"/>
    <w:multiLevelType w:val="hybridMultilevel"/>
    <w:tmpl w:val="40EAC522"/>
    <w:lvl w:ilvl="0" w:tplc="B9C0752E">
      <w:start w:val="1"/>
      <w:numFmt w:val="bullet"/>
      <w:lvlText w:val="-"/>
      <w:lvlJc w:val="left"/>
      <w:pPr>
        <w:ind w:left="720" w:hanging="360"/>
      </w:pPr>
      <w:rPr>
        <w:rFonts w:ascii="Arial Narrow" w:hAnsi="Arial Narro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3896AA4"/>
    <w:multiLevelType w:val="hybridMultilevel"/>
    <w:tmpl w:val="8BCCB1EC"/>
    <w:lvl w:ilvl="0" w:tplc="E6C6D954">
      <w:start w:val="1"/>
      <w:numFmt w:val="decimal"/>
      <w:lvlText w:val="P%1."/>
      <w:lvlJc w:val="left"/>
      <w:pPr>
        <w:ind w:left="360" w:hanging="360"/>
      </w:pPr>
      <w:rPr>
        <w:rFonts w:ascii="Arial Narrow" w:hAnsi="Arial Narrow" w:hint="default"/>
        <w:sz w:val="18"/>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278434CD"/>
    <w:multiLevelType w:val="hybridMultilevel"/>
    <w:tmpl w:val="C0B6B44A"/>
    <w:lvl w:ilvl="0" w:tplc="B9C0752E">
      <w:start w:val="1"/>
      <w:numFmt w:val="bullet"/>
      <w:lvlText w:val="-"/>
      <w:lvlJc w:val="left"/>
      <w:pPr>
        <w:ind w:left="360" w:hanging="360"/>
      </w:pPr>
      <w:rPr>
        <w:rFonts w:ascii="Arial Narrow" w:hAnsi="Arial Narrow"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29CA6183"/>
    <w:multiLevelType w:val="hybridMultilevel"/>
    <w:tmpl w:val="42449144"/>
    <w:lvl w:ilvl="0" w:tplc="B9C0752E">
      <w:start w:val="1"/>
      <w:numFmt w:val="bullet"/>
      <w:lvlText w:val="-"/>
      <w:lvlJc w:val="left"/>
      <w:pPr>
        <w:ind w:left="360" w:hanging="360"/>
      </w:pPr>
      <w:rPr>
        <w:rFonts w:ascii="Arial Narrow" w:hAnsi="Arial Narrow"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2B56452D"/>
    <w:multiLevelType w:val="multilevel"/>
    <w:tmpl w:val="7FC06FB0"/>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i w:val="0"/>
        <w:color w:val="auto"/>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heme="minorHAnsi" w:hAnsiTheme="minorHAnsi" w:cstheme="minorHAnsi" w:hint="default"/>
        <w:b w:val="0"/>
        <w:i w:val="0"/>
        <w:sz w:val="20"/>
        <w:szCs w:val="20"/>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1" w15:restartNumberingAfterBreak="0">
    <w:nsid w:val="2C1E30ED"/>
    <w:multiLevelType w:val="multilevel"/>
    <w:tmpl w:val="A934CA72"/>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pStyle w:val="Estilo1"/>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2" w15:restartNumberingAfterBreak="0">
    <w:nsid w:val="2E0834D7"/>
    <w:multiLevelType w:val="hybridMultilevel"/>
    <w:tmpl w:val="8BCCB1EC"/>
    <w:lvl w:ilvl="0" w:tplc="E6C6D954">
      <w:start w:val="1"/>
      <w:numFmt w:val="decimal"/>
      <w:lvlText w:val="P%1."/>
      <w:lvlJc w:val="left"/>
      <w:pPr>
        <w:ind w:left="360" w:hanging="360"/>
      </w:pPr>
      <w:rPr>
        <w:rFonts w:ascii="Arial Narrow" w:hAnsi="Arial Narrow" w:hint="default"/>
        <w:sz w:val="18"/>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2E750717"/>
    <w:multiLevelType w:val="hybridMultilevel"/>
    <w:tmpl w:val="68A4EC2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2EA65B18"/>
    <w:multiLevelType w:val="hybridMultilevel"/>
    <w:tmpl w:val="921818D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1D44F1A"/>
    <w:multiLevelType w:val="hybridMultilevel"/>
    <w:tmpl w:val="567E961E"/>
    <w:lvl w:ilvl="0" w:tplc="D6E4A9A4">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15:restartNumberingAfterBreak="0">
    <w:nsid w:val="34A25AA4"/>
    <w:multiLevelType w:val="hybridMultilevel"/>
    <w:tmpl w:val="8D849EAC"/>
    <w:lvl w:ilvl="0" w:tplc="300A0015">
      <w:start w:val="1"/>
      <w:numFmt w:val="upperLetter"/>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15:restartNumberingAfterBreak="0">
    <w:nsid w:val="3B7120B0"/>
    <w:multiLevelType w:val="hybridMultilevel"/>
    <w:tmpl w:val="08060CA4"/>
    <w:lvl w:ilvl="0" w:tplc="5184A952">
      <w:start w:val="1"/>
      <w:numFmt w:val="lowerLetter"/>
      <w:pStyle w:val="Ttulo2"/>
      <w:lvlText w:val="%1."/>
      <w:lvlJc w:val="left"/>
      <w:pPr>
        <w:ind w:left="1068" w:hanging="360"/>
      </w:pPr>
      <w:rPr>
        <w:rFonts w:hint="default"/>
      </w:rPr>
    </w:lvl>
    <w:lvl w:ilvl="1" w:tplc="300A0019">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8" w15:restartNumberingAfterBreak="0">
    <w:nsid w:val="3DE12D6A"/>
    <w:multiLevelType w:val="hybridMultilevel"/>
    <w:tmpl w:val="CE8A3BFE"/>
    <w:lvl w:ilvl="0" w:tplc="30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3BF27BC"/>
    <w:multiLevelType w:val="hybridMultilevel"/>
    <w:tmpl w:val="F61E91DE"/>
    <w:lvl w:ilvl="0" w:tplc="300A000F">
      <w:start w:val="1"/>
      <w:numFmt w:val="decimal"/>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15:restartNumberingAfterBreak="0">
    <w:nsid w:val="46AE4D23"/>
    <w:multiLevelType w:val="hybridMultilevel"/>
    <w:tmpl w:val="E86C1CEE"/>
    <w:lvl w:ilvl="0" w:tplc="300A000F">
      <w:start w:val="1"/>
      <w:numFmt w:val="decimal"/>
      <w:lvlText w:val="%1."/>
      <w:lvlJc w:val="left"/>
      <w:pPr>
        <w:ind w:left="369" w:hanging="360"/>
      </w:pPr>
    </w:lvl>
    <w:lvl w:ilvl="1" w:tplc="300A0019" w:tentative="1">
      <w:start w:val="1"/>
      <w:numFmt w:val="lowerLetter"/>
      <w:lvlText w:val="%2."/>
      <w:lvlJc w:val="left"/>
      <w:pPr>
        <w:ind w:left="1089" w:hanging="360"/>
      </w:pPr>
    </w:lvl>
    <w:lvl w:ilvl="2" w:tplc="300A001B" w:tentative="1">
      <w:start w:val="1"/>
      <w:numFmt w:val="lowerRoman"/>
      <w:lvlText w:val="%3."/>
      <w:lvlJc w:val="right"/>
      <w:pPr>
        <w:ind w:left="1809" w:hanging="180"/>
      </w:pPr>
    </w:lvl>
    <w:lvl w:ilvl="3" w:tplc="300A000F" w:tentative="1">
      <w:start w:val="1"/>
      <w:numFmt w:val="decimal"/>
      <w:lvlText w:val="%4."/>
      <w:lvlJc w:val="left"/>
      <w:pPr>
        <w:ind w:left="2529" w:hanging="360"/>
      </w:pPr>
    </w:lvl>
    <w:lvl w:ilvl="4" w:tplc="300A0019" w:tentative="1">
      <w:start w:val="1"/>
      <w:numFmt w:val="lowerLetter"/>
      <w:lvlText w:val="%5."/>
      <w:lvlJc w:val="left"/>
      <w:pPr>
        <w:ind w:left="3249" w:hanging="360"/>
      </w:pPr>
    </w:lvl>
    <w:lvl w:ilvl="5" w:tplc="300A001B" w:tentative="1">
      <w:start w:val="1"/>
      <w:numFmt w:val="lowerRoman"/>
      <w:lvlText w:val="%6."/>
      <w:lvlJc w:val="right"/>
      <w:pPr>
        <w:ind w:left="3969" w:hanging="180"/>
      </w:pPr>
    </w:lvl>
    <w:lvl w:ilvl="6" w:tplc="300A000F" w:tentative="1">
      <w:start w:val="1"/>
      <w:numFmt w:val="decimal"/>
      <w:lvlText w:val="%7."/>
      <w:lvlJc w:val="left"/>
      <w:pPr>
        <w:ind w:left="4689" w:hanging="360"/>
      </w:pPr>
    </w:lvl>
    <w:lvl w:ilvl="7" w:tplc="300A0019" w:tentative="1">
      <w:start w:val="1"/>
      <w:numFmt w:val="lowerLetter"/>
      <w:lvlText w:val="%8."/>
      <w:lvlJc w:val="left"/>
      <w:pPr>
        <w:ind w:left="5409" w:hanging="360"/>
      </w:pPr>
    </w:lvl>
    <w:lvl w:ilvl="8" w:tplc="300A001B" w:tentative="1">
      <w:start w:val="1"/>
      <w:numFmt w:val="lowerRoman"/>
      <w:lvlText w:val="%9."/>
      <w:lvlJc w:val="right"/>
      <w:pPr>
        <w:ind w:left="6129" w:hanging="180"/>
      </w:pPr>
    </w:lvl>
  </w:abstractNum>
  <w:abstractNum w:abstractNumId="21" w15:restartNumberingAfterBreak="0">
    <w:nsid w:val="4BAA05B9"/>
    <w:multiLevelType w:val="hybridMultilevel"/>
    <w:tmpl w:val="5C9EA100"/>
    <w:lvl w:ilvl="0" w:tplc="B9C0752E">
      <w:start w:val="1"/>
      <w:numFmt w:val="bullet"/>
      <w:lvlText w:val="-"/>
      <w:lvlJc w:val="left"/>
      <w:pPr>
        <w:ind w:left="360" w:hanging="360"/>
      </w:pPr>
      <w:rPr>
        <w:rFonts w:ascii="Arial Narrow" w:hAnsi="Arial Narrow"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2" w15:restartNumberingAfterBreak="0">
    <w:nsid w:val="53F353D6"/>
    <w:multiLevelType w:val="multilevel"/>
    <w:tmpl w:val="FFF29456"/>
    <w:lvl w:ilvl="0">
      <w:start w:val="1"/>
      <w:numFmt w:val="upperRoman"/>
      <w:pStyle w:val="Ttulo1"/>
      <w:lvlText w:val="%1."/>
      <w:lvlJc w:val="righ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54656CC1"/>
    <w:multiLevelType w:val="hybridMultilevel"/>
    <w:tmpl w:val="F61E91D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15:restartNumberingAfterBreak="0">
    <w:nsid w:val="55695EEC"/>
    <w:multiLevelType w:val="hybridMultilevel"/>
    <w:tmpl w:val="7EE82050"/>
    <w:lvl w:ilvl="0" w:tplc="B9C0752E">
      <w:start w:val="1"/>
      <w:numFmt w:val="bullet"/>
      <w:lvlText w:val="-"/>
      <w:lvlJc w:val="left"/>
      <w:pPr>
        <w:ind w:left="720" w:hanging="360"/>
      </w:pPr>
      <w:rPr>
        <w:rFonts w:ascii="Arial Narrow" w:hAnsi="Arial Narrow"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C5444B8"/>
    <w:multiLevelType w:val="hybridMultilevel"/>
    <w:tmpl w:val="1A129F5C"/>
    <w:lvl w:ilvl="0" w:tplc="30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8097B58"/>
    <w:multiLevelType w:val="hybridMultilevel"/>
    <w:tmpl w:val="641033C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9C86FFC"/>
    <w:multiLevelType w:val="hybridMultilevel"/>
    <w:tmpl w:val="E4BEEDAA"/>
    <w:lvl w:ilvl="0" w:tplc="B9C0752E">
      <w:start w:val="1"/>
      <w:numFmt w:val="bullet"/>
      <w:lvlText w:val="-"/>
      <w:lvlJc w:val="left"/>
      <w:pPr>
        <w:ind w:left="360" w:hanging="360"/>
      </w:pPr>
      <w:rPr>
        <w:rFonts w:ascii="Arial Narrow" w:hAnsi="Arial Narrow"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8" w15:restartNumberingAfterBreak="0">
    <w:nsid w:val="783F6E2C"/>
    <w:multiLevelType w:val="hybridMultilevel"/>
    <w:tmpl w:val="3AC04018"/>
    <w:lvl w:ilvl="0" w:tplc="4AEEE9AA">
      <w:start w:val="1"/>
      <w:numFmt w:val="lowerRoman"/>
      <w:pStyle w:val="Ttulo3"/>
      <w:lvlText w:val="%1."/>
      <w:lvlJc w:val="right"/>
      <w:pPr>
        <w:ind w:left="1457" w:hanging="360"/>
      </w:pPr>
    </w:lvl>
    <w:lvl w:ilvl="1" w:tplc="300A0019" w:tentative="1">
      <w:start w:val="1"/>
      <w:numFmt w:val="lowerLetter"/>
      <w:lvlText w:val="%2."/>
      <w:lvlJc w:val="left"/>
      <w:pPr>
        <w:ind w:left="2177" w:hanging="360"/>
      </w:pPr>
    </w:lvl>
    <w:lvl w:ilvl="2" w:tplc="300A001B" w:tentative="1">
      <w:start w:val="1"/>
      <w:numFmt w:val="lowerRoman"/>
      <w:lvlText w:val="%3."/>
      <w:lvlJc w:val="right"/>
      <w:pPr>
        <w:ind w:left="2897" w:hanging="180"/>
      </w:pPr>
    </w:lvl>
    <w:lvl w:ilvl="3" w:tplc="300A000F" w:tentative="1">
      <w:start w:val="1"/>
      <w:numFmt w:val="decimal"/>
      <w:lvlText w:val="%4."/>
      <w:lvlJc w:val="left"/>
      <w:pPr>
        <w:ind w:left="3617" w:hanging="360"/>
      </w:pPr>
    </w:lvl>
    <w:lvl w:ilvl="4" w:tplc="300A0019" w:tentative="1">
      <w:start w:val="1"/>
      <w:numFmt w:val="lowerLetter"/>
      <w:lvlText w:val="%5."/>
      <w:lvlJc w:val="left"/>
      <w:pPr>
        <w:ind w:left="4337" w:hanging="360"/>
      </w:pPr>
    </w:lvl>
    <w:lvl w:ilvl="5" w:tplc="300A001B" w:tentative="1">
      <w:start w:val="1"/>
      <w:numFmt w:val="lowerRoman"/>
      <w:lvlText w:val="%6."/>
      <w:lvlJc w:val="right"/>
      <w:pPr>
        <w:ind w:left="5057" w:hanging="180"/>
      </w:pPr>
    </w:lvl>
    <w:lvl w:ilvl="6" w:tplc="300A000F" w:tentative="1">
      <w:start w:val="1"/>
      <w:numFmt w:val="decimal"/>
      <w:lvlText w:val="%7."/>
      <w:lvlJc w:val="left"/>
      <w:pPr>
        <w:ind w:left="5777" w:hanging="360"/>
      </w:pPr>
    </w:lvl>
    <w:lvl w:ilvl="7" w:tplc="300A0019" w:tentative="1">
      <w:start w:val="1"/>
      <w:numFmt w:val="lowerLetter"/>
      <w:lvlText w:val="%8."/>
      <w:lvlJc w:val="left"/>
      <w:pPr>
        <w:ind w:left="6497" w:hanging="360"/>
      </w:pPr>
    </w:lvl>
    <w:lvl w:ilvl="8" w:tplc="300A001B" w:tentative="1">
      <w:start w:val="1"/>
      <w:numFmt w:val="lowerRoman"/>
      <w:lvlText w:val="%9."/>
      <w:lvlJc w:val="right"/>
      <w:pPr>
        <w:ind w:left="7217" w:hanging="180"/>
      </w:pPr>
    </w:lvl>
  </w:abstractNum>
  <w:num w:numId="1">
    <w:abstractNumId w:val="22"/>
  </w:num>
  <w:num w:numId="2">
    <w:abstractNumId w:val="17"/>
  </w:num>
  <w:num w:numId="3">
    <w:abstractNumId w:val="11"/>
  </w:num>
  <w:num w:numId="4">
    <w:abstractNumId w:val="17"/>
    <w:lvlOverride w:ilvl="0">
      <w:startOverride w:val="1"/>
    </w:lvlOverride>
  </w:num>
  <w:num w:numId="5">
    <w:abstractNumId w:val="10"/>
  </w:num>
  <w:num w:numId="6">
    <w:abstractNumId w:val="28"/>
  </w:num>
  <w:num w:numId="7">
    <w:abstractNumId w:val="14"/>
  </w:num>
  <w:num w:numId="8">
    <w:abstractNumId w:val="1"/>
  </w:num>
  <w:num w:numId="9">
    <w:abstractNumId w:val="24"/>
  </w:num>
  <w:num w:numId="10">
    <w:abstractNumId w:val="7"/>
  </w:num>
  <w:num w:numId="11">
    <w:abstractNumId w:val="17"/>
    <w:lvlOverride w:ilvl="0">
      <w:startOverride w:val="1"/>
    </w:lvlOverride>
  </w:num>
  <w:num w:numId="12">
    <w:abstractNumId w:val="12"/>
  </w:num>
  <w:num w:numId="13">
    <w:abstractNumId w:val="2"/>
  </w:num>
  <w:num w:numId="14">
    <w:abstractNumId w:val="15"/>
  </w:num>
  <w:num w:numId="15">
    <w:abstractNumId w:val="17"/>
    <w:lvlOverride w:ilvl="0">
      <w:startOverride w:val="1"/>
    </w:lvlOverride>
  </w:num>
  <w:num w:numId="16">
    <w:abstractNumId w:val="0"/>
  </w:num>
  <w:num w:numId="17">
    <w:abstractNumId w:val="17"/>
    <w:lvlOverride w:ilvl="0">
      <w:startOverride w:val="1"/>
    </w:lvlOverride>
  </w:num>
  <w:num w:numId="18">
    <w:abstractNumId w:val="25"/>
  </w:num>
  <w:num w:numId="19">
    <w:abstractNumId w:val="3"/>
  </w:num>
  <w:num w:numId="20">
    <w:abstractNumId w:val="18"/>
  </w:num>
  <w:num w:numId="21">
    <w:abstractNumId w:val="4"/>
  </w:num>
  <w:num w:numId="22">
    <w:abstractNumId w:val="5"/>
  </w:num>
  <w:num w:numId="23">
    <w:abstractNumId w:val="17"/>
  </w:num>
  <w:num w:numId="24">
    <w:abstractNumId w:val="1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3"/>
  </w:num>
  <w:num w:numId="31">
    <w:abstractNumId w:val="27"/>
  </w:num>
  <w:num w:numId="32">
    <w:abstractNumId w:val="16"/>
  </w:num>
  <w:num w:numId="33">
    <w:abstractNumId w:val="9"/>
  </w:num>
  <w:num w:numId="34">
    <w:abstractNumId w:val="8"/>
  </w:num>
  <w:num w:numId="35">
    <w:abstractNumId w:val="26"/>
  </w:num>
  <w:num w:numId="3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s-EC"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C"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5D"/>
    <w:rsid w:val="00000108"/>
    <w:rsid w:val="00002056"/>
    <w:rsid w:val="0000214C"/>
    <w:rsid w:val="0000230A"/>
    <w:rsid w:val="000031BD"/>
    <w:rsid w:val="000034C8"/>
    <w:rsid w:val="00004154"/>
    <w:rsid w:val="000049F6"/>
    <w:rsid w:val="00005907"/>
    <w:rsid w:val="0000672A"/>
    <w:rsid w:val="00006B8A"/>
    <w:rsid w:val="000071BB"/>
    <w:rsid w:val="0000762E"/>
    <w:rsid w:val="000076C2"/>
    <w:rsid w:val="00010148"/>
    <w:rsid w:val="00010F4C"/>
    <w:rsid w:val="000115D3"/>
    <w:rsid w:val="00011F3F"/>
    <w:rsid w:val="000126DA"/>
    <w:rsid w:val="0001381C"/>
    <w:rsid w:val="000138B9"/>
    <w:rsid w:val="0001500B"/>
    <w:rsid w:val="000155A8"/>
    <w:rsid w:val="00015642"/>
    <w:rsid w:val="000156D5"/>
    <w:rsid w:val="00015862"/>
    <w:rsid w:val="000164D5"/>
    <w:rsid w:val="000166E1"/>
    <w:rsid w:val="0001755A"/>
    <w:rsid w:val="00017940"/>
    <w:rsid w:val="00017A81"/>
    <w:rsid w:val="000203D5"/>
    <w:rsid w:val="000205E1"/>
    <w:rsid w:val="000208F7"/>
    <w:rsid w:val="00022490"/>
    <w:rsid w:val="0002461F"/>
    <w:rsid w:val="0002509C"/>
    <w:rsid w:val="00025490"/>
    <w:rsid w:val="00027384"/>
    <w:rsid w:val="000275EE"/>
    <w:rsid w:val="00027E68"/>
    <w:rsid w:val="000301B5"/>
    <w:rsid w:val="0003042E"/>
    <w:rsid w:val="000304E8"/>
    <w:rsid w:val="00030C14"/>
    <w:rsid w:val="000315A0"/>
    <w:rsid w:val="00031DD3"/>
    <w:rsid w:val="00032BD8"/>
    <w:rsid w:val="00032CD8"/>
    <w:rsid w:val="00033440"/>
    <w:rsid w:val="00033A72"/>
    <w:rsid w:val="00033B58"/>
    <w:rsid w:val="00033DA6"/>
    <w:rsid w:val="0003451F"/>
    <w:rsid w:val="000348E1"/>
    <w:rsid w:val="00034A87"/>
    <w:rsid w:val="00034D25"/>
    <w:rsid w:val="000350CB"/>
    <w:rsid w:val="000357A1"/>
    <w:rsid w:val="00036251"/>
    <w:rsid w:val="0003697B"/>
    <w:rsid w:val="0003782A"/>
    <w:rsid w:val="00040B84"/>
    <w:rsid w:val="00040E3F"/>
    <w:rsid w:val="000410CB"/>
    <w:rsid w:val="000414BC"/>
    <w:rsid w:val="0004171C"/>
    <w:rsid w:val="0004230A"/>
    <w:rsid w:val="000425B2"/>
    <w:rsid w:val="000432B3"/>
    <w:rsid w:val="000439BD"/>
    <w:rsid w:val="00043BC4"/>
    <w:rsid w:val="000445EF"/>
    <w:rsid w:val="00044E51"/>
    <w:rsid w:val="00045227"/>
    <w:rsid w:val="00045279"/>
    <w:rsid w:val="00045568"/>
    <w:rsid w:val="000456FC"/>
    <w:rsid w:val="00045B10"/>
    <w:rsid w:val="00045F2D"/>
    <w:rsid w:val="0004605B"/>
    <w:rsid w:val="00046431"/>
    <w:rsid w:val="000478BA"/>
    <w:rsid w:val="000500B3"/>
    <w:rsid w:val="000500F6"/>
    <w:rsid w:val="000503E1"/>
    <w:rsid w:val="00050EE7"/>
    <w:rsid w:val="0005152D"/>
    <w:rsid w:val="0005260A"/>
    <w:rsid w:val="00052F7E"/>
    <w:rsid w:val="0005460A"/>
    <w:rsid w:val="00055617"/>
    <w:rsid w:val="000556C4"/>
    <w:rsid w:val="000556F7"/>
    <w:rsid w:val="00056053"/>
    <w:rsid w:val="00056A8B"/>
    <w:rsid w:val="00057516"/>
    <w:rsid w:val="00057FF7"/>
    <w:rsid w:val="00060508"/>
    <w:rsid w:val="00060580"/>
    <w:rsid w:val="00060888"/>
    <w:rsid w:val="000610B1"/>
    <w:rsid w:val="000614D3"/>
    <w:rsid w:val="0006271F"/>
    <w:rsid w:val="00062897"/>
    <w:rsid w:val="000633FC"/>
    <w:rsid w:val="000638C4"/>
    <w:rsid w:val="00063D96"/>
    <w:rsid w:val="00063F3C"/>
    <w:rsid w:val="00064D60"/>
    <w:rsid w:val="00065906"/>
    <w:rsid w:val="00065C04"/>
    <w:rsid w:val="00067EA0"/>
    <w:rsid w:val="00070DCE"/>
    <w:rsid w:val="00071BF5"/>
    <w:rsid w:val="00072425"/>
    <w:rsid w:val="00073220"/>
    <w:rsid w:val="00073EAB"/>
    <w:rsid w:val="000743BC"/>
    <w:rsid w:val="000743BF"/>
    <w:rsid w:val="0007555F"/>
    <w:rsid w:val="00075F60"/>
    <w:rsid w:val="000763E3"/>
    <w:rsid w:val="0008034B"/>
    <w:rsid w:val="000805F8"/>
    <w:rsid w:val="00081E1A"/>
    <w:rsid w:val="00082053"/>
    <w:rsid w:val="0008289E"/>
    <w:rsid w:val="00082A90"/>
    <w:rsid w:val="00082B75"/>
    <w:rsid w:val="00082BE2"/>
    <w:rsid w:val="000847CA"/>
    <w:rsid w:val="00084C4F"/>
    <w:rsid w:val="00085431"/>
    <w:rsid w:val="00085484"/>
    <w:rsid w:val="000858EC"/>
    <w:rsid w:val="00085FCD"/>
    <w:rsid w:val="00087D15"/>
    <w:rsid w:val="00087F9C"/>
    <w:rsid w:val="00090329"/>
    <w:rsid w:val="0009032C"/>
    <w:rsid w:val="0009058B"/>
    <w:rsid w:val="00090B8A"/>
    <w:rsid w:val="00091EDA"/>
    <w:rsid w:val="00092AB1"/>
    <w:rsid w:val="00092D9C"/>
    <w:rsid w:val="00094750"/>
    <w:rsid w:val="0009527F"/>
    <w:rsid w:val="00096C99"/>
    <w:rsid w:val="000974B8"/>
    <w:rsid w:val="00097781"/>
    <w:rsid w:val="00097E75"/>
    <w:rsid w:val="000A0824"/>
    <w:rsid w:val="000A0AB4"/>
    <w:rsid w:val="000A10B5"/>
    <w:rsid w:val="000A1BA8"/>
    <w:rsid w:val="000A1CA4"/>
    <w:rsid w:val="000A27C1"/>
    <w:rsid w:val="000A2BD0"/>
    <w:rsid w:val="000A3794"/>
    <w:rsid w:val="000A4FB0"/>
    <w:rsid w:val="000A4FF1"/>
    <w:rsid w:val="000A5640"/>
    <w:rsid w:val="000A5D1B"/>
    <w:rsid w:val="000A6CCD"/>
    <w:rsid w:val="000A6D80"/>
    <w:rsid w:val="000B09EC"/>
    <w:rsid w:val="000B0EEB"/>
    <w:rsid w:val="000B0F1B"/>
    <w:rsid w:val="000B16BF"/>
    <w:rsid w:val="000B2096"/>
    <w:rsid w:val="000B26FF"/>
    <w:rsid w:val="000B2B1D"/>
    <w:rsid w:val="000B38B9"/>
    <w:rsid w:val="000B3C1D"/>
    <w:rsid w:val="000B4109"/>
    <w:rsid w:val="000B4BE4"/>
    <w:rsid w:val="000B6BB5"/>
    <w:rsid w:val="000B6BEC"/>
    <w:rsid w:val="000B74EA"/>
    <w:rsid w:val="000B7581"/>
    <w:rsid w:val="000B7837"/>
    <w:rsid w:val="000C017B"/>
    <w:rsid w:val="000C0442"/>
    <w:rsid w:val="000C0A2F"/>
    <w:rsid w:val="000C0F51"/>
    <w:rsid w:val="000C1105"/>
    <w:rsid w:val="000C1159"/>
    <w:rsid w:val="000C1D89"/>
    <w:rsid w:val="000C1F33"/>
    <w:rsid w:val="000C2288"/>
    <w:rsid w:val="000C244E"/>
    <w:rsid w:val="000C4130"/>
    <w:rsid w:val="000C471F"/>
    <w:rsid w:val="000C4BE4"/>
    <w:rsid w:val="000C5D62"/>
    <w:rsid w:val="000C6E79"/>
    <w:rsid w:val="000C700D"/>
    <w:rsid w:val="000C7A79"/>
    <w:rsid w:val="000C7DC2"/>
    <w:rsid w:val="000D0FFE"/>
    <w:rsid w:val="000D1AE9"/>
    <w:rsid w:val="000D1BA4"/>
    <w:rsid w:val="000D2529"/>
    <w:rsid w:val="000D26D0"/>
    <w:rsid w:val="000D2B95"/>
    <w:rsid w:val="000D2FA5"/>
    <w:rsid w:val="000D3430"/>
    <w:rsid w:val="000D3BBE"/>
    <w:rsid w:val="000D4122"/>
    <w:rsid w:val="000D4367"/>
    <w:rsid w:val="000D43BA"/>
    <w:rsid w:val="000D4D7E"/>
    <w:rsid w:val="000D546C"/>
    <w:rsid w:val="000D6BAF"/>
    <w:rsid w:val="000D74A3"/>
    <w:rsid w:val="000D785D"/>
    <w:rsid w:val="000D7CAD"/>
    <w:rsid w:val="000D7E44"/>
    <w:rsid w:val="000E00A6"/>
    <w:rsid w:val="000E011F"/>
    <w:rsid w:val="000E0631"/>
    <w:rsid w:val="000E1500"/>
    <w:rsid w:val="000E1841"/>
    <w:rsid w:val="000E19E5"/>
    <w:rsid w:val="000E20D9"/>
    <w:rsid w:val="000E276C"/>
    <w:rsid w:val="000E3ECE"/>
    <w:rsid w:val="000E47E8"/>
    <w:rsid w:val="000E560D"/>
    <w:rsid w:val="000E7073"/>
    <w:rsid w:val="000E72CB"/>
    <w:rsid w:val="000E7E46"/>
    <w:rsid w:val="000F03D1"/>
    <w:rsid w:val="000F0627"/>
    <w:rsid w:val="000F0780"/>
    <w:rsid w:val="000F1AC7"/>
    <w:rsid w:val="000F2173"/>
    <w:rsid w:val="000F25D4"/>
    <w:rsid w:val="000F2678"/>
    <w:rsid w:val="000F29AB"/>
    <w:rsid w:val="000F42ED"/>
    <w:rsid w:val="000F4823"/>
    <w:rsid w:val="000F4BF0"/>
    <w:rsid w:val="000F5636"/>
    <w:rsid w:val="000F605A"/>
    <w:rsid w:val="000F6830"/>
    <w:rsid w:val="000F7032"/>
    <w:rsid w:val="000F76B7"/>
    <w:rsid w:val="000F7E23"/>
    <w:rsid w:val="00100D46"/>
    <w:rsid w:val="001011DF"/>
    <w:rsid w:val="001024A7"/>
    <w:rsid w:val="00103250"/>
    <w:rsid w:val="00103B81"/>
    <w:rsid w:val="00103C0C"/>
    <w:rsid w:val="00104333"/>
    <w:rsid w:val="00105160"/>
    <w:rsid w:val="001056F7"/>
    <w:rsid w:val="00105B93"/>
    <w:rsid w:val="00105C06"/>
    <w:rsid w:val="00106D1D"/>
    <w:rsid w:val="00107714"/>
    <w:rsid w:val="00110D9E"/>
    <w:rsid w:val="00111808"/>
    <w:rsid w:val="00111C1E"/>
    <w:rsid w:val="00112101"/>
    <w:rsid w:val="00112440"/>
    <w:rsid w:val="0011253A"/>
    <w:rsid w:val="00112818"/>
    <w:rsid w:val="00112BAE"/>
    <w:rsid w:val="00113270"/>
    <w:rsid w:val="001132C8"/>
    <w:rsid w:val="001132F0"/>
    <w:rsid w:val="00114677"/>
    <w:rsid w:val="00114F8C"/>
    <w:rsid w:val="0011580F"/>
    <w:rsid w:val="00115C02"/>
    <w:rsid w:val="001161CA"/>
    <w:rsid w:val="00116B06"/>
    <w:rsid w:val="00116D6A"/>
    <w:rsid w:val="001175DC"/>
    <w:rsid w:val="0011774D"/>
    <w:rsid w:val="001177B1"/>
    <w:rsid w:val="00117A25"/>
    <w:rsid w:val="00117CEC"/>
    <w:rsid w:val="00117F3D"/>
    <w:rsid w:val="001202E0"/>
    <w:rsid w:val="0012041C"/>
    <w:rsid w:val="00120C11"/>
    <w:rsid w:val="00120C60"/>
    <w:rsid w:val="00120CAD"/>
    <w:rsid w:val="0012100C"/>
    <w:rsid w:val="00122217"/>
    <w:rsid w:val="00122532"/>
    <w:rsid w:val="001227AE"/>
    <w:rsid w:val="0012439A"/>
    <w:rsid w:val="00124705"/>
    <w:rsid w:val="00127291"/>
    <w:rsid w:val="00127398"/>
    <w:rsid w:val="00127916"/>
    <w:rsid w:val="00130304"/>
    <w:rsid w:val="00130695"/>
    <w:rsid w:val="00131814"/>
    <w:rsid w:val="00132E8B"/>
    <w:rsid w:val="001345BB"/>
    <w:rsid w:val="00134E44"/>
    <w:rsid w:val="001350A8"/>
    <w:rsid w:val="0013661D"/>
    <w:rsid w:val="0013674B"/>
    <w:rsid w:val="00137112"/>
    <w:rsid w:val="001376C8"/>
    <w:rsid w:val="00140390"/>
    <w:rsid w:val="001424FE"/>
    <w:rsid w:val="0014270A"/>
    <w:rsid w:val="001428C9"/>
    <w:rsid w:val="00142A7A"/>
    <w:rsid w:val="00143140"/>
    <w:rsid w:val="00143237"/>
    <w:rsid w:val="00143D72"/>
    <w:rsid w:val="00145212"/>
    <w:rsid w:val="0014588D"/>
    <w:rsid w:val="00146608"/>
    <w:rsid w:val="0014672D"/>
    <w:rsid w:val="0014780B"/>
    <w:rsid w:val="001515E5"/>
    <w:rsid w:val="00151697"/>
    <w:rsid w:val="00151EE1"/>
    <w:rsid w:val="0015212B"/>
    <w:rsid w:val="001543AC"/>
    <w:rsid w:val="00154A08"/>
    <w:rsid w:val="00155527"/>
    <w:rsid w:val="001555C4"/>
    <w:rsid w:val="00155848"/>
    <w:rsid w:val="00155AA2"/>
    <w:rsid w:val="00155CCD"/>
    <w:rsid w:val="001560E0"/>
    <w:rsid w:val="00156329"/>
    <w:rsid w:val="00156E56"/>
    <w:rsid w:val="001576E6"/>
    <w:rsid w:val="00157865"/>
    <w:rsid w:val="001600A7"/>
    <w:rsid w:val="00160B9E"/>
    <w:rsid w:val="0016148A"/>
    <w:rsid w:val="0016185A"/>
    <w:rsid w:val="00162ACA"/>
    <w:rsid w:val="00163F66"/>
    <w:rsid w:val="001647C1"/>
    <w:rsid w:val="001649E2"/>
    <w:rsid w:val="00172312"/>
    <w:rsid w:val="00172746"/>
    <w:rsid w:val="00172D22"/>
    <w:rsid w:val="00174C43"/>
    <w:rsid w:val="00175CF1"/>
    <w:rsid w:val="0017776A"/>
    <w:rsid w:val="001777EA"/>
    <w:rsid w:val="0017799B"/>
    <w:rsid w:val="00177B28"/>
    <w:rsid w:val="00177D62"/>
    <w:rsid w:val="00180717"/>
    <w:rsid w:val="0018080A"/>
    <w:rsid w:val="00180E6D"/>
    <w:rsid w:val="001813E6"/>
    <w:rsid w:val="0018221C"/>
    <w:rsid w:val="0018239D"/>
    <w:rsid w:val="00183279"/>
    <w:rsid w:val="001842F6"/>
    <w:rsid w:val="001859DD"/>
    <w:rsid w:val="001859F7"/>
    <w:rsid w:val="001860CB"/>
    <w:rsid w:val="00186766"/>
    <w:rsid w:val="001870F7"/>
    <w:rsid w:val="00187CA1"/>
    <w:rsid w:val="00187E47"/>
    <w:rsid w:val="00190AF1"/>
    <w:rsid w:val="00191955"/>
    <w:rsid w:val="001928E4"/>
    <w:rsid w:val="00193209"/>
    <w:rsid w:val="0019320A"/>
    <w:rsid w:val="00193B51"/>
    <w:rsid w:val="00193EAB"/>
    <w:rsid w:val="001941FE"/>
    <w:rsid w:val="0019437A"/>
    <w:rsid w:val="00194404"/>
    <w:rsid w:val="00194877"/>
    <w:rsid w:val="00194CDC"/>
    <w:rsid w:val="00195138"/>
    <w:rsid w:val="001959CB"/>
    <w:rsid w:val="00195A77"/>
    <w:rsid w:val="00195B5C"/>
    <w:rsid w:val="00195D62"/>
    <w:rsid w:val="00196BA9"/>
    <w:rsid w:val="00196E7F"/>
    <w:rsid w:val="001975A7"/>
    <w:rsid w:val="00197CAF"/>
    <w:rsid w:val="001A0312"/>
    <w:rsid w:val="001A04C8"/>
    <w:rsid w:val="001A05AC"/>
    <w:rsid w:val="001A101E"/>
    <w:rsid w:val="001A16B4"/>
    <w:rsid w:val="001A1DEB"/>
    <w:rsid w:val="001A3401"/>
    <w:rsid w:val="001A36EB"/>
    <w:rsid w:val="001A430B"/>
    <w:rsid w:val="001A4D4C"/>
    <w:rsid w:val="001A526A"/>
    <w:rsid w:val="001A56F6"/>
    <w:rsid w:val="001A64E9"/>
    <w:rsid w:val="001A688D"/>
    <w:rsid w:val="001A6CAB"/>
    <w:rsid w:val="001A6F1A"/>
    <w:rsid w:val="001A7DCC"/>
    <w:rsid w:val="001B024E"/>
    <w:rsid w:val="001B1451"/>
    <w:rsid w:val="001B155B"/>
    <w:rsid w:val="001B1784"/>
    <w:rsid w:val="001B18CA"/>
    <w:rsid w:val="001B1B9F"/>
    <w:rsid w:val="001B1BAB"/>
    <w:rsid w:val="001B1E87"/>
    <w:rsid w:val="001B278E"/>
    <w:rsid w:val="001B387B"/>
    <w:rsid w:val="001B48CE"/>
    <w:rsid w:val="001B4E96"/>
    <w:rsid w:val="001B51F1"/>
    <w:rsid w:val="001B5913"/>
    <w:rsid w:val="001B59B8"/>
    <w:rsid w:val="001B6BF5"/>
    <w:rsid w:val="001B76B3"/>
    <w:rsid w:val="001B792D"/>
    <w:rsid w:val="001B794D"/>
    <w:rsid w:val="001B7CF8"/>
    <w:rsid w:val="001C0802"/>
    <w:rsid w:val="001C16C6"/>
    <w:rsid w:val="001C1FD1"/>
    <w:rsid w:val="001C20EF"/>
    <w:rsid w:val="001C287B"/>
    <w:rsid w:val="001C2F19"/>
    <w:rsid w:val="001C3800"/>
    <w:rsid w:val="001C48D7"/>
    <w:rsid w:val="001C48FD"/>
    <w:rsid w:val="001C4B02"/>
    <w:rsid w:val="001C509A"/>
    <w:rsid w:val="001C71AB"/>
    <w:rsid w:val="001C74B6"/>
    <w:rsid w:val="001C798E"/>
    <w:rsid w:val="001C7F53"/>
    <w:rsid w:val="001D0037"/>
    <w:rsid w:val="001D0C7E"/>
    <w:rsid w:val="001D1078"/>
    <w:rsid w:val="001D207D"/>
    <w:rsid w:val="001D3595"/>
    <w:rsid w:val="001D3BA9"/>
    <w:rsid w:val="001D3FD1"/>
    <w:rsid w:val="001D4BF4"/>
    <w:rsid w:val="001D50E5"/>
    <w:rsid w:val="001D51EB"/>
    <w:rsid w:val="001D6C6B"/>
    <w:rsid w:val="001D6F92"/>
    <w:rsid w:val="001D7540"/>
    <w:rsid w:val="001E0879"/>
    <w:rsid w:val="001E15B5"/>
    <w:rsid w:val="001E168B"/>
    <w:rsid w:val="001E3742"/>
    <w:rsid w:val="001E47A5"/>
    <w:rsid w:val="001E4A8E"/>
    <w:rsid w:val="001E4FCC"/>
    <w:rsid w:val="001E5B90"/>
    <w:rsid w:val="001E6399"/>
    <w:rsid w:val="001E6772"/>
    <w:rsid w:val="001E7972"/>
    <w:rsid w:val="001F06C0"/>
    <w:rsid w:val="001F2190"/>
    <w:rsid w:val="001F225F"/>
    <w:rsid w:val="001F22B1"/>
    <w:rsid w:val="001F238B"/>
    <w:rsid w:val="001F2A51"/>
    <w:rsid w:val="001F4074"/>
    <w:rsid w:val="001F4AAC"/>
    <w:rsid w:val="001F5AD0"/>
    <w:rsid w:val="001F7B45"/>
    <w:rsid w:val="001F7E7B"/>
    <w:rsid w:val="002013F8"/>
    <w:rsid w:val="0020153B"/>
    <w:rsid w:val="0020219B"/>
    <w:rsid w:val="00202C43"/>
    <w:rsid w:val="00202D11"/>
    <w:rsid w:val="00202F8E"/>
    <w:rsid w:val="00203106"/>
    <w:rsid w:val="002039A6"/>
    <w:rsid w:val="002051FE"/>
    <w:rsid w:val="00205628"/>
    <w:rsid w:val="00205881"/>
    <w:rsid w:val="002061DE"/>
    <w:rsid w:val="0021022C"/>
    <w:rsid w:val="002125A5"/>
    <w:rsid w:val="00213D9E"/>
    <w:rsid w:val="0021417C"/>
    <w:rsid w:val="0021548B"/>
    <w:rsid w:val="002155B5"/>
    <w:rsid w:val="00215A75"/>
    <w:rsid w:val="00215C02"/>
    <w:rsid w:val="00216236"/>
    <w:rsid w:val="0021628D"/>
    <w:rsid w:val="00216353"/>
    <w:rsid w:val="00216EDF"/>
    <w:rsid w:val="00217C3E"/>
    <w:rsid w:val="002204D7"/>
    <w:rsid w:val="00221A17"/>
    <w:rsid w:val="00221B8D"/>
    <w:rsid w:val="002231A6"/>
    <w:rsid w:val="0022342B"/>
    <w:rsid w:val="00223643"/>
    <w:rsid w:val="0022370A"/>
    <w:rsid w:val="00223D48"/>
    <w:rsid w:val="00224DB9"/>
    <w:rsid w:val="00226133"/>
    <w:rsid w:val="0022656E"/>
    <w:rsid w:val="0022668C"/>
    <w:rsid w:val="002273FF"/>
    <w:rsid w:val="00227447"/>
    <w:rsid w:val="002300CF"/>
    <w:rsid w:val="00232317"/>
    <w:rsid w:val="002328F9"/>
    <w:rsid w:val="00233113"/>
    <w:rsid w:val="002331E3"/>
    <w:rsid w:val="00233696"/>
    <w:rsid w:val="00233DAD"/>
    <w:rsid w:val="00235020"/>
    <w:rsid w:val="002354FD"/>
    <w:rsid w:val="002358DD"/>
    <w:rsid w:val="00236621"/>
    <w:rsid w:val="00236784"/>
    <w:rsid w:val="0023688A"/>
    <w:rsid w:val="002374CE"/>
    <w:rsid w:val="00237732"/>
    <w:rsid w:val="002378BB"/>
    <w:rsid w:val="00237C96"/>
    <w:rsid w:val="00237DA2"/>
    <w:rsid w:val="0024095E"/>
    <w:rsid w:val="00241E08"/>
    <w:rsid w:val="00242A66"/>
    <w:rsid w:val="00242DFC"/>
    <w:rsid w:val="00242E68"/>
    <w:rsid w:val="00244281"/>
    <w:rsid w:val="00244741"/>
    <w:rsid w:val="00245623"/>
    <w:rsid w:val="00245B05"/>
    <w:rsid w:val="0024692E"/>
    <w:rsid w:val="00246E27"/>
    <w:rsid w:val="002475E5"/>
    <w:rsid w:val="00250366"/>
    <w:rsid w:val="002506A5"/>
    <w:rsid w:val="00250C44"/>
    <w:rsid w:val="0025181E"/>
    <w:rsid w:val="00252048"/>
    <w:rsid w:val="0025284D"/>
    <w:rsid w:val="0025298F"/>
    <w:rsid w:val="0025305B"/>
    <w:rsid w:val="00253F49"/>
    <w:rsid w:val="00254005"/>
    <w:rsid w:val="00255761"/>
    <w:rsid w:val="00255A17"/>
    <w:rsid w:val="00255CA7"/>
    <w:rsid w:val="00255D72"/>
    <w:rsid w:val="00257728"/>
    <w:rsid w:val="00260E6C"/>
    <w:rsid w:val="00261D75"/>
    <w:rsid w:val="002621D5"/>
    <w:rsid w:val="00262591"/>
    <w:rsid w:val="002626FD"/>
    <w:rsid w:val="00262761"/>
    <w:rsid w:val="002634B7"/>
    <w:rsid w:val="002635EA"/>
    <w:rsid w:val="002635EB"/>
    <w:rsid w:val="0026388C"/>
    <w:rsid w:val="00263CE8"/>
    <w:rsid w:val="00263F5B"/>
    <w:rsid w:val="00264230"/>
    <w:rsid w:val="002647BE"/>
    <w:rsid w:val="002651D3"/>
    <w:rsid w:val="002654B9"/>
    <w:rsid w:val="00265994"/>
    <w:rsid w:val="00265A79"/>
    <w:rsid w:val="0026797A"/>
    <w:rsid w:val="00267F5B"/>
    <w:rsid w:val="00270EA4"/>
    <w:rsid w:val="00271DFD"/>
    <w:rsid w:val="00272F4C"/>
    <w:rsid w:val="002732DE"/>
    <w:rsid w:val="00273B30"/>
    <w:rsid w:val="00273EA5"/>
    <w:rsid w:val="002746DF"/>
    <w:rsid w:val="002752FC"/>
    <w:rsid w:val="0027563D"/>
    <w:rsid w:val="0027580D"/>
    <w:rsid w:val="00275BFD"/>
    <w:rsid w:val="00276ADB"/>
    <w:rsid w:val="00277190"/>
    <w:rsid w:val="00277797"/>
    <w:rsid w:val="002777A4"/>
    <w:rsid w:val="00277CD2"/>
    <w:rsid w:val="002804AC"/>
    <w:rsid w:val="002815EC"/>
    <w:rsid w:val="00281E52"/>
    <w:rsid w:val="00281FF2"/>
    <w:rsid w:val="002826A1"/>
    <w:rsid w:val="00283215"/>
    <w:rsid w:val="00283A6E"/>
    <w:rsid w:val="00284113"/>
    <w:rsid w:val="0028431B"/>
    <w:rsid w:val="00284705"/>
    <w:rsid w:val="0028589F"/>
    <w:rsid w:val="00285F55"/>
    <w:rsid w:val="002861DA"/>
    <w:rsid w:val="002864C4"/>
    <w:rsid w:val="00287168"/>
    <w:rsid w:val="00287EBE"/>
    <w:rsid w:val="00290695"/>
    <w:rsid w:val="00290A99"/>
    <w:rsid w:val="00290D75"/>
    <w:rsid w:val="00290F2E"/>
    <w:rsid w:val="002912E9"/>
    <w:rsid w:val="00291AA4"/>
    <w:rsid w:val="00292017"/>
    <w:rsid w:val="00292734"/>
    <w:rsid w:val="0029327F"/>
    <w:rsid w:val="00294389"/>
    <w:rsid w:val="00294C7D"/>
    <w:rsid w:val="002957CD"/>
    <w:rsid w:val="00295ADB"/>
    <w:rsid w:val="00296356"/>
    <w:rsid w:val="00296D4C"/>
    <w:rsid w:val="00297841"/>
    <w:rsid w:val="002A06EF"/>
    <w:rsid w:val="002A08A6"/>
    <w:rsid w:val="002A0E22"/>
    <w:rsid w:val="002A146F"/>
    <w:rsid w:val="002A1758"/>
    <w:rsid w:val="002A21BA"/>
    <w:rsid w:val="002A2DE3"/>
    <w:rsid w:val="002A3E28"/>
    <w:rsid w:val="002A4809"/>
    <w:rsid w:val="002A5D00"/>
    <w:rsid w:val="002A661D"/>
    <w:rsid w:val="002A6E95"/>
    <w:rsid w:val="002A72AE"/>
    <w:rsid w:val="002A76CC"/>
    <w:rsid w:val="002A7974"/>
    <w:rsid w:val="002A7DF3"/>
    <w:rsid w:val="002B0BB8"/>
    <w:rsid w:val="002B1249"/>
    <w:rsid w:val="002B3DB2"/>
    <w:rsid w:val="002B3E2E"/>
    <w:rsid w:val="002B3F11"/>
    <w:rsid w:val="002B4A5A"/>
    <w:rsid w:val="002B57F4"/>
    <w:rsid w:val="002B7CA5"/>
    <w:rsid w:val="002C0839"/>
    <w:rsid w:val="002C217B"/>
    <w:rsid w:val="002C22C5"/>
    <w:rsid w:val="002C3373"/>
    <w:rsid w:val="002C366A"/>
    <w:rsid w:val="002C3ECB"/>
    <w:rsid w:val="002C4375"/>
    <w:rsid w:val="002C44D6"/>
    <w:rsid w:val="002C5FB6"/>
    <w:rsid w:val="002C659E"/>
    <w:rsid w:val="002C68C7"/>
    <w:rsid w:val="002C6C2E"/>
    <w:rsid w:val="002C6DE0"/>
    <w:rsid w:val="002C6FD3"/>
    <w:rsid w:val="002C7144"/>
    <w:rsid w:val="002C71E0"/>
    <w:rsid w:val="002C7221"/>
    <w:rsid w:val="002C785F"/>
    <w:rsid w:val="002C78A4"/>
    <w:rsid w:val="002D1458"/>
    <w:rsid w:val="002D1531"/>
    <w:rsid w:val="002D18A6"/>
    <w:rsid w:val="002D1ED5"/>
    <w:rsid w:val="002D2628"/>
    <w:rsid w:val="002D2641"/>
    <w:rsid w:val="002D278E"/>
    <w:rsid w:val="002D2A75"/>
    <w:rsid w:val="002D2D48"/>
    <w:rsid w:val="002D3149"/>
    <w:rsid w:val="002D39CB"/>
    <w:rsid w:val="002D40F8"/>
    <w:rsid w:val="002D4AFB"/>
    <w:rsid w:val="002D4F69"/>
    <w:rsid w:val="002D526C"/>
    <w:rsid w:val="002D57DD"/>
    <w:rsid w:val="002D697B"/>
    <w:rsid w:val="002D6ABB"/>
    <w:rsid w:val="002D6D20"/>
    <w:rsid w:val="002D775D"/>
    <w:rsid w:val="002E0B2C"/>
    <w:rsid w:val="002E1060"/>
    <w:rsid w:val="002E10A9"/>
    <w:rsid w:val="002E141D"/>
    <w:rsid w:val="002E2C3A"/>
    <w:rsid w:val="002E348C"/>
    <w:rsid w:val="002E43FE"/>
    <w:rsid w:val="002E4627"/>
    <w:rsid w:val="002E4BEA"/>
    <w:rsid w:val="002E4ED9"/>
    <w:rsid w:val="002E57F7"/>
    <w:rsid w:val="002E5F7A"/>
    <w:rsid w:val="002E6308"/>
    <w:rsid w:val="002F0AAF"/>
    <w:rsid w:val="002F0B2A"/>
    <w:rsid w:val="002F12FF"/>
    <w:rsid w:val="002F1D45"/>
    <w:rsid w:val="002F2BE0"/>
    <w:rsid w:val="002F2E4D"/>
    <w:rsid w:val="002F356C"/>
    <w:rsid w:val="002F4916"/>
    <w:rsid w:val="002F5069"/>
    <w:rsid w:val="002F52A4"/>
    <w:rsid w:val="002F547A"/>
    <w:rsid w:val="002F690D"/>
    <w:rsid w:val="002F6EC0"/>
    <w:rsid w:val="003001AE"/>
    <w:rsid w:val="003006D1"/>
    <w:rsid w:val="00300841"/>
    <w:rsid w:val="003017C9"/>
    <w:rsid w:val="00301878"/>
    <w:rsid w:val="00302998"/>
    <w:rsid w:val="00302FA8"/>
    <w:rsid w:val="00303990"/>
    <w:rsid w:val="0030491B"/>
    <w:rsid w:val="00305699"/>
    <w:rsid w:val="003060DD"/>
    <w:rsid w:val="00306811"/>
    <w:rsid w:val="00306DA1"/>
    <w:rsid w:val="00306DAE"/>
    <w:rsid w:val="00307190"/>
    <w:rsid w:val="0030791E"/>
    <w:rsid w:val="00310BA3"/>
    <w:rsid w:val="0031154B"/>
    <w:rsid w:val="0031179F"/>
    <w:rsid w:val="00312313"/>
    <w:rsid w:val="00312979"/>
    <w:rsid w:val="00312C71"/>
    <w:rsid w:val="003132AE"/>
    <w:rsid w:val="0031497A"/>
    <w:rsid w:val="0031497B"/>
    <w:rsid w:val="0031685F"/>
    <w:rsid w:val="00317BDA"/>
    <w:rsid w:val="00320536"/>
    <w:rsid w:val="0032190C"/>
    <w:rsid w:val="003219A1"/>
    <w:rsid w:val="0032230E"/>
    <w:rsid w:val="00322519"/>
    <w:rsid w:val="003227A7"/>
    <w:rsid w:val="00322C5A"/>
    <w:rsid w:val="003236F5"/>
    <w:rsid w:val="00324C9D"/>
    <w:rsid w:val="0032557E"/>
    <w:rsid w:val="00326078"/>
    <w:rsid w:val="00326B07"/>
    <w:rsid w:val="00326F4D"/>
    <w:rsid w:val="00327B8B"/>
    <w:rsid w:val="00330388"/>
    <w:rsid w:val="0033216F"/>
    <w:rsid w:val="00332400"/>
    <w:rsid w:val="003332EF"/>
    <w:rsid w:val="00333BFC"/>
    <w:rsid w:val="00333D22"/>
    <w:rsid w:val="00333E67"/>
    <w:rsid w:val="0033449B"/>
    <w:rsid w:val="0033474F"/>
    <w:rsid w:val="003347C4"/>
    <w:rsid w:val="003351F9"/>
    <w:rsid w:val="00335A67"/>
    <w:rsid w:val="00336390"/>
    <w:rsid w:val="0033695C"/>
    <w:rsid w:val="00336CA1"/>
    <w:rsid w:val="00336CA4"/>
    <w:rsid w:val="00337615"/>
    <w:rsid w:val="003400C1"/>
    <w:rsid w:val="00340E81"/>
    <w:rsid w:val="00340FE9"/>
    <w:rsid w:val="00340FF5"/>
    <w:rsid w:val="00341116"/>
    <w:rsid w:val="00341E99"/>
    <w:rsid w:val="003422D9"/>
    <w:rsid w:val="0034260D"/>
    <w:rsid w:val="0034330E"/>
    <w:rsid w:val="0034395F"/>
    <w:rsid w:val="003443C8"/>
    <w:rsid w:val="003445B9"/>
    <w:rsid w:val="00344967"/>
    <w:rsid w:val="00345120"/>
    <w:rsid w:val="003463DF"/>
    <w:rsid w:val="00347065"/>
    <w:rsid w:val="00347EC9"/>
    <w:rsid w:val="00351667"/>
    <w:rsid w:val="00351823"/>
    <w:rsid w:val="00352DC0"/>
    <w:rsid w:val="003534D7"/>
    <w:rsid w:val="00354105"/>
    <w:rsid w:val="0035510C"/>
    <w:rsid w:val="003558C5"/>
    <w:rsid w:val="003560EC"/>
    <w:rsid w:val="0035725F"/>
    <w:rsid w:val="003573A8"/>
    <w:rsid w:val="003573FF"/>
    <w:rsid w:val="00357426"/>
    <w:rsid w:val="003578A1"/>
    <w:rsid w:val="00357C91"/>
    <w:rsid w:val="003615A4"/>
    <w:rsid w:val="00361D4F"/>
    <w:rsid w:val="00362E27"/>
    <w:rsid w:val="003630BE"/>
    <w:rsid w:val="00363E8F"/>
    <w:rsid w:val="00365744"/>
    <w:rsid w:val="0036596A"/>
    <w:rsid w:val="00365A6C"/>
    <w:rsid w:val="00365A8D"/>
    <w:rsid w:val="0036766B"/>
    <w:rsid w:val="00367834"/>
    <w:rsid w:val="00370A37"/>
    <w:rsid w:val="00370DEC"/>
    <w:rsid w:val="00371513"/>
    <w:rsid w:val="00372062"/>
    <w:rsid w:val="00372FCA"/>
    <w:rsid w:val="0037333A"/>
    <w:rsid w:val="00373384"/>
    <w:rsid w:val="00373731"/>
    <w:rsid w:val="0037385D"/>
    <w:rsid w:val="0037451D"/>
    <w:rsid w:val="0037681C"/>
    <w:rsid w:val="003768B0"/>
    <w:rsid w:val="00376DBE"/>
    <w:rsid w:val="003805E1"/>
    <w:rsid w:val="003813AE"/>
    <w:rsid w:val="00381797"/>
    <w:rsid w:val="003821DC"/>
    <w:rsid w:val="00382BCF"/>
    <w:rsid w:val="00382F19"/>
    <w:rsid w:val="0038322B"/>
    <w:rsid w:val="00383DFF"/>
    <w:rsid w:val="00383FA6"/>
    <w:rsid w:val="0038678B"/>
    <w:rsid w:val="00386FFC"/>
    <w:rsid w:val="00387B06"/>
    <w:rsid w:val="00391025"/>
    <w:rsid w:val="00391364"/>
    <w:rsid w:val="003924BF"/>
    <w:rsid w:val="0039324C"/>
    <w:rsid w:val="0039336C"/>
    <w:rsid w:val="00395731"/>
    <w:rsid w:val="003957EA"/>
    <w:rsid w:val="00396121"/>
    <w:rsid w:val="00396C2A"/>
    <w:rsid w:val="00396D9F"/>
    <w:rsid w:val="00396E4A"/>
    <w:rsid w:val="00397592"/>
    <w:rsid w:val="0039764C"/>
    <w:rsid w:val="00397985"/>
    <w:rsid w:val="00397CC1"/>
    <w:rsid w:val="003A0487"/>
    <w:rsid w:val="003A0AC2"/>
    <w:rsid w:val="003A1088"/>
    <w:rsid w:val="003A14AC"/>
    <w:rsid w:val="003A179F"/>
    <w:rsid w:val="003A2048"/>
    <w:rsid w:val="003A2A6E"/>
    <w:rsid w:val="003A2C72"/>
    <w:rsid w:val="003A4975"/>
    <w:rsid w:val="003A4EB0"/>
    <w:rsid w:val="003A5795"/>
    <w:rsid w:val="003A5CD5"/>
    <w:rsid w:val="003A6210"/>
    <w:rsid w:val="003A6640"/>
    <w:rsid w:val="003A676E"/>
    <w:rsid w:val="003A70C7"/>
    <w:rsid w:val="003A716E"/>
    <w:rsid w:val="003B0286"/>
    <w:rsid w:val="003B0E4E"/>
    <w:rsid w:val="003B1081"/>
    <w:rsid w:val="003B16B1"/>
    <w:rsid w:val="003B22AB"/>
    <w:rsid w:val="003B2E91"/>
    <w:rsid w:val="003B308E"/>
    <w:rsid w:val="003B4C41"/>
    <w:rsid w:val="003B5B59"/>
    <w:rsid w:val="003B5C42"/>
    <w:rsid w:val="003B6DDA"/>
    <w:rsid w:val="003B7158"/>
    <w:rsid w:val="003B7B70"/>
    <w:rsid w:val="003C099E"/>
    <w:rsid w:val="003C19C2"/>
    <w:rsid w:val="003C1B86"/>
    <w:rsid w:val="003C241C"/>
    <w:rsid w:val="003C280E"/>
    <w:rsid w:val="003C42ED"/>
    <w:rsid w:val="003C489E"/>
    <w:rsid w:val="003C4ADF"/>
    <w:rsid w:val="003C5441"/>
    <w:rsid w:val="003C5D8C"/>
    <w:rsid w:val="003C74E5"/>
    <w:rsid w:val="003D2673"/>
    <w:rsid w:val="003D2D70"/>
    <w:rsid w:val="003D3361"/>
    <w:rsid w:val="003D3621"/>
    <w:rsid w:val="003D5339"/>
    <w:rsid w:val="003D69B3"/>
    <w:rsid w:val="003D69D1"/>
    <w:rsid w:val="003D7E8C"/>
    <w:rsid w:val="003E00D9"/>
    <w:rsid w:val="003E0AF4"/>
    <w:rsid w:val="003E162C"/>
    <w:rsid w:val="003E289F"/>
    <w:rsid w:val="003E2C83"/>
    <w:rsid w:val="003E3AC1"/>
    <w:rsid w:val="003E4238"/>
    <w:rsid w:val="003E47AA"/>
    <w:rsid w:val="003E4E68"/>
    <w:rsid w:val="003E59DB"/>
    <w:rsid w:val="003E6348"/>
    <w:rsid w:val="003E6B9D"/>
    <w:rsid w:val="003E721C"/>
    <w:rsid w:val="003F0142"/>
    <w:rsid w:val="003F120A"/>
    <w:rsid w:val="003F12C0"/>
    <w:rsid w:val="003F1EF2"/>
    <w:rsid w:val="003F2A2A"/>
    <w:rsid w:val="003F2D80"/>
    <w:rsid w:val="003F46A2"/>
    <w:rsid w:val="003F5CAB"/>
    <w:rsid w:val="003F62ED"/>
    <w:rsid w:val="003F7185"/>
    <w:rsid w:val="003F7953"/>
    <w:rsid w:val="003F7B4C"/>
    <w:rsid w:val="00400388"/>
    <w:rsid w:val="0040133C"/>
    <w:rsid w:val="00401BB0"/>
    <w:rsid w:val="00401F1C"/>
    <w:rsid w:val="00401F32"/>
    <w:rsid w:val="0040383F"/>
    <w:rsid w:val="00403F74"/>
    <w:rsid w:val="004041ED"/>
    <w:rsid w:val="004054EC"/>
    <w:rsid w:val="0040558A"/>
    <w:rsid w:val="004055EE"/>
    <w:rsid w:val="0040562D"/>
    <w:rsid w:val="004062A4"/>
    <w:rsid w:val="00406AC5"/>
    <w:rsid w:val="00406D5D"/>
    <w:rsid w:val="00407692"/>
    <w:rsid w:val="00407A7B"/>
    <w:rsid w:val="00407C2A"/>
    <w:rsid w:val="0041090D"/>
    <w:rsid w:val="0041132B"/>
    <w:rsid w:val="00411A0D"/>
    <w:rsid w:val="00412D29"/>
    <w:rsid w:val="00414C82"/>
    <w:rsid w:val="0041509F"/>
    <w:rsid w:val="00416997"/>
    <w:rsid w:val="004170E1"/>
    <w:rsid w:val="00420166"/>
    <w:rsid w:val="00420990"/>
    <w:rsid w:val="00421EC1"/>
    <w:rsid w:val="004222AE"/>
    <w:rsid w:val="004224EB"/>
    <w:rsid w:val="00424582"/>
    <w:rsid w:val="004251CF"/>
    <w:rsid w:val="00425424"/>
    <w:rsid w:val="00425C31"/>
    <w:rsid w:val="004261A0"/>
    <w:rsid w:val="004263A1"/>
    <w:rsid w:val="00426CAA"/>
    <w:rsid w:val="00427FE5"/>
    <w:rsid w:val="004304A8"/>
    <w:rsid w:val="004307A1"/>
    <w:rsid w:val="00430EBE"/>
    <w:rsid w:val="004315E0"/>
    <w:rsid w:val="004329CE"/>
    <w:rsid w:val="00432B46"/>
    <w:rsid w:val="00434053"/>
    <w:rsid w:val="004340CF"/>
    <w:rsid w:val="00434905"/>
    <w:rsid w:val="00434C4F"/>
    <w:rsid w:val="00435849"/>
    <w:rsid w:val="004359B5"/>
    <w:rsid w:val="00435B99"/>
    <w:rsid w:val="004367B9"/>
    <w:rsid w:val="00437C11"/>
    <w:rsid w:val="0044007E"/>
    <w:rsid w:val="00440253"/>
    <w:rsid w:val="004407BD"/>
    <w:rsid w:val="00442095"/>
    <w:rsid w:val="00442171"/>
    <w:rsid w:val="00442CFB"/>
    <w:rsid w:val="00443786"/>
    <w:rsid w:val="004446CF"/>
    <w:rsid w:val="004446E8"/>
    <w:rsid w:val="004447D5"/>
    <w:rsid w:val="004449BB"/>
    <w:rsid w:val="00445C9E"/>
    <w:rsid w:val="004470E0"/>
    <w:rsid w:val="00447153"/>
    <w:rsid w:val="00451025"/>
    <w:rsid w:val="00451F5A"/>
    <w:rsid w:val="0045255F"/>
    <w:rsid w:val="00453741"/>
    <w:rsid w:val="004538FA"/>
    <w:rsid w:val="0045565A"/>
    <w:rsid w:val="00455FD1"/>
    <w:rsid w:val="0045642C"/>
    <w:rsid w:val="0045771F"/>
    <w:rsid w:val="00457ACF"/>
    <w:rsid w:val="00457C1E"/>
    <w:rsid w:val="00457FEF"/>
    <w:rsid w:val="004602AD"/>
    <w:rsid w:val="004602DF"/>
    <w:rsid w:val="0046048C"/>
    <w:rsid w:val="00460491"/>
    <w:rsid w:val="00460B41"/>
    <w:rsid w:val="00461FED"/>
    <w:rsid w:val="00462131"/>
    <w:rsid w:val="00462419"/>
    <w:rsid w:val="0046254F"/>
    <w:rsid w:val="0046261E"/>
    <w:rsid w:val="00462AA9"/>
    <w:rsid w:val="004635CC"/>
    <w:rsid w:val="00463762"/>
    <w:rsid w:val="004647D1"/>
    <w:rsid w:val="00464FA3"/>
    <w:rsid w:val="0046641E"/>
    <w:rsid w:val="004669E7"/>
    <w:rsid w:val="004714B3"/>
    <w:rsid w:val="00471A38"/>
    <w:rsid w:val="00471EC3"/>
    <w:rsid w:val="00472586"/>
    <w:rsid w:val="00472BEB"/>
    <w:rsid w:val="00473ADC"/>
    <w:rsid w:val="00473CF6"/>
    <w:rsid w:val="00474778"/>
    <w:rsid w:val="00474DAF"/>
    <w:rsid w:val="0047574D"/>
    <w:rsid w:val="00475AA7"/>
    <w:rsid w:val="00475ACA"/>
    <w:rsid w:val="00475F9E"/>
    <w:rsid w:val="004768D4"/>
    <w:rsid w:val="004773A7"/>
    <w:rsid w:val="00477651"/>
    <w:rsid w:val="00480C98"/>
    <w:rsid w:val="00480EA9"/>
    <w:rsid w:val="004818B7"/>
    <w:rsid w:val="004818CC"/>
    <w:rsid w:val="004818D8"/>
    <w:rsid w:val="00481C6A"/>
    <w:rsid w:val="004821FB"/>
    <w:rsid w:val="004830F0"/>
    <w:rsid w:val="00483314"/>
    <w:rsid w:val="00483FF4"/>
    <w:rsid w:val="004844F3"/>
    <w:rsid w:val="00484642"/>
    <w:rsid w:val="0048534E"/>
    <w:rsid w:val="00486BD0"/>
    <w:rsid w:val="00491333"/>
    <w:rsid w:val="004927E5"/>
    <w:rsid w:val="004932E7"/>
    <w:rsid w:val="00493C80"/>
    <w:rsid w:val="00494685"/>
    <w:rsid w:val="004948CA"/>
    <w:rsid w:val="00495C42"/>
    <w:rsid w:val="00496359"/>
    <w:rsid w:val="00496600"/>
    <w:rsid w:val="00496A3A"/>
    <w:rsid w:val="00497FD9"/>
    <w:rsid w:val="004A0950"/>
    <w:rsid w:val="004A0ABE"/>
    <w:rsid w:val="004A19BF"/>
    <w:rsid w:val="004A2C67"/>
    <w:rsid w:val="004A3811"/>
    <w:rsid w:val="004A396E"/>
    <w:rsid w:val="004A3995"/>
    <w:rsid w:val="004A42F6"/>
    <w:rsid w:val="004A52EA"/>
    <w:rsid w:val="004A55CB"/>
    <w:rsid w:val="004A58FB"/>
    <w:rsid w:val="004A6001"/>
    <w:rsid w:val="004B0306"/>
    <w:rsid w:val="004B0452"/>
    <w:rsid w:val="004B046C"/>
    <w:rsid w:val="004B04CA"/>
    <w:rsid w:val="004B0653"/>
    <w:rsid w:val="004B07EC"/>
    <w:rsid w:val="004B119A"/>
    <w:rsid w:val="004B1BBC"/>
    <w:rsid w:val="004B1BEF"/>
    <w:rsid w:val="004B20A5"/>
    <w:rsid w:val="004B2B6A"/>
    <w:rsid w:val="004B40AB"/>
    <w:rsid w:val="004B45F5"/>
    <w:rsid w:val="004B6010"/>
    <w:rsid w:val="004B6254"/>
    <w:rsid w:val="004B66B0"/>
    <w:rsid w:val="004C06E1"/>
    <w:rsid w:val="004C198C"/>
    <w:rsid w:val="004C33F8"/>
    <w:rsid w:val="004C3845"/>
    <w:rsid w:val="004C4127"/>
    <w:rsid w:val="004C4129"/>
    <w:rsid w:val="004C4B65"/>
    <w:rsid w:val="004C4E7D"/>
    <w:rsid w:val="004C5616"/>
    <w:rsid w:val="004C6BA4"/>
    <w:rsid w:val="004C71BD"/>
    <w:rsid w:val="004C73D2"/>
    <w:rsid w:val="004C745D"/>
    <w:rsid w:val="004C78C6"/>
    <w:rsid w:val="004C7A7C"/>
    <w:rsid w:val="004D04C9"/>
    <w:rsid w:val="004D0A09"/>
    <w:rsid w:val="004D1603"/>
    <w:rsid w:val="004D1797"/>
    <w:rsid w:val="004D1C1C"/>
    <w:rsid w:val="004D2F0B"/>
    <w:rsid w:val="004D39C7"/>
    <w:rsid w:val="004D3A5C"/>
    <w:rsid w:val="004D4F2E"/>
    <w:rsid w:val="004D641D"/>
    <w:rsid w:val="004D6EDE"/>
    <w:rsid w:val="004D6FFA"/>
    <w:rsid w:val="004D7C46"/>
    <w:rsid w:val="004D7DC4"/>
    <w:rsid w:val="004E0A3F"/>
    <w:rsid w:val="004E1343"/>
    <w:rsid w:val="004E1C4F"/>
    <w:rsid w:val="004E21BD"/>
    <w:rsid w:val="004E4295"/>
    <w:rsid w:val="004E452E"/>
    <w:rsid w:val="004E4B1E"/>
    <w:rsid w:val="004E4CD4"/>
    <w:rsid w:val="004E5446"/>
    <w:rsid w:val="004E589B"/>
    <w:rsid w:val="004E5CB4"/>
    <w:rsid w:val="004E6C9C"/>
    <w:rsid w:val="004E770A"/>
    <w:rsid w:val="004F033C"/>
    <w:rsid w:val="004F034A"/>
    <w:rsid w:val="004F0806"/>
    <w:rsid w:val="004F085E"/>
    <w:rsid w:val="004F0885"/>
    <w:rsid w:val="004F1208"/>
    <w:rsid w:val="004F2AE0"/>
    <w:rsid w:val="004F3009"/>
    <w:rsid w:val="004F35EE"/>
    <w:rsid w:val="004F4C34"/>
    <w:rsid w:val="004F5EAE"/>
    <w:rsid w:val="004F6986"/>
    <w:rsid w:val="004F7B81"/>
    <w:rsid w:val="00500FF6"/>
    <w:rsid w:val="0050118B"/>
    <w:rsid w:val="005013A0"/>
    <w:rsid w:val="005016BE"/>
    <w:rsid w:val="00501D70"/>
    <w:rsid w:val="00501EDE"/>
    <w:rsid w:val="005024D5"/>
    <w:rsid w:val="005027B9"/>
    <w:rsid w:val="005038D9"/>
    <w:rsid w:val="00503CB7"/>
    <w:rsid w:val="00504C16"/>
    <w:rsid w:val="00504E0D"/>
    <w:rsid w:val="00505121"/>
    <w:rsid w:val="005053B6"/>
    <w:rsid w:val="0050575A"/>
    <w:rsid w:val="00505EA4"/>
    <w:rsid w:val="00506873"/>
    <w:rsid w:val="00506A15"/>
    <w:rsid w:val="00506C93"/>
    <w:rsid w:val="00507527"/>
    <w:rsid w:val="005079DF"/>
    <w:rsid w:val="00507B96"/>
    <w:rsid w:val="0051133C"/>
    <w:rsid w:val="005114F5"/>
    <w:rsid w:val="00511E2B"/>
    <w:rsid w:val="005121C7"/>
    <w:rsid w:val="0051221D"/>
    <w:rsid w:val="005127DF"/>
    <w:rsid w:val="0051346F"/>
    <w:rsid w:val="005135AF"/>
    <w:rsid w:val="00514E1C"/>
    <w:rsid w:val="00515BFA"/>
    <w:rsid w:val="005161CA"/>
    <w:rsid w:val="00516A39"/>
    <w:rsid w:val="0051746D"/>
    <w:rsid w:val="00517651"/>
    <w:rsid w:val="0052133C"/>
    <w:rsid w:val="00521656"/>
    <w:rsid w:val="005217D3"/>
    <w:rsid w:val="00521BAC"/>
    <w:rsid w:val="005223D1"/>
    <w:rsid w:val="00522DCE"/>
    <w:rsid w:val="0052306C"/>
    <w:rsid w:val="005235D3"/>
    <w:rsid w:val="0052368A"/>
    <w:rsid w:val="00523A51"/>
    <w:rsid w:val="00523E48"/>
    <w:rsid w:val="005240FA"/>
    <w:rsid w:val="00525427"/>
    <w:rsid w:val="00525AE0"/>
    <w:rsid w:val="00525F4F"/>
    <w:rsid w:val="00526280"/>
    <w:rsid w:val="00526315"/>
    <w:rsid w:val="00526E35"/>
    <w:rsid w:val="005277E8"/>
    <w:rsid w:val="00527FE9"/>
    <w:rsid w:val="00530AA6"/>
    <w:rsid w:val="00531930"/>
    <w:rsid w:val="00531B32"/>
    <w:rsid w:val="005321E5"/>
    <w:rsid w:val="005327F6"/>
    <w:rsid w:val="005329F0"/>
    <w:rsid w:val="00533EBF"/>
    <w:rsid w:val="005342C9"/>
    <w:rsid w:val="0053503C"/>
    <w:rsid w:val="00535C74"/>
    <w:rsid w:val="00535D62"/>
    <w:rsid w:val="00536162"/>
    <w:rsid w:val="00536FAB"/>
    <w:rsid w:val="005405D5"/>
    <w:rsid w:val="00540A1F"/>
    <w:rsid w:val="00541E75"/>
    <w:rsid w:val="0054222B"/>
    <w:rsid w:val="00542E4A"/>
    <w:rsid w:val="0054367C"/>
    <w:rsid w:val="00543729"/>
    <w:rsid w:val="00543F9E"/>
    <w:rsid w:val="00544D4A"/>
    <w:rsid w:val="00545EDF"/>
    <w:rsid w:val="0054737B"/>
    <w:rsid w:val="005512AB"/>
    <w:rsid w:val="00552719"/>
    <w:rsid w:val="005529E3"/>
    <w:rsid w:val="00552AC7"/>
    <w:rsid w:val="00553101"/>
    <w:rsid w:val="00553571"/>
    <w:rsid w:val="005555EE"/>
    <w:rsid w:val="00555AD5"/>
    <w:rsid w:val="00556102"/>
    <w:rsid w:val="00556248"/>
    <w:rsid w:val="00560502"/>
    <w:rsid w:val="00560A7F"/>
    <w:rsid w:val="0056171A"/>
    <w:rsid w:val="00561C50"/>
    <w:rsid w:val="005625E3"/>
    <w:rsid w:val="00562F4C"/>
    <w:rsid w:val="0056358B"/>
    <w:rsid w:val="00563A6B"/>
    <w:rsid w:val="00563D6A"/>
    <w:rsid w:val="00564021"/>
    <w:rsid w:val="0056468F"/>
    <w:rsid w:val="005647EF"/>
    <w:rsid w:val="00565BAF"/>
    <w:rsid w:val="00565E8F"/>
    <w:rsid w:val="00566158"/>
    <w:rsid w:val="0056628C"/>
    <w:rsid w:val="00567911"/>
    <w:rsid w:val="005709B0"/>
    <w:rsid w:val="00570F81"/>
    <w:rsid w:val="00571259"/>
    <w:rsid w:val="00571DFD"/>
    <w:rsid w:val="005727CF"/>
    <w:rsid w:val="005730BB"/>
    <w:rsid w:val="005734F7"/>
    <w:rsid w:val="005736E0"/>
    <w:rsid w:val="00573B03"/>
    <w:rsid w:val="005742D4"/>
    <w:rsid w:val="005744C0"/>
    <w:rsid w:val="00576659"/>
    <w:rsid w:val="005772AF"/>
    <w:rsid w:val="005776FF"/>
    <w:rsid w:val="00577A80"/>
    <w:rsid w:val="00580222"/>
    <w:rsid w:val="0058107B"/>
    <w:rsid w:val="005826D0"/>
    <w:rsid w:val="00582F13"/>
    <w:rsid w:val="0058391F"/>
    <w:rsid w:val="00585A92"/>
    <w:rsid w:val="00586569"/>
    <w:rsid w:val="005910D3"/>
    <w:rsid w:val="00591C69"/>
    <w:rsid w:val="00591EA9"/>
    <w:rsid w:val="00592478"/>
    <w:rsid w:val="005925E1"/>
    <w:rsid w:val="0059398E"/>
    <w:rsid w:val="00593C5C"/>
    <w:rsid w:val="00594DDE"/>
    <w:rsid w:val="00595193"/>
    <w:rsid w:val="00595A01"/>
    <w:rsid w:val="00595B2C"/>
    <w:rsid w:val="00595B77"/>
    <w:rsid w:val="00595C28"/>
    <w:rsid w:val="00596051"/>
    <w:rsid w:val="00596968"/>
    <w:rsid w:val="00596ABC"/>
    <w:rsid w:val="00596F44"/>
    <w:rsid w:val="005974AD"/>
    <w:rsid w:val="0059757A"/>
    <w:rsid w:val="005A043B"/>
    <w:rsid w:val="005A0A6E"/>
    <w:rsid w:val="005A0C14"/>
    <w:rsid w:val="005A0FC2"/>
    <w:rsid w:val="005A13E0"/>
    <w:rsid w:val="005A17CB"/>
    <w:rsid w:val="005A37C0"/>
    <w:rsid w:val="005A3FD5"/>
    <w:rsid w:val="005A53EF"/>
    <w:rsid w:val="005A55B2"/>
    <w:rsid w:val="005A5FF2"/>
    <w:rsid w:val="005A6F2B"/>
    <w:rsid w:val="005A7CDD"/>
    <w:rsid w:val="005B1133"/>
    <w:rsid w:val="005B12D9"/>
    <w:rsid w:val="005B17DF"/>
    <w:rsid w:val="005B1800"/>
    <w:rsid w:val="005B245E"/>
    <w:rsid w:val="005B2CEC"/>
    <w:rsid w:val="005B3A2C"/>
    <w:rsid w:val="005B3E6A"/>
    <w:rsid w:val="005B3EF1"/>
    <w:rsid w:val="005B42A9"/>
    <w:rsid w:val="005B49BF"/>
    <w:rsid w:val="005B4E94"/>
    <w:rsid w:val="005B4FB1"/>
    <w:rsid w:val="005B572E"/>
    <w:rsid w:val="005B60E0"/>
    <w:rsid w:val="005B657E"/>
    <w:rsid w:val="005B67EE"/>
    <w:rsid w:val="005B7081"/>
    <w:rsid w:val="005B708C"/>
    <w:rsid w:val="005B7C7A"/>
    <w:rsid w:val="005B7D4E"/>
    <w:rsid w:val="005C1743"/>
    <w:rsid w:val="005C255E"/>
    <w:rsid w:val="005C3C9C"/>
    <w:rsid w:val="005C3E19"/>
    <w:rsid w:val="005C620B"/>
    <w:rsid w:val="005C67E7"/>
    <w:rsid w:val="005C688A"/>
    <w:rsid w:val="005C70CA"/>
    <w:rsid w:val="005C74D7"/>
    <w:rsid w:val="005C7CBE"/>
    <w:rsid w:val="005D0D31"/>
    <w:rsid w:val="005D0DD3"/>
    <w:rsid w:val="005D12F5"/>
    <w:rsid w:val="005D1316"/>
    <w:rsid w:val="005D136C"/>
    <w:rsid w:val="005D17FB"/>
    <w:rsid w:val="005D1BDE"/>
    <w:rsid w:val="005D22E7"/>
    <w:rsid w:val="005D23A3"/>
    <w:rsid w:val="005D33CE"/>
    <w:rsid w:val="005D38BE"/>
    <w:rsid w:val="005D4719"/>
    <w:rsid w:val="005D47AE"/>
    <w:rsid w:val="005D4DB8"/>
    <w:rsid w:val="005D528C"/>
    <w:rsid w:val="005D54FC"/>
    <w:rsid w:val="005D5F65"/>
    <w:rsid w:val="005D7017"/>
    <w:rsid w:val="005D7417"/>
    <w:rsid w:val="005D74EA"/>
    <w:rsid w:val="005D765C"/>
    <w:rsid w:val="005D7BE5"/>
    <w:rsid w:val="005E0A1E"/>
    <w:rsid w:val="005E144E"/>
    <w:rsid w:val="005E1587"/>
    <w:rsid w:val="005E224D"/>
    <w:rsid w:val="005E2471"/>
    <w:rsid w:val="005E26A2"/>
    <w:rsid w:val="005E39D5"/>
    <w:rsid w:val="005E4CF3"/>
    <w:rsid w:val="005E4F72"/>
    <w:rsid w:val="005E57C1"/>
    <w:rsid w:val="005E629D"/>
    <w:rsid w:val="005E64D9"/>
    <w:rsid w:val="005E6AEC"/>
    <w:rsid w:val="005E6B34"/>
    <w:rsid w:val="005E6FD5"/>
    <w:rsid w:val="005E776B"/>
    <w:rsid w:val="005F090A"/>
    <w:rsid w:val="005F117A"/>
    <w:rsid w:val="005F13F1"/>
    <w:rsid w:val="005F2093"/>
    <w:rsid w:val="005F2916"/>
    <w:rsid w:val="005F3E12"/>
    <w:rsid w:val="005F42B4"/>
    <w:rsid w:val="005F4612"/>
    <w:rsid w:val="005F4BE0"/>
    <w:rsid w:val="005F4DB7"/>
    <w:rsid w:val="005F4F88"/>
    <w:rsid w:val="005F56EC"/>
    <w:rsid w:val="005F5FE3"/>
    <w:rsid w:val="005F6ADB"/>
    <w:rsid w:val="005F720A"/>
    <w:rsid w:val="00600B2A"/>
    <w:rsid w:val="00601FB5"/>
    <w:rsid w:val="006023D8"/>
    <w:rsid w:val="006041DD"/>
    <w:rsid w:val="006044A8"/>
    <w:rsid w:val="00604617"/>
    <w:rsid w:val="00604749"/>
    <w:rsid w:val="006053B4"/>
    <w:rsid w:val="00605749"/>
    <w:rsid w:val="0060581F"/>
    <w:rsid w:val="00605EED"/>
    <w:rsid w:val="00606099"/>
    <w:rsid w:val="00606225"/>
    <w:rsid w:val="006063B6"/>
    <w:rsid w:val="00606CD6"/>
    <w:rsid w:val="006072E4"/>
    <w:rsid w:val="00607672"/>
    <w:rsid w:val="0061078A"/>
    <w:rsid w:val="0061173C"/>
    <w:rsid w:val="00611AA0"/>
    <w:rsid w:val="00612F4B"/>
    <w:rsid w:val="0061331F"/>
    <w:rsid w:val="006136A3"/>
    <w:rsid w:val="0061457B"/>
    <w:rsid w:val="00615E8B"/>
    <w:rsid w:val="00616AC1"/>
    <w:rsid w:val="00617B36"/>
    <w:rsid w:val="00617F8B"/>
    <w:rsid w:val="00620976"/>
    <w:rsid w:val="00620E85"/>
    <w:rsid w:val="0062108C"/>
    <w:rsid w:val="006215C4"/>
    <w:rsid w:val="006218B1"/>
    <w:rsid w:val="00622422"/>
    <w:rsid w:val="00622A03"/>
    <w:rsid w:val="00622A1F"/>
    <w:rsid w:val="00622ABF"/>
    <w:rsid w:val="00622EB8"/>
    <w:rsid w:val="00623652"/>
    <w:rsid w:val="00623954"/>
    <w:rsid w:val="006239EA"/>
    <w:rsid w:val="00624464"/>
    <w:rsid w:val="00624E24"/>
    <w:rsid w:val="00625AC2"/>
    <w:rsid w:val="00625F22"/>
    <w:rsid w:val="006267EA"/>
    <w:rsid w:val="006269EA"/>
    <w:rsid w:val="00626B6D"/>
    <w:rsid w:val="00627278"/>
    <w:rsid w:val="0062727F"/>
    <w:rsid w:val="0062738C"/>
    <w:rsid w:val="00627CBE"/>
    <w:rsid w:val="00630128"/>
    <w:rsid w:val="00630469"/>
    <w:rsid w:val="00630922"/>
    <w:rsid w:val="006309E7"/>
    <w:rsid w:val="00631A00"/>
    <w:rsid w:val="00631BC2"/>
    <w:rsid w:val="00631F3E"/>
    <w:rsid w:val="00632046"/>
    <w:rsid w:val="0063426D"/>
    <w:rsid w:val="006350F5"/>
    <w:rsid w:val="00635F8A"/>
    <w:rsid w:val="0063685F"/>
    <w:rsid w:val="006368AC"/>
    <w:rsid w:val="00637B51"/>
    <w:rsid w:val="00637C8E"/>
    <w:rsid w:val="0064042C"/>
    <w:rsid w:val="00640839"/>
    <w:rsid w:val="00640913"/>
    <w:rsid w:val="00640B75"/>
    <w:rsid w:val="006421A2"/>
    <w:rsid w:val="0064293B"/>
    <w:rsid w:val="00642DB5"/>
    <w:rsid w:val="00644C65"/>
    <w:rsid w:val="00644CC3"/>
    <w:rsid w:val="0064585E"/>
    <w:rsid w:val="00645FD3"/>
    <w:rsid w:val="0064636C"/>
    <w:rsid w:val="006463DD"/>
    <w:rsid w:val="0064650C"/>
    <w:rsid w:val="00647379"/>
    <w:rsid w:val="006505B5"/>
    <w:rsid w:val="006507FE"/>
    <w:rsid w:val="006510F8"/>
    <w:rsid w:val="00652063"/>
    <w:rsid w:val="00652C3F"/>
    <w:rsid w:val="00654335"/>
    <w:rsid w:val="006543FD"/>
    <w:rsid w:val="00654B9E"/>
    <w:rsid w:val="00655065"/>
    <w:rsid w:val="00656481"/>
    <w:rsid w:val="00657B26"/>
    <w:rsid w:val="00661B21"/>
    <w:rsid w:val="00661B76"/>
    <w:rsid w:val="00664031"/>
    <w:rsid w:val="006649D1"/>
    <w:rsid w:val="006655DA"/>
    <w:rsid w:val="00666FCF"/>
    <w:rsid w:val="00670BBA"/>
    <w:rsid w:val="00670DFD"/>
    <w:rsid w:val="006718C1"/>
    <w:rsid w:val="00672272"/>
    <w:rsid w:val="00672327"/>
    <w:rsid w:val="006732C3"/>
    <w:rsid w:val="00673A35"/>
    <w:rsid w:val="006748AC"/>
    <w:rsid w:val="00674D85"/>
    <w:rsid w:val="006764A0"/>
    <w:rsid w:val="006768EF"/>
    <w:rsid w:val="00677734"/>
    <w:rsid w:val="00680494"/>
    <w:rsid w:val="006805F5"/>
    <w:rsid w:val="006806DF"/>
    <w:rsid w:val="00680EC5"/>
    <w:rsid w:val="00681293"/>
    <w:rsid w:val="006816AA"/>
    <w:rsid w:val="006816C9"/>
    <w:rsid w:val="0068196C"/>
    <w:rsid w:val="006841CA"/>
    <w:rsid w:val="00685AB4"/>
    <w:rsid w:val="006862AC"/>
    <w:rsid w:val="00686960"/>
    <w:rsid w:val="006877B3"/>
    <w:rsid w:val="0068788D"/>
    <w:rsid w:val="006902D6"/>
    <w:rsid w:val="006911C0"/>
    <w:rsid w:val="00691698"/>
    <w:rsid w:val="00691E2D"/>
    <w:rsid w:val="00692716"/>
    <w:rsid w:val="00692742"/>
    <w:rsid w:val="00692BF6"/>
    <w:rsid w:val="00693276"/>
    <w:rsid w:val="00693940"/>
    <w:rsid w:val="00693CCF"/>
    <w:rsid w:val="00693D92"/>
    <w:rsid w:val="00694D0D"/>
    <w:rsid w:val="00695193"/>
    <w:rsid w:val="006954C8"/>
    <w:rsid w:val="0069582B"/>
    <w:rsid w:val="00695B64"/>
    <w:rsid w:val="00696619"/>
    <w:rsid w:val="00697036"/>
    <w:rsid w:val="00697737"/>
    <w:rsid w:val="006A1615"/>
    <w:rsid w:val="006A18AD"/>
    <w:rsid w:val="006A23C7"/>
    <w:rsid w:val="006A3483"/>
    <w:rsid w:val="006A5233"/>
    <w:rsid w:val="006A5460"/>
    <w:rsid w:val="006A5E9C"/>
    <w:rsid w:val="006A69CB"/>
    <w:rsid w:val="006A7DCB"/>
    <w:rsid w:val="006B0D92"/>
    <w:rsid w:val="006B18D7"/>
    <w:rsid w:val="006B2C58"/>
    <w:rsid w:val="006B3650"/>
    <w:rsid w:val="006B3BA5"/>
    <w:rsid w:val="006B3FB5"/>
    <w:rsid w:val="006B4113"/>
    <w:rsid w:val="006B417E"/>
    <w:rsid w:val="006B4BAC"/>
    <w:rsid w:val="006B5B9F"/>
    <w:rsid w:val="006B6028"/>
    <w:rsid w:val="006B6E47"/>
    <w:rsid w:val="006B7270"/>
    <w:rsid w:val="006B7952"/>
    <w:rsid w:val="006B7AF5"/>
    <w:rsid w:val="006B7EFD"/>
    <w:rsid w:val="006C0B21"/>
    <w:rsid w:val="006C0F28"/>
    <w:rsid w:val="006C1037"/>
    <w:rsid w:val="006C1FD7"/>
    <w:rsid w:val="006C2065"/>
    <w:rsid w:val="006C2752"/>
    <w:rsid w:val="006C3D71"/>
    <w:rsid w:val="006C4050"/>
    <w:rsid w:val="006C456F"/>
    <w:rsid w:val="006C4CA6"/>
    <w:rsid w:val="006C62E0"/>
    <w:rsid w:val="006C635F"/>
    <w:rsid w:val="006C6FA5"/>
    <w:rsid w:val="006D03BA"/>
    <w:rsid w:val="006D06FE"/>
    <w:rsid w:val="006D07AF"/>
    <w:rsid w:val="006D1477"/>
    <w:rsid w:val="006D2EDA"/>
    <w:rsid w:val="006D33F7"/>
    <w:rsid w:val="006D3E21"/>
    <w:rsid w:val="006D4454"/>
    <w:rsid w:val="006D46AF"/>
    <w:rsid w:val="006D513F"/>
    <w:rsid w:val="006D5573"/>
    <w:rsid w:val="006D6025"/>
    <w:rsid w:val="006D6F2C"/>
    <w:rsid w:val="006D7003"/>
    <w:rsid w:val="006D7A52"/>
    <w:rsid w:val="006D7C52"/>
    <w:rsid w:val="006D7DED"/>
    <w:rsid w:val="006E00C5"/>
    <w:rsid w:val="006E2005"/>
    <w:rsid w:val="006E2045"/>
    <w:rsid w:val="006E2D02"/>
    <w:rsid w:val="006E3036"/>
    <w:rsid w:val="006E4448"/>
    <w:rsid w:val="006E4CF4"/>
    <w:rsid w:val="006E4D0D"/>
    <w:rsid w:val="006E4F15"/>
    <w:rsid w:val="006E672A"/>
    <w:rsid w:val="006E7675"/>
    <w:rsid w:val="006E7AC7"/>
    <w:rsid w:val="006F01A9"/>
    <w:rsid w:val="006F06D9"/>
    <w:rsid w:val="006F1105"/>
    <w:rsid w:val="006F1DE7"/>
    <w:rsid w:val="006F292F"/>
    <w:rsid w:val="006F2C87"/>
    <w:rsid w:val="006F3018"/>
    <w:rsid w:val="006F3308"/>
    <w:rsid w:val="006F33AB"/>
    <w:rsid w:val="006F3578"/>
    <w:rsid w:val="006F62F0"/>
    <w:rsid w:val="006F6BFB"/>
    <w:rsid w:val="006F6F82"/>
    <w:rsid w:val="006F7D84"/>
    <w:rsid w:val="006F7E1F"/>
    <w:rsid w:val="0070074B"/>
    <w:rsid w:val="00702044"/>
    <w:rsid w:val="007025FE"/>
    <w:rsid w:val="00703442"/>
    <w:rsid w:val="00703BC8"/>
    <w:rsid w:val="00704006"/>
    <w:rsid w:val="00704E8F"/>
    <w:rsid w:val="0070555F"/>
    <w:rsid w:val="00705848"/>
    <w:rsid w:val="00705E03"/>
    <w:rsid w:val="0070635F"/>
    <w:rsid w:val="00706610"/>
    <w:rsid w:val="007071CE"/>
    <w:rsid w:val="00707207"/>
    <w:rsid w:val="007073F7"/>
    <w:rsid w:val="0071057A"/>
    <w:rsid w:val="00710DF5"/>
    <w:rsid w:val="007113E7"/>
    <w:rsid w:val="00711692"/>
    <w:rsid w:val="007117B7"/>
    <w:rsid w:val="00713678"/>
    <w:rsid w:val="007137DC"/>
    <w:rsid w:val="007140E9"/>
    <w:rsid w:val="00714584"/>
    <w:rsid w:val="00715477"/>
    <w:rsid w:val="0071566E"/>
    <w:rsid w:val="007157E0"/>
    <w:rsid w:val="007166B9"/>
    <w:rsid w:val="0072040D"/>
    <w:rsid w:val="00720BD6"/>
    <w:rsid w:val="0072120A"/>
    <w:rsid w:val="0072144C"/>
    <w:rsid w:val="00722D9E"/>
    <w:rsid w:val="00722FF7"/>
    <w:rsid w:val="007238C1"/>
    <w:rsid w:val="00723EDB"/>
    <w:rsid w:val="00724948"/>
    <w:rsid w:val="00727241"/>
    <w:rsid w:val="0072730F"/>
    <w:rsid w:val="00727479"/>
    <w:rsid w:val="00727779"/>
    <w:rsid w:val="00727AF1"/>
    <w:rsid w:val="00730762"/>
    <w:rsid w:val="007313A3"/>
    <w:rsid w:val="00731777"/>
    <w:rsid w:val="00731D0D"/>
    <w:rsid w:val="0073221F"/>
    <w:rsid w:val="007326DE"/>
    <w:rsid w:val="0073293E"/>
    <w:rsid w:val="00732E50"/>
    <w:rsid w:val="00734765"/>
    <w:rsid w:val="00734BA6"/>
    <w:rsid w:val="0073586A"/>
    <w:rsid w:val="00735E46"/>
    <w:rsid w:val="007369C9"/>
    <w:rsid w:val="00737D37"/>
    <w:rsid w:val="00740C84"/>
    <w:rsid w:val="00740D78"/>
    <w:rsid w:val="0074141C"/>
    <w:rsid w:val="00741CA5"/>
    <w:rsid w:val="007426A2"/>
    <w:rsid w:val="0074321E"/>
    <w:rsid w:val="007437E5"/>
    <w:rsid w:val="00744461"/>
    <w:rsid w:val="00744A9B"/>
    <w:rsid w:val="0074512D"/>
    <w:rsid w:val="00745463"/>
    <w:rsid w:val="00745F8E"/>
    <w:rsid w:val="00746454"/>
    <w:rsid w:val="007465A3"/>
    <w:rsid w:val="0074720C"/>
    <w:rsid w:val="00747A58"/>
    <w:rsid w:val="00747F5A"/>
    <w:rsid w:val="007502D3"/>
    <w:rsid w:val="00751258"/>
    <w:rsid w:val="00751460"/>
    <w:rsid w:val="0075342A"/>
    <w:rsid w:val="00753464"/>
    <w:rsid w:val="0075397C"/>
    <w:rsid w:val="00753B33"/>
    <w:rsid w:val="007547A3"/>
    <w:rsid w:val="007547FA"/>
    <w:rsid w:val="0075565D"/>
    <w:rsid w:val="00755E77"/>
    <w:rsid w:val="007576EC"/>
    <w:rsid w:val="00757B14"/>
    <w:rsid w:val="00757F61"/>
    <w:rsid w:val="007602DF"/>
    <w:rsid w:val="00760D69"/>
    <w:rsid w:val="00762E4A"/>
    <w:rsid w:val="00763659"/>
    <w:rsid w:val="00764A27"/>
    <w:rsid w:val="007652C9"/>
    <w:rsid w:val="007664F6"/>
    <w:rsid w:val="00766FB5"/>
    <w:rsid w:val="00767135"/>
    <w:rsid w:val="00770556"/>
    <w:rsid w:val="0077150A"/>
    <w:rsid w:val="007716B1"/>
    <w:rsid w:val="007717AD"/>
    <w:rsid w:val="00771B56"/>
    <w:rsid w:val="00771CC4"/>
    <w:rsid w:val="00772F8E"/>
    <w:rsid w:val="00772FD9"/>
    <w:rsid w:val="00773346"/>
    <w:rsid w:val="00773A97"/>
    <w:rsid w:val="0077502A"/>
    <w:rsid w:val="00775994"/>
    <w:rsid w:val="00775DA1"/>
    <w:rsid w:val="00776341"/>
    <w:rsid w:val="00776759"/>
    <w:rsid w:val="00776877"/>
    <w:rsid w:val="00776C4C"/>
    <w:rsid w:val="00776E49"/>
    <w:rsid w:val="00776FDD"/>
    <w:rsid w:val="007773B7"/>
    <w:rsid w:val="00777757"/>
    <w:rsid w:val="00777CC4"/>
    <w:rsid w:val="00777D84"/>
    <w:rsid w:val="00780031"/>
    <w:rsid w:val="007804F2"/>
    <w:rsid w:val="00780858"/>
    <w:rsid w:val="007809B2"/>
    <w:rsid w:val="00781A15"/>
    <w:rsid w:val="00781A1A"/>
    <w:rsid w:val="00781D88"/>
    <w:rsid w:val="00782F00"/>
    <w:rsid w:val="00782F22"/>
    <w:rsid w:val="00783494"/>
    <w:rsid w:val="00783E29"/>
    <w:rsid w:val="0078415A"/>
    <w:rsid w:val="007865E1"/>
    <w:rsid w:val="00786C99"/>
    <w:rsid w:val="00787730"/>
    <w:rsid w:val="00787B9F"/>
    <w:rsid w:val="00787E0C"/>
    <w:rsid w:val="00790548"/>
    <w:rsid w:val="00791437"/>
    <w:rsid w:val="00791535"/>
    <w:rsid w:val="007917C1"/>
    <w:rsid w:val="00791F12"/>
    <w:rsid w:val="0079204A"/>
    <w:rsid w:val="007928BD"/>
    <w:rsid w:val="0079313E"/>
    <w:rsid w:val="007936E8"/>
    <w:rsid w:val="007944BD"/>
    <w:rsid w:val="00794B08"/>
    <w:rsid w:val="007965D8"/>
    <w:rsid w:val="00797A22"/>
    <w:rsid w:val="007A19F4"/>
    <w:rsid w:val="007A1BD9"/>
    <w:rsid w:val="007A223A"/>
    <w:rsid w:val="007A2242"/>
    <w:rsid w:val="007A2BB4"/>
    <w:rsid w:val="007A2D31"/>
    <w:rsid w:val="007A2ED2"/>
    <w:rsid w:val="007A34CF"/>
    <w:rsid w:val="007A431D"/>
    <w:rsid w:val="007A5F39"/>
    <w:rsid w:val="007A6596"/>
    <w:rsid w:val="007A6C2E"/>
    <w:rsid w:val="007B086B"/>
    <w:rsid w:val="007B0C48"/>
    <w:rsid w:val="007B0ED7"/>
    <w:rsid w:val="007B1497"/>
    <w:rsid w:val="007B358A"/>
    <w:rsid w:val="007B3631"/>
    <w:rsid w:val="007B39AC"/>
    <w:rsid w:val="007B460C"/>
    <w:rsid w:val="007B508A"/>
    <w:rsid w:val="007B6226"/>
    <w:rsid w:val="007B7440"/>
    <w:rsid w:val="007B7A3D"/>
    <w:rsid w:val="007C02FA"/>
    <w:rsid w:val="007C0907"/>
    <w:rsid w:val="007C2ED3"/>
    <w:rsid w:val="007C3514"/>
    <w:rsid w:val="007C43B2"/>
    <w:rsid w:val="007C46DD"/>
    <w:rsid w:val="007C5592"/>
    <w:rsid w:val="007C5E4E"/>
    <w:rsid w:val="007C7341"/>
    <w:rsid w:val="007C7E4C"/>
    <w:rsid w:val="007D17F0"/>
    <w:rsid w:val="007D1807"/>
    <w:rsid w:val="007D2218"/>
    <w:rsid w:val="007D2DFC"/>
    <w:rsid w:val="007D304B"/>
    <w:rsid w:val="007D4EFA"/>
    <w:rsid w:val="007D50B3"/>
    <w:rsid w:val="007D56FA"/>
    <w:rsid w:val="007D616C"/>
    <w:rsid w:val="007D7F1C"/>
    <w:rsid w:val="007E016E"/>
    <w:rsid w:val="007E02BF"/>
    <w:rsid w:val="007E09F8"/>
    <w:rsid w:val="007E0B8A"/>
    <w:rsid w:val="007E1A9A"/>
    <w:rsid w:val="007E2345"/>
    <w:rsid w:val="007E2BF9"/>
    <w:rsid w:val="007E2F9B"/>
    <w:rsid w:val="007E4583"/>
    <w:rsid w:val="007E5343"/>
    <w:rsid w:val="007E6239"/>
    <w:rsid w:val="007E65DF"/>
    <w:rsid w:val="007E6803"/>
    <w:rsid w:val="007E74A1"/>
    <w:rsid w:val="007F0CAC"/>
    <w:rsid w:val="007F0ED6"/>
    <w:rsid w:val="007F107D"/>
    <w:rsid w:val="007F1D87"/>
    <w:rsid w:val="007F21E7"/>
    <w:rsid w:val="007F34E6"/>
    <w:rsid w:val="007F6C29"/>
    <w:rsid w:val="007F6E33"/>
    <w:rsid w:val="007F7062"/>
    <w:rsid w:val="00800DEC"/>
    <w:rsid w:val="00801DA3"/>
    <w:rsid w:val="00803321"/>
    <w:rsid w:val="00803B17"/>
    <w:rsid w:val="00804709"/>
    <w:rsid w:val="00804A43"/>
    <w:rsid w:val="00805332"/>
    <w:rsid w:val="0080708A"/>
    <w:rsid w:val="008074B3"/>
    <w:rsid w:val="00810033"/>
    <w:rsid w:val="0081013C"/>
    <w:rsid w:val="0081123E"/>
    <w:rsid w:val="00811489"/>
    <w:rsid w:val="00811BEA"/>
    <w:rsid w:val="008120B2"/>
    <w:rsid w:val="008120CF"/>
    <w:rsid w:val="008131E1"/>
    <w:rsid w:val="008132E1"/>
    <w:rsid w:val="00813348"/>
    <w:rsid w:val="00813C82"/>
    <w:rsid w:val="00813DA6"/>
    <w:rsid w:val="00813E88"/>
    <w:rsid w:val="0081479F"/>
    <w:rsid w:val="00815C1A"/>
    <w:rsid w:val="00815EC1"/>
    <w:rsid w:val="00816D72"/>
    <w:rsid w:val="0081709C"/>
    <w:rsid w:val="00817240"/>
    <w:rsid w:val="0081725A"/>
    <w:rsid w:val="00820A92"/>
    <w:rsid w:val="00821B5C"/>
    <w:rsid w:val="00821B66"/>
    <w:rsid w:val="00822171"/>
    <w:rsid w:val="00822F6D"/>
    <w:rsid w:val="008245C7"/>
    <w:rsid w:val="008248AC"/>
    <w:rsid w:val="0082545E"/>
    <w:rsid w:val="00825DB2"/>
    <w:rsid w:val="0082683E"/>
    <w:rsid w:val="008269FD"/>
    <w:rsid w:val="00827A10"/>
    <w:rsid w:val="00830122"/>
    <w:rsid w:val="00832ABB"/>
    <w:rsid w:val="00832E2D"/>
    <w:rsid w:val="00833291"/>
    <w:rsid w:val="008354A4"/>
    <w:rsid w:val="0083589E"/>
    <w:rsid w:val="00835CE3"/>
    <w:rsid w:val="008361AA"/>
    <w:rsid w:val="008372FB"/>
    <w:rsid w:val="00837D26"/>
    <w:rsid w:val="00837FD1"/>
    <w:rsid w:val="00837FE7"/>
    <w:rsid w:val="00840831"/>
    <w:rsid w:val="00841239"/>
    <w:rsid w:val="00842AB8"/>
    <w:rsid w:val="00842C7B"/>
    <w:rsid w:val="00843171"/>
    <w:rsid w:val="008441B2"/>
    <w:rsid w:val="0084434B"/>
    <w:rsid w:val="00845BF5"/>
    <w:rsid w:val="00845D64"/>
    <w:rsid w:val="00845EB1"/>
    <w:rsid w:val="008472D0"/>
    <w:rsid w:val="00847C32"/>
    <w:rsid w:val="00847F17"/>
    <w:rsid w:val="00850511"/>
    <w:rsid w:val="00850908"/>
    <w:rsid w:val="008509EA"/>
    <w:rsid w:val="008517AB"/>
    <w:rsid w:val="00851887"/>
    <w:rsid w:val="00852ADB"/>
    <w:rsid w:val="00854911"/>
    <w:rsid w:val="00856265"/>
    <w:rsid w:val="0085678E"/>
    <w:rsid w:val="0085733D"/>
    <w:rsid w:val="0085745E"/>
    <w:rsid w:val="0086033F"/>
    <w:rsid w:val="00860BB1"/>
    <w:rsid w:val="00861E40"/>
    <w:rsid w:val="00862462"/>
    <w:rsid w:val="00864EEE"/>
    <w:rsid w:val="008652C6"/>
    <w:rsid w:val="0086576E"/>
    <w:rsid w:val="00865858"/>
    <w:rsid w:val="00865B2A"/>
    <w:rsid w:val="00866027"/>
    <w:rsid w:val="0086637F"/>
    <w:rsid w:val="0086657D"/>
    <w:rsid w:val="00866BC2"/>
    <w:rsid w:val="00867857"/>
    <w:rsid w:val="00870333"/>
    <w:rsid w:val="008710D6"/>
    <w:rsid w:val="00871A3C"/>
    <w:rsid w:val="008722D0"/>
    <w:rsid w:val="00872359"/>
    <w:rsid w:val="00874E99"/>
    <w:rsid w:val="00875F50"/>
    <w:rsid w:val="008769BC"/>
    <w:rsid w:val="00876A5E"/>
    <w:rsid w:val="008771CF"/>
    <w:rsid w:val="00881A42"/>
    <w:rsid w:val="00881CB6"/>
    <w:rsid w:val="00882705"/>
    <w:rsid w:val="00882E11"/>
    <w:rsid w:val="00883F36"/>
    <w:rsid w:val="00884B59"/>
    <w:rsid w:val="008855F1"/>
    <w:rsid w:val="00886753"/>
    <w:rsid w:val="008868F6"/>
    <w:rsid w:val="00886FB3"/>
    <w:rsid w:val="008873E2"/>
    <w:rsid w:val="008906B0"/>
    <w:rsid w:val="00890A0F"/>
    <w:rsid w:val="00892060"/>
    <w:rsid w:val="008928E4"/>
    <w:rsid w:val="00892A07"/>
    <w:rsid w:val="00892F31"/>
    <w:rsid w:val="00893B94"/>
    <w:rsid w:val="0089562C"/>
    <w:rsid w:val="0089575E"/>
    <w:rsid w:val="00895B76"/>
    <w:rsid w:val="00895B7D"/>
    <w:rsid w:val="008963AD"/>
    <w:rsid w:val="008968B2"/>
    <w:rsid w:val="00896E98"/>
    <w:rsid w:val="00897775"/>
    <w:rsid w:val="00897FB5"/>
    <w:rsid w:val="008A0563"/>
    <w:rsid w:val="008A0F66"/>
    <w:rsid w:val="008A1A55"/>
    <w:rsid w:val="008A1D05"/>
    <w:rsid w:val="008A2C86"/>
    <w:rsid w:val="008A331F"/>
    <w:rsid w:val="008A3800"/>
    <w:rsid w:val="008A3802"/>
    <w:rsid w:val="008A47AD"/>
    <w:rsid w:val="008A482E"/>
    <w:rsid w:val="008A4B08"/>
    <w:rsid w:val="008A5AF8"/>
    <w:rsid w:val="008A60D1"/>
    <w:rsid w:val="008A6107"/>
    <w:rsid w:val="008A665D"/>
    <w:rsid w:val="008A6D3D"/>
    <w:rsid w:val="008B0157"/>
    <w:rsid w:val="008B08CE"/>
    <w:rsid w:val="008B0926"/>
    <w:rsid w:val="008B2134"/>
    <w:rsid w:val="008B226A"/>
    <w:rsid w:val="008B2D71"/>
    <w:rsid w:val="008B31C2"/>
    <w:rsid w:val="008B588A"/>
    <w:rsid w:val="008B6B88"/>
    <w:rsid w:val="008B7CA9"/>
    <w:rsid w:val="008C0638"/>
    <w:rsid w:val="008C086E"/>
    <w:rsid w:val="008C0F06"/>
    <w:rsid w:val="008C102B"/>
    <w:rsid w:val="008C176D"/>
    <w:rsid w:val="008C1950"/>
    <w:rsid w:val="008C206F"/>
    <w:rsid w:val="008C2079"/>
    <w:rsid w:val="008C2BDF"/>
    <w:rsid w:val="008C3305"/>
    <w:rsid w:val="008C3C1C"/>
    <w:rsid w:val="008C3D19"/>
    <w:rsid w:val="008C420B"/>
    <w:rsid w:val="008C4EB3"/>
    <w:rsid w:val="008C4FD1"/>
    <w:rsid w:val="008C6B52"/>
    <w:rsid w:val="008C6D20"/>
    <w:rsid w:val="008C78D5"/>
    <w:rsid w:val="008D0CC4"/>
    <w:rsid w:val="008D1A69"/>
    <w:rsid w:val="008D26C1"/>
    <w:rsid w:val="008D295B"/>
    <w:rsid w:val="008D3019"/>
    <w:rsid w:val="008D34EB"/>
    <w:rsid w:val="008D47B6"/>
    <w:rsid w:val="008D49AB"/>
    <w:rsid w:val="008D49F6"/>
    <w:rsid w:val="008D4A6D"/>
    <w:rsid w:val="008D642A"/>
    <w:rsid w:val="008D668A"/>
    <w:rsid w:val="008D6948"/>
    <w:rsid w:val="008D6C41"/>
    <w:rsid w:val="008D7200"/>
    <w:rsid w:val="008D741A"/>
    <w:rsid w:val="008D7BD1"/>
    <w:rsid w:val="008E169C"/>
    <w:rsid w:val="008E18BA"/>
    <w:rsid w:val="008E1ACA"/>
    <w:rsid w:val="008E1DA7"/>
    <w:rsid w:val="008E1E96"/>
    <w:rsid w:val="008E1F7E"/>
    <w:rsid w:val="008E21A3"/>
    <w:rsid w:val="008E2A51"/>
    <w:rsid w:val="008E2B81"/>
    <w:rsid w:val="008E2C5E"/>
    <w:rsid w:val="008E3969"/>
    <w:rsid w:val="008E48A2"/>
    <w:rsid w:val="008E521D"/>
    <w:rsid w:val="008E5F84"/>
    <w:rsid w:val="008E61E6"/>
    <w:rsid w:val="008E76D3"/>
    <w:rsid w:val="008E7E50"/>
    <w:rsid w:val="008E7E75"/>
    <w:rsid w:val="008F1355"/>
    <w:rsid w:val="008F1370"/>
    <w:rsid w:val="008F13A3"/>
    <w:rsid w:val="008F155F"/>
    <w:rsid w:val="008F1C37"/>
    <w:rsid w:val="008F2027"/>
    <w:rsid w:val="008F2EE1"/>
    <w:rsid w:val="008F2FFD"/>
    <w:rsid w:val="008F3295"/>
    <w:rsid w:val="008F359A"/>
    <w:rsid w:val="008F3A3D"/>
    <w:rsid w:val="008F3F99"/>
    <w:rsid w:val="008F4114"/>
    <w:rsid w:val="008F5787"/>
    <w:rsid w:val="008F5E13"/>
    <w:rsid w:val="008F5F05"/>
    <w:rsid w:val="008F6730"/>
    <w:rsid w:val="008F6D4C"/>
    <w:rsid w:val="008F773C"/>
    <w:rsid w:val="008F793D"/>
    <w:rsid w:val="00900126"/>
    <w:rsid w:val="0090082D"/>
    <w:rsid w:val="00900B1B"/>
    <w:rsid w:val="00900E5D"/>
    <w:rsid w:val="00900F26"/>
    <w:rsid w:val="009011EA"/>
    <w:rsid w:val="00902BA0"/>
    <w:rsid w:val="0090333D"/>
    <w:rsid w:val="0090355B"/>
    <w:rsid w:val="009049BB"/>
    <w:rsid w:val="00904A09"/>
    <w:rsid w:val="00906597"/>
    <w:rsid w:val="00906D02"/>
    <w:rsid w:val="00906DC6"/>
    <w:rsid w:val="00906F99"/>
    <w:rsid w:val="009071D9"/>
    <w:rsid w:val="00907369"/>
    <w:rsid w:val="00907B1C"/>
    <w:rsid w:val="009109EE"/>
    <w:rsid w:val="00911CF5"/>
    <w:rsid w:val="00913886"/>
    <w:rsid w:val="009140F9"/>
    <w:rsid w:val="009145FD"/>
    <w:rsid w:val="00914C48"/>
    <w:rsid w:val="00915635"/>
    <w:rsid w:val="00917430"/>
    <w:rsid w:val="009176BD"/>
    <w:rsid w:val="009179F5"/>
    <w:rsid w:val="00920DFE"/>
    <w:rsid w:val="00921366"/>
    <w:rsid w:val="009219FA"/>
    <w:rsid w:val="009230E8"/>
    <w:rsid w:val="00923776"/>
    <w:rsid w:val="009246EA"/>
    <w:rsid w:val="00925767"/>
    <w:rsid w:val="0092681E"/>
    <w:rsid w:val="0092688D"/>
    <w:rsid w:val="00927120"/>
    <w:rsid w:val="00927FA8"/>
    <w:rsid w:val="009314AF"/>
    <w:rsid w:val="00931E16"/>
    <w:rsid w:val="0093264F"/>
    <w:rsid w:val="009328EC"/>
    <w:rsid w:val="0093301D"/>
    <w:rsid w:val="00933A0B"/>
    <w:rsid w:val="00934693"/>
    <w:rsid w:val="00936C9A"/>
    <w:rsid w:val="009371AF"/>
    <w:rsid w:val="0093784B"/>
    <w:rsid w:val="00937A30"/>
    <w:rsid w:val="009407FB"/>
    <w:rsid w:val="00940D3F"/>
    <w:rsid w:val="0094120E"/>
    <w:rsid w:val="00941597"/>
    <w:rsid w:val="00941C33"/>
    <w:rsid w:val="00942108"/>
    <w:rsid w:val="00942279"/>
    <w:rsid w:val="009428FC"/>
    <w:rsid w:val="00942A98"/>
    <w:rsid w:val="0094337A"/>
    <w:rsid w:val="0094393B"/>
    <w:rsid w:val="00944F20"/>
    <w:rsid w:val="009466DC"/>
    <w:rsid w:val="00946B82"/>
    <w:rsid w:val="00946CF2"/>
    <w:rsid w:val="0095027F"/>
    <w:rsid w:val="00950DF8"/>
    <w:rsid w:val="0095152A"/>
    <w:rsid w:val="009516AA"/>
    <w:rsid w:val="009519E4"/>
    <w:rsid w:val="00953768"/>
    <w:rsid w:val="00953ACC"/>
    <w:rsid w:val="00953CD3"/>
    <w:rsid w:val="009541DF"/>
    <w:rsid w:val="00955146"/>
    <w:rsid w:val="00955A39"/>
    <w:rsid w:val="00956EC4"/>
    <w:rsid w:val="00957500"/>
    <w:rsid w:val="00957C9A"/>
    <w:rsid w:val="00960173"/>
    <w:rsid w:val="0096027A"/>
    <w:rsid w:val="009603A1"/>
    <w:rsid w:val="00960D7D"/>
    <w:rsid w:val="00961CAE"/>
    <w:rsid w:val="00961F03"/>
    <w:rsid w:val="00962A9C"/>
    <w:rsid w:val="00962D33"/>
    <w:rsid w:val="0096394E"/>
    <w:rsid w:val="009644B7"/>
    <w:rsid w:val="0096458A"/>
    <w:rsid w:val="00964B0D"/>
    <w:rsid w:val="00964CAC"/>
    <w:rsid w:val="009650C6"/>
    <w:rsid w:val="0096558C"/>
    <w:rsid w:val="009659B9"/>
    <w:rsid w:val="00965A9B"/>
    <w:rsid w:val="00965FE6"/>
    <w:rsid w:val="00966439"/>
    <w:rsid w:val="0096713B"/>
    <w:rsid w:val="0096798A"/>
    <w:rsid w:val="00970D57"/>
    <w:rsid w:val="00971DB2"/>
    <w:rsid w:val="00971E35"/>
    <w:rsid w:val="009720E3"/>
    <w:rsid w:val="0097214B"/>
    <w:rsid w:val="00972184"/>
    <w:rsid w:val="00972950"/>
    <w:rsid w:val="00972F61"/>
    <w:rsid w:val="00972F8D"/>
    <w:rsid w:val="00973E1B"/>
    <w:rsid w:val="00974ED0"/>
    <w:rsid w:val="00975545"/>
    <w:rsid w:val="00975553"/>
    <w:rsid w:val="00975ACB"/>
    <w:rsid w:val="00977BD0"/>
    <w:rsid w:val="00977FD5"/>
    <w:rsid w:val="00980298"/>
    <w:rsid w:val="00982A26"/>
    <w:rsid w:val="00983F95"/>
    <w:rsid w:val="0098420B"/>
    <w:rsid w:val="009847E2"/>
    <w:rsid w:val="009848F3"/>
    <w:rsid w:val="00984BF8"/>
    <w:rsid w:val="00986A9D"/>
    <w:rsid w:val="00987AC3"/>
    <w:rsid w:val="00987D93"/>
    <w:rsid w:val="00990194"/>
    <w:rsid w:val="0099058E"/>
    <w:rsid w:val="009913BD"/>
    <w:rsid w:val="00991889"/>
    <w:rsid w:val="009919BF"/>
    <w:rsid w:val="009920D5"/>
    <w:rsid w:val="00993AC3"/>
    <w:rsid w:val="009943EC"/>
    <w:rsid w:val="00995958"/>
    <w:rsid w:val="009967C3"/>
    <w:rsid w:val="009969F2"/>
    <w:rsid w:val="00997182"/>
    <w:rsid w:val="00997467"/>
    <w:rsid w:val="00997789"/>
    <w:rsid w:val="00997D7E"/>
    <w:rsid w:val="009A0F0C"/>
    <w:rsid w:val="009A2B20"/>
    <w:rsid w:val="009A3059"/>
    <w:rsid w:val="009A3AD3"/>
    <w:rsid w:val="009A4C1E"/>
    <w:rsid w:val="009A5DFF"/>
    <w:rsid w:val="009A5F64"/>
    <w:rsid w:val="009A697F"/>
    <w:rsid w:val="009A7D02"/>
    <w:rsid w:val="009B0695"/>
    <w:rsid w:val="009B084B"/>
    <w:rsid w:val="009B12D1"/>
    <w:rsid w:val="009B1551"/>
    <w:rsid w:val="009B1553"/>
    <w:rsid w:val="009B1A7A"/>
    <w:rsid w:val="009B2227"/>
    <w:rsid w:val="009B246E"/>
    <w:rsid w:val="009B26FE"/>
    <w:rsid w:val="009B3858"/>
    <w:rsid w:val="009B43F7"/>
    <w:rsid w:val="009B46E7"/>
    <w:rsid w:val="009B48A1"/>
    <w:rsid w:val="009B4DF4"/>
    <w:rsid w:val="009B569E"/>
    <w:rsid w:val="009B5CCF"/>
    <w:rsid w:val="009B69E2"/>
    <w:rsid w:val="009B738B"/>
    <w:rsid w:val="009B74EF"/>
    <w:rsid w:val="009B77EB"/>
    <w:rsid w:val="009B7A5F"/>
    <w:rsid w:val="009B7FC3"/>
    <w:rsid w:val="009C3367"/>
    <w:rsid w:val="009C3734"/>
    <w:rsid w:val="009C3E20"/>
    <w:rsid w:val="009C4A17"/>
    <w:rsid w:val="009C4E0E"/>
    <w:rsid w:val="009C53A7"/>
    <w:rsid w:val="009C5406"/>
    <w:rsid w:val="009C6B2D"/>
    <w:rsid w:val="009C70BB"/>
    <w:rsid w:val="009C7EE3"/>
    <w:rsid w:val="009D025E"/>
    <w:rsid w:val="009D05E7"/>
    <w:rsid w:val="009D0CBC"/>
    <w:rsid w:val="009D1E3C"/>
    <w:rsid w:val="009D2C4D"/>
    <w:rsid w:val="009D2C7D"/>
    <w:rsid w:val="009D305F"/>
    <w:rsid w:val="009D3569"/>
    <w:rsid w:val="009D38C1"/>
    <w:rsid w:val="009D4561"/>
    <w:rsid w:val="009D5478"/>
    <w:rsid w:val="009D5BA4"/>
    <w:rsid w:val="009D5D66"/>
    <w:rsid w:val="009D60EC"/>
    <w:rsid w:val="009D65DC"/>
    <w:rsid w:val="009D6B22"/>
    <w:rsid w:val="009D72AA"/>
    <w:rsid w:val="009D78BB"/>
    <w:rsid w:val="009E06A8"/>
    <w:rsid w:val="009E16A5"/>
    <w:rsid w:val="009E2E97"/>
    <w:rsid w:val="009E3191"/>
    <w:rsid w:val="009E3B80"/>
    <w:rsid w:val="009E3CA9"/>
    <w:rsid w:val="009E3FE1"/>
    <w:rsid w:val="009E6005"/>
    <w:rsid w:val="009E737E"/>
    <w:rsid w:val="009E7A77"/>
    <w:rsid w:val="009F0291"/>
    <w:rsid w:val="009F0698"/>
    <w:rsid w:val="009F115C"/>
    <w:rsid w:val="009F19A3"/>
    <w:rsid w:val="009F1C64"/>
    <w:rsid w:val="009F2223"/>
    <w:rsid w:val="009F267E"/>
    <w:rsid w:val="009F34FB"/>
    <w:rsid w:val="009F36D2"/>
    <w:rsid w:val="009F3CF1"/>
    <w:rsid w:val="009F3DA8"/>
    <w:rsid w:val="009F429B"/>
    <w:rsid w:val="009F4F15"/>
    <w:rsid w:val="009F4F29"/>
    <w:rsid w:val="009F6205"/>
    <w:rsid w:val="009F704A"/>
    <w:rsid w:val="009F7777"/>
    <w:rsid w:val="00A01196"/>
    <w:rsid w:val="00A0171B"/>
    <w:rsid w:val="00A0193F"/>
    <w:rsid w:val="00A01D6F"/>
    <w:rsid w:val="00A025BA"/>
    <w:rsid w:val="00A0380F"/>
    <w:rsid w:val="00A03CF8"/>
    <w:rsid w:val="00A06855"/>
    <w:rsid w:val="00A07B23"/>
    <w:rsid w:val="00A07B6F"/>
    <w:rsid w:val="00A1034C"/>
    <w:rsid w:val="00A118DD"/>
    <w:rsid w:val="00A118E2"/>
    <w:rsid w:val="00A120E6"/>
    <w:rsid w:val="00A12813"/>
    <w:rsid w:val="00A131E3"/>
    <w:rsid w:val="00A13FF1"/>
    <w:rsid w:val="00A14376"/>
    <w:rsid w:val="00A148DA"/>
    <w:rsid w:val="00A14D78"/>
    <w:rsid w:val="00A15897"/>
    <w:rsid w:val="00A15CDF"/>
    <w:rsid w:val="00A15D64"/>
    <w:rsid w:val="00A1609C"/>
    <w:rsid w:val="00A16A9E"/>
    <w:rsid w:val="00A176BE"/>
    <w:rsid w:val="00A177F3"/>
    <w:rsid w:val="00A205A6"/>
    <w:rsid w:val="00A208E8"/>
    <w:rsid w:val="00A221B3"/>
    <w:rsid w:val="00A227AE"/>
    <w:rsid w:val="00A22A91"/>
    <w:rsid w:val="00A24399"/>
    <w:rsid w:val="00A244B0"/>
    <w:rsid w:val="00A2480A"/>
    <w:rsid w:val="00A249CB"/>
    <w:rsid w:val="00A25200"/>
    <w:rsid w:val="00A2570F"/>
    <w:rsid w:val="00A259A0"/>
    <w:rsid w:val="00A25BC2"/>
    <w:rsid w:val="00A26297"/>
    <w:rsid w:val="00A26BAD"/>
    <w:rsid w:val="00A26E52"/>
    <w:rsid w:val="00A3034D"/>
    <w:rsid w:val="00A30611"/>
    <w:rsid w:val="00A30D51"/>
    <w:rsid w:val="00A3190F"/>
    <w:rsid w:val="00A322EA"/>
    <w:rsid w:val="00A32F1F"/>
    <w:rsid w:val="00A3422B"/>
    <w:rsid w:val="00A3508C"/>
    <w:rsid w:val="00A35386"/>
    <w:rsid w:val="00A3599F"/>
    <w:rsid w:val="00A35A84"/>
    <w:rsid w:val="00A35EDD"/>
    <w:rsid w:val="00A35EF5"/>
    <w:rsid w:val="00A3634A"/>
    <w:rsid w:val="00A363F2"/>
    <w:rsid w:val="00A36EB6"/>
    <w:rsid w:val="00A37FAA"/>
    <w:rsid w:val="00A40A50"/>
    <w:rsid w:val="00A40CC2"/>
    <w:rsid w:val="00A40DA9"/>
    <w:rsid w:val="00A40F20"/>
    <w:rsid w:val="00A4178D"/>
    <w:rsid w:val="00A44697"/>
    <w:rsid w:val="00A450CB"/>
    <w:rsid w:val="00A45791"/>
    <w:rsid w:val="00A4599F"/>
    <w:rsid w:val="00A46E02"/>
    <w:rsid w:val="00A478F9"/>
    <w:rsid w:val="00A5012A"/>
    <w:rsid w:val="00A502BA"/>
    <w:rsid w:val="00A50B30"/>
    <w:rsid w:val="00A52D05"/>
    <w:rsid w:val="00A53F33"/>
    <w:rsid w:val="00A54058"/>
    <w:rsid w:val="00A5454E"/>
    <w:rsid w:val="00A54571"/>
    <w:rsid w:val="00A54B3E"/>
    <w:rsid w:val="00A55675"/>
    <w:rsid w:val="00A55B1E"/>
    <w:rsid w:val="00A56175"/>
    <w:rsid w:val="00A56731"/>
    <w:rsid w:val="00A56D09"/>
    <w:rsid w:val="00A570AE"/>
    <w:rsid w:val="00A57818"/>
    <w:rsid w:val="00A5791C"/>
    <w:rsid w:val="00A6079A"/>
    <w:rsid w:val="00A609AA"/>
    <w:rsid w:val="00A60C84"/>
    <w:rsid w:val="00A6101B"/>
    <w:rsid w:val="00A611F5"/>
    <w:rsid w:val="00A61EBE"/>
    <w:rsid w:val="00A62EC0"/>
    <w:rsid w:val="00A63482"/>
    <w:rsid w:val="00A63B1D"/>
    <w:rsid w:val="00A64688"/>
    <w:rsid w:val="00A64E78"/>
    <w:rsid w:val="00A64ECC"/>
    <w:rsid w:val="00A66C38"/>
    <w:rsid w:val="00A7002E"/>
    <w:rsid w:val="00A70E64"/>
    <w:rsid w:val="00A714D4"/>
    <w:rsid w:val="00A71821"/>
    <w:rsid w:val="00A73620"/>
    <w:rsid w:val="00A73952"/>
    <w:rsid w:val="00A7434F"/>
    <w:rsid w:val="00A7639B"/>
    <w:rsid w:val="00A7693B"/>
    <w:rsid w:val="00A772E2"/>
    <w:rsid w:val="00A77D5E"/>
    <w:rsid w:val="00A801E1"/>
    <w:rsid w:val="00A80866"/>
    <w:rsid w:val="00A80887"/>
    <w:rsid w:val="00A80E0C"/>
    <w:rsid w:val="00A815D4"/>
    <w:rsid w:val="00A8162C"/>
    <w:rsid w:val="00A81A23"/>
    <w:rsid w:val="00A826E0"/>
    <w:rsid w:val="00A834B6"/>
    <w:rsid w:val="00A837AB"/>
    <w:rsid w:val="00A84855"/>
    <w:rsid w:val="00A852B5"/>
    <w:rsid w:val="00A85758"/>
    <w:rsid w:val="00A85C5B"/>
    <w:rsid w:val="00A87627"/>
    <w:rsid w:val="00A87D54"/>
    <w:rsid w:val="00A87EDC"/>
    <w:rsid w:val="00A9067A"/>
    <w:rsid w:val="00A90948"/>
    <w:rsid w:val="00A909D9"/>
    <w:rsid w:val="00A9228C"/>
    <w:rsid w:val="00A925C0"/>
    <w:rsid w:val="00A936E4"/>
    <w:rsid w:val="00A94B31"/>
    <w:rsid w:val="00A96C1F"/>
    <w:rsid w:val="00A96DA3"/>
    <w:rsid w:val="00A9768A"/>
    <w:rsid w:val="00AA07EC"/>
    <w:rsid w:val="00AA098D"/>
    <w:rsid w:val="00AA116B"/>
    <w:rsid w:val="00AA1EA9"/>
    <w:rsid w:val="00AA284B"/>
    <w:rsid w:val="00AA3065"/>
    <w:rsid w:val="00AA3542"/>
    <w:rsid w:val="00AA3B9D"/>
    <w:rsid w:val="00AA41BB"/>
    <w:rsid w:val="00AA455D"/>
    <w:rsid w:val="00AA49F9"/>
    <w:rsid w:val="00AA4A1B"/>
    <w:rsid w:val="00AA57E0"/>
    <w:rsid w:val="00AA59AA"/>
    <w:rsid w:val="00AA5F9C"/>
    <w:rsid w:val="00AA63D9"/>
    <w:rsid w:val="00AA6B89"/>
    <w:rsid w:val="00AA6C3C"/>
    <w:rsid w:val="00AA7B8E"/>
    <w:rsid w:val="00AB01E3"/>
    <w:rsid w:val="00AB026A"/>
    <w:rsid w:val="00AB226A"/>
    <w:rsid w:val="00AB3CA6"/>
    <w:rsid w:val="00AB6740"/>
    <w:rsid w:val="00AB6FA5"/>
    <w:rsid w:val="00AB742D"/>
    <w:rsid w:val="00AC1740"/>
    <w:rsid w:val="00AC2382"/>
    <w:rsid w:val="00AC3B06"/>
    <w:rsid w:val="00AC5BDD"/>
    <w:rsid w:val="00AC5F42"/>
    <w:rsid w:val="00AC6602"/>
    <w:rsid w:val="00AC6AD9"/>
    <w:rsid w:val="00AC7A4F"/>
    <w:rsid w:val="00AC7FD1"/>
    <w:rsid w:val="00AD180C"/>
    <w:rsid w:val="00AD1FD9"/>
    <w:rsid w:val="00AD21B4"/>
    <w:rsid w:val="00AD2541"/>
    <w:rsid w:val="00AD3680"/>
    <w:rsid w:val="00AD46BE"/>
    <w:rsid w:val="00AD49A8"/>
    <w:rsid w:val="00AD5F33"/>
    <w:rsid w:val="00AD6334"/>
    <w:rsid w:val="00AD642E"/>
    <w:rsid w:val="00AD6655"/>
    <w:rsid w:val="00AD6E51"/>
    <w:rsid w:val="00AD70A5"/>
    <w:rsid w:val="00AD72CE"/>
    <w:rsid w:val="00AD7426"/>
    <w:rsid w:val="00AD7597"/>
    <w:rsid w:val="00AD783D"/>
    <w:rsid w:val="00AE1344"/>
    <w:rsid w:val="00AE189C"/>
    <w:rsid w:val="00AE2676"/>
    <w:rsid w:val="00AE2C8B"/>
    <w:rsid w:val="00AE37F9"/>
    <w:rsid w:val="00AE3C20"/>
    <w:rsid w:val="00AE3D69"/>
    <w:rsid w:val="00AE4C1C"/>
    <w:rsid w:val="00AE4EF1"/>
    <w:rsid w:val="00AE4F38"/>
    <w:rsid w:val="00AE5771"/>
    <w:rsid w:val="00AE57A0"/>
    <w:rsid w:val="00AE5DE3"/>
    <w:rsid w:val="00AE5EF4"/>
    <w:rsid w:val="00AE6435"/>
    <w:rsid w:val="00AE6580"/>
    <w:rsid w:val="00AE74EA"/>
    <w:rsid w:val="00AE78AC"/>
    <w:rsid w:val="00AE79B5"/>
    <w:rsid w:val="00AF0062"/>
    <w:rsid w:val="00AF0387"/>
    <w:rsid w:val="00AF1990"/>
    <w:rsid w:val="00AF1D97"/>
    <w:rsid w:val="00AF1E19"/>
    <w:rsid w:val="00AF288C"/>
    <w:rsid w:val="00AF2A76"/>
    <w:rsid w:val="00AF2FBD"/>
    <w:rsid w:val="00AF370E"/>
    <w:rsid w:val="00AF3B68"/>
    <w:rsid w:val="00AF3FD4"/>
    <w:rsid w:val="00AF4965"/>
    <w:rsid w:val="00AF5070"/>
    <w:rsid w:val="00AF547A"/>
    <w:rsid w:val="00AF7BD2"/>
    <w:rsid w:val="00B001B9"/>
    <w:rsid w:val="00B0093D"/>
    <w:rsid w:val="00B012A0"/>
    <w:rsid w:val="00B01A03"/>
    <w:rsid w:val="00B01D56"/>
    <w:rsid w:val="00B02E8D"/>
    <w:rsid w:val="00B02F20"/>
    <w:rsid w:val="00B03130"/>
    <w:rsid w:val="00B0322E"/>
    <w:rsid w:val="00B03875"/>
    <w:rsid w:val="00B048AE"/>
    <w:rsid w:val="00B05057"/>
    <w:rsid w:val="00B0593B"/>
    <w:rsid w:val="00B0594B"/>
    <w:rsid w:val="00B06459"/>
    <w:rsid w:val="00B06632"/>
    <w:rsid w:val="00B0668D"/>
    <w:rsid w:val="00B07F2F"/>
    <w:rsid w:val="00B1006A"/>
    <w:rsid w:val="00B10765"/>
    <w:rsid w:val="00B1082A"/>
    <w:rsid w:val="00B110B7"/>
    <w:rsid w:val="00B1158A"/>
    <w:rsid w:val="00B119F6"/>
    <w:rsid w:val="00B12585"/>
    <w:rsid w:val="00B12B06"/>
    <w:rsid w:val="00B12D99"/>
    <w:rsid w:val="00B13074"/>
    <w:rsid w:val="00B14BD7"/>
    <w:rsid w:val="00B1537F"/>
    <w:rsid w:val="00B153C3"/>
    <w:rsid w:val="00B1588E"/>
    <w:rsid w:val="00B15F6B"/>
    <w:rsid w:val="00B164F1"/>
    <w:rsid w:val="00B16C08"/>
    <w:rsid w:val="00B17202"/>
    <w:rsid w:val="00B17CE4"/>
    <w:rsid w:val="00B20BAA"/>
    <w:rsid w:val="00B20C8C"/>
    <w:rsid w:val="00B2196E"/>
    <w:rsid w:val="00B22510"/>
    <w:rsid w:val="00B22D75"/>
    <w:rsid w:val="00B23346"/>
    <w:rsid w:val="00B23584"/>
    <w:rsid w:val="00B2463A"/>
    <w:rsid w:val="00B24B59"/>
    <w:rsid w:val="00B24D56"/>
    <w:rsid w:val="00B2542A"/>
    <w:rsid w:val="00B26302"/>
    <w:rsid w:val="00B264DC"/>
    <w:rsid w:val="00B26982"/>
    <w:rsid w:val="00B27345"/>
    <w:rsid w:val="00B279A3"/>
    <w:rsid w:val="00B27C26"/>
    <w:rsid w:val="00B27FDC"/>
    <w:rsid w:val="00B303A4"/>
    <w:rsid w:val="00B304C5"/>
    <w:rsid w:val="00B31284"/>
    <w:rsid w:val="00B318C1"/>
    <w:rsid w:val="00B31A39"/>
    <w:rsid w:val="00B31D98"/>
    <w:rsid w:val="00B32414"/>
    <w:rsid w:val="00B32646"/>
    <w:rsid w:val="00B32E52"/>
    <w:rsid w:val="00B34D1B"/>
    <w:rsid w:val="00B35542"/>
    <w:rsid w:val="00B35F50"/>
    <w:rsid w:val="00B36489"/>
    <w:rsid w:val="00B37981"/>
    <w:rsid w:val="00B37E35"/>
    <w:rsid w:val="00B4181E"/>
    <w:rsid w:val="00B421F4"/>
    <w:rsid w:val="00B422F0"/>
    <w:rsid w:val="00B425C2"/>
    <w:rsid w:val="00B4392B"/>
    <w:rsid w:val="00B43E4F"/>
    <w:rsid w:val="00B448A2"/>
    <w:rsid w:val="00B44917"/>
    <w:rsid w:val="00B46271"/>
    <w:rsid w:val="00B462DA"/>
    <w:rsid w:val="00B468EF"/>
    <w:rsid w:val="00B4751F"/>
    <w:rsid w:val="00B47777"/>
    <w:rsid w:val="00B512E6"/>
    <w:rsid w:val="00B5166F"/>
    <w:rsid w:val="00B521E3"/>
    <w:rsid w:val="00B52392"/>
    <w:rsid w:val="00B52552"/>
    <w:rsid w:val="00B53066"/>
    <w:rsid w:val="00B544B1"/>
    <w:rsid w:val="00B557B8"/>
    <w:rsid w:val="00B55E74"/>
    <w:rsid w:val="00B569B7"/>
    <w:rsid w:val="00B57A23"/>
    <w:rsid w:val="00B62BFC"/>
    <w:rsid w:val="00B633A1"/>
    <w:rsid w:val="00B64691"/>
    <w:rsid w:val="00B64D08"/>
    <w:rsid w:val="00B65A65"/>
    <w:rsid w:val="00B65DE8"/>
    <w:rsid w:val="00B66ACE"/>
    <w:rsid w:val="00B67067"/>
    <w:rsid w:val="00B6744A"/>
    <w:rsid w:val="00B67B86"/>
    <w:rsid w:val="00B67C4B"/>
    <w:rsid w:val="00B67DEF"/>
    <w:rsid w:val="00B70474"/>
    <w:rsid w:val="00B70909"/>
    <w:rsid w:val="00B71C5D"/>
    <w:rsid w:val="00B71CF4"/>
    <w:rsid w:val="00B7213C"/>
    <w:rsid w:val="00B73F5F"/>
    <w:rsid w:val="00B75856"/>
    <w:rsid w:val="00B75BDF"/>
    <w:rsid w:val="00B75DC1"/>
    <w:rsid w:val="00B76BD1"/>
    <w:rsid w:val="00B77435"/>
    <w:rsid w:val="00B77C3C"/>
    <w:rsid w:val="00B8044C"/>
    <w:rsid w:val="00B8056A"/>
    <w:rsid w:val="00B81B22"/>
    <w:rsid w:val="00B82519"/>
    <w:rsid w:val="00B8338A"/>
    <w:rsid w:val="00B83441"/>
    <w:rsid w:val="00B85BBA"/>
    <w:rsid w:val="00B8723B"/>
    <w:rsid w:val="00B9010E"/>
    <w:rsid w:val="00B90671"/>
    <w:rsid w:val="00B91623"/>
    <w:rsid w:val="00B91ACF"/>
    <w:rsid w:val="00B92638"/>
    <w:rsid w:val="00B92B08"/>
    <w:rsid w:val="00B94002"/>
    <w:rsid w:val="00B940D5"/>
    <w:rsid w:val="00B946E4"/>
    <w:rsid w:val="00B94CC0"/>
    <w:rsid w:val="00B95531"/>
    <w:rsid w:val="00B96671"/>
    <w:rsid w:val="00B970FC"/>
    <w:rsid w:val="00B9766A"/>
    <w:rsid w:val="00BA0470"/>
    <w:rsid w:val="00BA08DE"/>
    <w:rsid w:val="00BA10E1"/>
    <w:rsid w:val="00BA1CF2"/>
    <w:rsid w:val="00BA253F"/>
    <w:rsid w:val="00BA25DC"/>
    <w:rsid w:val="00BA2997"/>
    <w:rsid w:val="00BA3724"/>
    <w:rsid w:val="00BA3A0A"/>
    <w:rsid w:val="00BA3C6E"/>
    <w:rsid w:val="00BA43B3"/>
    <w:rsid w:val="00BA503E"/>
    <w:rsid w:val="00BA544C"/>
    <w:rsid w:val="00BA58CC"/>
    <w:rsid w:val="00BA58FD"/>
    <w:rsid w:val="00BA5B9C"/>
    <w:rsid w:val="00BA6371"/>
    <w:rsid w:val="00BA6730"/>
    <w:rsid w:val="00BA6FF5"/>
    <w:rsid w:val="00BA77BC"/>
    <w:rsid w:val="00BA7BB4"/>
    <w:rsid w:val="00BB01D8"/>
    <w:rsid w:val="00BB044E"/>
    <w:rsid w:val="00BB0D80"/>
    <w:rsid w:val="00BB1160"/>
    <w:rsid w:val="00BB1256"/>
    <w:rsid w:val="00BB1ACF"/>
    <w:rsid w:val="00BB1DE4"/>
    <w:rsid w:val="00BB1E3B"/>
    <w:rsid w:val="00BB2469"/>
    <w:rsid w:val="00BB2B28"/>
    <w:rsid w:val="00BB3605"/>
    <w:rsid w:val="00BB371D"/>
    <w:rsid w:val="00BB3ECB"/>
    <w:rsid w:val="00BB4EF7"/>
    <w:rsid w:val="00BB6B03"/>
    <w:rsid w:val="00BB7393"/>
    <w:rsid w:val="00BB768E"/>
    <w:rsid w:val="00BB7EC8"/>
    <w:rsid w:val="00BB7FC5"/>
    <w:rsid w:val="00BC0468"/>
    <w:rsid w:val="00BC10EA"/>
    <w:rsid w:val="00BC1617"/>
    <w:rsid w:val="00BC1E96"/>
    <w:rsid w:val="00BC264F"/>
    <w:rsid w:val="00BC2A71"/>
    <w:rsid w:val="00BC38F5"/>
    <w:rsid w:val="00BC6721"/>
    <w:rsid w:val="00BC6FE0"/>
    <w:rsid w:val="00BC72CC"/>
    <w:rsid w:val="00BD06E6"/>
    <w:rsid w:val="00BD0762"/>
    <w:rsid w:val="00BD0BE4"/>
    <w:rsid w:val="00BD134D"/>
    <w:rsid w:val="00BD13C7"/>
    <w:rsid w:val="00BD1DF2"/>
    <w:rsid w:val="00BD1FF8"/>
    <w:rsid w:val="00BD27A4"/>
    <w:rsid w:val="00BD2A94"/>
    <w:rsid w:val="00BD3A27"/>
    <w:rsid w:val="00BD495E"/>
    <w:rsid w:val="00BD54B6"/>
    <w:rsid w:val="00BD5E55"/>
    <w:rsid w:val="00BD6E96"/>
    <w:rsid w:val="00BD769F"/>
    <w:rsid w:val="00BD79FA"/>
    <w:rsid w:val="00BE14D8"/>
    <w:rsid w:val="00BE2083"/>
    <w:rsid w:val="00BE23FE"/>
    <w:rsid w:val="00BE2798"/>
    <w:rsid w:val="00BE2CDA"/>
    <w:rsid w:val="00BE3016"/>
    <w:rsid w:val="00BE3102"/>
    <w:rsid w:val="00BE3536"/>
    <w:rsid w:val="00BE358B"/>
    <w:rsid w:val="00BE39D7"/>
    <w:rsid w:val="00BE3BAB"/>
    <w:rsid w:val="00BE58A5"/>
    <w:rsid w:val="00BE596D"/>
    <w:rsid w:val="00BE60D0"/>
    <w:rsid w:val="00BE6392"/>
    <w:rsid w:val="00BE647D"/>
    <w:rsid w:val="00BE68B4"/>
    <w:rsid w:val="00BE6F50"/>
    <w:rsid w:val="00BE781F"/>
    <w:rsid w:val="00BE7835"/>
    <w:rsid w:val="00BF07B8"/>
    <w:rsid w:val="00BF0C74"/>
    <w:rsid w:val="00BF10CF"/>
    <w:rsid w:val="00BF1E1F"/>
    <w:rsid w:val="00BF2BDF"/>
    <w:rsid w:val="00BF38E0"/>
    <w:rsid w:val="00BF3AAB"/>
    <w:rsid w:val="00BF3BD0"/>
    <w:rsid w:val="00BF3BDC"/>
    <w:rsid w:val="00BF46A2"/>
    <w:rsid w:val="00BF5AF7"/>
    <w:rsid w:val="00BF5C61"/>
    <w:rsid w:val="00BF5CBD"/>
    <w:rsid w:val="00BF6FF3"/>
    <w:rsid w:val="00BF75DA"/>
    <w:rsid w:val="00C0002F"/>
    <w:rsid w:val="00C011D9"/>
    <w:rsid w:val="00C03653"/>
    <w:rsid w:val="00C0369A"/>
    <w:rsid w:val="00C038AC"/>
    <w:rsid w:val="00C039AC"/>
    <w:rsid w:val="00C0434E"/>
    <w:rsid w:val="00C0470B"/>
    <w:rsid w:val="00C04F34"/>
    <w:rsid w:val="00C05032"/>
    <w:rsid w:val="00C062A0"/>
    <w:rsid w:val="00C06386"/>
    <w:rsid w:val="00C06925"/>
    <w:rsid w:val="00C06A09"/>
    <w:rsid w:val="00C07209"/>
    <w:rsid w:val="00C07F64"/>
    <w:rsid w:val="00C10F2D"/>
    <w:rsid w:val="00C11176"/>
    <w:rsid w:val="00C1195F"/>
    <w:rsid w:val="00C11A80"/>
    <w:rsid w:val="00C124E1"/>
    <w:rsid w:val="00C124ED"/>
    <w:rsid w:val="00C13A75"/>
    <w:rsid w:val="00C1415F"/>
    <w:rsid w:val="00C14211"/>
    <w:rsid w:val="00C14579"/>
    <w:rsid w:val="00C1548C"/>
    <w:rsid w:val="00C16863"/>
    <w:rsid w:val="00C1754B"/>
    <w:rsid w:val="00C17AD1"/>
    <w:rsid w:val="00C20ADA"/>
    <w:rsid w:val="00C2133D"/>
    <w:rsid w:val="00C21EB2"/>
    <w:rsid w:val="00C22001"/>
    <w:rsid w:val="00C2253E"/>
    <w:rsid w:val="00C228B7"/>
    <w:rsid w:val="00C22D19"/>
    <w:rsid w:val="00C232E8"/>
    <w:rsid w:val="00C23A67"/>
    <w:rsid w:val="00C25474"/>
    <w:rsid w:val="00C25A0A"/>
    <w:rsid w:val="00C25AC8"/>
    <w:rsid w:val="00C265C1"/>
    <w:rsid w:val="00C267A9"/>
    <w:rsid w:val="00C26837"/>
    <w:rsid w:val="00C27B13"/>
    <w:rsid w:val="00C302E5"/>
    <w:rsid w:val="00C30551"/>
    <w:rsid w:val="00C3073F"/>
    <w:rsid w:val="00C30A8F"/>
    <w:rsid w:val="00C325DD"/>
    <w:rsid w:val="00C32709"/>
    <w:rsid w:val="00C332F4"/>
    <w:rsid w:val="00C33AA4"/>
    <w:rsid w:val="00C33C1F"/>
    <w:rsid w:val="00C347BD"/>
    <w:rsid w:val="00C34DAA"/>
    <w:rsid w:val="00C34FAB"/>
    <w:rsid w:val="00C3515F"/>
    <w:rsid w:val="00C35DBF"/>
    <w:rsid w:val="00C368A7"/>
    <w:rsid w:val="00C37D39"/>
    <w:rsid w:val="00C40B16"/>
    <w:rsid w:val="00C40D7E"/>
    <w:rsid w:val="00C40EED"/>
    <w:rsid w:val="00C410BE"/>
    <w:rsid w:val="00C4141A"/>
    <w:rsid w:val="00C42892"/>
    <w:rsid w:val="00C42C2A"/>
    <w:rsid w:val="00C4368F"/>
    <w:rsid w:val="00C438E2"/>
    <w:rsid w:val="00C44264"/>
    <w:rsid w:val="00C4435B"/>
    <w:rsid w:val="00C4570A"/>
    <w:rsid w:val="00C465FD"/>
    <w:rsid w:val="00C46973"/>
    <w:rsid w:val="00C4700A"/>
    <w:rsid w:val="00C472DD"/>
    <w:rsid w:val="00C4787C"/>
    <w:rsid w:val="00C47FEB"/>
    <w:rsid w:val="00C50397"/>
    <w:rsid w:val="00C51881"/>
    <w:rsid w:val="00C52944"/>
    <w:rsid w:val="00C53222"/>
    <w:rsid w:val="00C53771"/>
    <w:rsid w:val="00C5462B"/>
    <w:rsid w:val="00C54777"/>
    <w:rsid w:val="00C55132"/>
    <w:rsid w:val="00C55794"/>
    <w:rsid w:val="00C55B29"/>
    <w:rsid w:val="00C5727C"/>
    <w:rsid w:val="00C57A43"/>
    <w:rsid w:val="00C57CD6"/>
    <w:rsid w:val="00C6001A"/>
    <w:rsid w:val="00C6016B"/>
    <w:rsid w:val="00C62461"/>
    <w:rsid w:val="00C6305C"/>
    <w:rsid w:val="00C63067"/>
    <w:rsid w:val="00C63195"/>
    <w:rsid w:val="00C63276"/>
    <w:rsid w:val="00C6376A"/>
    <w:rsid w:val="00C64D7D"/>
    <w:rsid w:val="00C65634"/>
    <w:rsid w:val="00C66082"/>
    <w:rsid w:val="00C66EAD"/>
    <w:rsid w:val="00C672F2"/>
    <w:rsid w:val="00C67731"/>
    <w:rsid w:val="00C712E1"/>
    <w:rsid w:val="00C72299"/>
    <w:rsid w:val="00C73A81"/>
    <w:rsid w:val="00C7468C"/>
    <w:rsid w:val="00C7469C"/>
    <w:rsid w:val="00C75B90"/>
    <w:rsid w:val="00C75CA3"/>
    <w:rsid w:val="00C761C1"/>
    <w:rsid w:val="00C7620C"/>
    <w:rsid w:val="00C763A8"/>
    <w:rsid w:val="00C7664F"/>
    <w:rsid w:val="00C76E58"/>
    <w:rsid w:val="00C76FF3"/>
    <w:rsid w:val="00C77228"/>
    <w:rsid w:val="00C77BCF"/>
    <w:rsid w:val="00C77DB5"/>
    <w:rsid w:val="00C80052"/>
    <w:rsid w:val="00C80373"/>
    <w:rsid w:val="00C8060D"/>
    <w:rsid w:val="00C815E4"/>
    <w:rsid w:val="00C81E60"/>
    <w:rsid w:val="00C828D2"/>
    <w:rsid w:val="00C83259"/>
    <w:rsid w:val="00C83BCB"/>
    <w:rsid w:val="00C8448B"/>
    <w:rsid w:val="00C84611"/>
    <w:rsid w:val="00C846BF"/>
    <w:rsid w:val="00C84AD8"/>
    <w:rsid w:val="00C852D9"/>
    <w:rsid w:val="00C85D76"/>
    <w:rsid w:val="00C86985"/>
    <w:rsid w:val="00C86A53"/>
    <w:rsid w:val="00C90570"/>
    <w:rsid w:val="00C905DE"/>
    <w:rsid w:val="00C91953"/>
    <w:rsid w:val="00C91FDF"/>
    <w:rsid w:val="00C92288"/>
    <w:rsid w:val="00C928E1"/>
    <w:rsid w:val="00C93347"/>
    <w:rsid w:val="00C93EC3"/>
    <w:rsid w:val="00C9428E"/>
    <w:rsid w:val="00C9451C"/>
    <w:rsid w:val="00C94731"/>
    <w:rsid w:val="00C95396"/>
    <w:rsid w:val="00C95CE5"/>
    <w:rsid w:val="00C96EF5"/>
    <w:rsid w:val="00C971EC"/>
    <w:rsid w:val="00CA1A55"/>
    <w:rsid w:val="00CA1AF2"/>
    <w:rsid w:val="00CA1C9F"/>
    <w:rsid w:val="00CA30A3"/>
    <w:rsid w:val="00CA3159"/>
    <w:rsid w:val="00CA3711"/>
    <w:rsid w:val="00CA3905"/>
    <w:rsid w:val="00CA3A3E"/>
    <w:rsid w:val="00CA40B6"/>
    <w:rsid w:val="00CA40F1"/>
    <w:rsid w:val="00CA560B"/>
    <w:rsid w:val="00CA5875"/>
    <w:rsid w:val="00CA6E19"/>
    <w:rsid w:val="00CA70F5"/>
    <w:rsid w:val="00CA713A"/>
    <w:rsid w:val="00CA7F0F"/>
    <w:rsid w:val="00CB0E36"/>
    <w:rsid w:val="00CB1DA3"/>
    <w:rsid w:val="00CB1E15"/>
    <w:rsid w:val="00CB226F"/>
    <w:rsid w:val="00CB30D4"/>
    <w:rsid w:val="00CB3CB1"/>
    <w:rsid w:val="00CB521C"/>
    <w:rsid w:val="00CB5B97"/>
    <w:rsid w:val="00CB62BC"/>
    <w:rsid w:val="00CB6F4E"/>
    <w:rsid w:val="00CC0417"/>
    <w:rsid w:val="00CC05A9"/>
    <w:rsid w:val="00CC14ED"/>
    <w:rsid w:val="00CC15F4"/>
    <w:rsid w:val="00CC2182"/>
    <w:rsid w:val="00CC281B"/>
    <w:rsid w:val="00CC34E4"/>
    <w:rsid w:val="00CC3736"/>
    <w:rsid w:val="00CC50A1"/>
    <w:rsid w:val="00CC5604"/>
    <w:rsid w:val="00CC6191"/>
    <w:rsid w:val="00CC72B7"/>
    <w:rsid w:val="00CC77F8"/>
    <w:rsid w:val="00CC7902"/>
    <w:rsid w:val="00CC7D82"/>
    <w:rsid w:val="00CC7E16"/>
    <w:rsid w:val="00CC7F0C"/>
    <w:rsid w:val="00CD19FB"/>
    <w:rsid w:val="00CD1BF4"/>
    <w:rsid w:val="00CD1FA2"/>
    <w:rsid w:val="00CD303A"/>
    <w:rsid w:val="00CD33E0"/>
    <w:rsid w:val="00CD5307"/>
    <w:rsid w:val="00CD573C"/>
    <w:rsid w:val="00CD7240"/>
    <w:rsid w:val="00CD734C"/>
    <w:rsid w:val="00CE0A18"/>
    <w:rsid w:val="00CE0C99"/>
    <w:rsid w:val="00CE0E1F"/>
    <w:rsid w:val="00CE14AF"/>
    <w:rsid w:val="00CE1901"/>
    <w:rsid w:val="00CE2F38"/>
    <w:rsid w:val="00CE3BFB"/>
    <w:rsid w:val="00CE3C72"/>
    <w:rsid w:val="00CE4882"/>
    <w:rsid w:val="00CE49A8"/>
    <w:rsid w:val="00CE4F48"/>
    <w:rsid w:val="00CE538C"/>
    <w:rsid w:val="00CE53C1"/>
    <w:rsid w:val="00CE5626"/>
    <w:rsid w:val="00CE5D41"/>
    <w:rsid w:val="00CE5DAA"/>
    <w:rsid w:val="00CE6709"/>
    <w:rsid w:val="00CE7172"/>
    <w:rsid w:val="00CE71D2"/>
    <w:rsid w:val="00CE72FA"/>
    <w:rsid w:val="00CE7F54"/>
    <w:rsid w:val="00CF0933"/>
    <w:rsid w:val="00CF106C"/>
    <w:rsid w:val="00CF1334"/>
    <w:rsid w:val="00CF1CFB"/>
    <w:rsid w:val="00CF1D9C"/>
    <w:rsid w:val="00CF2D5D"/>
    <w:rsid w:val="00CF309B"/>
    <w:rsid w:val="00CF30DB"/>
    <w:rsid w:val="00CF352D"/>
    <w:rsid w:val="00CF3BA4"/>
    <w:rsid w:val="00CF3CC2"/>
    <w:rsid w:val="00CF481C"/>
    <w:rsid w:val="00CF5343"/>
    <w:rsid w:val="00CF56A4"/>
    <w:rsid w:val="00CF6252"/>
    <w:rsid w:val="00CF6C53"/>
    <w:rsid w:val="00CF708A"/>
    <w:rsid w:val="00CF7488"/>
    <w:rsid w:val="00CF7D5A"/>
    <w:rsid w:val="00CF7FEF"/>
    <w:rsid w:val="00D000E4"/>
    <w:rsid w:val="00D0025A"/>
    <w:rsid w:val="00D01009"/>
    <w:rsid w:val="00D01591"/>
    <w:rsid w:val="00D016CA"/>
    <w:rsid w:val="00D01B62"/>
    <w:rsid w:val="00D02335"/>
    <w:rsid w:val="00D029F1"/>
    <w:rsid w:val="00D03179"/>
    <w:rsid w:val="00D05130"/>
    <w:rsid w:val="00D0583E"/>
    <w:rsid w:val="00D06351"/>
    <w:rsid w:val="00D0650D"/>
    <w:rsid w:val="00D07A08"/>
    <w:rsid w:val="00D105B3"/>
    <w:rsid w:val="00D11A0C"/>
    <w:rsid w:val="00D11C3A"/>
    <w:rsid w:val="00D11E51"/>
    <w:rsid w:val="00D136D4"/>
    <w:rsid w:val="00D13EB8"/>
    <w:rsid w:val="00D14928"/>
    <w:rsid w:val="00D15F5A"/>
    <w:rsid w:val="00D1665C"/>
    <w:rsid w:val="00D16A8E"/>
    <w:rsid w:val="00D16F88"/>
    <w:rsid w:val="00D173AC"/>
    <w:rsid w:val="00D17CDE"/>
    <w:rsid w:val="00D207AF"/>
    <w:rsid w:val="00D226F5"/>
    <w:rsid w:val="00D22AFE"/>
    <w:rsid w:val="00D22CB1"/>
    <w:rsid w:val="00D23B52"/>
    <w:rsid w:val="00D2575E"/>
    <w:rsid w:val="00D260AA"/>
    <w:rsid w:val="00D26217"/>
    <w:rsid w:val="00D2781C"/>
    <w:rsid w:val="00D27B8D"/>
    <w:rsid w:val="00D27BFB"/>
    <w:rsid w:val="00D27C89"/>
    <w:rsid w:val="00D312CD"/>
    <w:rsid w:val="00D3130A"/>
    <w:rsid w:val="00D3184A"/>
    <w:rsid w:val="00D3191C"/>
    <w:rsid w:val="00D32115"/>
    <w:rsid w:val="00D32279"/>
    <w:rsid w:val="00D32709"/>
    <w:rsid w:val="00D32F45"/>
    <w:rsid w:val="00D33CBB"/>
    <w:rsid w:val="00D34049"/>
    <w:rsid w:val="00D34DCB"/>
    <w:rsid w:val="00D35579"/>
    <w:rsid w:val="00D35882"/>
    <w:rsid w:val="00D359F3"/>
    <w:rsid w:val="00D36346"/>
    <w:rsid w:val="00D37FB6"/>
    <w:rsid w:val="00D4071B"/>
    <w:rsid w:val="00D40D78"/>
    <w:rsid w:val="00D420ED"/>
    <w:rsid w:val="00D423E0"/>
    <w:rsid w:val="00D42AC8"/>
    <w:rsid w:val="00D42DB1"/>
    <w:rsid w:val="00D42F19"/>
    <w:rsid w:val="00D43992"/>
    <w:rsid w:val="00D440AC"/>
    <w:rsid w:val="00D45870"/>
    <w:rsid w:val="00D458B1"/>
    <w:rsid w:val="00D4639B"/>
    <w:rsid w:val="00D468AE"/>
    <w:rsid w:val="00D47392"/>
    <w:rsid w:val="00D50995"/>
    <w:rsid w:val="00D50B1C"/>
    <w:rsid w:val="00D50FCE"/>
    <w:rsid w:val="00D50FF2"/>
    <w:rsid w:val="00D51065"/>
    <w:rsid w:val="00D51138"/>
    <w:rsid w:val="00D528AD"/>
    <w:rsid w:val="00D52E8D"/>
    <w:rsid w:val="00D53316"/>
    <w:rsid w:val="00D537CC"/>
    <w:rsid w:val="00D53EFE"/>
    <w:rsid w:val="00D55003"/>
    <w:rsid w:val="00D5589F"/>
    <w:rsid w:val="00D55F2C"/>
    <w:rsid w:val="00D5657A"/>
    <w:rsid w:val="00D57A2B"/>
    <w:rsid w:val="00D57E17"/>
    <w:rsid w:val="00D57E5C"/>
    <w:rsid w:val="00D61332"/>
    <w:rsid w:val="00D6137D"/>
    <w:rsid w:val="00D6245D"/>
    <w:rsid w:val="00D62875"/>
    <w:rsid w:val="00D639F5"/>
    <w:rsid w:val="00D64212"/>
    <w:rsid w:val="00D65546"/>
    <w:rsid w:val="00D65698"/>
    <w:rsid w:val="00D6581E"/>
    <w:rsid w:val="00D65BC3"/>
    <w:rsid w:val="00D663E8"/>
    <w:rsid w:val="00D665B1"/>
    <w:rsid w:val="00D669C8"/>
    <w:rsid w:val="00D66C2A"/>
    <w:rsid w:val="00D66DA9"/>
    <w:rsid w:val="00D67128"/>
    <w:rsid w:val="00D67CC5"/>
    <w:rsid w:val="00D71118"/>
    <w:rsid w:val="00D7115F"/>
    <w:rsid w:val="00D7176C"/>
    <w:rsid w:val="00D71B86"/>
    <w:rsid w:val="00D72675"/>
    <w:rsid w:val="00D7270C"/>
    <w:rsid w:val="00D72E8B"/>
    <w:rsid w:val="00D73010"/>
    <w:rsid w:val="00D739AF"/>
    <w:rsid w:val="00D73BE8"/>
    <w:rsid w:val="00D73F30"/>
    <w:rsid w:val="00D74416"/>
    <w:rsid w:val="00D759FD"/>
    <w:rsid w:val="00D75B94"/>
    <w:rsid w:val="00D7622B"/>
    <w:rsid w:val="00D762DC"/>
    <w:rsid w:val="00D76710"/>
    <w:rsid w:val="00D80307"/>
    <w:rsid w:val="00D80336"/>
    <w:rsid w:val="00D81643"/>
    <w:rsid w:val="00D8190B"/>
    <w:rsid w:val="00D8293E"/>
    <w:rsid w:val="00D82AD0"/>
    <w:rsid w:val="00D82E19"/>
    <w:rsid w:val="00D830C1"/>
    <w:rsid w:val="00D83336"/>
    <w:rsid w:val="00D83507"/>
    <w:rsid w:val="00D83EB9"/>
    <w:rsid w:val="00D8577D"/>
    <w:rsid w:val="00D86C59"/>
    <w:rsid w:val="00D878CA"/>
    <w:rsid w:val="00D91593"/>
    <w:rsid w:val="00D91B0F"/>
    <w:rsid w:val="00D91CA5"/>
    <w:rsid w:val="00D92C19"/>
    <w:rsid w:val="00D93265"/>
    <w:rsid w:val="00D93BE9"/>
    <w:rsid w:val="00D94123"/>
    <w:rsid w:val="00D94FE2"/>
    <w:rsid w:val="00D95171"/>
    <w:rsid w:val="00D96008"/>
    <w:rsid w:val="00D961F3"/>
    <w:rsid w:val="00D976B7"/>
    <w:rsid w:val="00D9778C"/>
    <w:rsid w:val="00DA19B7"/>
    <w:rsid w:val="00DA2925"/>
    <w:rsid w:val="00DA318D"/>
    <w:rsid w:val="00DA33AC"/>
    <w:rsid w:val="00DA3C32"/>
    <w:rsid w:val="00DA3EC5"/>
    <w:rsid w:val="00DA4002"/>
    <w:rsid w:val="00DA40C9"/>
    <w:rsid w:val="00DA4E8B"/>
    <w:rsid w:val="00DA56D1"/>
    <w:rsid w:val="00DA58FB"/>
    <w:rsid w:val="00DA663F"/>
    <w:rsid w:val="00DA67D7"/>
    <w:rsid w:val="00DA7394"/>
    <w:rsid w:val="00DA7A01"/>
    <w:rsid w:val="00DB04CB"/>
    <w:rsid w:val="00DB0AF3"/>
    <w:rsid w:val="00DB2102"/>
    <w:rsid w:val="00DB2375"/>
    <w:rsid w:val="00DB2F70"/>
    <w:rsid w:val="00DB2FEC"/>
    <w:rsid w:val="00DB30F1"/>
    <w:rsid w:val="00DB3928"/>
    <w:rsid w:val="00DB4050"/>
    <w:rsid w:val="00DB4F19"/>
    <w:rsid w:val="00DB4FE5"/>
    <w:rsid w:val="00DB5128"/>
    <w:rsid w:val="00DB544A"/>
    <w:rsid w:val="00DB5602"/>
    <w:rsid w:val="00DB56F8"/>
    <w:rsid w:val="00DB580F"/>
    <w:rsid w:val="00DB5A89"/>
    <w:rsid w:val="00DB5AE5"/>
    <w:rsid w:val="00DB68A4"/>
    <w:rsid w:val="00DB6D5E"/>
    <w:rsid w:val="00DB743F"/>
    <w:rsid w:val="00DB7705"/>
    <w:rsid w:val="00DB7B69"/>
    <w:rsid w:val="00DB7BDB"/>
    <w:rsid w:val="00DC0447"/>
    <w:rsid w:val="00DC0931"/>
    <w:rsid w:val="00DC0DE7"/>
    <w:rsid w:val="00DC1289"/>
    <w:rsid w:val="00DC183A"/>
    <w:rsid w:val="00DC2555"/>
    <w:rsid w:val="00DC2A5E"/>
    <w:rsid w:val="00DC2CA8"/>
    <w:rsid w:val="00DC4C02"/>
    <w:rsid w:val="00DC4C5E"/>
    <w:rsid w:val="00DC52B2"/>
    <w:rsid w:val="00DC54EA"/>
    <w:rsid w:val="00DC67F3"/>
    <w:rsid w:val="00DC71BC"/>
    <w:rsid w:val="00DD05BD"/>
    <w:rsid w:val="00DD0D2F"/>
    <w:rsid w:val="00DD19A0"/>
    <w:rsid w:val="00DD1BAD"/>
    <w:rsid w:val="00DD24F9"/>
    <w:rsid w:val="00DD2BAB"/>
    <w:rsid w:val="00DD3B56"/>
    <w:rsid w:val="00DD5847"/>
    <w:rsid w:val="00DD6228"/>
    <w:rsid w:val="00DD6348"/>
    <w:rsid w:val="00DD6FC5"/>
    <w:rsid w:val="00DD71B5"/>
    <w:rsid w:val="00DE0D6E"/>
    <w:rsid w:val="00DE1059"/>
    <w:rsid w:val="00DE177F"/>
    <w:rsid w:val="00DE206B"/>
    <w:rsid w:val="00DE43A3"/>
    <w:rsid w:val="00DE49A6"/>
    <w:rsid w:val="00DE517C"/>
    <w:rsid w:val="00DE6523"/>
    <w:rsid w:val="00DE71F9"/>
    <w:rsid w:val="00DE76CA"/>
    <w:rsid w:val="00DE7EF0"/>
    <w:rsid w:val="00DF08B4"/>
    <w:rsid w:val="00DF0A9F"/>
    <w:rsid w:val="00DF0DBA"/>
    <w:rsid w:val="00DF1A3F"/>
    <w:rsid w:val="00DF21FA"/>
    <w:rsid w:val="00DF2393"/>
    <w:rsid w:val="00DF28C9"/>
    <w:rsid w:val="00DF35B2"/>
    <w:rsid w:val="00DF4C98"/>
    <w:rsid w:val="00DF4F23"/>
    <w:rsid w:val="00DF50C6"/>
    <w:rsid w:val="00DF5241"/>
    <w:rsid w:val="00DF5661"/>
    <w:rsid w:val="00DF566D"/>
    <w:rsid w:val="00DF5978"/>
    <w:rsid w:val="00DF6332"/>
    <w:rsid w:val="00DF6A08"/>
    <w:rsid w:val="00DF7485"/>
    <w:rsid w:val="00E00959"/>
    <w:rsid w:val="00E0220A"/>
    <w:rsid w:val="00E02FF0"/>
    <w:rsid w:val="00E030A5"/>
    <w:rsid w:val="00E03A95"/>
    <w:rsid w:val="00E045E6"/>
    <w:rsid w:val="00E0566C"/>
    <w:rsid w:val="00E05727"/>
    <w:rsid w:val="00E05D65"/>
    <w:rsid w:val="00E05DB7"/>
    <w:rsid w:val="00E06467"/>
    <w:rsid w:val="00E06684"/>
    <w:rsid w:val="00E071CF"/>
    <w:rsid w:val="00E073D1"/>
    <w:rsid w:val="00E0790F"/>
    <w:rsid w:val="00E1034D"/>
    <w:rsid w:val="00E10E6A"/>
    <w:rsid w:val="00E11C74"/>
    <w:rsid w:val="00E11FA5"/>
    <w:rsid w:val="00E120D2"/>
    <w:rsid w:val="00E12B52"/>
    <w:rsid w:val="00E1409F"/>
    <w:rsid w:val="00E141FC"/>
    <w:rsid w:val="00E14E62"/>
    <w:rsid w:val="00E14F18"/>
    <w:rsid w:val="00E160E7"/>
    <w:rsid w:val="00E1674F"/>
    <w:rsid w:val="00E16EA5"/>
    <w:rsid w:val="00E17091"/>
    <w:rsid w:val="00E171A1"/>
    <w:rsid w:val="00E17801"/>
    <w:rsid w:val="00E178DF"/>
    <w:rsid w:val="00E179AC"/>
    <w:rsid w:val="00E17C53"/>
    <w:rsid w:val="00E17E73"/>
    <w:rsid w:val="00E20FD9"/>
    <w:rsid w:val="00E2172C"/>
    <w:rsid w:val="00E21944"/>
    <w:rsid w:val="00E21B09"/>
    <w:rsid w:val="00E21BB7"/>
    <w:rsid w:val="00E21CE7"/>
    <w:rsid w:val="00E21F79"/>
    <w:rsid w:val="00E227CC"/>
    <w:rsid w:val="00E23376"/>
    <w:rsid w:val="00E234C3"/>
    <w:rsid w:val="00E23A2B"/>
    <w:rsid w:val="00E23C30"/>
    <w:rsid w:val="00E24251"/>
    <w:rsid w:val="00E242A7"/>
    <w:rsid w:val="00E252FB"/>
    <w:rsid w:val="00E25984"/>
    <w:rsid w:val="00E25CA0"/>
    <w:rsid w:val="00E25CC8"/>
    <w:rsid w:val="00E262B8"/>
    <w:rsid w:val="00E27E60"/>
    <w:rsid w:val="00E31809"/>
    <w:rsid w:val="00E3183A"/>
    <w:rsid w:val="00E31958"/>
    <w:rsid w:val="00E31E58"/>
    <w:rsid w:val="00E31FBC"/>
    <w:rsid w:val="00E320F0"/>
    <w:rsid w:val="00E33093"/>
    <w:rsid w:val="00E33674"/>
    <w:rsid w:val="00E3474C"/>
    <w:rsid w:val="00E349CE"/>
    <w:rsid w:val="00E35E82"/>
    <w:rsid w:val="00E36167"/>
    <w:rsid w:val="00E36841"/>
    <w:rsid w:val="00E37502"/>
    <w:rsid w:val="00E40415"/>
    <w:rsid w:val="00E404DF"/>
    <w:rsid w:val="00E41241"/>
    <w:rsid w:val="00E4135E"/>
    <w:rsid w:val="00E41894"/>
    <w:rsid w:val="00E42AA5"/>
    <w:rsid w:val="00E433CA"/>
    <w:rsid w:val="00E43D9E"/>
    <w:rsid w:val="00E45145"/>
    <w:rsid w:val="00E455C1"/>
    <w:rsid w:val="00E4598C"/>
    <w:rsid w:val="00E46994"/>
    <w:rsid w:val="00E47FC6"/>
    <w:rsid w:val="00E50342"/>
    <w:rsid w:val="00E50C1D"/>
    <w:rsid w:val="00E50DD4"/>
    <w:rsid w:val="00E5114D"/>
    <w:rsid w:val="00E5134D"/>
    <w:rsid w:val="00E51A47"/>
    <w:rsid w:val="00E52EE0"/>
    <w:rsid w:val="00E54654"/>
    <w:rsid w:val="00E54D0F"/>
    <w:rsid w:val="00E55452"/>
    <w:rsid w:val="00E57479"/>
    <w:rsid w:val="00E5786A"/>
    <w:rsid w:val="00E6009A"/>
    <w:rsid w:val="00E618AF"/>
    <w:rsid w:val="00E61ED5"/>
    <w:rsid w:val="00E61F43"/>
    <w:rsid w:val="00E62CD6"/>
    <w:rsid w:val="00E644F2"/>
    <w:rsid w:val="00E653F0"/>
    <w:rsid w:val="00E65503"/>
    <w:rsid w:val="00E655C1"/>
    <w:rsid w:val="00E659A3"/>
    <w:rsid w:val="00E65AA0"/>
    <w:rsid w:val="00E66574"/>
    <w:rsid w:val="00E66E13"/>
    <w:rsid w:val="00E70E77"/>
    <w:rsid w:val="00E71FA6"/>
    <w:rsid w:val="00E72366"/>
    <w:rsid w:val="00E7242B"/>
    <w:rsid w:val="00E72C22"/>
    <w:rsid w:val="00E73166"/>
    <w:rsid w:val="00E732C9"/>
    <w:rsid w:val="00E74DE6"/>
    <w:rsid w:val="00E74E83"/>
    <w:rsid w:val="00E75011"/>
    <w:rsid w:val="00E75923"/>
    <w:rsid w:val="00E75B3F"/>
    <w:rsid w:val="00E76DC4"/>
    <w:rsid w:val="00E779A6"/>
    <w:rsid w:val="00E802E3"/>
    <w:rsid w:val="00E80320"/>
    <w:rsid w:val="00E803AF"/>
    <w:rsid w:val="00E80B76"/>
    <w:rsid w:val="00E80C1C"/>
    <w:rsid w:val="00E80C7C"/>
    <w:rsid w:val="00E80D66"/>
    <w:rsid w:val="00E8141B"/>
    <w:rsid w:val="00E81495"/>
    <w:rsid w:val="00E82FEA"/>
    <w:rsid w:val="00E83789"/>
    <w:rsid w:val="00E837EF"/>
    <w:rsid w:val="00E83883"/>
    <w:rsid w:val="00E8453F"/>
    <w:rsid w:val="00E846C8"/>
    <w:rsid w:val="00E85959"/>
    <w:rsid w:val="00E86E81"/>
    <w:rsid w:val="00E875EA"/>
    <w:rsid w:val="00E876B8"/>
    <w:rsid w:val="00E87872"/>
    <w:rsid w:val="00E87B61"/>
    <w:rsid w:val="00E87F13"/>
    <w:rsid w:val="00E87FE6"/>
    <w:rsid w:val="00E92303"/>
    <w:rsid w:val="00E92EA0"/>
    <w:rsid w:val="00E94F90"/>
    <w:rsid w:val="00E9508A"/>
    <w:rsid w:val="00E95B82"/>
    <w:rsid w:val="00E9673A"/>
    <w:rsid w:val="00E971C2"/>
    <w:rsid w:val="00E97787"/>
    <w:rsid w:val="00E977A5"/>
    <w:rsid w:val="00E9786A"/>
    <w:rsid w:val="00E97B3A"/>
    <w:rsid w:val="00E97E90"/>
    <w:rsid w:val="00EA0662"/>
    <w:rsid w:val="00EA2255"/>
    <w:rsid w:val="00EA2CBF"/>
    <w:rsid w:val="00EA3209"/>
    <w:rsid w:val="00EA414D"/>
    <w:rsid w:val="00EA44B2"/>
    <w:rsid w:val="00EA44CA"/>
    <w:rsid w:val="00EA495E"/>
    <w:rsid w:val="00EA49CC"/>
    <w:rsid w:val="00EA4A15"/>
    <w:rsid w:val="00EA5FD5"/>
    <w:rsid w:val="00EA68C8"/>
    <w:rsid w:val="00EA6A79"/>
    <w:rsid w:val="00EA6A7F"/>
    <w:rsid w:val="00EA6D14"/>
    <w:rsid w:val="00EA728A"/>
    <w:rsid w:val="00EA72F9"/>
    <w:rsid w:val="00EA7BFC"/>
    <w:rsid w:val="00EB130F"/>
    <w:rsid w:val="00EB2239"/>
    <w:rsid w:val="00EB3F1E"/>
    <w:rsid w:val="00EB53E0"/>
    <w:rsid w:val="00EB5512"/>
    <w:rsid w:val="00EB56B4"/>
    <w:rsid w:val="00EB578D"/>
    <w:rsid w:val="00EB62A0"/>
    <w:rsid w:val="00EB63F6"/>
    <w:rsid w:val="00EB6507"/>
    <w:rsid w:val="00EB665D"/>
    <w:rsid w:val="00EB6A78"/>
    <w:rsid w:val="00EB6E79"/>
    <w:rsid w:val="00EB7979"/>
    <w:rsid w:val="00EB7E36"/>
    <w:rsid w:val="00EC06D0"/>
    <w:rsid w:val="00EC0B11"/>
    <w:rsid w:val="00EC1487"/>
    <w:rsid w:val="00EC14C7"/>
    <w:rsid w:val="00EC2BD4"/>
    <w:rsid w:val="00EC2F53"/>
    <w:rsid w:val="00EC3284"/>
    <w:rsid w:val="00EC39C2"/>
    <w:rsid w:val="00EC44CF"/>
    <w:rsid w:val="00EC46CE"/>
    <w:rsid w:val="00EC5626"/>
    <w:rsid w:val="00EC56FE"/>
    <w:rsid w:val="00EC593F"/>
    <w:rsid w:val="00EC5D48"/>
    <w:rsid w:val="00EC60AA"/>
    <w:rsid w:val="00EC64A1"/>
    <w:rsid w:val="00EC64A3"/>
    <w:rsid w:val="00EC7C08"/>
    <w:rsid w:val="00ED0DE9"/>
    <w:rsid w:val="00ED2DFD"/>
    <w:rsid w:val="00ED3D35"/>
    <w:rsid w:val="00ED476F"/>
    <w:rsid w:val="00ED5037"/>
    <w:rsid w:val="00ED5121"/>
    <w:rsid w:val="00ED5387"/>
    <w:rsid w:val="00ED584E"/>
    <w:rsid w:val="00ED5A7B"/>
    <w:rsid w:val="00ED5F60"/>
    <w:rsid w:val="00ED63B7"/>
    <w:rsid w:val="00ED76F9"/>
    <w:rsid w:val="00ED79C7"/>
    <w:rsid w:val="00ED7F8C"/>
    <w:rsid w:val="00EE0096"/>
    <w:rsid w:val="00EE0A7C"/>
    <w:rsid w:val="00EE0BF4"/>
    <w:rsid w:val="00EE0D20"/>
    <w:rsid w:val="00EE169F"/>
    <w:rsid w:val="00EE3D22"/>
    <w:rsid w:val="00EE45CC"/>
    <w:rsid w:val="00EE5EBA"/>
    <w:rsid w:val="00EE6A99"/>
    <w:rsid w:val="00EE79FC"/>
    <w:rsid w:val="00EF1379"/>
    <w:rsid w:val="00EF1739"/>
    <w:rsid w:val="00EF1BA8"/>
    <w:rsid w:val="00EF2F1A"/>
    <w:rsid w:val="00EF311B"/>
    <w:rsid w:val="00EF3153"/>
    <w:rsid w:val="00EF3280"/>
    <w:rsid w:val="00EF36ED"/>
    <w:rsid w:val="00EF37CE"/>
    <w:rsid w:val="00EF40A1"/>
    <w:rsid w:val="00EF46B0"/>
    <w:rsid w:val="00EF6181"/>
    <w:rsid w:val="00EF7D58"/>
    <w:rsid w:val="00F000FD"/>
    <w:rsid w:val="00F006B3"/>
    <w:rsid w:val="00F009F1"/>
    <w:rsid w:val="00F01833"/>
    <w:rsid w:val="00F0391A"/>
    <w:rsid w:val="00F03D8F"/>
    <w:rsid w:val="00F043F1"/>
    <w:rsid w:val="00F07B6E"/>
    <w:rsid w:val="00F10C22"/>
    <w:rsid w:val="00F10DCC"/>
    <w:rsid w:val="00F113B5"/>
    <w:rsid w:val="00F11463"/>
    <w:rsid w:val="00F1165D"/>
    <w:rsid w:val="00F11C18"/>
    <w:rsid w:val="00F11F3F"/>
    <w:rsid w:val="00F1297E"/>
    <w:rsid w:val="00F136FF"/>
    <w:rsid w:val="00F1540B"/>
    <w:rsid w:val="00F16D5B"/>
    <w:rsid w:val="00F17458"/>
    <w:rsid w:val="00F1750F"/>
    <w:rsid w:val="00F204A4"/>
    <w:rsid w:val="00F20CBE"/>
    <w:rsid w:val="00F20E0E"/>
    <w:rsid w:val="00F2143C"/>
    <w:rsid w:val="00F21F6E"/>
    <w:rsid w:val="00F2214A"/>
    <w:rsid w:val="00F22150"/>
    <w:rsid w:val="00F232AA"/>
    <w:rsid w:val="00F2351A"/>
    <w:rsid w:val="00F243CA"/>
    <w:rsid w:val="00F2491F"/>
    <w:rsid w:val="00F24ED2"/>
    <w:rsid w:val="00F250D3"/>
    <w:rsid w:val="00F26A46"/>
    <w:rsid w:val="00F26CA8"/>
    <w:rsid w:val="00F274F2"/>
    <w:rsid w:val="00F275DE"/>
    <w:rsid w:val="00F276C5"/>
    <w:rsid w:val="00F30734"/>
    <w:rsid w:val="00F3096A"/>
    <w:rsid w:val="00F318A9"/>
    <w:rsid w:val="00F31A67"/>
    <w:rsid w:val="00F31DFA"/>
    <w:rsid w:val="00F3203E"/>
    <w:rsid w:val="00F326D8"/>
    <w:rsid w:val="00F32BB0"/>
    <w:rsid w:val="00F332CE"/>
    <w:rsid w:val="00F33D7B"/>
    <w:rsid w:val="00F3413C"/>
    <w:rsid w:val="00F34C8A"/>
    <w:rsid w:val="00F367A5"/>
    <w:rsid w:val="00F3691A"/>
    <w:rsid w:val="00F418B3"/>
    <w:rsid w:val="00F41D41"/>
    <w:rsid w:val="00F420C9"/>
    <w:rsid w:val="00F420CD"/>
    <w:rsid w:val="00F445A5"/>
    <w:rsid w:val="00F44B6F"/>
    <w:rsid w:val="00F44DB6"/>
    <w:rsid w:val="00F44F54"/>
    <w:rsid w:val="00F45228"/>
    <w:rsid w:val="00F45E25"/>
    <w:rsid w:val="00F46938"/>
    <w:rsid w:val="00F46DCB"/>
    <w:rsid w:val="00F477C5"/>
    <w:rsid w:val="00F477FF"/>
    <w:rsid w:val="00F47DDD"/>
    <w:rsid w:val="00F47ED1"/>
    <w:rsid w:val="00F5036D"/>
    <w:rsid w:val="00F506A5"/>
    <w:rsid w:val="00F50705"/>
    <w:rsid w:val="00F525A6"/>
    <w:rsid w:val="00F52C22"/>
    <w:rsid w:val="00F531BA"/>
    <w:rsid w:val="00F53C08"/>
    <w:rsid w:val="00F54306"/>
    <w:rsid w:val="00F54755"/>
    <w:rsid w:val="00F54F9B"/>
    <w:rsid w:val="00F54FFC"/>
    <w:rsid w:val="00F55438"/>
    <w:rsid w:val="00F57259"/>
    <w:rsid w:val="00F573ED"/>
    <w:rsid w:val="00F60167"/>
    <w:rsid w:val="00F614B4"/>
    <w:rsid w:val="00F61752"/>
    <w:rsid w:val="00F61BF9"/>
    <w:rsid w:val="00F62A79"/>
    <w:rsid w:val="00F62AEF"/>
    <w:rsid w:val="00F6311F"/>
    <w:rsid w:val="00F6339D"/>
    <w:rsid w:val="00F63474"/>
    <w:rsid w:val="00F6394C"/>
    <w:rsid w:val="00F650BF"/>
    <w:rsid w:val="00F6541D"/>
    <w:rsid w:val="00F6560B"/>
    <w:rsid w:val="00F656E5"/>
    <w:rsid w:val="00F66B7A"/>
    <w:rsid w:val="00F66FE5"/>
    <w:rsid w:val="00F67469"/>
    <w:rsid w:val="00F67547"/>
    <w:rsid w:val="00F67619"/>
    <w:rsid w:val="00F6783E"/>
    <w:rsid w:val="00F678FE"/>
    <w:rsid w:val="00F679C5"/>
    <w:rsid w:val="00F70288"/>
    <w:rsid w:val="00F707AD"/>
    <w:rsid w:val="00F70877"/>
    <w:rsid w:val="00F70C5E"/>
    <w:rsid w:val="00F70DE0"/>
    <w:rsid w:val="00F71732"/>
    <w:rsid w:val="00F72564"/>
    <w:rsid w:val="00F72A09"/>
    <w:rsid w:val="00F72D5E"/>
    <w:rsid w:val="00F73780"/>
    <w:rsid w:val="00F7492B"/>
    <w:rsid w:val="00F74E23"/>
    <w:rsid w:val="00F7516D"/>
    <w:rsid w:val="00F75824"/>
    <w:rsid w:val="00F75FDB"/>
    <w:rsid w:val="00F77A68"/>
    <w:rsid w:val="00F77D4A"/>
    <w:rsid w:val="00F77FD2"/>
    <w:rsid w:val="00F80D54"/>
    <w:rsid w:val="00F81B57"/>
    <w:rsid w:val="00F82546"/>
    <w:rsid w:val="00F831AF"/>
    <w:rsid w:val="00F83ABB"/>
    <w:rsid w:val="00F84F41"/>
    <w:rsid w:val="00F852CB"/>
    <w:rsid w:val="00F855A9"/>
    <w:rsid w:val="00F85AAC"/>
    <w:rsid w:val="00F85B71"/>
    <w:rsid w:val="00F85D5B"/>
    <w:rsid w:val="00F861F7"/>
    <w:rsid w:val="00F872CF"/>
    <w:rsid w:val="00F87884"/>
    <w:rsid w:val="00F87F1C"/>
    <w:rsid w:val="00F9075D"/>
    <w:rsid w:val="00F90CE3"/>
    <w:rsid w:val="00F90D3D"/>
    <w:rsid w:val="00F91633"/>
    <w:rsid w:val="00F92DE0"/>
    <w:rsid w:val="00F93A83"/>
    <w:rsid w:val="00F94D02"/>
    <w:rsid w:val="00F94F11"/>
    <w:rsid w:val="00F955FB"/>
    <w:rsid w:val="00F9747F"/>
    <w:rsid w:val="00F977E8"/>
    <w:rsid w:val="00FA0371"/>
    <w:rsid w:val="00FA0F48"/>
    <w:rsid w:val="00FA162E"/>
    <w:rsid w:val="00FA40FA"/>
    <w:rsid w:val="00FA4EE0"/>
    <w:rsid w:val="00FA5905"/>
    <w:rsid w:val="00FA6535"/>
    <w:rsid w:val="00FA6A35"/>
    <w:rsid w:val="00FA6AAA"/>
    <w:rsid w:val="00FA737B"/>
    <w:rsid w:val="00FA77EC"/>
    <w:rsid w:val="00FA7FDF"/>
    <w:rsid w:val="00FB01F4"/>
    <w:rsid w:val="00FB0FE4"/>
    <w:rsid w:val="00FB1306"/>
    <w:rsid w:val="00FB1AF8"/>
    <w:rsid w:val="00FB357F"/>
    <w:rsid w:val="00FB3859"/>
    <w:rsid w:val="00FB3A11"/>
    <w:rsid w:val="00FB3E4A"/>
    <w:rsid w:val="00FB48B4"/>
    <w:rsid w:val="00FB4B11"/>
    <w:rsid w:val="00FB544F"/>
    <w:rsid w:val="00FB69E5"/>
    <w:rsid w:val="00FB6DE6"/>
    <w:rsid w:val="00FB760B"/>
    <w:rsid w:val="00FC0EB5"/>
    <w:rsid w:val="00FC1293"/>
    <w:rsid w:val="00FC1EAE"/>
    <w:rsid w:val="00FC1FC2"/>
    <w:rsid w:val="00FC250E"/>
    <w:rsid w:val="00FC2AC9"/>
    <w:rsid w:val="00FC3042"/>
    <w:rsid w:val="00FC5D12"/>
    <w:rsid w:val="00FC6830"/>
    <w:rsid w:val="00FC751E"/>
    <w:rsid w:val="00FC753F"/>
    <w:rsid w:val="00FC78F2"/>
    <w:rsid w:val="00FD0D38"/>
    <w:rsid w:val="00FD0F22"/>
    <w:rsid w:val="00FD11AD"/>
    <w:rsid w:val="00FD147A"/>
    <w:rsid w:val="00FD192F"/>
    <w:rsid w:val="00FD3082"/>
    <w:rsid w:val="00FD30CA"/>
    <w:rsid w:val="00FD4DC6"/>
    <w:rsid w:val="00FD5B3A"/>
    <w:rsid w:val="00FD65B2"/>
    <w:rsid w:val="00FD7689"/>
    <w:rsid w:val="00FE04C2"/>
    <w:rsid w:val="00FE0582"/>
    <w:rsid w:val="00FE0958"/>
    <w:rsid w:val="00FE1602"/>
    <w:rsid w:val="00FE1DF5"/>
    <w:rsid w:val="00FE1E1F"/>
    <w:rsid w:val="00FE2EE3"/>
    <w:rsid w:val="00FE3479"/>
    <w:rsid w:val="00FE366B"/>
    <w:rsid w:val="00FE4EC6"/>
    <w:rsid w:val="00FE53E7"/>
    <w:rsid w:val="00FE59B0"/>
    <w:rsid w:val="00FE7A9F"/>
    <w:rsid w:val="00FE7CA4"/>
    <w:rsid w:val="00FF07F6"/>
    <w:rsid w:val="00FF1489"/>
    <w:rsid w:val="00FF2AB5"/>
    <w:rsid w:val="00FF2E3B"/>
    <w:rsid w:val="00FF3149"/>
    <w:rsid w:val="00FF3607"/>
    <w:rsid w:val="00FF363D"/>
    <w:rsid w:val="00FF3C7C"/>
    <w:rsid w:val="00FF562C"/>
    <w:rsid w:val="00FF5AFC"/>
    <w:rsid w:val="00FF5C8A"/>
    <w:rsid w:val="00FF5D3E"/>
    <w:rsid w:val="00FF673D"/>
    <w:rsid w:val="00FF6DA9"/>
    <w:rsid w:val="00FF6DE4"/>
    <w:rsid w:val="00FF75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94AAF"/>
  <w15:docId w15:val="{1C5984FE-E2AB-4327-B5BC-8B14A1C9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FE"/>
    <w:pPr>
      <w:jc w:val="both"/>
    </w:pPr>
    <w:rPr>
      <w:spacing w:val="-2"/>
      <w:sz w:val="20"/>
    </w:rPr>
  </w:style>
  <w:style w:type="paragraph" w:styleId="Ttulo1">
    <w:name w:val="heading 1"/>
    <w:basedOn w:val="Normal"/>
    <w:next w:val="Prrafodelista"/>
    <w:link w:val="Ttulo1Car"/>
    <w:uiPriority w:val="9"/>
    <w:qFormat/>
    <w:rsid w:val="008968B2"/>
    <w:pPr>
      <w:keepNext/>
      <w:keepLines/>
      <w:pageBreakBefore/>
      <w:numPr>
        <w:numId w:val="1"/>
      </w:numPr>
      <w:spacing w:before="80" w:after="60" w:line="240" w:lineRule="auto"/>
      <w:ind w:left="714" w:hanging="357"/>
      <w:jc w:val="center"/>
      <w:outlineLvl w:val="0"/>
    </w:pPr>
    <w:rPr>
      <w:rFonts w:ascii="Segoe UI" w:eastAsiaTheme="majorEastAsia" w:hAnsi="Segoe UI" w:cstheme="majorBidi"/>
      <w:b/>
      <w:smallCaps/>
      <w:color w:val="44546A" w:themeColor="text2"/>
      <w:sz w:val="28"/>
      <w:szCs w:val="32"/>
    </w:rPr>
  </w:style>
  <w:style w:type="paragraph" w:styleId="Ttulo2">
    <w:name w:val="heading 2"/>
    <w:basedOn w:val="Normal"/>
    <w:next w:val="Prrafodelista"/>
    <w:link w:val="Ttulo2Car"/>
    <w:autoRedefine/>
    <w:uiPriority w:val="9"/>
    <w:unhideWhenUsed/>
    <w:qFormat/>
    <w:rsid w:val="001B387B"/>
    <w:pPr>
      <w:keepNext/>
      <w:keepLines/>
      <w:numPr>
        <w:numId w:val="2"/>
      </w:numPr>
      <w:spacing w:before="120" w:after="0"/>
      <w:outlineLvl w:val="1"/>
    </w:pPr>
    <w:rPr>
      <w:rFonts w:asciiTheme="majorHAnsi" w:eastAsiaTheme="majorEastAsia" w:hAnsiTheme="majorHAnsi" w:cstheme="majorBidi"/>
      <w:b/>
      <w:sz w:val="26"/>
      <w:szCs w:val="26"/>
      <w:u w:val="single"/>
    </w:rPr>
  </w:style>
  <w:style w:type="paragraph" w:styleId="Ttulo3">
    <w:name w:val="heading 3"/>
    <w:basedOn w:val="Normal"/>
    <w:next w:val="Normal"/>
    <w:link w:val="Ttulo3Car"/>
    <w:autoRedefine/>
    <w:uiPriority w:val="9"/>
    <w:unhideWhenUsed/>
    <w:qFormat/>
    <w:rsid w:val="00FA4EE0"/>
    <w:pPr>
      <w:keepNext/>
      <w:keepLines/>
      <w:numPr>
        <w:numId w:val="6"/>
      </w:numPr>
      <w:tabs>
        <w:tab w:val="left" w:pos="3300"/>
      </w:tabs>
      <w:spacing w:before="120" w:after="0"/>
      <w:outlineLvl w:val="2"/>
    </w:pPr>
    <w:rPr>
      <w:b/>
    </w:rPr>
  </w:style>
  <w:style w:type="paragraph" w:styleId="Ttulo4">
    <w:name w:val="heading 4"/>
    <w:basedOn w:val="Normal"/>
    <w:next w:val="Normal"/>
    <w:link w:val="Ttulo4Car"/>
    <w:uiPriority w:val="9"/>
    <w:unhideWhenUsed/>
    <w:qFormat/>
    <w:rsid w:val="00223643"/>
    <w:pPr>
      <w:keepNext/>
      <w:keepLines/>
      <w:spacing w:before="120" w:after="0"/>
      <w:ind w:left="680"/>
      <w:outlineLvl w:val="3"/>
    </w:pPr>
    <w:rPr>
      <w:rFonts w:asciiTheme="majorHAnsi" w:eastAsiaTheme="majorEastAsia" w:hAnsiTheme="majorHAnsi" w:cstheme="majorBidi"/>
      <w:b/>
      <w:i/>
      <w:iCs/>
      <w:u w:val="single"/>
    </w:rPr>
  </w:style>
  <w:style w:type="paragraph" w:styleId="Ttulo5">
    <w:name w:val="heading 5"/>
    <w:basedOn w:val="Normal"/>
    <w:next w:val="Normal"/>
    <w:link w:val="Ttulo5Car"/>
    <w:uiPriority w:val="9"/>
    <w:unhideWhenUsed/>
    <w:qFormat/>
    <w:rsid w:val="000B3C1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68B2"/>
    <w:rPr>
      <w:rFonts w:ascii="Segoe UI" w:eastAsiaTheme="majorEastAsia" w:hAnsi="Segoe UI" w:cstheme="majorBidi"/>
      <w:b/>
      <w:smallCaps/>
      <w:color w:val="44546A" w:themeColor="text2"/>
      <w:spacing w:val="-2"/>
      <w:sz w:val="28"/>
      <w:szCs w:val="32"/>
    </w:rPr>
  </w:style>
  <w:style w:type="character" w:customStyle="1" w:styleId="Ttulo2Car">
    <w:name w:val="Título 2 Car"/>
    <w:basedOn w:val="Fuentedeprrafopredeter"/>
    <w:link w:val="Ttulo2"/>
    <w:uiPriority w:val="9"/>
    <w:rsid w:val="001B387B"/>
    <w:rPr>
      <w:rFonts w:asciiTheme="majorHAnsi" w:eastAsiaTheme="majorEastAsia" w:hAnsiTheme="majorHAnsi" w:cstheme="majorBidi"/>
      <w:b/>
      <w:spacing w:val="-2"/>
      <w:sz w:val="26"/>
      <w:szCs w:val="26"/>
      <w:u w:val="single"/>
    </w:rPr>
  </w:style>
  <w:style w:type="paragraph" w:styleId="Prrafodelista">
    <w:name w:val="List Paragraph"/>
    <w:basedOn w:val="Normal"/>
    <w:link w:val="PrrafodelistaCar"/>
    <w:uiPriority w:val="34"/>
    <w:qFormat/>
    <w:rsid w:val="003F7B4C"/>
    <w:pPr>
      <w:spacing w:line="240" w:lineRule="auto"/>
      <w:ind w:left="720"/>
    </w:pPr>
  </w:style>
  <w:style w:type="character" w:styleId="Nmerodelnea">
    <w:name w:val="line number"/>
    <w:basedOn w:val="Fuentedeprrafopredeter"/>
    <w:uiPriority w:val="99"/>
    <w:semiHidden/>
    <w:unhideWhenUsed/>
    <w:rsid w:val="005A043B"/>
  </w:style>
  <w:style w:type="paragraph" w:styleId="TDC1">
    <w:name w:val="toc 1"/>
    <w:basedOn w:val="Normal"/>
    <w:next w:val="Normal"/>
    <w:autoRedefine/>
    <w:uiPriority w:val="39"/>
    <w:unhideWhenUsed/>
    <w:rsid w:val="00B01A03"/>
    <w:pPr>
      <w:tabs>
        <w:tab w:val="left" w:pos="567"/>
        <w:tab w:val="right" w:leader="dot" w:pos="9060"/>
      </w:tabs>
      <w:spacing w:before="120" w:after="120"/>
      <w:jc w:val="left"/>
    </w:pPr>
    <w:rPr>
      <w:rFonts w:cstheme="minorHAnsi"/>
      <w:b/>
      <w:bCs/>
      <w:caps/>
      <w:szCs w:val="20"/>
    </w:rPr>
  </w:style>
  <w:style w:type="paragraph" w:styleId="TDC2">
    <w:name w:val="toc 2"/>
    <w:basedOn w:val="Normal"/>
    <w:next w:val="Normal"/>
    <w:autoRedefine/>
    <w:uiPriority w:val="39"/>
    <w:unhideWhenUsed/>
    <w:rsid w:val="00A32F1F"/>
    <w:pPr>
      <w:spacing w:after="0"/>
      <w:ind w:left="200"/>
      <w:jc w:val="left"/>
    </w:pPr>
    <w:rPr>
      <w:rFonts w:cstheme="minorHAnsi"/>
      <w:smallCaps/>
      <w:szCs w:val="20"/>
    </w:rPr>
  </w:style>
  <w:style w:type="paragraph" w:styleId="TDC3">
    <w:name w:val="toc 3"/>
    <w:basedOn w:val="Normal"/>
    <w:next w:val="Normal"/>
    <w:autoRedefine/>
    <w:uiPriority w:val="39"/>
    <w:unhideWhenUsed/>
    <w:rsid w:val="00A32F1F"/>
    <w:pPr>
      <w:spacing w:after="0"/>
      <w:ind w:left="400"/>
      <w:jc w:val="left"/>
    </w:pPr>
    <w:rPr>
      <w:rFonts w:cstheme="minorHAnsi"/>
      <w:i/>
      <w:iCs/>
      <w:szCs w:val="20"/>
    </w:rPr>
  </w:style>
  <w:style w:type="paragraph" w:styleId="TDC4">
    <w:name w:val="toc 4"/>
    <w:basedOn w:val="Normal"/>
    <w:next w:val="Normal"/>
    <w:autoRedefine/>
    <w:uiPriority w:val="39"/>
    <w:unhideWhenUsed/>
    <w:rsid w:val="00A32F1F"/>
    <w:pPr>
      <w:spacing w:after="0"/>
      <w:ind w:left="600"/>
      <w:jc w:val="left"/>
    </w:pPr>
    <w:rPr>
      <w:rFonts w:cstheme="minorHAnsi"/>
      <w:sz w:val="18"/>
      <w:szCs w:val="18"/>
    </w:rPr>
  </w:style>
  <w:style w:type="paragraph" w:styleId="TDC5">
    <w:name w:val="toc 5"/>
    <w:basedOn w:val="Normal"/>
    <w:next w:val="Normal"/>
    <w:autoRedefine/>
    <w:uiPriority w:val="39"/>
    <w:unhideWhenUsed/>
    <w:rsid w:val="00A32F1F"/>
    <w:pPr>
      <w:spacing w:after="0"/>
      <w:ind w:left="800"/>
      <w:jc w:val="left"/>
    </w:pPr>
    <w:rPr>
      <w:rFonts w:cstheme="minorHAnsi"/>
      <w:sz w:val="18"/>
      <w:szCs w:val="18"/>
    </w:rPr>
  </w:style>
  <w:style w:type="paragraph" w:styleId="TDC6">
    <w:name w:val="toc 6"/>
    <w:basedOn w:val="Normal"/>
    <w:next w:val="Normal"/>
    <w:autoRedefine/>
    <w:uiPriority w:val="39"/>
    <w:unhideWhenUsed/>
    <w:rsid w:val="00A32F1F"/>
    <w:pPr>
      <w:spacing w:after="0"/>
      <w:ind w:left="1000"/>
      <w:jc w:val="left"/>
    </w:pPr>
    <w:rPr>
      <w:rFonts w:cstheme="minorHAnsi"/>
      <w:sz w:val="18"/>
      <w:szCs w:val="18"/>
    </w:rPr>
  </w:style>
  <w:style w:type="paragraph" w:styleId="TDC7">
    <w:name w:val="toc 7"/>
    <w:basedOn w:val="Normal"/>
    <w:next w:val="Normal"/>
    <w:autoRedefine/>
    <w:uiPriority w:val="39"/>
    <w:unhideWhenUsed/>
    <w:rsid w:val="00A32F1F"/>
    <w:pPr>
      <w:spacing w:after="0"/>
      <w:ind w:left="1200"/>
      <w:jc w:val="left"/>
    </w:pPr>
    <w:rPr>
      <w:rFonts w:cstheme="minorHAnsi"/>
      <w:sz w:val="18"/>
      <w:szCs w:val="18"/>
    </w:rPr>
  </w:style>
  <w:style w:type="paragraph" w:styleId="TDC8">
    <w:name w:val="toc 8"/>
    <w:basedOn w:val="Normal"/>
    <w:next w:val="Normal"/>
    <w:autoRedefine/>
    <w:uiPriority w:val="39"/>
    <w:unhideWhenUsed/>
    <w:rsid w:val="00A32F1F"/>
    <w:pPr>
      <w:spacing w:after="0"/>
      <w:ind w:left="1400"/>
      <w:jc w:val="left"/>
    </w:pPr>
    <w:rPr>
      <w:rFonts w:cstheme="minorHAnsi"/>
      <w:sz w:val="18"/>
      <w:szCs w:val="18"/>
    </w:rPr>
  </w:style>
  <w:style w:type="paragraph" w:styleId="TDC9">
    <w:name w:val="toc 9"/>
    <w:basedOn w:val="Normal"/>
    <w:next w:val="Normal"/>
    <w:autoRedefine/>
    <w:uiPriority w:val="39"/>
    <w:unhideWhenUsed/>
    <w:rsid w:val="00A32F1F"/>
    <w:pPr>
      <w:spacing w:after="0"/>
      <w:ind w:left="1600"/>
      <w:jc w:val="left"/>
    </w:pPr>
    <w:rPr>
      <w:rFonts w:cstheme="minorHAnsi"/>
      <w:sz w:val="18"/>
      <w:szCs w:val="18"/>
    </w:rPr>
  </w:style>
  <w:style w:type="character" w:styleId="Hipervnculo">
    <w:name w:val="Hyperlink"/>
    <w:basedOn w:val="Fuentedeprrafopredeter"/>
    <w:uiPriority w:val="99"/>
    <w:unhideWhenUsed/>
    <w:rsid w:val="00A32F1F"/>
    <w:rPr>
      <w:color w:val="0563C1" w:themeColor="hyperlink"/>
      <w:u w:val="single"/>
    </w:rPr>
  </w:style>
  <w:style w:type="paragraph" w:styleId="NormalWeb">
    <w:name w:val="Normal (Web)"/>
    <w:basedOn w:val="Normal"/>
    <w:uiPriority w:val="99"/>
    <w:unhideWhenUsed/>
    <w:rsid w:val="00C33AA4"/>
    <w:pPr>
      <w:spacing w:before="100" w:beforeAutospacing="1" w:after="100" w:afterAutospacing="1" w:line="240" w:lineRule="auto"/>
      <w:jc w:val="left"/>
    </w:pPr>
    <w:rPr>
      <w:rFonts w:ascii="Times New Roman" w:eastAsiaTheme="minorEastAsia" w:hAnsi="Times New Roman" w:cs="Times New Roman"/>
      <w:spacing w:val="0"/>
      <w:sz w:val="24"/>
      <w:szCs w:val="24"/>
      <w:lang w:eastAsia="es-EC"/>
    </w:rPr>
  </w:style>
  <w:style w:type="paragraph" w:styleId="Descripcin">
    <w:name w:val="caption"/>
    <w:basedOn w:val="Normal"/>
    <w:next w:val="Normal"/>
    <w:uiPriority w:val="35"/>
    <w:unhideWhenUsed/>
    <w:qFormat/>
    <w:rsid w:val="00654B9E"/>
    <w:pPr>
      <w:spacing w:before="120" w:after="80" w:line="240" w:lineRule="auto"/>
    </w:pPr>
    <w:rPr>
      <w:i/>
      <w:iCs/>
      <w:color w:val="44546A" w:themeColor="text2"/>
      <w:sz w:val="18"/>
      <w:szCs w:val="18"/>
    </w:rPr>
  </w:style>
  <w:style w:type="character" w:customStyle="1" w:styleId="Ttulo3Car">
    <w:name w:val="Título 3 Car"/>
    <w:basedOn w:val="Fuentedeprrafopredeter"/>
    <w:link w:val="Ttulo3"/>
    <w:uiPriority w:val="9"/>
    <w:rsid w:val="00FA4EE0"/>
    <w:rPr>
      <w:b/>
      <w:spacing w:val="-2"/>
      <w:sz w:val="20"/>
    </w:rPr>
  </w:style>
  <w:style w:type="paragraph" w:styleId="Textonotapie">
    <w:name w:val="footnote text"/>
    <w:aliases w:val="fn,footnote,ft,foottextfra,F,Texto nota pie IIRSA,Texto de rodapé,nota_rodapé,nota de rodapé,FOOTNOTES,single space,footnote text,Style 25,Texto nota piepddes Car Car,Texto nota piepddes Car,Footnote Text Char2,Footnote Text Char1 Char1,f"/>
    <w:basedOn w:val="Normal"/>
    <w:link w:val="TextonotapieCar"/>
    <w:unhideWhenUsed/>
    <w:qFormat/>
    <w:rsid w:val="002E4ED9"/>
    <w:pPr>
      <w:spacing w:after="0" w:line="240" w:lineRule="auto"/>
    </w:pPr>
    <w:rPr>
      <w:rFonts w:ascii="Arial Narrow" w:hAnsi="Arial Narrow"/>
      <w:sz w:val="17"/>
      <w:szCs w:val="20"/>
    </w:rPr>
  </w:style>
  <w:style w:type="character" w:customStyle="1" w:styleId="TextonotapieCar">
    <w:name w:val="Texto nota pie Car"/>
    <w:aliases w:val="fn Car,footnote Car,ft Car,foottextfra Car,F Car,Texto nota pie IIRSA Car,Texto de rodapé Car,nota_rodapé Car,nota de rodapé Car,FOOTNOTES Car,single space Car,footnote text Car,Style 25 Car,Texto nota piepddes Car Car Car,f Car"/>
    <w:basedOn w:val="Fuentedeprrafopredeter"/>
    <w:link w:val="Textonotapie"/>
    <w:rsid w:val="002E4ED9"/>
    <w:rPr>
      <w:rFonts w:ascii="Arial Narrow" w:hAnsi="Arial Narrow"/>
      <w:spacing w:val="-2"/>
      <w:sz w:val="17"/>
      <w:szCs w:val="20"/>
    </w:rPr>
  </w:style>
  <w:style w:type="character" w:styleId="Refdenotaalpie">
    <w:name w:val="footnote reference"/>
    <w:aliases w:val="titulo 2,Style 24,pie pddes,16 Point,Superscript 6 Point,FC,referencia nota al pie,ftref,Ref,de nota al pie,Ref. de nota al pie.,Fußnotenzeichen DISS,Footnote Referencefra,BVI fnr,Знак сноски 1,Footnotes refss,Texto de nota al pie,o"/>
    <w:basedOn w:val="Fuentedeprrafopredeter"/>
    <w:unhideWhenUsed/>
    <w:qFormat/>
    <w:rsid w:val="004D1C1C"/>
    <w:rPr>
      <w:vertAlign w:val="superscript"/>
    </w:rPr>
  </w:style>
  <w:style w:type="paragraph" w:styleId="Ttulo">
    <w:name w:val="Title"/>
    <w:basedOn w:val="Normal"/>
    <w:next w:val="Normal"/>
    <w:link w:val="TtuloCar"/>
    <w:uiPriority w:val="10"/>
    <w:qFormat/>
    <w:rsid w:val="00F116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1165D"/>
    <w:rPr>
      <w:rFonts w:asciiTheme="majorHAnsi" w:eastAsiaTheme="majorEastAsia" w:hAnsiTheme="majorHAnsi" w:cstheme="majorBidi"/>
      <w:spacing w:val="-10"/>
      <w:kern w:val="28"/>
      <w:sz w:val="56"/>
      <w:szCs w:val="56"/>
    </w:rPr>
  </w:style>
  <w:style w:type="character" w:styleId="Hipervnculovisitado">
    <w:name w:val="FollowedHyperlink"/>
    <w:basedOn w:val="Fuentedeprrafopredeter"/>
    <w:uiPriority w:val="99"/>
    <w:semiHidden/>
    <w:unhideWhenUsed/>
    <w:rsid w:val="00AC1740"/>
    <w:rPr>
      <w:color w:val="954F72" w:themeColor="followedHyperlink"/>
      <w:u w:val="single"/>
    </w:rPr>
  </w:style>
  <w:style w:type="table" w:styleId="Tablaconcuadrcula">
    <w:name w:val="Table Grid"/>
    <w:aliases w:val="Estilo_C230 Consultores_1"/>
    <w:basedOn w:val="Tablanormal"/>
    <w:rsid w:val="002B3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B3E2E"/>
    <w:pPr>
      <w:spacing w:after="0" w:line="240" w:lineRule="auto"/>
      <w:jc w:val="both"/>
    </w:pPr>
    <w:rPr>
      <w:spacing w:val="-2"/>
      <w:sz w:val="20"/>
    </w:rPr>
  </w:style>
  <w:style w:type="character" w:customStyle="1" w:styleId="PrrafodelistaCar">
    <w:name w:val="Párrafo de lista Car"/>
    <w:link w:val="Prrafodelista"/>
    <w:uiPriority w:val="34"/>
    <w:rsid w:val="003F7B4C"/>
    <w:rPr>
      <w:spacing w:val="-2"/>
      <w:sz w:val="20"/>
    </w:rPr>
  </w:style>
  <w:style w:type="paragraph" w:styleId="Encabezado">
    <w:name w:val="header"/>
    <w:basedOn w:val="Normal"/>
    <w:link w:val="EncabezadoCar"/>
    <w:uiPriority w:val="99"/>
    <w:unhideWhenUsed/>
    <w:rsid w:val="003C4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4ADF"/>
    <w:rPr>
      <w:spacing w:val="-2"/>
      <w:sz w:val="20"/>
    </w:rPr>
  </w:style>
  <w:style w:type="paragraph" w:styleId="Piedepgina">
    <w:name w:val="footer"/>
    <w:basedOn w:val="Normal"/>
    <w:link w:val="PiedepginaCar"/>
    <w:uiPriority w:val="99"/>
    <w:unhideWhenUsed/>
    <w:rsid w:val="003C4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4ADF"/>
    <w:rPr>
      <w:spacing w:val="-2"/>
      <w:sz w:val="20"/>
    </w:rPr>
  </w:style>
  <w:style w:type="paragraph" w:styleId="Tabladeilustraciones">
    <w:name w:val="table of figures"/>
    <w:basedOn w:val="Normal"/>
    <w:next w:val="Normal"/>
    <w:uiPriority w:val="99"/>
    <w:unhideWhenUsed/>
    <w:rsid w:val="00E87FE6"/>
    <w:pPr>
      <w:spacing w:after="0"/>
    </w:pPr>
  </w:style>
  <w:style w:type="paragraph" w:customStyle="1" w:styleId="Style2">
    <w:name w:val="Style 2"/>
    <w:basedOn w:val="Normal"/>
    <w:rsid w:val="009D5D66"/>
    <w:pPr>
      <w:widowControl w:val="0"/>
      <w:autoSpaceDE w:val="0"/>
      <w:autoSpaceDN w:val="0"/>
      <w:spacing w:after="0" w:line="240" w:lineRule="auto"/>
    </w:pPr>
    <w:rPr>
      <w:rFonts w:ascii="Calibri" w:eastAsia="Times New Roman" w:hAnsi="Calibri" w:cs="Times New Roman"/>
      <w:spacing w:val="0"/>
      <w:sz w:val="22"/>
      <w:szCs w:val="24"/>
      <w:lang w:val="es-ES" w:eastAsia="es-ES"/>
    </w:rPr>
  </w:style>
  <w:style w:type="paragraph" w:styleId="Textodeglobo">
    <w:name w:val="Balloon Text"/>
    <w:basedOn w:val="Normal"/>
    <w:link w:val="TextodegloboCar"/>
    <w:uiPriority w:val="99"/>
    <w:semiHidden/>
    <w:unhideWhenUsed/>
    <w:rsid w:val="00D000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0E4"/>
    <w:rPr>
      <w:rFonts w:ascii="Tahoma" w:hAnsi="Tahoma" w:cs="Tahoma"/>
      <w:spacing w:val="-2"/>
      <w:sz w:val="16"/>
      <w:szCs w:val="16"/>
    </w:rPr>
  </w:style>
  <w:style w:type="table" w:customStyle="1" w:styleId="Tabladecuadrcula6concolores1">
    <w:name w:val="Tabla de cuadrícula 6 con colores1"/>
    <w:basedOn w:val="Tablanormal"/>
    <w:uiPriority w:val="51"/>
    <w:rsid w:val="004447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uadrculadetablaclara1">
    <w:name w:val="Cuadrícula de tabla clara1"/>
    <w:basedOn w:val="Tablanormal"/>
    <w:uiPriority w:val="40"/>
    <w:rsid w:val="004447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4Car">
    <w:name w:val="Título 4 Car"/>
    <w:basedOn w:val="Fuentedeprrafopredeter"/>
    <w:link w:val="Ttulo4"/>
    <w:uiPriority w:val="9"/>
    <w:rsid w:val="00223643"/>
    <w:rPr>
      <w:rFonts w:asciiTheme="majorHAnsi" w:eastAsiaTheme="majorEastAsia" w:hAnsiTheme="majorHAnsi" w:cstheme="majorBidi"/>
      <w:b/>
      <w:i/>
      <w:iCs/>
      <w:spacing w:val="-2"/>
      <w:sz w:val="20"/>
      <w:u w:val="single"/>
    </w:rPr>
  </w:style>
  <w:style w:type="paragraph" w:customStyle="1" w:styleId="Default">
    <w:name w:val="Default"/>
    <w:rsid w:val="008472D0"/>
    <w:pPr>
      <w:autoSpaceDE w:val="0"/>
      <w:autoSpaceDN w:val="0"/>
      <w:adjustRightInd w:val="0"/>
      <w:spacing w:after="0" w:line="240" w:lineRule="auto"/>
    </w:pPr>
    <w:rPr>
      <w:rFonts w:ascii="Segoe UI" w:hAnsi="Segoe UI" w:cs="Segoe UI"/>
      <w:color w:val="000000"/>
      <w:sz w:val="24"/>
      <w:szCs w:val="24"/>
    </w:rPr>
  </w:style>
  <w:style w:type="table" w:customStyle="1" w:styleId="Tablaconcuadrcula1">
    <w:name w:val="Tabla con cuadrícula1"/>
    <w:basedOn w:val="Tablanormal"/>
    <w:next w:val="Tablaconcuadrcula"/>
    <w:uiPriority w:val="59"/>
    <w:rsid w:val="0084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03CB7"/>
    <w:rPr>
      <w:sz w:val="16"/>
      <w:szCs w:val="16"/>
    </w:rPr>
  </w:style>
  <w:style w:type="paragraph" w:styleId="Textocomentario">
    <w:name w:val="annotation text"/>
    <w:basedOn w:val="Normal"/>
    <w:link w:val="TextocomentarioCar"/>
    <w:uiPriority w:val="99"/>
    <w:semiHidden/>
    <w:unhideWhenUsed/>
    <w:rsid w:val="00503CB7"/>
    <w:pPr>
      <w:spacing w:line="240" w:lineRule="auto"/>
    </w:pPr>
    <w:rPr>
      <w:szCs w:val="20"/>
    </w:rPr>
  </w:style>
  <w:style w:type="character" w:customStyle="1" w:styleId="TextocomentarioCar">
    <w:name w:val="Texto comentario Car"/>
    <w:basedOn w:val="Fuentedeprrafopredeter"/>
    <w:link w:val="Textocomentario"/>
    <w:uiPriority w:val="99"/>
    <w:semiHidden/>
    <w:rsid w:val="00503CB7"/>
    <w:rPr>
      <w:spacing w:val="-2"/>
      <w:sz w:val="20"/>
      <w:szCs w:val="20"/>
    </w:rPr>
  </w:style>
  <w:style w:type="paragraph" w:styleId="Asuntodelcomentario">
    <w:name w:val="annotation subject"/>
    <w:basedOn w:val="Textocomentario"/>
    <w:next w:val="Textocomentario"/>
    <w:link w:val="AsuntodelcomentarioCar"/>
    <w:uiPriority w:val="99"/>
    <w:semiHidden/>
    <w:unhideWhenUsed/>
    <w:rsid w:val="00503CB7"/>
    <w:rPr>
      <w:b/>
      <w:bCs/>
    </w:rPr>
  </w:style>
  <w:style w:type="character" w:customStyle="1" w:styleId="AsuntodelcomentarioCar">
    <w:name w:val="Asunto del comentario Car"/>
    <w:basedOn w:val="TextocomentarioCar"/>
    <w:link w:val="Asuntodelcomentario"/>
    <w:uiPriority w:val="99"/>
    <w:semiHidden/>
    <w:rsid w:val="00503CB7"/>
    <w:rPr>
      <w:b/>
      <w:bCs/>
      <w:spacing w:val="-2"/>
      <w:sz w:val="20"/>
      <w:szCs w:val="20"/>
    </w:rPr>
  </w:style>
  <w:style w:type="paragraph" w:styleId="Revisin">
    <w:name w:val="Revision"/>
    <w:hidden/>
    <w:uiPriority w:val="99"/>
    <w:semiHidden/>
    <w:rsid w:val="0034260D"/>
    <w:pPr>
      <w:spacing w:after="0" w:line="240" w:lineRule="auto"/>
    </w:pPr>
    <w:rPr>
      <w:spacing w:val="-2"/>
      <w:sz w:val="20"/>
    </w:rPr>
  </w:style>
  <w:style w:type="character" w:customStyle="1" w:styleId="Ttulo5Car">
    <w:name w:val="Título 5 Car"/>
    <w:basedOn w:val="Fuentedeprrafopredeter"/>
    <w:link w:val="Ttulo5"/>
    <w:uiPriority w:val="9"/>
    <w:rsid w:val="000B3C1D"/>
    <w:rPr>
      <w:rFonts w:asciiTheme="majorHAnsi" w:eastAsiaTheme="majorEastAsia" w:hAnsiTheme="majorHAnsi" w:cstheme="majorBidi"/>
      <w:color w:val="2E74B5" w:themeColor="accent1" w:themeShade="BF"/>
      <w:spacing w:val="-2"/>
      <w:sz w:val="20"/>
    </w:rPr>
  </w:style>
  <w:style w:type="paragraph" w:styleId="Textoindependiente">
    <w:name w:val="Body Text"/>
    <w:basedOn w:val="Normal"/>
    <w:link w:val="TextoindependienteCar"/>
    <w:uiPriority w:val="99"/>
    <w:unhideWhenUsed/>
    <w:rsid w:val="000B3C1D"/>
    <w:pPr>
      <w:spacing w:after="120"/>
    </w:pPr>
  </w:style>
  <w:style w:type="character" w:customStyle="1" w:styleId="TextoindependienteCar">
    <w:name w:val="Texto independiente Car"/>
    <w:basedOn w:val="Fuentedeprrafopredeter"/>
    <w:link w:val="Textoindependiente"/>
    <w:uiPriority w:val="99"/>
    <w:rsid w:val="000B3C1D"/>
    <w:rPr>
      <w:spacing w:val="-2"/>
      <w:sz w:val="20"/>
    </w:rPr>
  </w:style>
  <w:style w:type="paragraph" w:styleId="TtuloTDC">
    <w:name w:val="TOC Heading"/>
    <w:basedOn w:val="Ttulo1"/>
    <w:next w:val="Normal"/>
    <w:uiPriority w:val="39"/>
    <w:unhideWhenUsed/>
    <w:qFormat/>
    <w:rsid w:val="00DA3EC5"/>
    <w:pPr>
      <w:pageBreakBefore w:val="0"/>
      <w:numPr>
        <w:numId w:val="0"/>
      </w:numPr>
      <w:spacing w:after="0" w:line="259" w:lineRule="auto"/>
      <w:jc w:val="left"/>
      <w:outlineLvl w:val="9"/>
    </w:pPr>
    <w:rPr>
      <w:rFonts w:asciiTheme="majorHAnsi" w:hAnsiTheme="majorHAnsi"/>
      <w:b w:val="0"/>
      <w:smallCaps w:val="0"/>
      <w:color w:val="2E74B5" w:themeColor="accent1" w:themeShade="BF"/>
      <w:spacing w:val="0"/>
      <w:sz w:val="32"/>
      <w:lang w:eastAsia="es-EC"/>
    </w:rPr>
  </w:style>
  <w:style w:type="paragraph" w:customStyle="1" w:styleId="Estilo1">
    <w:name w:val="Estilo1"/>
    <w:basedOn w:val="Prrafodelista"/>
    <w:link w:val="Estilo1Car"/>
    <w:qFormat/>
    <w:rsid w:val="005B572E"/>
    <w:pPr>
      <w:numPr>
        <w:ilvl w:val="1"/>
        <w:numId w:val="3"/>
      </w:numPr>
    </w:pPr>
    <w:rPr>
      <w:spacing w:val="-6"/>
    </w:rPr>
  </w:style>
  <w:style w:type="character" w:customStyle="1" w:styleId="Estilo1Car">
    <w:name w:val="Estilo1 Car"/>
    <w:basedOn w:val="PrrafodelistaCar"/>
    <w:link w:val="Estilo1"/>
    <w:rsid w:val="005B572E"/>
    <w:rPr>
      <w:spacing w:val="-6"/>
      <w:sz w:val="20"/>
    </w:rPr>
  </w:style>
  <w:style w:type="character" w:styleId="Mencinsinresolver">
    <w:name w:val="Unresolved Mention"/>
    <w:basedOn w:val="Fuentedeprrafopredeter"/>
    <w:uiPriority w:val="99"/>
    <w:semiHidden/>
    <w:unhideWhenUsed/>
    <w:rsid w:val="008E1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3249">
      <w:bodyDiv w:val="1"/>
      <w:marLeft w:val="0"/>
      <w:marRight w:val="0"/>
      <w:marTop w:val="0"/>
      <w:marBottom w:val="0"/>
      <w:divBdr>
        <w:top w:val="none" w:sz="0" w:space="0" w:color="auto"/>
        <w:left w:val="none" w:sz="0" w:space="0" w:color="auto"/>
        <w:bottom w:val="none" w:sz="0" w:space="0" w:color="auto"/>
        <w:right w:val="none" w:sz="0" w:space="0" w:color="auto"/>
      </w:divBdr>
    </w:div>
    <w:div w:id="235675906">
      <w:bodyDiv w:val="1"/>
      <w:marLeft w:val="0"/>
      <w:marRight w:val="0"/>
      <w:marTop w:val="0"/>
      <w:marBottom w:val="0"/>
      <w:divBdr>
        <w:top w:val="none" w:sz="0" w:space="0" w:color="auto"/>
        <w:left w:val="none" w:sz="0" w:space="0" w:color="auto"/>
        <w:bottom w:val="none" w:sz="0" w:space="0" w:color="auto"/>
        <w:right w:val="none" w:sz="0" w:space="0" w:color="auto"/>
      </w:divBdr>
    </w:div>
    <w:div w:id="314649155">
      <w:bodyDiv w:val="1"/>
      <w:marLeft w:val="0"/>
      <w:marRight w:val="0"/>
      <w:marTop w:val="0"/>
      <w:marBottom w:val="0"/>
      <w:divBdr>
        <w:top w:val="none" w:sz="0" w:space="0" w:color="auto"/>
        <w:left w:val="none" w:sz="0" w:space="0" w:color="auto"/>
        <w:bottom w:val="none" w:sz="0" w:space="0" w:color="auto"/>
        <w:right w:val="none" w:sz="0" w:space="0" w:color="auto"/>
      </w:divBdr>
    </w:div>
    <w:div w:id="428544926">
      <w:bodyDiv w:val="1"/>
      <w:marLeft w:val="0"/>
      <w:marRight w:val="0"/>
      <w:marTop w:val="0"/>
      <w:marBottom w:val="0"/>
      <w:divBdr>
        <w:top w:val="none" w:sz="0" w:space="0" w:color="auto"/>
        <w:left w:val="none" w:sz="0" w:space="0" w:color="auto"/>
        <w:bottom w:val="none" w:sz="0" w:space="0" w:color="auto"/>
        <w:right w:val="none" w:sz="0" w:space="0" w:color="auto"/>
      </w:divBdr>
    </w:div>
    <w:div w:id="621767470">
      <w:bodyDiv w:val="1"/>
      <w:marLeft w:val="0"/>
      <w:marRight w:val="0"/>
      <w:marTop w:val="0"/>
      <w:marBottom w:val="0"/>
      <w:divBdr>
        <w:top w:val="none" w:sz="0" w:space="0" w:color="auto"/>
        <w:left w:val="none" w:sz="0" w:space="0" w:color="auto"/>
        <w:bottom w:val="none" w:sz="0" w:space="0" w:color="auto"/>
        <w:right w:val="none" w:sz="0" w:space="0" w:color="auto"/>
      </w:divBdr>
    </w:div>
    <w:div w:id="847015551">
      <w:bodyDiv w:val="1"/>
      <w:marLeft w:val="0"/>
      <w:marRight w:val="0"/>
      <w:marTop w:val="0"/>
      <w:marBottom w:val="0"/>
      <w:divBdr>
        <w:top w:val="none" w:sz="0" w:space="0" w:color="auto"/>
        <w:left w:val="none" w:sz="0" w:space="0" w:color="auto"/>
        <w:bottom w:val="none" w:sz="0" w:space="0" w:color="auto"/>
        <w:right w:val="none" w:sz="0" w:space="0" w:color="auto"/>
      </w:divBdr>
    </w:div>
    <w:div w:id="872963193">
      <w:bodyDiv w:val="1"/>
      <w:marLeft w:val="0"/>
      <w:marRight w:val="0"/>
      <w:marTop w:val="0"/>
      <w:marBottom w:val="0"/>
      <w:divBdr>
        <w:top w:val="none" w:sz="0" w:space="0" w:color="auto"/>
        <w:left w:val="none" w:sz="0" w:space="0" w:color="auto"/>
        <w:bottom w:val="none" w:sz="0" w:space="0" w:color="auto"/>
        <w:right w:val="none" w:sz="0" w:space="0" w:color="auto"/>
      </w:divBdr>
    </w:div>
    <w:div w:id="889806981">
      <w:bodyDiv w:val="1"/>
      <w:marLeft w:val="0"/>
      <w:marRight w:val="0"/>
      <w:marTop w:val="0"/>
      <w:marBottom w:val="0"/>
      <w:divBdr>
        <w:top w:val="none" w:sz="0" w:space="0" w:color="auto"/>
        <w:left w:val="none" w:sz="0" w:space="0" w:color="auto"/>
        <w:bottom w:val="none" w:sz="0" w:space="0" w:color="auto"/>
        <w:right w:val="none" w:sz="0" w:space="0" w:color="auto"/>
      </w:divBdr>
    </w:div>
    <w:div w:id="1136679654">
      <w:bodyDiv w:val="1"/>
      <w:marLeft w:val="0"/>
      <w:marRight w:val="0"/>
      <w:marTop w:val="0"/>
      <w:marBottom w:val="0"/>
      <w:divBdr>
        <w:top w:val="none" w:sz="0" w:space="0" w:color="auto"/>
        <w:left w:val="none" w:sz="0" w:space="0" w:color="auto"/>
        <w:bottom w:val="none" w:sz="0" w:space="0" w:color="auto"/>
        <w:right w:val="none" w:sz="0" w:space="0" w:color="auto"/>
      </w:divBdr>
    </w:div>
    <w:div w:id="1313364762">
      <w:bodyDiv w:val="1"/>
      <w:marLeft w:val="0"/>
      <w:marRight w:val="0"/>
      <w:marTop w:val="0"/>
      <w:marBottom w:val="0"/>
      <w:divBdr>
        <w:top w:val="none" w:sz="0" w:space="0" w:color="auto"/>
        <w:left w:val="none" w:sz="0" w:space="0" w:color="auto"/>
        <w:bottom w:val="none" w:sz="0" w:space="0" w:color="auto"/>
        <w:right w:val="none" w:sz="0" w:space="0" w:color="auto"/>
      </w:divBdr>
    </w:div>
    <w:div w:id="1326595094">
      <w:bodyDiv w:val="1"/>
      <w:marLeft w:val="0"/>
      <w:marRight w:val="0"/>
      <w:marTop w:val="0"/>
      <w:marBottom w:val="0"/>
      <w:divBdr>
        <w:top w:val="none" w:sz="0" w:space="0" w:color="auto"/>
        <w:left w:val="none" w:sz="0" w:space="0" w:color="auto"/>
        <w:bottom w:val="none" w:sz="0" w:space="0" w:color="auto"/>
        <w:right w:val="none" w:sz="0" w:space="0" w:color="auto"/>
      </w:divBdr>
    </w:div>
    <w:div w:id="1359743914">
      <w:bodyDiv w:val="1"/>
      <w:marLeft w:val="0"/>
      <w:marRight w:val="0"/>
      <w:marTop w:val="0"/>
      <w:marBottom w:val="0"/>
      <w:divBdr>
        <w:top w:val="none" w:sz="0" w:space="0" w:color="auto"/>
        <w:left w:val="none" w:sz="0" w:space="0" w:color="auto"/>
        <w:bottom w:val="none" w:sz="0" w:space="0" w:color="auto"/>
        <w:right w:val="none" w:sz="0" w:space="0" w:color="auto"/>
      </w:divBdr>
    </w:div>
    <w:div w:id="1388185942">
      <w:bodyDiv w:val="1"/>
      <w:marLeft w:val="0"/>
      <w:marRight w:val="0"/>
      <w:marTop w:val="0"/>
      <w:marBottom w:val="0"/>
      <w:divBdr>
        <w:top w:val="none" w:sz="0" w:space="0" w:color="auto"/>
        <w:left w:val="none" w:sz="0" w:space="0" w:color="auto"/>
        <w:bottom w:val="none" w:sz="0" w:space="0" w:color="auto"/>
        <w:right w:val="none" w:sz="0" w:space="0" w:color="auto"/>
      </w:divBdr>
    </w:div>
    <w:div w:id="1459908660">
      <w:bodyDiv w:val="1"/>
      <w:marLeft w:val="0"/>
      <w:marRight w:val="0"/>
      <w:marTop w:val="0"/>
      <w:marBottom w:val="0"/>
      <w:divBdr>
        <w:top w:val="none" w:sz="0" w:space="0" w:color="auto"/>
        <w:left w:val="none" w:sz="0" w:space="0" w:color="auto"/>
        <w:bottom w:val="none" w:sz="0" w:space="0" w:color="auto"/>
        <w:right w:val="none" w:sz="0" w:space="0" w:color="auto"/>
      </w:divBdr>
    </w:div>
    <w:div w:id="1517035692">
      <w:bodyDiv w:val="1"/>
      <w:marLeft w:val="0"/>
      <w:marRight w:val="0"/>
      <w:marTop w:val="0"/>
      <w:marBottom w:val="0"/>
      <w:divBdr>
        <w:top w:val="none" w:sz="0" w:space="0" w:color="auto"/>
        <w:left w:val="none" w:sz="0" w:space="0" w:color="auto"/>
        <w:bottom w:val="none" w:sz="0" w:space="0" w:color="auto"/>
        <w:right w:val="none" w:sz="0" w:space="0" w:color="auto"/>
      </w:divBdr>
    </w:div>
    <w:div w:id="1537933800">
      <w:bodyDiv w:val="1"/>
      <w:marLeft w:val="0"/>
      <w:marRight w:val="0"/>
      <w:marTop w:val="0"/>
      <w:marBottom w:val="0"/>
      <w:divBdr>
        <w:top w:val="none" w:sz="0" w:space="0" w:color="auto"/>
        <w:left w:val="none" w:sz="0" w:space="0" w:color="auto"/>
        <w:bottom w:val="none" w:sz="0" w:space="0" w:color="auto"/>
        <w:right w:val="none" w:sz="0" w:space="0" w:color="auto"/>
      </w:divBdr>
    </w:div>
    <w:div w:id="1873572412">
      <w:bodyDiv w:val="1"/>
      <w:marLeft w:val="0"/>
      <w:marRight w:val="0"/>
      <w:marTop w:val="0"/>
      <w:marBottom w:val="0"/>
      <w:divBdr>
        <w:top w:val="none" w:sz="0" w:space="0" w:color="auto"/>
        <w:left w:val="none" w:sz="0" w:space="0" w:color="auto"/>
        <w:bottom w:val="none" w:sz="0" w:space="0" w:color="auto"/>
        <w:right w:val="none" w:sz="0" w:space="0" w:color="auto"/>
      </w:divBdr>
    </w:div>
    <w:div w:id="1919057024">
      <w:bodyDiv w:val="1"/>
      <w:marLeft w:val="0"/>
      <w:marRight w:val="0"/>
      <w:marTop w:val="0"/>
      <w:marBottom w:val="0"/>
      <w:divBdr>
        <w:top w:val="none" w:sz="0" w:space="0" w:color="auto"/>
        <w:left w:val="none" w:sz="0" w:space="0" w:color="auto"/>
        <w:bottom w:val="none" w:sz="0" w:space="0" w:color="auto"/>
        <w:right w:val="none" w:sz="0" w:space="0" w:color="auto"/>
      </w:divBdr>
    </w:div>
    <w:div w:id="20038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26" Type="http://schemas.openxmlformats.org/officeDocument/2006/relationships/customXml" Target="../customXml/item8.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ef.finanzas.gob.ec/eSIGEF/menu/index.htm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5.xml"/><Relationship Id="rId10" Type="http://schemas.openxmlformats.org/officeDocument/2006/relationships/hyperlink" Target="http://www.planificacion.gob.ec/sistema-integrado-de-planificacion-e-inversion-publi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customXml" Target="../customXml/item4.xml"/><Relationship Id="rId27" Type="http://schemas.openxmlformats.org/officeDocument/2006/relationships/customXml" Target="../customXml/item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formes de Consultoría">
      <a:majorFont>
        <a:latin typeface="Segoe UI Semi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F377E2C784629641A1E5FC06B29117EC" ma:contentTypeVersion="2581" ma:contentTypeDescription="The base project type from which other project content types inherit their information." ma:contentTypeScope="" ma:versionID="4c12f378676f93bde45905050c4f4fdc">
  <xsd:schema xmlns:xsd="http://www.w3.org/2001/XMLSchema" xmlns:xs="http://www.w3.org/2001/XMLSchema" xmlns:p="http://schemas.microsoft.com/office/2006/metadata/properties" xmlns:ns2="cdc7663a-08f0-4737-9e8c-148ce897a09c" targetNamespace="http://schemas.microsoft.com/office/2006/metadata/properties" ma:root="true" ma:fieldsID="9befaca324cd554cf181823e8b0fde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EC</TermName>
          <TermId xmlns="http://schemas.microsoft.com/office/infopath/2007/PartnerControls">8f163189-00fa-4e7c-827d-28fb5798781c</TermId>
        </TermInfo>
      </Terms>
    </ic46d7e087fd4a108fb86518ca413cc6>
    <IDBDocs_x0020_Number xmlns="cdc7663a-08f0-4737-9e8c-148ce897a09c" xsi:nil="true"/>
    <Division_x0020_or_x0020_Unit xmlns="cdc7663a-08f0-4737-9e8c-148ce897a09c">IFD/ICS</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Mahfouz, Giovanna L.</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RM-PUB</TermName>
          <TermId xmlns="http://schemas.microsoft.com/office/infopath/2007/PartnerControls">6679f56e-8b55-402b-90a0-8fe4c41c00ba</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46</Value>
      <Value>45</Value>
      <Value>30</Value>
      <Value>1</Value>
      <Value>32</Value>
    </TaxCatchAll>
    <Operation_x0020_Type xmlns="cdc7663a-08f0-4737-9e8c-148ce897a09c">LON</Operation_x0020_Type>
    <Package_x0020_Code xmlns="cdc7663a-08f0-4737-9e8c-148ce897a09c" xsi:nil="true"/>
    <Identifier xmlns="cdc7663a-08f0-4737-9e8c-148ce897a09c" xsi:nil="true"/>
    <Project_x0020_Number xmlns="cdc7663a-08f0-4737-9e8c-148ce897a09c">EC-L1250</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RM</TermName>
          <TermId xmlns="http://schemas.microsoft.com/office/infopath/2007/PartnerControls">c8fda4a7-691a-4c65-b227-9825197b5cd2</TermId>
        </TermInfo>
      </Terms>
    </nddeef1749674d76abdbe4b239a70bc6>
    <Record_x0020_Number xmlns="cdc7663a-08f0-4737-9e8c-148ce897a09c" xsi:nil="true"/>
    <_dlc_DocId xmlns="cdc7663a-08f0-4737-9e8c-148ce897a09c">EZSHARE-572666339-33</_dlc_DocId>
    <_dlc_DocIdUrl xmlns="cdc7663a-08f0-4737-9e8c-148ce897a09c">
      <Url>https://idbg.sharepoint.com/teams/EZ-EC-LON/EC-L1250/_layouts/15/DocIdRedir.aspx?ID=EZSHARE-572666339-33</Url>
      <Description>EZSHARE-572666339-33</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8.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E33AE3169F5B84381602D320376D788" ma:contentTypeVersion="3030" ma:contentTypeDescription="A content type to manage public (operations) IDB documents" ma:contentTypeScope="" ma:versionID="fa51d3967d6b97ae3cabec9762d32b1c">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87EDF54D-6839-48DB-B975-C40E42FB7131}">
  <ds:schemaRefs>
    <ds:schemaRef ds:uri="http://schemas.openxmlformats.org/officeDocument/2006/bibliography"/>
  </ds:schemaRefs>
</ds:datastoreItem>
</file>

<file path=customXml/itemProps2.xml><?xml version="1.0" encoding="utf-8"?>
<ds:datastoreItem xmlns:ds="http://schemas.openxmlformats.org/officeDocument/2006/customXml" ds:itemID="{7D05B4BF-B636-4D22-8AC5-F33454F22C81}"/>
</file>

<file path=customXml/itemProps3.xml><?xml version="1.0" encoding="utf-8"?>
<ds:datastoreItem xmlns:ds="http://schemas.openxmlformats.org/officeDocument/2006/customXml" ds:itemID="{C5949D09-6D9D-48D3-804B-8B0D6BCB0F7C}"/>
</file>

<file path=customXml/itemProps4.xml><?xml version="1.0" encoding="utf-8"?>
<ds:datastoreItem xmlns:ds="http://schemas.openxmlformats.org/officeDocument/2006/customXml" ds:itemID="{4C6D18AE-7B06-45A4-93D9-80BD37E8C766}"/>
</file>

<file path=customXml/itemProps5.xml><?xml version="1.0" encoding="utf-8"?>
<ds:datastoreItem xmlns:ds="http://schemas.openxmlformats.org/officeDocument/2006/customXml" ds:itemID="{90BDF7E8-E8FF-494C-AAD7-5E62296AD9DE}"/>
</file>

<file path=customXml/itemProps6.xml><?xml version="1.0" encoding="utf-8"?>
<ds:datastoreItem xmlns:ds="http://schemas.openxmlformats.org/officeDocument/2006/customXml" ds:itemID="{7EBF1900-FFFC-404A-8DF9-612707A19A7A}"/>
</file>

<file path=customXml/itemProps7.xml><?xml version="1.0" encoding="utf-8"?>
<ds:datastoreItem xmlns:ds="http://schemas.openxmlformats.org/officeDocument/2006/customXml" ds:itemID="{D23F906F-9405-44CF-9396-CA81773F95A3}"/>
</file>

<file path=customXml/itemProps8.xml><?xml version="1.0" encoding="utf-8"?>
<ds:datastoreItem xmlns:ds="http://schemas.openxmlformats.org/officeDocument/2006/customXml" ds:itemID="{03A4C361-74E2-4B6B-8A14-4A5B57606D6C}"/>
</file>

<file path=customXml/itemProps9.xml><?xml version="1.0" encoding="utf-8"?>
<ds:datastoreItem xmlns:ds="http://schemas.openxmlformats.org/officeDocument/2006/customXml" ds:itemID="{D6EF486A-D4F1-4A9D-AD74-C0A146E5C8F6}"/>
</file>

<file path=docProps/app.xml><?xml version="1.0" encoding="utf-8"?>
<Properties xmlns="http://schemas.openxmlformats.org/officeDocument/2006/extended-properties" xmlns:vt="http://schemas.openxmlformats.org/officeDocument/2006/docPropsVTypes">
  <Template>Normal.dotm</Template>
  <TotalTime>21763</TotalTime>
  <Pages>23</Pages>
  <Words>8655</Words>
  <Characters>47608</Characters>
  <Application>Microsoft Office Word</Application>
  <DocSecurity>0</DocSecurity>
  <Lines>396</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Unknown</Company>
  <LinksUpToDate>false</LinksUpToDate>
  <CharactersWithSpaces>56151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Bedoya</dc:creator>
  <cp:keywords/>
  <dc:description/>
  <cp:lastModifiedBy>Francisco Bedoya</cp:lastModifiedBy>
  <cp:revision>91</cp:revision>
  <cp:lastPrinted>2016-02-15T15:51:00Z</cp:lastPrinted>
  <dcterms:created xsi:type="dcterms:W3CDTF">2019-05-10T20:53:00Z</dcterms:created>
  <dcterms:modified xsi:type="dcterms:W3CDTF">2019-06-27T21:22:00Z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46;#RM-PUB|6679f56e-8b55-402b-90a0-8fe4c41c00ba</vt:lpwstr>
  </property>
  <property fmtid="{D5CDD505-2E9C-101B-9397-08002B2CF9AE}" pid="7" name="Fund IDB">
    <vt:lpwstr>30;#ORC|c028a4b2-ad8b-4cf4-9cac-a2ae6a778e23</vt:lpwstr>
  </property>
  <property fmtid="{D5CDD505-2E9C-101B-9397-08002B2CF9AE}" pid="8" name="Country">
    <vt:lpwstr>32;#EC|8f163189-00fa-4e7c-827d-28fb5798781c</vt:lpwstr>
  </property>
  <property fmtid="{D5CDD505-2E9C-101B-9397-08002B2CF9AE}" pid="9" name="Sector IDB">
    <vt:lpwstr>45;#RM|c8fda4a7-691a-4c65-b227-9825197b5cd2</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1238787c-18b6-4961-8b96-d29fb17f5a28</vt:lpwstr>
  </property>
  <property fmtid="{D5CDD505-2E9C-101B-9397-08002B2CF9AE}" pid="12" name="Disclosure Activity">
    <vt:lpwstr>Loan Proposal</vt:lpwstr>
  </property>
  <property fmtid="{D5CDD505-2E9C-101B-9397-08002B2CF9AE}" pid="13" name="ContentTypeId">
    <vt:lpwstr>0x0101001A458A224826124E8B45B1D613300CFC002E33AE3169F5B84381602D320376D788</vt:lpwstr>
  </property>
</Properties>
</file>