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iagrams/data1.xml" ContentType="application/vnd.openxmlformats-officedocument.drawingml.diagramData+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charts/chart2.xml" ContentType="application/vnd.openxmlformats-officedocument.drawingml.chart+xml"/>
  <Override PartName="/word/theme/theme1.xml" ContentType="application/vnd.openxmlformats-officedocument.theme+xml"/>
  <Override PartName="/word/charts/chart1.xml" ContentType="application/vnd.openxmlformats-officedocument.drawingml.chart+xml"/>
  <Override PartName="/word/diagrams/quickStyle1.xml" ContentType="application/vnd.openxmlformats-officedocument.drawingml.diagramStyle+xml"/>
  <Override PartName="/word/diagrams/layout1.xml" ContentType="application/vnd.openxmlformats-officedocument.drawingml.diagramLayout+xml"/>
  <Override PartName="/word/diagrams/drawing1.xml" ContentType="application/vnd.ms-office.drawingml.diagramDrawing+xml"/>
  <Override PartName="/word/diagrams/colors1.xml" ContentType="application/vnd.openxmlformats-officedocument.drawingml.diagramColors+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357" w:rsidRDefault="00097357" w:rsidP="00097357">
      <w:pPr>
        <w:jc w:val="center"/>
        <w:rPr>
          <w:rFonts w:ascii="Times New Roman" w:hAnsi="Times New Roman" w:cs="Times New Roman"/>
          <w:smallCaps/>
          <w:sz w:val="24"/>
          <w:szCs w:val="24"/>
        </w:rPr>
      </w:pPr>
      <w:r>
        <w:rPr>
          <w:rFonts w:ascii="Times New Roman" w:hAnsi="Times New Roman" w:cs="Times New Roman"/>
          <w:smallCaps/>
          <w:sz w:val="24"/>
          <w:szCs w:val="24"/>
        </w:rPr>
        <w:t>Document of the Inter-American Development Bank</w:t>
      </w:r>
    </w:p>
    <w:p w:rsidR="00097357" w:rsidRDefault="00097357" w:rsidP="00097357">
      <w:pPr>
        <w:jc w:val="center"/>
        <w:rPr>
          <w:rFonts w:ascii="Times New Roman" w:hAnsi="Times New Roman" w:cs="Times New Roman"/>
          <w:smallCaps/>
          <w:sz w:val="24"/>
          <w:szCs w:val="24"/>
        </w:rPr>
      </w:pPr>
      <w:bookmarkStart w:id="0" w:name="_GoBack"/>
      <w:bookmarkEnd w:id="0"/>
    </w:p>
    <w:p w:rsidR="00097357" w:rsidRDefault="00097357" w:rsidP="00097357">
      <w:pPr>
        <w:jc w:val="center"/>
        <w:rPr>
          <w:rFonts w:ascii="Times New Roman" w:hAnsi="Times New Roman" w:cs="Times New Roman"/>
          <w:smallCaps/>
          <w:sz w:val="24"/>
          <w:szCs w:val="24"/>
        </w:rPr>
      </w:pPr>
    </w:p>
    <w:p w:rsidR="00097357" w:rsidRDefault="00097357" w:rsidP="00C00D87">
      <w:pPr>
        <w:rPr>
          <w:rFonts w:ascii="Times New Roman" w:hAnsi="Times New Roman" w:cs="Times New Roman"/>
          <w:smallCaps/>
          <w:sz w:val="24"/>
          <w:szCs w:val="24"/>
        </w:rPr>
      </w:pPr>
    </w:p>
    <w:p w:rsidR="00097357" w:rsidRDefault="00097357" w:rsidP="00097357">
      <w:pPr>
        <w:jc w:val="center"/>
        <w:rPr>
          <w:rFonts w:ascii="Times New Roman" w:hAnsi="Times New Roman" w:cs="Times New Roman"/>
          <w:b/>
          <w:smallCaps/>
          <w:sz w:val="32"/>
          <w:szCs w:val="32"/>
        </w:rPr>
      </w:pPr>
      <w:r w:rsidRPr="00304CCF">
        <w:rPr>
          <w:rFonts w:ascii="Times New Roman" w:hAnsi="Times New Roman" w:cs="Times New Roman"/>
          <w:b/>
          <w:smallCaps/>
          <w:sz w:val="32"/>
          <w:szCs w:val="32"/>
        </w:rPr>
        <w:t>Mexico</w:t>
      </w:r>
    </w:p>
    <w:p w:rsidR="00CF051D" w:rsidRPr="00304CCF" w:rsidRDefault="00CF051D" w:rsidP="00097357">
      <w:pPr>
        <w:jc w:val="center"/>
        <w:rPr>
          <w:rFonts w:ascii="Times New Roman" w:hAnsi="Times New Roman" w:cs="Times New Roman"/>
          <w:b/>
          <w:smallCaps/>
          <w:sz w:val="32"/>
          <w:szCs w:val="32"/>
        </w:rPr>
      </w:pPr>
    </w:p>
    <w:p w:rsidR="00097357" w:rsidRPr="00304CCF" w:rsidRDefault="00097357" w:rsidP="00097357">
      <w:pPr>
        <w:jc w:val="both"/>
        <w:rPr>
          <w:rFonts w:ascii="Times New Roman" w:hAnsi="Times New Roman" w:cs="Times New Roman"/>
          <w:sz w:val="24"/>
          <w:szCs w:val="24"/>
        </w:rPr>
      </w:pPr>
    </w:p>
    <w:p w:rsidR="00CF051D" w:rsidRPr="00272A5C" w:rsidRDefault="00CF051D" w:rsidP="00CF051D">
      <w:pPr>
        <w:spacing w:after="0"/>
        <w:jc w:val="center"/>
        <w:rPr>
          <w:rFonts w:ascii="Times New Roman Bold" w:hAnsi="Times New Roman Bold" w:cs="Times New Roman"/>
          <w:b/>
          <w:smallCaps/>
          <w:sz w:val="28"/>
          <w:szCs w:val="24"/>
        </w:rPr>
      </w:pPr>
      <w:r>
        <w:rPr>
          <w:rFonts w:ascii="Times New Roman Bold" w:hAnsi="Times New Roman Bold" w:cs="Times New Roman"/>
          <w:b/>
          <w:smallCaps/>
          <w:sz w:val="28"/>
          <w:szCs w:val="24"/>
        </w:rPr>
        <w:t>Geothermal Financing and Risk Transfer Program</w:t>
      </w:r>
    </w:p>
    <w:p w:rsidR="00CF051D" w:rsidRDefault="00CF051D" w:rsidP="00CF051D">
      <w:pPr>
        <w:spacing w:after="100" w:afterAutospacing="1"/>
        <w:jc w:val="center"/>
        <w:rPr>
          <w:rFonts w:ascii="Times New Roman" w:hAnsi="Times New Roman" w:cs="Times New Roman"/>
          <w:b/>
          <w:smallCaps/>
          <w:sz w:val="28"/>
          <w:szCs w:val="24"/>
        </w:rPr>
      </w:pPr>
      <w:r w:rsidRPr="00272A5C">
        <w:rPr>
          <w:rFonts w:ascii="Times New Roman" w:hAnsi="Times New Roman" w:cs="Times New Roman"/>
          <w:b/>
          <w:smallCaps/>
          <w:sz w:val="28"/>
          <w:szCs w:val="24"/>
        </w:rPr>
        <w:t>(ME-</w:t>
      </w:r>
      <w:r>
        <w:rPr>
          <w:rFonts w:ascii="Times New Roman" w:hAnsi="Times New Roman" w:cs="Times New Roman"/>
          <w:b/>
          <w:smallCaps/>
          <w:sz w:val="28"/>
          <w:szCs w:val="24"/>
        </w:rPr>
        <w:t>L1148</w:t>
      </w:r>
      <w:r w:rsidRPr="00272A5C">
        <w:rPr>
          <w:rFonts w:ascii="Times New Roman" w:hAnsi="Times New Roman" w:cs="Times New Roman"/>
          <w:b/>
          <w:smallCaps/>
          <w:sz w:val="28"/>
          <w:szCs w:val="24"/>
        </w:rPr>
        <w:t>)</w:t>
      </w:r>
    </w:p>
    <w:p w:rsidR="00CF051D" w:rsidRDefault="00CF051D" w:rsidP="00CF051D">
      <w:pPr>
        <w:jc w:val="center"/>
        <w:rPr>
          <w:rFonts w:ascii="Times New Roman" w:hAnsi="Times New Roman" w:cs="Times New Roman"/>
          <w:b/>
          <w:smallCaps/>
          <w:sz w:val="28"/>
          <w:szCs w:val="24"/>
        </w:rPr>
      </w:pPr>
    </w:p>
    <w:p w:rsidR="00CF051D" w:rsidRPr="00272A5C" w:rsidRDefault="00CF051D" w:rsidP="00CF051D">
      <w:pPr>
        <w:spacing w:after="0"/>
        <w:jc w:val="center"/>
        <w:rPr>
          <w:rFonts w:ascii="Times New Roman Bold" w:hAnsi="Times New Roman Bold" w:cs="Times New Roman"/>
          <w:b/>
          <w:smallCaps/>
          <w:sz w:val="28"/>
          <w:szCs w:val="24"/>
        </w:rPr>
      </w:pPr>
      <w:r w:rsidRPr="00A43052">
        <w:rPr>
          <w:rFonts w:ascii="Times New Roman Bold" w:hAnsi="Times New Roman Bold" w:cs="Times New Roman"/>
          <w:b/>
          <w:smallCaps/>
          <w:sz w:val="28"/>
          <w:szCs w:val="24"/>
        </w:rPr>
        <w:t>Fourth</w:t>
      </w:r>
      <w:r>
        <w:rPr>
          <w:rFonts w:ascii="Times New Roman Bold" w:hAnsi="Times New Roman Bold" w:cs="Times New Roman"/>
          <w:b/>
          <w:smallCaps/>
          <w:sz w:val="28"/>
          <w:szCs w:val="24"/>
        </w:rPr>
        <w:t xml:space="preserve"> Individual Operation Under t</w:t>
      </w:r>
      <w:r w:rsidRPr="00272A5C">
        <w:rPr>
          <w:rFonts w:ascii="Times New Roman Bold" w:hAnsi="Times New Roman Bold" w:cs="Times New Roman"/>
          <w:b/>
          <w:smallCaps/>
          <w:sz w:val="28"/>
          <w:szCs w:val="24"/>
        </w:rPr>
        <w:t>he Conditional</w:t>
      </w:r>
    </w:p>
    <w:p w:rsidR="00CF051D" w:rsidRDefault="00CF051D" w:rsidP="00CF051D">
      <w:pPr>
        <w:spacing w:after="0"/>
        <w:jc w:val="center"/>
        <w:rPr>
          <w:rFonts w:ascii="Times New Roman" w:hAnsi="Times New Roman" w:cs="Times New Roman"/>
          <w:b/>
          <w:smallCaps/>
          <w:sz w:val="28"/>
          <w:szCs w:val="24"/>
        </w:rPr>
      </w:pPr>
      <w:r w:rsidRPr="00272A5C">
        <w:rPr>
          <w:rFonts w:ascii="Times New Roman Bold" w:hAnsi="Times New Roman Bold" w:cs="Times New Roman"/>
          <w:b/>
          <w:smallCaps/>
          <w:sz w:val="28"/>
          <w:szCs w:val="24"/>
        </w:rPr>
        <w:t>Credit L</w:t>
      </w:r>
      <w:r>
        <w:rPr>
          <w:rFonts w:ascii="Times New Roman Bold" w:hAnsi="Times New Roman Bold" w:cs="Times New Roman"/>
          <w:b/>
          <w:smallCaps/>
          <w:sz w:val="28"/>
          <w:szCs w:val="24"/>
        </w:rPr>
        <w:t>ine f</w:t>
      </w:r>
      <w:r w:rsidRPr="00272A5C">
        <w:rPr>
          <w:rFonts w:ascii="Times New Roman Bold" w:hAnsi="Times New Roman Bold" w:cs="Times New Roman"/>
          <w:b/>
          <w:smallCaps/>
          <w:sz w:val="28"/>
          <w:szCs w:val="24"/>
        </w:rPr>
        <w:t>or Investment Projects (C</w:t>
      </w:r>
      <w:r>
        <w:rPr>
          <w:rFonts w:ascii="Times New Roman Bold" w:hAnsi="Times New Roman Bold" w:cs="Times New Roman"/>
          <w:b/>
          <w:smallCaps/>
          <w:sz w:val="28"/>
          <w:szCs w:val="24"/>
        </w:rPr>
        <w:t>CLIP</w:t>
      </w:r>
      <w:r w:rsidRPr="00272A5C">
        <w:rPr>
          <w:rFonts w:ascii="Times New Roman Bold" w:hAnsi="Times New Roman Bold" w:cs="Times New Roman"/>
          <w:b/>
          <w:smallCaps/>
          <w:sz w:val="28"/>
          <w:szCs w:val="24"/>
        </w:rPr>
        <w:t>)</w:t>
      </w:r>
      <w:r>
        <w:rPr>
          <w:rFonts w:ascii="Times New Roman Bold" w:hAnsi="Times New Roman Bold" w:cs="Times New Roman"/>
          <w:b/>
          <w:smallCaps/>
          <w:sz w:val="28"/>
          <w:szCs w:val="24"/>
        </w:rPr>
        <w:t xml:space="preserve"> </w:t>
      </w:r>
      <w:r>
        <w:rPr>
          <w:rFonts w:ascii="Times New Roman" w:hAnsi="Times New Roman" w:cs="Times New Roman"/>
          <w:b/>
          <w:smallCaps/>
          <w:sz w:val="28"/>
          <w:szCs w:val="24"/>
        </w:rPr>
        <w:t xml:space="preserve">to Support Business Development in Mexico </w:t>
      </w:r>
    </w:p>
    <w:p w:rsidR="00CF051D" w:rsidRDefault="00CF051D" w:rsidP="00CF051D">
      <w:pPr>
        <w:spacing w:after="240"/>
        <w:jc w:val="center"/>
        <w:rPr>
          <w:rFonts w:ascii="Times New Roman" w:hAnsi="Times New Roman" w:cs="Times New Roman"/>
          <w:b/>
          <w:smallCaps/>
          <w:sz w:val="28"/>
          <w:szCs w:val="24"/>
        </w:rPr>
      </w:pPr>
      <w:r>
        <w:rPr>
          <w:rFonts w:ascii="Times New Roman" w:hAnsi="Times New Roman" w:cs="Times New Roman"/>
          <w:b/>
          <w:smallCaps/>
          <w:sz w:val="28"/>
          <w:szCs w:val="24"/>
        </w:rPr>
        <w:t>(ME-X1010)</w:t>
      </w:r>
    </w:p>
    <w:p w:rsidR="00CF051D" w:rsidRDefault="00CF051D" w:rsidP="00CF051D">
      <w:pPr>
        <w:spacing w:before="360" w:after="240"/>
        <w:jc w:val="center"/>
        <w:rPr>
          <w:rFonts w:ascii="Times New Roman" w:hAnsi="Times New Roman" w:cs="Times New Roman"/>
          <w:b/>
          <w:smallCaps/>
          <w:sz w:val="28"/>
          <w:szCs w:val="24"/>
        </w:rPr>
      </w:pPr>
      <w:r>
        <w:rPr>
          <w:rFonts w:ascii="Times New Roman" w:hAnsi="Times New Roman" w:cs="Times New Roman"/>
          <w:b/>
          <w:smallCaps/>
          <w:sz w:val="28"/>
          <w:szCs w:val="24"/>
        </w:rPr>
        <w:t xml:space="preserve">and </w:t>
      </w:r>
    </w:p>
    <w:p w:rsidR="00CF051D" w:rsidRDefault="00CF051D" w:rsidP="00CF051D">
      <w:pPr>
        <w:spacing w:before="360" w:after="0"/>
        <w:jc w:val="center"/>
        <w:rPr>
          <w:rFonts w:ascii="Times New Roman" w:hAnsi="Times New Roman" w:cs="Times New Roman"/>
          <w:b/>
          <w:smallCaps/>
          <w:sz w:val="28"/>
          <w:szCs w:val="24"/>
        </w:rPr>
      </w:pPr>
      <w:r>
        <w:rPr>
          <w:rFonts w:ascii="Times New Roman" w:hAnsi="Times New Roman" w:cs="Times New Roman"/>
          <w:b/>
          <w:smallCaps/>
          <w:sz w:val="28"/>
          <w:szCs w:val="24"/>
        </w:rPr>
        <w:t>Investment Grant for the Geothermal Financing and Risk Transfer Program</w:t>
      </w:r>
    </w:p>
    <w:p w:rsidR="00CF051D" w:rsidRDefault="00CF051D" w:rsidP="00CF051D">
      <w:pPr>
        <w:spacing w:after="120"/>
        <w:jc w:val="center"/>
        <w:rPr>
          <w:rFonts w:ascii="Times New Roman" w:hAnsi="Times New Roman" w:cs="Times New Roman"/>
          <w:b/>
          <w:smallCaps/>
          <w:sz w:val="28"/>
          <w:szCs w:val="24"/>
        </w:rPr>
      </w:pPr>
      <w:r>
        <w:rPr>
          <w:rFonts w:ascii="Times New Roman" w:hAnsi="Times New Roman" w:cs="Times New Roman"/>
          <w:b/>
          <w:smallCaps/>
          <w:sz w:val="28"/>
          <w:szCs w:val="24"/>
        </w:rPr>
        <w:t>(ME-G1005)</w:t>
      </w:r>
    </w:p>
    <w:p w:rsidR="00097357" w:rsidRPr="00304CCF" w:rsidRDefault="00097357" w:rsidP="00097357">
      <w:pPr>
        <w:jc w:val="both"/>
        <w:rPr>
          <w:rFonts w:ascii="Times New Roman" w:hAnsi="Times New Roman" w:cs="Times New Roman"/>
          <w:sz w:val="24"/>
          <w:szCs w:val="24"/>
        </w:rPr>
      </w:pPr>
    </w:p>
    <w:p w:rsidR="00097357" w:rsidRPr="00304CCF" w:rsidRDefault="00097357" w:rsidP="00097357">
      <w:pPr>
        <w:jc w:val="both"/>
        <w:rPr>
          <w:rFonts w:ascii="Times New Roman" w:hAnsi="Times New Roman" w:cs="Times New Roman"/>
          <w:sz w:val="24"/>
          <w:szCs w:val="24"/>
        </w:rPr>
      </w:pPr>
    </w:p>
    <w:p w:rsidR="00097357" w:rsidRPr="00EA3F9C" w:rsidRDefault="00097357" w:rsidP="00097357">
      <w:pPr>
        <w:tabs>
          <w:tab w:val="left" w:pos="1440"/>
          <w:tab w:val="left" w:pos="3060"/>
        </w:tabs>
        <w:jc w:val="center"/>
        <w:outlineLvl w:val="0"/>
        <w:rPr>
          <w:rFonts w:ascii="Times New Roman" w:hAnsi="Times New Roman"/>
          <w:b/>
          <w:smallCaps/>
          <w:sz w:val="28"/>
          <w:szCs w:val="28"/>
        </w:rPr>
      </w:pPr>
      <w:r w:rsidRPr="00EA3F9C">
        <w:rPr>
          <w:rFonts w:ascii="Times New Roman" w:hAnsi="Times New Roman"/>
          <w:b/>
          <w:smallCaps/>
          <w:sz w:val="28"/>
          <w:szCs w:val="28"/>
        </w:rPr>
        <w:t>Economic Analysis</w:t>
      </w:r>
    </w:p>
    <w:p w:rsidR="00A6797B" w:rsidRDefault="00A6797B"/>
    <w:p w:rsidR="00C00D87" w:rsidRDefault="00C00D87"/>
    <w:p w:rsidR="00C00D87" w:rsidRDefault="00C00D87"/>
    <w:p w:rsidR="00C00D87" w:rsidRDefault="00C00D87"/>
    <w:p w:rsidR="00C00D87" w:rsidRDefault="00C00D87"/>
    <w:p w:rsidR="00C00D87" w:rsidRPr="008C4F91" w:rsidRDefault="00C00D87" w:rsidP="00C00D87">
      <w:pPr>
        <w:jc w:val="center"/>
        <w:rPr>
          <w:rFonts w:ascii="Times New Roman Bold" w:hAnsi="Times New Roman Bold" w:cs="Times New Roman" w:hint="eastAsia"/>
          <w:b/>
          <w:smallCaps/>
          <w:sz w:val="24"/>
          <w:szCs w:val="24"/>
        </w:rPr>
      </w:pPr>
      <w:r w:rsidRPr="008C4F91">
        <w:rPr>
          <w:rFonts w:ascii="Times New Roman Bold" w:hAnsi="Times New Roman Bold" w:cs="Times New Roman"/>
          <w:b/>
          <w:smallCaps/>
          <w:sz w:val="24"/>
          <w:szCs w:val="24"/>
        </w:rPr>
        <w:t>Content</w:t>
      </w:r>
    </w:p>
    <w:p w:rsidR="00A845FE" w:rsidRPr="00856C25" w:rsidRDefault="00C00D87">
      <w:pPr>
        <w:pStyle w:val="TOC1"/>
        <w:rPr>
          <w:rFonts w:asciiTheme="minorHAnsi" w:hAnsiTheme="minorHAnsi" w:cstheme="minorBidi"/>
          <w:smallCaps w:val="0"/>
          <w:noProof/>
          <w:sz w:val="22"/>
          <w:lang w:eastAsia="es-ES"/>
        </w:rPr>
      </w:pPr>
      <w:r>
        <w:fldChar w:fldCharType="begin"/>
      </w:r>
      <w:r w:rsidRPr="00E04C59">
        <w:instrText xml:space="preserve"> TOC \f \t "Chapter,1,FirstHeading,2,SecHeading,3" </w:instrText>
      </w:r>
      <w:r>
        <w:fldChar w:fldCharType="separate"/>
      </w:r>
      <w:r w:rsidR="00A845FE">
        <w:rPr>
          <w:noProof/>
        </w:rPr>
        <w:t>I.</w:t>
      </w:r>
      <w:r w:rsidR="00A845FE" w:rsidRPr="00856C25">
        <w:rPr>
          <w:rFonts w:asciiTheme="minorHAnsi" w:hAnsiTheme="minorHAnsi" w:cstheme="minorBidi"/>
          <w:smallCaps w:val="0"/>
          <w:noProof/>
          <w:sz w:val="22"/>
          <w:lang w:eastAsia="es-ES"/>
        </w:rPr>
        <w:tab/>
      </w:r>
      <w:r w:rsidR="00A845FE">
        <w:rPr>
          <w:noProof/>
        </w:rPr>
        <w:t>Introduction</w:t>
      </w:r>
      <w:r w:rsidR="00A845FE">
        <w:rPr>
          <w:noProof/>
        </w:rPr>
        <w:tab/>
      </w:r>
      <w:r w:rsidR="00A845FE">
        <w:rPr>
          <w:noProof/>
        </w:rPr>
        <w:fldChar w:fldCharType="begin"/>
      </w:r>
      <w:r w:rsidR="00A845FE">
        <w:rPr>
          <w:noProof/>
        </w:rPr>
        <w:instrText xml:space="preserve"> PAGEREF _Toc380599916 \h </w:instrText>
      </w:r>
      <w:r w:rsidR="00A845FE">
        <w:rPr>
          <w:noProof/>
        </w:rPr>
      </w:r>
      <w:r w:rsidR="00A845FE">
        <w:rPr>
          <w:noProof/>
        </w:rPr>
        <w:fldChar w:fldCharType="separate"/>
      </w:r>
      <w:r w:rsidR="00856C25">
        <w:rPr>
          <w:noProof/>
        </w:rPr>
        <w:t>3</w:t>
      </w:r>
      <w:r w:rsidR="00A845FE">
        <w:rPr>
          <w:noProof/>
        </w:rPr>
        <w:fldChar w:fldCharType="end"/>
      </w:r>
    </w:p>
    <w:p w:rsidR="00A845FE" w:rsidRPr="00856C25" w:rsidRDefault="00A845FE">
      <w:pPr>
        <w:pStyle w:val="TOC1"/>
        <w:rPr>
          <w:rFonts w:asciiTheme="minorHAnsi" w:hAnsiTheme="minorHAnsi" w:cstheme="minorBidi"/>
          <w:smallCaps w:val="0"/>
          <w:noProof/>
          <w:sz w:val="22"/>
          <w:lang w:eastAsia="es-ES"/>
        </w:rPr>
      </w:pPr>
      <w:r>
        <w:rPr>
          <w:noProof/>
        </w:rPr>
        <w:t>II.</w:t>
      </w:r>
      <w:r w:rsidRPr="00856C25">
        <w:rPr>
          <w:rFonts w:asciiTheme="minorHAnsi" w:hAnsiTheme="minorHAnsi" w:cstheme="minorBidi"/>
          <w:smallCaps w:val="0"/>
          <w:noProof/>
          <w:sz w:val="22"/>
          <w:lang w:eastAsia="es-ES"/>
        </w:rPr>
        <w:tab/>
      </w:r>
      <w:r>
        <w:rPr>
          <w:noProof/>
        </w:rPr>
        <w:t>Methodology and Assumptions</w:t>
      </w:r>
      <w:r>
        <w:rPr>
          <w:noProof/>
        </w:rPr>
        <w:tab/>
      </w:r>
      <w:r>
        <w:rPr>
          <w:noProof/>
        </w:rPr>
        <w:fldChar w:fldCharType="begin"/>
      </w:r>
      <w:r>
        <w:rPr>
          <w:noProof/>
        </w:rPr>
        <w:instrText xml:space="preserve"> PAGEREF _Toc380599918 \h </w:instrText>
      </w:r>
      <w:r>
        <w:rPr>
          <w:noProof/>
        </w:rPr>
      </w:r>
      <w:r>
        <w:rPr>
          <w:noProof/>
        </w:rPr>
        <w:fldChar w:fldCharType="separate"/>
      </w:r>
      <w:r w:rsidR="00856C25">
        <w:rPr>
          <w:noProof/>
        </w:rPr>
        <w:t>4</w:t>
      </w:r>
      <w:r>
        <w:rPr>
          <w:noProof/>
        </w:rPr>
        <w:fldChar w:fldCharType="end"/>
      </w:r>
    </w:p>
    <w:p w:rsidR="00A845FE" w:rsidRPr="00856C25" w:rsidRDefault="00A845FE">
      <w:pPr>
        <w:pStyle w:val="TOC1"/>
        <w:rPr>
          <w:rFonts w:asciiTheme="minorHAnsi" w:hAnsiTheme="minorHAnsi" w:cstheme="minorBidi"/>
          <w:smallCaps w:val="0"/>
          <w:noProof/>
          <w:sz w:val="22"/>
          <w:lang w:eastAsia="es-ES"/>
        </w:rPr>
      </w:pPr>
      <w:r>
        <w:rPr>
          <w:noProof/>
        </w:rPr>
        <w:t>A.</w:t>
      </w:r>
      <w:r w:rsidRPr="00856C25">
        <w:rPr>
          <w:rFonts w:asciiTheme="minorHAnsi" w:hAnsiTheme="minorHAnsi" w:cstheme="minorBidi"/>
          <w:smallCaps w:val="0"/>
          <w:noProof/>
          <w:sz w:val="22"/>
          <w:lang w:eastAsia="es-ES"/>
        </w:rPr>
        <w:tab/>
      </w:r>
      <w:r>
        <w:rPr>
          <w:noProof/>
        </w:rPr>
        <w:t>Methodology</w:t>
      </w:r>
      <w:r>
        <w:rPr>
          <w:noProof/>
        </w:rPr>
        <w:tab/>
      </w:r>
      <w:r>
        <w:rPr>
          <w:noProof/>
        </w:rPr>
        <w:fldChar w:fldCharType="begin"/>
      </w:r>
      <w:r>
        <w:rPr>
          <w:noProof/>
        </w:rPr>
        <w:instrText xml:space="preserve"> PAGEREF _Toc380599919 \h </w:instrText>
      </w:r>
      <w:r>
        <w:rPr>
          <w:noProof/>
        </w:rPr>
      </w:r>
      <w:r>
        <w:rPr>
          <w:noProof/>
        </w:rPr>
        <w:fldChar w:fldCharType="separate"/>
      </w:r>
      <w:r w:rsidR="00856C25">
        <w:rPr>
          <w:noProof/>
        </w:rPr>
        <w:t>4</w:t>
      </w:r>
      <w:r>
        <w:rPr>
          <w:noProof/>
        </w:rPr>
        <w:fldChar w:fldCharType="end"/>
      </w:r>
    </w:p>
    <w:p w:rsidR="00A845FE" w:rsidRPr="00856C25" w:rsidRDefault="00A845FE">
      <w:pPr>
        <w:pStyle w:val="TOC1"/>
        <w:rPr>
          <w:rFonts w:asciiTheme="minorHAnsi" w:hAnsiTheme="minorHAnsi" w:cstheme="minorBidi"/>
          <w:smallCaps w:val="0"/>
          <w:noProof/>
          <w:sz w:val="22"/>
          <w:lang w:eastAsia="es-ES"/>
        </w:rPr>
      </w:pPr>
      <w:r>
        <w:rPr>
          <w:noProof/>
        </w:rPr>
        <w:t>B.</w:t>
      </w:r>
      <w:r w:rsidRPr="00856C25">
        <w:rPr>
          <w:rFonts w:asciiTheme="minorHAnsi" w:hAnsiTheme="minorHAnsi" w:cstheme="minorBidi"/>
          <w:smallCaps w:val="0"/>
          <w:noProof/>
          <w:sz w:val="22"/>
          <w:lang w:eastAsia="es-ES"/>
        </w:rPr>
        <w:tab/>
      </w:r>
      <w:r>
        <w:rPr>
          <w:noProof/>
        </w:rPr>
        <w:t>Assumptions</w:t>
      </w:r>
      <w:r>
        <w:rPr>
          <w:noProof/>
        </w:rPr>
        <w:tab/>
      </w:r>
      <w:r>
        <w:rPr>
          <w:noProof/>
        </w:rPr>
        <w:fldChar w:fldCharType="begin"/>
      </w:r>
      <w:r>
        <w:rPr>
          <w:noProof/>
        </w:rPr>
        <w:instrText xml:space="preserve"> PAGEREF _Toc380599920 \h </w:instrText>
      </w:r>
      <w:r>
        <w:rPr>
          <w:noProof/>
        </w:rPr>
      </w:r>
      <w:r>
        <w:rPr>
          <w:noProof/>
        </w:rPr>
        <w:fldChar w:fldCharType="separate"/>
      </w:r>
      <w:r w:rsidR="00856C25">
        <w:rPr>
          <w:noProof/>
        </w:rPr>
        <w:t>6</w:t>
      </w:r>
      <w:r>
        <w:rPr>
          <w:noProof/>
        </w:rPr>
        <w:fldChar w:fldCharType="end"/>
      </w:r>
    </w:p>
    <w:p w:rsidR="00A845FE" w:rsidRPr="00856C25" w:rsidRDefault="00A845FE">
      <w:pPr>
        <w:pStyle w:val="TOC1"/>
        <w:rPr>
          <w:rFonts w:asciiTheme="minorHAnsi" w:hAnsiTheme="minorHAnsi" w:cstheme="minorBidi"/>
          <w:smallCaps w:val="0"/>
          <w:noProof/>
          <w:sz w:val="22"/>
          <w:lang w:eastAsia="es-ES"/>
        </w:rPr>
      </w:pPr>
      <w:r>
        <w:rPr>
          <w:noProof/>
        </w:rPr>
        <w:t>III.</w:t>
      </w:r>
      <w:r w:rsidRPr="00856C25">
        <w:rPr>
          <w:rFonts w:asciiTheme="minorHAnsi" w:hAnsiTheme="minorHAnsi" w:cstheme="minorBidi"/>
          <w:smallCaps w:val="0"/>
          <w:noProof/>
          <w:sz w:val="22"/>
          <w:lang w:eastAsia="es-ES"/>
        </w:rPr>
        <w:tab/>
      </w:r>
      <w:r>
        <w:rPr>
          <w:noProof/>
        </w:rPr>
        <w:t>Results of the Analysis</w:t>
      </w:r>
      <w:r>
        <w:rPr>
          <w:noProof/>
        </w:rPr>
        <w:tab/>
      </w:r>
      <w:r>
        <w:rPr>
          <w:noProof/>
        </w:rPr>
        <w:fldChar w:fldCharType="begin"/>
      </w:r>
      <w:r>
        <w:rPr>
          <w:noProof/>
        </w:rPr>
        <w:instrText xml:space="preserve"> PAGEREF _Toc380599923 \h </w:instrText>
      </w:r>
      <w:r>
        <w:rPr>
          <w:noProof/>
        </w:rPr>
      </w:r>
      <w:r>
        <w:rPr>
          <w:noProof/>
        </w:rPr>
        <w:fldChar w:fldCharType="separate"/>
      </w:r>
      <w:r w:rsidR="00856C25">
        <w:rPr>
          <w:noProof/>
        </w:rPr>
        <w:t>11</w:t>
      </w:r>
      <w:r>
        <w:rPr>
          <w:noProof/>
        </w:rPr>
        <w:fldChar w:fldCharType="end"/>
      </w:r>
    </w:p>
    <w:p w:rsidR="00A845FE" w:rsidRPr="00856C25" w:rsidRDefault="00A845FE">
      <w:pPr>
        <w:pStyle w:val="TOC1"/>
        <w:rPr>
          <w:rFonts w:asciiTheme="minorHAnsi" w:hAnsiTheme="minorHAnsi" w:cstheme="minorBidi"/>
          <w:smallCaps w:val="0"/>
          <w:noProof/>
          <w:sz w:val="22"/>
          <w:lang w:eastAsia="es-ES"/>
        </w:rPr>
      </w:pPr>
      <w:r>
        <w:rPr>
          <w:noProof/>
        </w:rPr>
        <w:t>A.</w:t>
      </w:r>
      <w:r w:rsidRPr="00856C25">
        <w:rPr>
          <w:rFonts w:asciiTheme="minorHAnsi" w:hAnsiTheme="minorHAnsi" w:cstheme="minorBidi"/>
          <w:smallCaps w:val="0"/>
          <w:noProof/>
          <w:sz w:val="22"/>
          <w:lang w:eastAsia="es-ES"/>
        </w:rPr>
        <w:tab/>
      </w:r>
      <w:r>
        <w:rPr>
          <w:noProof/>
        </w:rPr>
        <w:t>COST-EFFECTIVENESS ANALYSIS</w:t>
      </w:r>
      <w:r>
        <w:rPr>
          <w:noProof/>
        </w:rPr>
        <w:tab/>
      </w:r>
      <w:r>
        <w:rPr>
          <w:noProof/>
        </w:rPr>
        <w:fldChar w:fldCharType="begin"/>
      </w:r>
      <w:r>
        <w:rPr>
          <w:noProof/>
        </w:rPr>
        <w:instrText xml:space="preserve"> PAGEREF _Toc380599924 \h </w:instrText>
      </w:r>
      <w:r>
        <w:rPr>
          <w:noProof/>
        </w:rPr>
      </w:r>
      <w:r>
        <w:rPr>
          <w:noProof/>
        </w:rPr>
        <w:fldChar w:fldCharType="separate"/>
      </w:r>
      <w:r w:rsidR="00856C25">
        <w:rPr>
          <w:noProof/>
        </w:rPr>
        <w:t>11</w:t>
      </w:r>
      <w:r>
        <w:rPr>
          <w:noProof/>
        </w:rPr>
        <w:fldChar w:fldCharType="end"/>
      </w:r>
    </w:p>
    <w:p w:rsidR="00A845FE" w:rsidRPr="00856C25" w:rsidRDefault="00A845FE">
      <w:pPr>
        <w:pStyle w:val="TOC1"/>
        <w:rPr>
          <w:rFonts w:asciiTheme="minorHAnsi" w:hAnsiTheme="minorHAnsi" w:cstheme="minorBidi"/>
          <w:smallCaps w:val="0"/>
          <w:noProof/>
          <w:sz w:val="22"/>
          <w:lang w:eastAsia="es-ES"/>
        </w:rPr>
      </w:pPr>
      <w:r>
        <w:rPr>
          <w:noProof/>
        </w:rPr>
        <w:t>B.</w:t>
      </w:r>
      <w:r w:rsidRPr="00856C25">
        <w:rPr>
          <w:rFonts w:asciiTheme="minorHAnsi" w:hAnsiTheme="minorHAnsi" w:cstheme="minorBidi"/>
          <w:smallCaps w:val="0"/>
          <w:noProof/>
          <w:sz w:val="22"/>
          <w:lang w:eastAsia="es-ES"/>
        </w:rPr>
        <w:tab/>
      </w:r>
      <w:r>
        <w:rPr>
          <w:noProof/>
        </w:rPr>
        <w:t>COST-BENEFIT ANALYSIS</w:t>
      </w:r>
      <w:r>
        <w:rPr>
          <w:noProof/>
        </w:rPr>
        <w:tab/>
      </w:r>
      <w:r>
        <w:rPr>
          <w:noProof/>
        </w:rPr>
        <w:fldChar w:fldCharType="begin"/>
      </w:r>
      <w:r>
        <w:rPr>
          <w:noProof/>
        </w:rPr>
        <w:instrText xml:space="preserve"> PAGEREF _Toc380599925 \h </w:instrText>
      </w:r>
      <w:r>
        <w:rPr>
          <w:noProof/>
        </w:rPr>
      </w:r>
      <w:r>
        <w:rPr>
          <w:noProof/>
        </w:rPr>
        <w:fldChar w:fldCharType="separate"/>
      </w:r>
      <w:r w:rsidR="00856C25">
        <w:rPr>
          <w:noProof/>
        </w:rPr>
        <w:t>13</w:t>
      </w:r>
      <w:r>
        <w:rPr>
          <w:noProof/>
        </w:rPr>
        <w:fldChar w:fldCharType="end"/>
      </w:r>
    </w:p>
    <w:p w:rsidR="00A845FE" w:rsidRPr="00856C25" w:rsidRDefault="00A845FE">
      <w:pPr>
        <w:pStyle w:val="TOC1"/>
        <w:rPr>
          <w:rFonts w:asciiTheme="minorHAnsi" w:hAnsiTheme="minorHAnsi" w:cstheme="minorBidi"/>
          <w:smallCaps w:val="0"/>
          <w:noProof/>
          <w:sz w:val="22"/>
          <w:lang w:eastAsia="es-ES"/>
        </w:rPr>
      </w:pPr>
      <w:r>
        <w:rPr>
          <w:noProof/>
        </w:rPr>
        <w:t>C.</w:t>
      </w:r>
      <w:r w:rsidRPr="00856C25">
        <w:rPr>
          <w:rFonts w:asciiTheme="minorHAnsi" w:hAnsiTheme="minorHAnsi" w:cstheme="minorBidi"/>
          <w:smallCaps w:val="0"/>
          <w:noProof/>
          <w:sz w:val="22"/>
          <w:lang w:eastAsia="es-ES"/>
        </w:rPr>
        <w:tab/>
      </w:r>
      <w:r>
        <w:rPr>
          <w:noProof/>
        </w:rPr>
        <w:t>Economic Returns</w:t>
      </w:r>
      <w:r>
        <w:rPr>
          <w:noProof/>
        </w:rPr>
        <w:tab/>
      </w:r>
      <w:r>
        <w:rPr>
          <w:noProof/>
        </w:rPr>
        <w:fldChar w:fldCharType="begin"/>
      </w:r>
      <w:r>
        <w:rPr>
          <w:noProof/>
        </w:rPr>
        <w:instrText xml:space="preserve"> PAGEREF _Toc380599927 \h </w:instrText>
      </w:r>
      <w:r>
        <w:rPr>
          <w:noProof/>
        </w:rPr>
      </w:r>
      <w:r>
        <w:rPr>
          <w:noProof/>
        </w:rPr>
        <w:fldChar w:fldCharType="separate"/>
      </w:r>
      <w:r w:rsidR="00856C25">
        <w:rPr>
          <w:noProof/>
        </w:rPr>
        <w:t>15</w:t>
      </w:r>
      <w:r>
        <w:rPr>
          <w:noProof/>
        </w:rPr>
        <w:fldChar w:fldCharType="end"/>
      </w:r>
    </w:p>
    <w:p w:rsidR="00A845FE" w:rsidRPr="00856C25" w:rsidRDefault="00A845FE">
      <w:pPr>
        <w:pStyle w:val="TOC1"/>
        <w:rPr>
          <w:rFonts w:asciiTheme="minorHAnsi" w:hAnsiTheme="minorHAnsi" w:cstheme="minorBidi"/>
          <w:smallCaps w:val="0"/>
          <w:noProof/>
          <w:sz w:val="22"/>
          <w:lang w:eastAsia="es-ES"/>
        </w:rPr>
      </w:pPr>
      <w:r>
        <w:rPr>
          <w:noProof/>
        </w:rPr>
        <w:t>IV.</w:t>
      </w:r>
      <w:r w:rsidRPr="00856C25">
        <w:rPr>
          <w:rFonts w:asciiTheme="minorHAnsi" w:hAnsiTheme="minorHAnsi" w:cstheme="minorBidi"/>
          <w:smallCaps w:val="0"/>
          <w:noProof/>
          <w:sz w:val="22"/>
          <w:lang w:eastAsia="es-ES"/>
        </w:rPr>
        <w:tab/>
      </w:r>
      <w:r>
        <w:rPr>
          <w:noProof/>
        </w:rPr>
        <w:t>Sensitivity Analysis</w:t>
      </w:r>
      <w:r>
        <w:rPr>
          <w:noProof/>
        </w:rPr>
        <w:tab/>
      </w:r>
      <w:r>
        <w:rPr>
          <w:noProof/>
        </w:rPr>
        <w:fldChar w:fldCharType="begin"/>
      </w:r>
      <w:r>
        <w:rPr>
          <w:noProof/>
        </w:rPr>
        <w:instrText xml:space="preserve"> PAGEREF _Toc380599928 \h </w:instrText>
      </w:r>
      <w:r>
        <w:rPr>
          <w:noProof/>
        </w:rPr>
      </w:r>
      <w:r>
        <w:rPr>
          <w:noProof/>
        </w:rPr>
        <w:fldChar w:fldCharType="separate"/>
      </w:r>
      <w:r w:rsidR="00856C25">
        <w:rPr>
          <w:noProof/>
        </w:rPr>
        <w:t>15</w:t>
      </w:r>
      <w:r>
        <w:rPr>
          <w:noProof/>
        </w:rPr>
        <w:fldChar w:fldCharType="end"/>
      </w:r>
    </w:p>
    <w:p w:rsidR="00A845FE" w:rsidRPr="00856C25" w:rsidRDefault="00A845FE">
      <w:pPr>
        <w:pStyle w:val="TOC1"/>
        <w:rPr>
          <w:rFonts w:asciiTheme="minorHAnsi" w:hAnsiTheme="minorHAnsi" w:cstheme="minorBidi"/>
          <w:smallCaps w:val="0"/>
          <w:noProof/>
          <w:sz w:val="22"/>
          <w:lang w:eastAsia="es-ES"/>
        </w:rPr>
      </w:pPr>
      <w:r>
        <w:rPr>
          <w:noProof/>
        </w:rPr>
        <w:t>V.</w:t>
      </w:r>
      <w:r w:rsidRPr="00856C25">
        <w:rPr>
          <w:rFonts w:asciiTheme="minorHAnsi" w:hAnsiTheme="minorHAnsi" w:cstheme="minorBidi"/>
          <w:smallCaps w:val="0"/>
          <w:noProof/>
          <w:sz w:val="22"/>
          <w:lang w:eastAsia="es-ES"/>
        </w:rPr>
        <w:tab/>
      </w:r>
      <w:r>
        <w:rPr>
          <w:noProof/>
        </w:rPr>
        <w:t>Conclusions</w:t>
      </w:r>
      <w:r>
        <w:rPr>
          <w:noProof/>
        </w:rPr>
        <w:tab/>
      </w:r>
      <w:r>
        <w:rPr>
          <w:noProof/>
        </w:rPr>
        <w:fldChar w:fldCharType="begin"/>
      </w:r>
      <w:r>
        <w:rPr>
          <w:noProof/>
        </w:rPr>
        <w:instrText xml:space="preserve"> PAGEREF _Toc380599929 \h </w:instrText>
      </w:r>
      <w:r>
        <w:rPr>
          <w:noProof/>
        </w:rPr>
      </w:r>
      <w:r>
        <w:rPr>
          <w:noProof/>
        </w:rPr>
        <w:fldChar w:fldCharType="separate"/>
      </w:r>
      <w:r w:rsidR="00856C25">
        <w:rPr>
          <w:noProof/>
        </w:rPr>
        <w:t>16</w:t>
      </w:r>
      <w:r>
        <w:rPr>
          <w:noProof/>
        </w:rPr>
        <w:fldChar w:fldCharType="end"/>
      </w:r>
    </w:p>
    <w:p w:rsidR="00A845FE" w:rsidRPr="00856C25" w:rsidRDefault="00A845FE">
      <w:pPr>
        <w:pStyle w:val="TOC1"/>
        <w:rPr>
          <w:rFonts w:asciiTheme="minorHAnsi" w:hAnsiTheme="minorHAnsi" w:cstheme="minorBidi"/>
          <w:smallCaps w:val="0"/>
          <w:noProof/>
          <w:sz w:val="22"/>
          <w:lang w:eastAsia="es-ES"/>
        </w:rPr>
      </w:pPr>
      <w:r>
        <w:rPr>
          <w:noProof/>
        </w:rPr>
        <w:t>Annex 1. Detailed annual cash flows – Cost-benefit analysis</w:t>
      </w:r>
      <w:r>
        <w:rPr>
          <w:noProof/>
        </w:rPr>
        <w:tab/>
      </w:r>
      <w:r>
        <w:rPr>
          <w:noProof/>
        </w:rPr>
        <w:fldChar w:fldCharType="begin"/>
      </w:r>
      <w:r>
        <w:rPr>
          <w:noProof/>
        </w:rPr>
        <w:instrText xml:space="preserve"> PAGEREF _Toc380599930 \h </w:instrText>
      </w:r>
      <w:r>
        <w:rPr>
          <w:noProof/>
        </w:rPr>
      </w:r>
      <w:r>
        <w:rPr>
          <w:noProof/>
        </w:rPr>
        <w:fldChar w:fldCharType="separate"/>
      </w:r>
      <w:r w:rsidR="00856C25">
        <w:rPr>
          <w:noProof/>
        </w:rPr>
        <w:t>17</w:t>
      </w:r>
      <w:r>
        <w:rPr>
          <w:noProof/>
        </w:rPr>
        <w:fldChar w:fldCharType="end"/>
      </w:r>
    </w:p>
    <w:p w:rsidR="00A845FE" w:rsidRPr="00856C25" w:rsidRDefault="00CF7B49">
      <w:pPr>
        <w:pStyle w:val="TOC1"/>
        <w:rPr>
          <w:rFonts w:asciiTheme="minorHAnsi" w:hAnsiTheme="minorHAnsi" w:cstheme="minorBidi"/>
          <w:smallCaps w:val="0"/>
          <w:noProof/>
          <w:sz w:val="22"/>
          <w:lang w:eastAsia="es-ES"/>
        </w:rPr>
      </w:pPr>
      <w:r>
        <w:rPr>
          <w:noProof/>
        </w:rPr>
        <w:t>annex 2. an illustrative case of government cost-sharing of exploration costs</w:t>
      </w:r>
      <w:r w:rsidR="00A845FE">
        <w:rPr>
          <w:noProof/>
        </w:rPr>
        <w:tab/>
      </w:r>
      <w:r w:rsidR="00A845FE">
        <w:rPr>
          <w:noProof/>
        </w:rPr>
        <w:fldChar w:fldCharType="begin"/>
      </w:r>
      <w:r w:rsidR="00A845FE">
        <w:rPr>
          <w:noProof/>
        </w:rPr>
        <w:instrText xml:space="preserve"> PAGEREF _Toc380599931 \h </w:instrText>
      </w:r>
      <w:r w:rsidR="00A845FE">
        <w:rPr>
          <w:noProof/>
        </w:rPr>
      </w:r>
      <w:r w:rsidR="00A845FE">
        <w:rPr>
          <w:noProof/>
        </w:rPr>
        <w:fldChar w:fldCharType="separate"/>
      </w:r>
      <w:r w:rsidR="00856C25">
        <w:rPr>
          <w:noProof/>
        </w:rPr>
        <w:t>18</w:t>
      </w:r>
      <w:r w:rsidR="00A845FE">
        <w:rPr>
          <w:noProof/>
        </w:rPr>
        <w:fldChar w:fldCharType="end"/>
      </w:r>
    </w:p>
    <w:p w:rsidR="00C00D87" w:rsidRDefault="00C00D87" w:rsidP="00C00D87">
      <w:r>
        <w:fldChar w:fldCharType="end"/>
      </w:r>
    </w:p>
    <w:p w:rsidR="00C00D87" w:rsidRDefault="00C00D87" w:rsidP="00C00D87"/>
    <w:p w:rsidR="00C00D87" w:rsidRDefault="00C00D87" w:rsidP="00C00D87"/>
    <w:p w:rsidR="00C00D87" w:rsidRDefault="00C00D87" w:rsidP="00C00D87"/>
    <w:p w:rsidR="00C00D87" w:rsidRDefault="00C00D87" w:rsidP="00C00D87"/>
    <w:p w:rsidR="00C00D87" w:rsidRDefault="00C00D87" w:rsidP="00C00D87"/>
    <w:p w:rsidR="00C00D87" w:rsidRDefault="00C00D87" w:rsidP="00C00D87"/>
    <w:p w:rsidR="00C00D87" w:rsidRDefault="00C00D87" w:rsidP="00C00D87"/>
    <w:p w:rsidR="00C00D87" w:rsidRDefault="00C00D87" w:rsidP="00C00D87"/>
    <w:p w:rsidR="00C00D87" w:rsidRDefault="00C00D87" w:rsidP="00C00D87"/>
    <w:p w:rsidR="0006334E" w:rsidRDefault="0006334E" w:rsidP="00C00D87"/>
    <w:p w:rsidR="00C0623D" w:rsidRPr="00C0623D" w:rsidRDefault="00C00D87" w:rsidP="00C0623D">
      <w:pPr>
        <w:pStyle w:val="Chapter"/>
        <w:tabs>
          <w:tab w:val="clear" w:pos="1440"/>
          <w:tab w:val="clear" w:pos="1800"/>
        </w:tabs>
        <w:spacing w:after="120"/>
        <w:ind w:left="0"/>
      </w:pPr>
      <w:bookmarkStart w:id="1" w:name="_Toc173239049"/>
      <w:bookmarkStart w:id="2" w:name="_Toc302637907"/>
      <w:bookmarkStart w:id="3" w:name="_Toc380599916"/>
      <w:r w:rsidRPr="00C0623D">
        <w:lastRenderedPageBreak/>
        <w:t>Introduction</w:t>
      </w:r>
      <w:bookmarkEnd w:id="1"/>
      <w:bookmarkEnd w:id="2"/>
      <w:bookmarkEnd w:id="3"/>
      <w:r w:rsidR="00C0623D" w:rsidRPr="00C0623D">
        <w:br/>
      </w:r>
    </w:p>
    <w:p w:rsidR="00304CCF" w:rsidRPr="00F767B7" w:rsidRDefault="00304CCF" w:rsidP="00921FA1">
      <w:pPr>
        <w:pStyle w:val="Paragraph"/>
        <w:numPr>
          <w:ilvl w:val="1"/>
          <w:numId w:val="4"/>
        </w:numPr>
        <w:tabs>
          <w:tab w:val="clear" w:pos="2016"/>
          <w:tab w:val="num" w:pos="720"/>
        </w:tabs>
        <w:ind w:left="720" w:hanging="720"/>
      </w:pPr>
      <w:r w:rsidRPr="00F767B7">
        <w:t xml:space="preserve">In the current context of global climate change, governments </w:t>
      </w:r>
      <w:r>
        <w:t xml:space="preserve">in emerging economies </w:t>
      </w:r>
      <w:r w:rsidRPr="00F767B7">
        <w:t xml:space="preserve">have to face the important challenge of responding to increasing demands for energy while maximizing their system’s security of supply, efficiency and sustainability. </w:t>
      </w:r>
      <w:r>
        <w:t>I</w:t>
      </w:r>
      <w:r w:rsidRPr="00F767B7">
        <w:t xml:space="preserve">nvestments in power generation from clean sources play a big role in this process, contributing to diversifying the countries’ energy matrixes and mitigating </w:t>
      </w:r>
      <w:r w:rsidRPr="00650165">
        <w:t xml:space="preserve">the negative environmental impacts of conventional power </w:t>
      </w:r>
      <w:r>
        <w:t>technologies.</w:t>
      </w:r>
    </w:p>
    <w:p w:rsidR="00304CCF" w:rsidRDefault="00304CCF" w:rsidP="00921FA1">
      <w:pPr>
        <w:pStyle w:val="Paragraph"/>
        <w:numPr>
          <w:ilvl w:val="1"/>
          <w:numId w:val="4"/>
        </w:numPr>
        <w:tabs>
          <w:tab w:val="clear" w:pos="2016"/>
          <w:tab w:val="num" w:pos="720"/>
        </w:tabs>
        <w:ind w:left="720" w:hanging="720"/>
      </w:pPr>
      <w:r w:rsidRPr="00F767B7">
        <w:t>Mexico is the world’s thirteenth largest greenhouse gas (GHG) emitter and the second CO</w:t>
      </w:r>
      <w:r w:rsidRPr="005C135E">
        <w:rPr>
          <w:vertAlign w:val="subscript"/>
        </w:rPr>
        <w:t>2</w:t>
      </w:r>
      <w:r w:rsidRPr="00F767B7">
        <w:t xml:space="preserve"> emitter in Latin America</w:t>
      </w:r>
      <w:r>
        <w:t xml:space="preserve">. The country </w:t>
      </w:r>
      <w:r w:rsidRPr="00F767B7">
        <w:t>has voluntarily committed to reduc</w:t>
      </w:r>
      <w:r>
        <w:t>ing its</w:t>
      </w:r>
      <w:r w:rsidRPr="00F767B7">
        <w:t xml:space="preserve"> G</w:t>
      </w:r>
      <w:r>
        <w:t>HG emissions up to 30% by 2020, with respect to the business as usual scenario (LGCC)</w:t>
      </w:r>
      <w:r w:rsidRPr="001E6CA3">
        <w:rPr>
          <w:rStyle w:val="FootnoteReference"/>
        </w:rPr>
        <w:footnoteReference w:id="1"/>
      </w:r>
      <w:r>
        <w:t>. A</w:t>
      </w:r>
      <w:r w:rsidRPr="00F767B7">
        <w:t>lmost 60% of the potential for these reductions comes from the energy sector</w:t>
      </w:r>
      <w:r>
        <w:t>, mainly transport and power generation. The LGCC also</w:t>
      </w:r>
      <w:r w:rsidRPr="008C4CCB">
        <w:t xml:space="preserve"> sets the </w:t>
      </w:r>
      <w:r>
        <w:t xml:space="preserve">specific </w:t>
      </w:r>
      <w:r w:rsidRPr="008C4CCB">
        <w:t>target of achieving 35% of power generation from non-fossil-fuel-based sources of energy by 2024</w:t>
      </w:r>
      <w:r>
        <w:t>. But over</w:t>
      </w:r>
      <w:r w:rsidRPr="00F767B7">
        <w:t xml:space="preserve"> </w:t>
      </w:r>
      <w:r>
        <w:t>80</w:t>
      </w:r>
      <w:r w:rsidRPr="00F767B7">
        <w:t xml:space="preserve">% of </w:t>
      </w:r>
      <w:r>
        <w:t>Mexico’s</w:t>
      </w:r>
      <w:r w:rsidRPr="00F767B7">
        <w:t xml:space="preserve"> electricity </w:t>
      </w:r>
      <w:r>
        <w:t>production</w:t>
      </w:r>
      <w:r w:rsidRPr="00F767B7">
        <w:t xml:space="preserve"> </w:t>
      </w:r>
      <w:r>
        <w:t xml:space="preserve">still </w:t>
      </w:r>
      <w:r w:rsidRPr="00F767B7">
        <w:t>comes from fossil fuels, imposing the need for a</w:t>
      </w:r>
      <w:r>
        <w:t xml:space="preserve"> transformation of the country’s</w:t>
      </w:r>
      <w:r w:rsidRPr="00F767B7">
        <w:t xml:space="preserve"> power generation system in a sustainable and cost</w:t>
      </w:r>
      <w:r>
        <w:t xml:space="preserve"> </w:t>
      </w:r>
      <w:r w:rsidRPr="00F767B7">
        <w:t>efficient way.</w:t>
      </w:r>
    </w:p>
    <w:p w:rsidR="006F1C8B" w:rsidRPr="00F767B7" w:rsidRDefault="006F1C8B" w:rsidP="00921FA1">
      <w:pPr>
        <w:pStyle w:val="Paragraph"/>
        <w:numPr>
          <w:ilvl w:val="1"/>
          <w:numId w:val="4"/>
        </w:numPr>
        <w:tabs>
          <w:tab w:val="clear" w:pos="2016"/>
          <w:tab w:val="num" w:pos="720"/>
        </w:tabs>
        <w:ind w:left="720" w:hanging="720"/>
      </w:pPr>
      <w:r w:rsidRPr="00E46E67">
        <w:t xml:space="preserve">According to </w:t>
      </w:r>
      <w:r>
        <w:t xml:space="preserve">a study carried out by </w:t>
      </w:r>
      <w:r w:rsidRPr="00E46E67">
        <w:t>INE</w:t>
      </w:r>
      <w:r>
        <w:t>CC</w:t>
      </w:r>
      <w:r>
        <w:rPr>
          <w:rStyle w:val="FootnoteReference"/>
        </w:rPr>
        <w:footnoteReference w:id="2"/>
      </w:r>
      <w:r w:rsidRPr="00E46E67">
        <w:t xml:space="preserve">, the potential for GHG emissions abatement through clean energy generation by 2020 is </w:t>
      </w:r>
      <w:r w:rsidR="00842457">
        <w:t>86</w:t>
      </w:r>
      <w:r w:rsidRPr="00E46E67">
        <w:t xml:space="preserve"> MtCO</w:t>
      </w:r>
      <w:r w:rsidRPr="00E46E67">
        <w:rPr>
          <w:vertAlign w:val="subscript"/>
        </w:rPr>
        <w:t>2</w:t>
      </w:r>
      <w:r w:rsidRPr="00E46E67">
        <w:t>e</w:t>
      </w:r>
      <w:r>
        <w:t>,</w:t>
      </w:r>
      <w:r w:rsidRPr="00E46E67">
        <w:t xml:space="preserve"> equivalent to 23% of theoretical</w:t>
      </w:r>
      <w:r>
        <w:t xml:space="preserve"> reduction</w:t>
      </w:r>
      <w:r w:rsidRPr="00E46E67">
        <w:t xml:space="preserve"> potential identified. </w:t>
      </w:r>
      <w:r>
        <w:t xml:space="preserve">But despite </w:t>
      </w:r>
      <w:r w:rsidRPr="00F767B7">
        <w:t>Mexico</w:t>
      </w:r>
      <w:r>
        <w:t>’s</w:t>
      </w:r>
      <w:r w:rsidRPr="00F767B7">
        <w:t xml:space="preserve"> great potential for</w:t>
      </w:r>
      <w:r>
        <w:t xml:space="preserve"> the use of clean power sources, most of it</w:t>
      </w:r>
      <w:r w:rsidRPr="009E0FAE">
        <w:t xml:space="preserve"> </w:t>
      </w:r>
      <w:r>
        <w:t xml:space="preserve">still </w:t>
      </w:r>
      <w:r w:rsidRPr="009E0FAE">
        <w:t>remains relatively untapped</w:t>
      </w:r>
      <w:r>
        <w:t>.</w:t>
      </w:r>
      <w:r w:rsidRPr="00E46E67">
        <w:t xml:space="preserve"> Th</w:t>
      </w:r>
      <w:r>
        <w:t>e</w:t>
      </w:r>
      <w:r w:rsidRPr="00E46E67">
        <w:t xml:space="preserve"> study shows that the marginal cost of abatement </w:t>
      </w:r>
      <w:r>
        <w:t xml:space="preserve">of some of these </w:t>
      </w:r>
      <w:r w:rsidRPr="00E46E67">
        <w:t xml:space="preserve">technologies </w:t>
      </w:r>
      <w:r>
        <w:t>(</w:t>
      </w:r>
      <w:r w:rsidRPr="00E46E67">
        <w:t>such as geothermal</w:t>
      </w:r>
      <w:r>
        <w:t>)</w:t>
      </w:r>
      <w:r w:rsidRPr="00E46E67">
        <w:t xml:space="preserve"> is very low</w:t>
      </w:r>
      <w:r>
        <w:t xml:space="preserve"> compared to those based on fossil fuels use.</w:t>
      </w:r>
    </w:p>
    <w:p w:rsidR="00B75764" w:rsidRDefault="00304CCF" w:rsidP="00921FA1">
      <w:pPr>
        <w:pStyle w:val="Paragraph"/>
        <w:numPr>
          <w:ilvl w:val="1"/>
          <w:numId w:val="4"/>
        </w:numPr>
        <w:tabs>
          <w:tab w:val="clear" w:pos="2016"/>
          <w:tab w:val="num" w:pos="720"/>
        </w:tabs>
        <w:ind w:left="720" w:hanging="720"/>
      </w:pPr>
      <w:r w:rsidRPr="008476C6">
        <w:t>Geothermal energy</w:t>
      </w:r>
      <w:r w:rsidRPr="0090625A">
        <w:t xml:space="preserve"> </w:t>
      </w:r>
      <w:r w:rsidRPr="005C135E">
        <w:t xml:space="preserve">offers </w:t>
      </w:r>
      <w:r>
        <w:t xml:space="preserve">one of the most effective </w:t>
      </w:r>
      <w:r w:rsidRPr="005C135E">
        <w:t>renewable and low carbon alternatives for electricity</w:t>
      </w:r>
      <w:r w:rsidR="00B75764">
        <w:t xml:space="preserve"> </w:t>
      </w:r>
      <w:r>
        <w:t>generation</w:t>
      </w:r>
      <w:r w:rsidRPr="005C135E">
        <w:t xml:space="preserve">, opening up the possibility of increasing the </w:t>
      </w:r>
      <w:r>
        <w:t>share</w:t>
      </w:r>
      <w:r w:rsidRPr="005C135E">
        <w:t xml:space="preserve"> of </w:t>
      </w:r>
      <w:r>
        <w:t>clean</w:t>
      </w:r>
      <w:r w:rsidRPr="005C135E">
        <w:t xml:space="preserve"> sources in Mexico’s energy </w:t>
      </w:r>
      <w:r>
        <w:t>matrix</w:t>
      </w:r>
      <w:r w:rsidRPr="005C135E">
        <w:t>.</w:t>
      </w:r>
      <w:r>
        <w:t xml:space="preserve"> Furthermore, </w:t>
      </w:r>
      <w:r w:rsidRPr="00B309CD">
        <w:t xml:space="preserve">the role of geothermal power goes beyond its </w:t>
      </w:r>
      <w:r>
        <w:t>environmental contribution</w:t>
      </w:r>
      <w:r w:rsidR="00614994">
        <w:t xml:space="preserve"> because it can </w:t>
      </w:r>
      <w:r>
        <w:t xml:space="preserve">produce significant economic and social benefits. </w:t>
      </w:r>
    </w:p>
    <w:p w:rsidR="00304CCF" w:rsidRDefault="00304CCF" w:rsidP="00856C25">
      <w:pPr>
        <w:pStyle w:val="Paragraph"/>
        <w:numPr>
          <w:ilvl w:val="1"/>
          <w:numId w:val="4"/>
        </w:numPr>
        <w:tabs>
          <w:tab w:val="clear" w:pos="2016"/>
          <w:tab w:val="left" w:pos="720"/>
        </w:tabs>
        <w:ind w:left="720" w:hanging="720"/>
      </w:pPr>
      <w:r w:rsidRPr="004927A2">
        <w:t xml:space="preserve">The objective of the program is </w:t>
      </w:r>
      <w:r w:rsidR="00BB7819" w:rsidRPr="00BB7819">
        <w:t xml:space="preserve">to increase power production from geothermal sources so as </w:t>
      </w:r>
      <w:r w:rsidRPr="004927A2">
        <w:t xml:space="preserve">to contribute to the diversification of the energy matrix </w:t>
      </w:r>
      <w:r w:rsidR="00BB7819">
        <w:t>and</w:t>
      </w:r>
      <w:r w:rsidRPr="004927A2">
        <w:t xml:space="preserve"> reduce dependency on fossil fuels and GHG emissions in Mexico. To this end, the program intends to scale up investments in geothermal power generation projects by making available a range of financial mechanisms tailored to meet the specific needs for each project’s stage of development. This will include risk mitigation mechanisms as well as various forms of financing for exploration, drilling, field development and construction phases of geothermal projects.</w:t>
      </w:r>
    </w:p>
    <w:p w:rsidR="00C00D87" w:rsidRPr="00573027" w:rsidRDefault="00C00D87" w:rsidP="00C00D87">
      <w:pPr>
        <w:pStyle w:val="Chapter"/>
        <w:tabs>
          <w:tab w:val="clear" w:pos="1440"/>
          <w:tab w:val="clear" w:pos="1800"/>
        </w:tabs>
        <w:spacing w:after="120"/>
        <w:ind w:left="0"/>
      </w:pPr>
      <w:bookmarkStart w:id="4" w:name="_Toc380599893"/>
      <w:bookmarkStart w:id="5" w:name="_Toc380599917"/>
      <w:bookmarkStart w:id="6" w:name="_Toc380599918"/>
      <w:bookmarkEnd w:id="4"/>
      <w:bookmarkEnd w:id="5"/>
      <w:r w:rsidRPr="00573027">
        <w:lastRenderedPageBreak/>
        <w:t>Methodology</w:t>
      </w:r>
      <w:r>
        <w:t xml:space="preserve"> and Assumptions</w:t>
      </w:r>
      <w:bookmarkEnd w:id="6"/>
    </w:p>
    <w:p w:rsidR="002F258B" w:rsidRDefault="00C00D87" w:rsidP="00856C25">
      <w:pPr>
        <w:pStyle w:val="Chapter"/>
        <w:numPr>
          <w:ilvl w:val="0"/>
          <w:numId w:val="7"/>
        </w:numPr>
        <w:tabs>
          <w:tab w:val="clear" w:pos="1440"/>
        </w:tabs>
        <w:ind w:hanging="720"/>
        <w:jc w:val="left"/>
      </w:pPr>
      <w:bookmarkStart w:id="7" w:name="_Toc380599919"/>
      <w:r>
        <w:t>Methodology</w:t>
      </w:r>
      <w:bookmarkEnd w:id="7"/>
    </w:p>
    <w:p w:rsidR="001A7C35" w:rsidRDefault="00BB7819" w:rsidP="004E1BA5">
      <w:pPr>
        <w:pStyle w:val="Paragraph"/>
        <w:tabs>
          <w:tab w:val="num" w:pos="720"/>
        </w:tabs>
        <w:spacing w:after="80"/>
        <w:ind w:left="720" w:hanging="720"/>
      </w:pPr>
      <w:r w:rsidRPr="00856C25">
        <w:rPr>
          <w:u w:val="single"/>
        </w:rPr>
        <w:t>E</w:t>
      </w:r>
      <w:r w:rsidR="00675CF2" w:rsidRPr="00856C25">
        <w:rPr>
          <w:u w:val="single"/>
        </w:rPr>
        <w:t>vidence on the economic viability of the proposed program</w:t>
      </w:r>
      <w:r w:rsidR="00675CF2">
        <w:t xml:space="preserve"> is presented below</w:t>
      </w:r>
      <w:r>
        <w:t>, based on</w:t>
      </w:r>
      <w:r w:rsidR="004E1BA5">
        <w:t>: (i)</w:t>
      </w:r>
      <w:r w:rsidR="00C00D87" w:rsidRPr="000B6E12">
        <w:t xml:space="preserve"> </w:t>
      </w:r>
      <w:r w:rsidR="004E1BA5">
        <w:t xml:space="preserve">a cost-effectiveness analysis </w:t>
      </w:r>
      <w:r w:rsidR="005607F7">
        <w:t xml:space="preserve">of </w:t>
      </w:r>
      <w:r w:rsidR="004E1BA5" w:rsidRPr="004E1BA5">
        <w:t xml:space="preserve">the proposed </w:t>
      </w:r>
      <w:r w:rsidR="004E1BA5">
        <w:t xml:space="preserve">intervention with different </w:t>
      </w:r>
      <w:r w:rsidR="004E1BA5" w:rsidRPr="004E1BA5">
        <w:t xml:space="preserve">alternatives existing </w:t>
      </w:r>
      <w:r w:rsidR="004E1BA5">
        <w:t xml:space="preserve">in the recent </w:t>
      </w:r>
      <w:r w:rsidR="004E1BA5" w:rsidRPr="004E1BA5">
        <w:t>literature;</w:t>
      </w:r>
      <w:r w:rsidR="004E1BA5">
        <w:t xml:space="preserve"> and (ii) </w:t>
      </w:r>
      <w:r w:rsidR="00C00D87" w:rsidRPr="000B6E12">
        <w:t xml:space="preserve">a cost-benefit analysis focused on the objective of the program, namely, the </w:t>
      </w:r>
      <w:r>
        <w:t xml:space="preserve">increase in geothermal energy production, valued by its </w:t>
      </w:r>
      <w:r w:rsidR="002A4A3A">
        <w:t>saving</w:t>
      </w:r>
      <w:r>
        <w:t>s</w:t>
      </w:r>
      <w:r w:rsidR="002A4A3A">
        <w:t xml:space="preserve"> in </w:t>
      </w:r>
      <w:r w:rsidR="001A7C35">
        <w:t xml:space="preserve">electricity generation and the reduction of GHG emissions. </w:t>
      </w:r>
    </w:p>
    <w:p w:rsidR="00356A80" w:rsidRPr="009A3C66" w:rsidRDefault="00E75CB6" w:rsidP="004E1BA5">
      <w:pPr>
        <w:pStyle w:val="Paragraph"/>
        <w:tabs>
          <w:tab w:val="num" w:pos="720"/>
        </w:tabs>
        <w:spacing w:after="80"/>
        <w:ind w:left="720" w:hanging="720"/>
      </w:pPr>
      <w:r w:rsidRPr="009A3C66">
        <w:t xml:space="preserve">The economic analysis </w:t>
      </w:r>
      <w:r w:rsidR="00BB7819">
        <w:t>for</w:t>
      </w:r>
      <w:r w:rsidR="00BB7819" w:rsidRPr="009A3C66">
        <w:t xml:space="preserve"> </w:t>
      </w:r>
      <w:r w:rsidRPr="009A3C66">
        <w:t>the proposed intervention the</w:t>
      </w:r>
      <w:r w:rsidR="009A3C66">
        <w:t>n</w:t>
      </w:r>
      <w:r w:rsidRPr="009A3C66">
        <w:t xml:space="preserve"> presents two main results: </w:t>
      </w:r>
    </w:p>
    <w:p w:rsidR="00E75CB6" w:rsidRPr="009A3C66" w:rsidRDefault="00E75CB6" w:rsidP="00BB7819">
      <w:pPr>
        <w:pStyle w:val="subpar"/>
        <w:tabs>
          <w:tab w:val="clear" w:pos="432"/>
          <w:tab w:val="num" w:pos="1170"/>
        </w:tabs>
        <w:ind w:left="1170"/>
      </w:pPr>
      <w:r w:rsidRPr="009A3C66">
        <w:t xml:space="preserve">A standard cost-effectiveness ratio, comparing the total investment </w:t>
      </w:r>
      <w:r w:rsidR="00E870DF">
        <w:t xml:space="preserve">of the program </w:t>
      </w:r>
      <w:r w:rsidRPr="009A3C66">
        <w:t>per CO</w:t>
      </w:r>
      <w:r w:rsidRPr="009A3C66">
        <w:rPr>
          <w:vertAlign w:val="subscript"/>
        </w:rPr>
        <w:t xml:space="preserve">2 </w:t>
      </w:r>
      <w:r w:rsidRPr="009A3C66">
        <w:t xml:space="preserve">unit </w:t>
      </w:r>
      <w:r w:rsidR="00940A1B">
        <w:t xml:space="preserve">abated </w:t>
      </w:r>
      <w:r w:rsidR="00BB7819">
        <w:t>to</w:t>
      </w:r>
      <w:r w:rsidR="00C322A1">
        <w:t xml:space="preserve"> </w:t>
      </w:r>
      <w:r w:rsidR="00BB7819">
        <w:t>other types of interventions</w:t>
      </w:r>
      <w:r w:rsidR="009A3C66">
        <w:t>.</w:t>
      </w:r>
    </w:p>
    <w:p w:rsidR="00E75CB6" w:rsidRDefault="00D901EF" w:rsidP="00BB7819">
      <w:pPr>
        <w:pStyle w:val="subpar"/>
        <w:tabs>
          <w:tab w:val="clear" w:pos="432"/>
          <w:tab w:val="num" w:pos="1170"/>
        </w:tabs>
        <w:ind w:left="1170"/>
      </w:pPr>
      <w:r>
        <w:t xml:space="preserve">A value of the </w:t>
      </w:r>
      <w:r w:rsidR="00BB7819">
        <w:t xml:space="preserve">net </w:t>
      </w:r>
      <w:r>
        <w:t xml:space="preserve">benefits obtained </w:t>
      </w:r>
      <w:r w:rsidR="00BB7819">
        <w:t>by comparing</w:t>
      </w:r>
      <w:r>
        <w:t xml:space="preserve"> the actual expected costs of the intervention and the monetized value of the benefits</w:t>
      </w:r>
      <w:r w:rsidR="00BB7819">
        <w:t xml:space="preserve">, i.e. </w:t>
      </w:r>
      <w:r>
        <w:t>energy savings and GHG emissions reductions from the use of geothermal plants</w:t>
      </w:r>
      <w:r w:rsidR="00BB7819">
        <w:t xml:space="preserve"> that would not have existed in the absence of the program</w:t>
      </w:r>
      <w:r>
        <w:t xml:space="preserve">. The above characteristics are measured during </w:t>
      </w:r>
      <w:r w:rsidR="00BB7819">
        <w:t xml:space="preserve">a period of </w:t>
      </w:r>
      <w:r w:rsidR="00557AD9">
        <w:t>3</w:t>
      </w:r>
      <w:r>
        <w:t xml:space="preserve">0 years </w:t>
      </w:r>
      <w:r w:rsidR="00BB7819">
        <w:t xml:space="preserve">(estimated lifetime of projects financed by the program) and </w:t>
      </w:r>
      <w:r>
        <w:t>discounted at</w:t>
      </w:r>
      <w:r w:rsidR="00BB7819">
        <w:t xml:space="preserve"> a rate of</w:t>
      </w:r>
      <w:r>
        <w:t xml:space="preserve"> 12%.  </w:t>
      </w:r>
    </w:p>
    <w:p w:rsidR="007B0760" w:rsidRPr="003067E2" w:rsidRDefault="007B0760" w:rsidP="00DD0172">
      <w:pPr>
        <w:pStyle w:val="Paragraph"/>
        <w:tabs>
          <w:tab w:val="num" w:pos="720"/>
        </w:tabs>
        <w:ind w:left="720" w:hanging="720"/>
      </w:pPr>
      <w:r w:rsidRPr="003067E2">
        <w:t>The basic information to estimate the costs and benefits of the program includes:</w:t>
      </w:r>
    </w:p>
    <w:p w:rsidR="00C00D87" w:rsidRPr="000B6E12" w:rsidRDefault="00C00D87" w:rsidP="00856C25">
      <w:pPr>
        <w:pStyle w:val="subpar"/>
        <w:tabs>
          <w:tab w:val="clear" w:pos="432"/>
          <w:tab w:val="num" w:pos="1170"/>
        </w:tabs>
        <w:ind w:left="1170"/>
      </w:pPr>
      <w:r w:rsidRPr="00D10308">
        <w:rPr>
          <w:b/>
        </w:rPr>
        <w:t>Classification of benefits.</w:t>
      </w:r>
      <w:r>
        <w:t xml:space="preserve"> The information for </w:t>
      </w:r>
      <w:r w:rsidR="005E0D66">
        <w:t xml:space="preserve">calculating </w:t>
      </w:r>
      <w:r w:rsidR="005E0D66" w:rsidRPr="00856C25">
        <w:rPr>
          <w:u w:val="single"/>
        </w:rPr>
        <w:t>the benefits of the program</w:t>
      </w:r>
      <w:r w:rsidR="005E0D66">
        <w:t xml:space="preserve"> come</w:t>
      </w:r>
      <w:r>
        <w:t xml:space="preserve"> from </w:t>
      </w:r>
      <w:r w:rsidRPr="000B6E12">
        <w:t xml:space="preserve">the </w:t>
      </w:r>
      <w:r w:rsidR="00DD0172">
        <w:t xml:space="preserve">power generation capacity installed </w:t>
      </w:r>
      <w:r>
        <w:t xml:space="preserve">via the </w:t>
      </w:r>
      <w:r w:rsidRPr="000B6E12">
        <w:t>projects</w:t>
      </w:r>
      <w:r w:rsidR="00BB7819">
        <w:t xml:space="preserve"> financed</w:t>
      </w:r>
      <w:r w:rsidR="002F6591">
        <w:t xml:space="preserve"> and</w:t>
      </w:r>
      <w:r>
        <w:t xml:space="preserve"> </w:t>
      </w:r>
      <w:r w:rsidR="00DD0172">
        <w:t>the</w:t>
      </w:r>
      <w:r w:rsidR="005F2FAC">
        <w:t>ir</w:t>
      </w:r>
      <w:r w:rsidR="00DD0172">
        <w:t xml:space="preserve"> contribution to reduction of GHG emissions</w:t>
      </w:r>
      <w:r>
        <w:t xml:space="preserve">. </w:t>
      </w:r>
      <w:r w:rsidRPr="007E5698">
        <w:t>The Result</w:t>
      </w:r>
      <w:r>
        <w:t xml:space="preserve">s Matrix </w:t>
      </w:r>
      <w:r w:rsidRPr="007E5698">
        <w:t>outlines the indicators and the means to verify the</w:t>
      </w:r>
      <w:r w:rsidR="00BB7819">
        <w:t>ir performance</w:t>
      </w:r>
      <w:r w:rsidR="00DD0172">
        <w:t>.</w:t>
      </w:r>
      <w:r w:rsidRPr="007E5698">
        <w:t xml:space="preserve"> </w:t>
      </w:r>
      <w:r>
        <w:t xml:space="preserve">Based on these targets, the benefits considered consist of </w:t>
      </w:r>
      <w:r w:rsidRPr="006F28A7">
        <w:t>(for more</w:t>
      </w:r>
      <w:r>
        <w:t xml:space="preserve"> detail on the calculations see </w:t>
      </w:r>
      <w:r w:rsidRPr="00DD0172">
        <w:rPr>
          <w:b/>
        </w:rPr>
        <w:t xml:space="preserve">Section III: </w:t>
      </w:r>
      <w:r w:rsidRPr="00DD0172">
        <w:rPr>
          <w:b/>
          <w:i/>
        </w:rPr>
        <w:t>Economic Benefits and Costs</w:t>
      </w:r>
      <w:r w:rsidRPr="00DD0172">
        <w:rPr>
          <w:b/>
        </w:rPr>
        <w:t xml:space="preserve"> </w:t>
      </w:r>
      <w:r>
        <w:t>below)</w:t>
      </w:r>
      <w:r w:rsidRPr="000B6E12">
        <w:t xml:space="preserve">: </w:t>
      </w:r>
    </w:p>
    <w:p w:rsidR="00910264" w:rsidRPr="00856C25" w:rsidRDefault="00910264" w:rsidP="00910264">
      <w:pPr>
        <w:pStyle w:val="SubSubPar"/>
        <w:numPr>
          <w:ilvl w:val="4"/>
          <w:numId w:val="1"/>
        </w:numPr>
        <w:ind w:left="1620" w:hanging="360"/>
      </w:pPr>
      <w:r w:rsidRPr="00856C25">
        <w:t>The savings in electricity generation as a result of the use of geothermal plants. This is estimated by calculating the difference among the</w:t>
      </w:r>
      <w:r w:rsidR="00E15C34" w:rsidRPr="00856C25">
        <w:t xml:space="preserve"> </w:t>
      </w:r>
      <w:r w:rsidR="000F5D8B" w:rsidRPr="00856C25">
        <w:t>leveliz</w:t>
      </w:r>
      <w:r w:rsidR="00B80AC5" w:rsidRPr="00856C25">
        <w:t>ed</w:t>
      </w:r>
      <w:r w:rsidR="000F5D8B" w:rsidRPr="00856C25">
        <w:rPr>
          <w:rStyle w:val="FootnoteReference"/>
        </w:rPr>
        <w:footnoteReference w:id="3"/>
      </w:r>
      <w:r w:rsidR="00B80AC5" w:rsidRPr="00856C25">
        <w:t xml:space="preserve"> </w:t>
      </w:r>
      <w:r w:rsidRPr="00856C25">
        <w:t xml:space="preserve">generation cost of </w:t>
      </w:r>
      <w:r w:rsidR="00B80AC5" w:rsidRPr="00856C25">
        <w:t xml:space="preserve">geothermal energy and </w:t>
      </w:r>
      <w:r w:rsidRPr="00856C25">
        <w:t>the pool of renewable energies in Mexico</w:t>
      </w:r>
      <w:r w:rsidR="00101CF9">
        <w:rPr>
          <w:rStyle w:val="FootnoteReference"/>
        </w:rPr>
        <w:footnoteReference w:id="4"/>
      </w:r>
      <w:r w:rsidRPr="00856C25">
        <w:t xml:space="preserve">. </w:t>
      </w:r>
    </w:p>
    <w:p w:rsidR="003E21A1" w:rsidRPr="003067E2" w:rsidRDefault="00C00D87" w:rsidP="003E21A1">
      <w:pPr>
        <w:pStyle w:val="SubSubPar"/>
        <w:numPr>
          <w:ilvl w:val="4"/>
          <w:numId w:val="1"/>
        </w:numPr>
        <w:ind w:left="1620" w:hanging="360"/>
      </w:pPr>
      <w:r w:rsidRPr="00856C25">
        <w:t>The expected GHG emissions reduced (number of metric tons of CO</w:t>
      </w:r>
      <w:r w:rsidRPr="00856C25">
        <w:rPr>
          <w:vertAlign w:val="subscript"/>
        </w:rPr>
        <w:t>2</w:t>
      </w:r>
      <w:r w:rsidRPr="00856C25">
        <w:t xml:space="preserve"> equivalent emissions averted</w:t>
      </w:r>
      <w:r w:rsidR="000E52FD" w:rsidRPr="00856C25">
        <w:t>) by the plants financed by the program</w:t>
      </w:r>
      <w:r w:rsidRPr="00856C25">
        <w:t>.</w:t>
      </w:r>
      <w:r>
        <w:t xml:space="preserve"> </w:t>
      </w:r>
      <w:r w:rsidR="00FC5186">
        <w:t>The</w:t>
      </w:r>
      <w:r w:rsidR="00101CF9">
        <w:t xml:space="preserve"> characteristics of the</w:t>
      </w:r>
      <w:r w:rsidR="00FC5186">
        <w:t xml:space="preserve"> technology financed </w:t>
      </w:r>
      <w:r w:rsidR="00101CF9">
        <w:t>(production factor, expected operating lifetime) makes it possible to make</w:t>
      </w:r>
      <w:r w:rsidR="00FC5186">
        <w:t xml:space="preserve"> </w:t>
      </w:r>
      <w:r w:rsidR="003B477C">
        <w:t>electricity generation</w:t>
      </w:r>
      <w:r w:rsidR="006336DF">
        <w:t xml:space="preserve"> </w:t>
      </w:r>
      <w:r w:rsidR="00FC5186">
        <w:t>e</w:t>
      </w:r>
      <w:r>
        <w:t xml:space="preserve">stimations </w:t>
      </w:r>
      <w:r w:rsidRPr="003067E2">
        <w:t>over a period of time</w:t>
      </w:r>
      <w:r w:rsidR="00101CF9">
        <w:t>, which</w:t>
      </w:r>
      <w:r w:rsidRPr="003067E2">
        <w:t xml:space="preserve"> will allow us to </w:t>
      </w:r>
      <w:r w:rsidRPr="003067E2">
        <w:lastRenderedPageBreak/>
        <w:t>determine the GHG emissions that</w:t>
      </w:r>
      <w:r w:rsidRPr="007E5698">
        <w:t xml:space="preserve"> </w:t>
      </w:r>
      <w:r w:rsidRPr="003067E2">
        <w:t>will be averted</w:t>
      </w:r>
      <w:r w:rsidR="006808BD" w:rsidRPr="003067E2">
        <w:t>. This</w:t>
      </w:r>
      <w:r w:rsidRPr="003067E2">
        <w:t xml:space="preserve"> calculation </w:t>
      </w:r>
      <w:r w:rsidR="00FB2147" w:rsidRPr="003067E2">
        <w:t xml:space="preserve">depends </w:t>
      </w:r>
      <w:r w:rsidRPr="003067E2">
        <w:t>on a number of assumptions but should give us a reasonably accurate measure of the overall impact.</w:t>
      </w:r>
    </w:p>
    <w:p w:rsidR="00953547" w:rsidRPr="00856C25" w:rsidRDefault="003E21A1" w:rsidP="00856C25">
      <w:pPr>
        <w:pStyle w:val="subpar"/>
        <w:tabs>
          <w:tab w:val="clear" w:pos="432"/>
          <w:tab w:val="num" w:pos="1170"/>
        </w:tabs>
        <w:ind w:left="1170" w:hanging="450"/>
        <w:rPr>
          <w:b/>
        </w:rPr>
      </w:pPr>
      <w:r w:rsidRPr="003067E2">
        <w:rPr>
          <w:b/>
        </w:rPr>
        <w:t>Classification of c</w:t>
      </w:r>
      <w:r w:rsidR="00C00D87" w:rsidRPr="003067E2">
        <w:rPr>
          <w:b/>
        </w:rPr>
        <w:t>osts</w:t>
      </w:r>
      <w:r w:rsidR="00F06EAF">
        <w:rPr>
          <w:b/>
        </w:rPr>
        <w:t xml:space="preserve"> (please see Assumption xiii below)</w:t>
      </w:r>
      <w:r w:rsidR="00C00D87" w:rsidRPr="003067E2">
        <w:rPr>
          <w:b/>
        </w:rPr>
        <w:t>.</w:t>
      </w:r>
      <w:r w:rsidR="00C00D87" w:rsidRPr="00856C25">
        <w:rPr>
          <w:b/>
        </w:rPr>
        <w:t xml:space="preserve"> </w:t>
      </w:r>
      <w:r w:rsidR="00C00D87" w:rsidRPr="003067E2">
        <w:t xml:space="preserve">The basic information for estimating </w:t>
      </w:r>
      <w:r w:rsidR="00C00D87" w:rsidRPr="00856C25">
        <w:rPr>
          <w:u w:val="single"/>
        </w:rPr>
        <w:t>the costs of the program</w:t>
      </w:r>
      <w:r w:rsidR="00C00D87" w:rsidRPr="003067E2">
        <w:t xml:space="preserve"> comes from the financial terms of the overall resources to be disbursed f</w:t>
      </w:r>
      <w:r w:rsidR="005435D7">
        <w:t>or the program, namely</w:t>
      </w:r>
      <w:r w:rsidR="00C00D87" w:rsidRPr="003067E2">
        <w:t xml:space="preserve">: i) </w:t>
      </w:r>
      <w:r w:rsidR="006F5704" w:rsidRPr="003067E2">
        <w:t xml:space="preserve">the Inter-American Development Bank (IDB) loan for USD </w:t>
      </w:r>
      <w:r w:rsidR="00343E60" w:rsidRPr="00856C25">
        <w:t>5</w:t>
      </w:r>
      <w:r w:rsidR="00DB5679" w:rsidRPr="00856C25">
        <w:t>4.</w:t>
      </w:r>
      <w:r w:rsidR="006F5704" w:rsidRPr="003067E2">
        <w:t>3 million</w:t>
      </w:r>
      <w:r w:rsidR="0063326E" w:rsidRPr="003067E2">
        <w:t>;</w:t>
      </w:r>
      <w:r w:rsidR="006F5704" w:rsidRPr="003067E2">
        <w:t xml:space="preserve"> </w:t>
      </w:r>
      <w:r w:rsidR="0063326E" w:rsidRPr="003067E2">
        <w:t xml:space="preserve">ii) </w:t>
      </w:r>
      <w:r w:rsidR="00C00D87" w:rsidRPr="003067E2">
        <w:t>the Clean Technology Fund (C</w:t>
      </w:r>
      <w:r w:rsidR="006F5704" w:rsidRPr="003067E2">
        <w:t xml:space="preserve">TF) </w:t>
      </w:r>
      <w:r w:rsidR="00101CF9">
        <w:t xml:space="preserve">concessional </w:t>
      </w:r>
      <w:r w:rsidR="0063326E" w:rsidRPr="003067E2">
        <w:t>loan for USD 3</w:t>
      </w:r>
      <w:r w:rsidR="005C5A53" w:rsidRPr="00856C25">
        <w:t>4</w:t>
      </w:r>
      <w:r w:rsidR="00060EF8">
        <w:t>.</w:t>
      </w:r>
      <w:r w:rsidR="005C5A53" w:rsidRPr="00856C25">
        <w:t>3</w:t>
      </w:r>
      <w:r w:rsidR="0063326E" w:rsidRPr="003067E2">
        <w:t xml:space="preserve"> million; iii) the Clean Technology Fund (CTF) </w:t>
      </w:r>
      <w:r w:rsidR="007414ED">
        <w:t xml:space="preserve">contingent recovery </w:t>
      </w:r>
      <w:r w:rsidR="005435D7">
        <w:t>grants</w:t>
      </w:r>
      <w:r w:rsidR="006F5704" w:rsidRPr="003067E2">
        <w:t xml:space="preserve"> for USD </w:t>
      </w:r>
      <w:r w:rsidR="005C5A53" w:rsidRPr="00856C25">
        <w:t>20</w:t>
      </w:r>
      <w:r w:rsidR="0063326E" w:rsidRPr="003067E2">
        <w:t xml:space="preserve"> million</w:t>
      </w:r>
      <w:r w:rsidR="00D67D46" w:rsidRPr="00856C25">
        <w:t>; and the local counterpart USD 11.5 million</w:t>
      </w:r>
      <w:r w:rsidR="005435D7">
        <w:rPr>
          <w:rStyle w:val="FootnoteReference"/>
        </w:rPr>
        <w:footnoteReference w:id="5"/>
      </w:r>
      <w:r w:rsidR="00D67D46" w:rsidRPr="00856C25">
        <w:t>.</w:t>
      </w:r>
      <w:r w:rsidR="00C00D87" w:rsidRPr="003067E2">
        <w:t xml:space="preserve"> </w:t>
      </w:r>
      <w:r w:rsidR="00953547" w:rsidRPr="00856C25">
        <w:t>We have to take into account that</w:t>
      </w:r>
      <w:r w:rsidR="00CF7B49">
        <w:t>, from these,</w:t>
      </w:r>
      <w:r w:rsidR="00953547" w:rsidRPr="00856C25">
        <w:t xml:space="preserve"> USD 3 million will be dedicated to Implementation costs and Technical Assistance activities</w:t>
      </w:r>
      <w:r w:rsidR="006B76AF" w:rsidRPr="00856C25">
        <w:t xml:space="preserve">, so the total </w:t>
      </w:r>
      <w:r w:rsidR="00BA6DED">
        <w:t xml:space="preserve">program </w:t>
      </w:r>
      <w:r w:rsidR="006B76AF" w:rsidRPr="00856C25">
        <w:t>investment amount adds up USD 1</w:t>
      </w:r>
      <w:r w:rsidR="00532D41" w:rsidRPr="00856C25">
        <w:t>1</w:t>
      </w:r>
      <w:r w:rsidR="006B76AF" w:rsidRPr="00856C25">
        <w:t>7 million</w:t>
      </w:r>
      <w:r w:rsidR="00060EF8">
        <w:rPr>
          <w:rStyle w:val="FootnoteReference"/>
        </w:rPr>
        <w:footnoteReference w:id="6"/>
      </w:r>
      <w:r w:rsidR="006B76AF" w:rsidRPr="00856C25">
        <w:t>.</w:t>
      </w:r>
    </w:p>
    <w:p w:rsidR="00C00D87" w:rsidRPr="004C24BD" w:rsidRDefault="00C00D87" w:rsidP="00C00D87">
      <w:pPr>
        <w:pStyle w:val="Paragraph"/>
        <w:tabs>
          <w:tab w:val="num" w:pos="720"/>
        </w:tabs>
        <w:spacing w:after="80"/>
        <w:ind w:left="720" w:hanging="720"/>
      </w:pPr>
      <w:r w:rsidRPr="004C24BD">
        <w:t xml:space="preserve">In sum, the analysis presented revises data and calculates estimations based on assumptions that allow us to assign values to key parameters with and without program. This model is used as a practical tool for calculating: </w:t>
      </w:r>
    </w:p>
    <w:p w:rsidR="00E3297C" w:rsidRPr="00C92A80" w:rsidRDefault="00E3297C" w:rsidP="00E3297C">
      <w:pPr>
        <w:pStyle w:val="Paragraph"/>
        <w:numPr>
          <w:ilvl w:val="2"/>
          <w:numId w:val="3"/>
        </w:numPr>
        <w:spacing w:after="80"/>
        <w:ind w:left="1170" w:hanging="450"/>
      </w:pPr>
      <w:r w:rsidRPr="00C92A80">
        <w:t xml:space="preserve">A monetary value of the savings in electricity generation of the </w:t>
      </w:r>
      <w:r w:rsidR="00791042" w:rsidRPr="00856C25">
        <w:t xml:space="preserve">geothermal </w:t>
      </w:r>
      <w:r w:rsidRPr="00C92A80">
        <w:t>plants financed by the program</w:t>
      </w:r>
      <w:r w:rsidR="00791042" w:rsidRPr="00856C25">
        <w:t xml:space="preserve"> compare</w:t>
      </w:r>
      <w:r w:rsidR="00F11024">
        <w:t>d</w:t>
      </w:r>
      <w:r w:rsidR="00791042" w:rsidRPr="00856C25">
        <w:t xml:space="preserve"> to the</w:t>
      </w:r>
      <w:r w:rsidRPr="00C92A80">
        <w:t xml:space="preserve"> generation costs of </w:t>
      </w:r>
      <w:r w:rsidR="00F11024">
        <w:t xml:space="preserve">the pool of </w:t>
      </w:r>
      <w:r w:rsidRPr="00C92A80">
        <w:t>renewable energies in Mexico;</w:t>
      </w:r>
    </w:p>
    <w:p w:rsidR="00C00D87" w:rsidRDefault="00C00D87" w:rsidP="00921FA1">
      <w:pPr>
        <w:pStyle w:val="Paragraph"/>
        <w:numPr>
          <w:ilvl w:val="2"/>
          <w:numId w:val="3"/>
        </w:numPr>
        <w:spacing w:after="80"/>
        <w:ind w:left="1170" w:hanging="450"/>
      </w:pPr>
      <w:r w:rsidRPr="00514921">
        <w:t>A monetary value of the total reduction in metric tons of CO</w:t>
      </w:r>
      <w:r w:rsidRPr="00490C2B">
        <w:rPr>
          <w:vertAlign w:val="subscript"/>
        </w:rPr>
        <w:t>2</w:t>
      </w:r>
      <w:r>
        <w:t xml:space="preserve">e achieved through the use of </w:t>
      </w:r>
      <w:r w:rsidR="003C6D2B">
        <w:t xml:space="preserve">geothermal energy </w:t>
      </w:r>
      <w:r w:rsidR="00F11024">
        <w:t>developed as a result of</w:t>
      </w:r>
      <w:r>
        <w:t xml:space="preserve"> fund</w:t>
      </w:r>
      <w:r w:rsidR="00F11024">
        <w:t>ing</w:t>
      </w:r>
      <w:r>
        <w:t xml:space="preserve"> from the program</w:t>
      </w:r>
      <w:r w:rsidRPr="00514921">
        <w:t>, based on the international market price of a ton of</w:t>
      </w:r>
      <w:r>
        <w:t xml:space="preserve"> CO</w:t>
      </w:r>
      <w:r w:rsidRPr="00490C2B">
        <w:rPr>
          <w:vertAlign w:val="subscript"/>
        </w:rPr>
        <w:t>2</w:t>
      </w:r>
      <w:r w:rsidRPr="00514921">
        <w:t>;</w:t>
      </w:r>
    </w:p>
    <w:p w:rsidR="00C00D87" w:rsidRPr="00514921" w:rsidRDefault="00C00D87" w:rsidP="00921FA1">
      <w:pPr>
        <w:pStyle w:val="Paragraph"/>
        <w:numPr>
          <w:ilvl w:val="2"/>
          <w:numId w:val="3"/>
        </w:numPr>
        <w:spacing w:after="80"/>
        <w:ind w:left="1170" w:hanging="450"/>
      </w:pPr>
      <w:r>
        <w:t>A monetary value of the total CTF/IDB</w:t>
      </w:r>
      <w:r w:rsidR="009A331C">
        <w:t>/local</w:t>
      </w:r>
      <w:r>
        <w:t xml:space="preserve"> </w:t>
      </w:r>
      <w:r w:rsidR="00F11024">
        <w:t>resources invested</w:t>
      </w:r>
      <w:r>
        <w:t>, based on the terms and costs esta</w:t>
      </w:r>
      <w:r w:rsidR="00400C51">
        <w:t>blished in the proposed program</w:t>
      </w:r>
      <w:r w:rsidRPr="00514921">
        <w:t>.</w:t>
      </w:r>
    </w:p>
    <w:p w:rsidR="00C00D87" w:rsidRPr="009E5BED" w:rsidRDefault="00C00D87" w:rsidP="00C00D87">
      <w:pPr>
        <w:pStyle w:val="Paragraph"/>
        <w:tabs>
          <w:tab w:val="num" w:pos="720"/>
        </w:tabs>
        <w:spacing w:after="80"/>
        <w:ind w:left="720" w:hanging="720"/>
      </w:pPr>
      <w:r w:rsidRPr="009E5BED">
        <w:t xml:space="preserve">The cash flows of annual benefits and costs, as detailed above, are </w:t>
      </w:r>
      <w:r>
        <w:t xml:space="preserve">then </w:t>
      </w:r>
      <w:r w:rsidRPr="009E5BED">
        <w:t>discounted at a rate of 12% (standard for IDB programs) in order to obtain a Net Present Value (NPV), as an</w:t>
      </w:r>
      <w:r>
        <w:t xml:space="preserve"> indicator of the economic viability of the program</w:t>
      </w:r>
      <w:r w:rsidRPr="009E5BED">
        <w:t>.</w:t>
      </w:r>
    </w:p>
    <w:p w:rsidR="00686AC9" w:rsidRPr="007D0AC3" w:rsidRDefault="00C00D87" w:rsidP="000048C6">
      <w:pPr>
        <w:pStyle w:val="Paragraph"/>
        <w:tabs>
          <w:tab w:val="num" w:pos="720"/>
        </w:tabs>
        <w:spacing w:after="80"/>
        <w:ind w:left="720" w:hanging="720"/>
      </w:pPr>
      <w:r w:rsidRPr="009E5BED">
        <w:t xml:space="preserve">Finally, this document </w:t>
      </w:r>
      <w:r>
        <w:t>includes</w:t>
      </w:r>
      <w:r w:rsidRPr="009E5BED">
        <w:t xml:space="preserve"> an evaluation of the tolerance of the analysis </w:t>
      </w:r>
      <w:r w:rsidR="00356A80">
        <w:t>in</w:t>
      </w:r>
      <w:r w:rsidRPr="009E5BED">
        <w:t xml:space="preserve"> regards to the parameters used for the valuation of benefits. </w:t>
      </w:r>
      <w:r w:rsidRPr="007D0AC3">
        <w:t xml:space="preserve">This sensitivity </w:t>
      </w:r>
      <w:r w:rsidRPr="000317A9">
        <w:t xml:space="preserve">analysis is made considering variations in </w:t>
      </w:r>
      <w:r w:rsidR="00F11024">
        <w:t>three</w:t>
      </w:r>
      <w:r w:rsidR="00F11024" w:rsidRPr="000317A9">
        <w:t xml:space="preserve"> </w:t>
      </w:r>
      <w:r w:rsidRPr="000317A9">
        <w:t>criteria, independently, as follows</w:t>
      </w:r>
      <w:r w:rsidR="000317A9">
        <w:t xml:space="preserve">: </w:t>
      </w:r>
      <w:r w:rsidRPr="000317A9">
        <w:t>i)</w:t>
      </w:r>
      <w:r w:rsidR="000317A9" w:rsidRPr="000317A9">
        <w:t xml:space="preserve"> load capacity factor</w:t>
      </w:r>
      <w:r w:rsidR="000048C6">
        <w:rPr>
          <w:rStyle w:val="FootnoteReference"/>
        </w:rPr>
        <w:footnoteReference w:id="7"/>
      </w:r>
      <w:r w:rsidR="000048C6">
        <w:t xml:space="preserve"> of geothermal plants</w:t>
      </w:r>
      <w:r w:rsidRPr="000317A9">
        <w:t>, ii)</w:t>
      </w:r>
      <w:r w:rsidR="000317A9" w:rsidRPr="000317A9">
        <w:t xml:space="preserve"> cost of pool energies; and </w:t>
      </w:r>
      <w:r w:rsidR="00CC40D0">
        <w:t>iii</w:t>
      </w:r>
      <w:r w:rsidRPr="000317A9">
        <w:t xml:space="preserve">) </w:t>
      </w:r>
      <w:r w:rsidR="000317A9" w:rsidRPr="000317A9">
        <w:t>price of the metric ton of CO</w:t>
      </w:r>
      <w:r w:rsidR="000317A9" w:rsidRPr="00856C25">
        <w:rPr>
          <w:vertAlign w:val="subscript"/>
        </w:rPr>
        <w:t>2</w:t>
      </w:r>
      <w:r w:rsidRPr="000317A9">
        <w:t xml:space="preserve"> </w:t>
      </w:r>
      <w:r w:rsidR="00356A80">
        <w:t xml:space="preserve">in the international markets </w:t>
      </w:r>
      <w:r w:rsidRPr="000317A9">
        <w:t xml:space="preserve">(see </w:t>
      </w:r>
      <w:r w:rsidRPr="000317A9">
        <w:rPr>
          <w:b/>
        </w:rPr>
        <w:t xml:space="preserve">Section IV: </w:t>
      </w:r>
      <w:r w:rsidRPr="000317A9">
        <w:rPr>
          <w:b/>
          <w:i/>
        </w:rPr>
        <w:t>Sensitivity Analysis</w:t>
      </w:r>
      <w:r w:rsidRPr="000317A9">
        <w:t>).</w:t>
      </w:r>
    </w:p>
    <w:p w:rsidR="00C00D87" w:rsidRPr="002824AA" w:rsidRDefault="00C00D87" w:rsidP="00856C25">
      <w:pPr>
        <w:pStyle w:val="Chapter"/>
        <w:numPr>
          <w:ilvl w:val="0"/>
          <w:numId w:val="7"/>
        </w:numPr>
        <w:tabs>
          <w:tab w:val="clear" w:pos="1440"/>
        </w:tabs>
        <w:ind w:hanging="720"/>
        <w:jc w:val="left"/>
      </w:pPr>
      <w:bookmarkStart w:id="8" w:name="_Toc380599920"/>
      <w:r>
        <w:lastRenderedPageBreak/>
        <w:t>Assumptions</w:t>
      </w:r>
      <w:bookmarkEnd w:id="8"/>
    </w:p>
    <w:p w:rsidR="00C00D87" w:rsidRPr="00197CD6" w:rsidRDefault="00C00D87" w:rsidP="00C00D87">
      <w:pPr>
        <w:pStyle w:val="Paragraph"/>
        <w:ind w:left="720" w:hanging="720"/>
        <w:rPr>
          <w:szCs w:val="24"/>
        </w:rPr>
      </w:pPr>
      <w:bookmarkStart w:id="9" w:name="_Ref335242653"/>
      <w:r>
        <w:rPr>
          <w:szCs w:val="24"/>
        </w:rPr>
        <w:t>The main</w:t>
      </w:r>
      <w:r w:rsidRPr="00197CD6">
        <w:rPr>
          <w:szCs w:val="24"/>
        </w:rPr>
        <w:t xml:space="preserve"> assumptions for the estimation of benefits and costs </w:t>
      </w:r>
      <w:r>
        <w:rPr>
          <w:szCs w:val="24"/>
        </w:rPr>
        <w:t>of</w:t>
      </w:r>
      <w:r w:rsidRPr="00197CD6">
        <w:rPr>
          <w:szCs w:val="24"/>
        </w:rPr>
        <w:t xml:space="preserve"> th</w:t>
      </w:r>
      <w:r>
        <w:rPr>
          <w:szCs w:val="24"/>
        </w:rPr>
        <w:t>is</w:t>
      </w:r>
      <w:r w:rsidRPr="00197CD6">
        <w:rPr>
          <w:szCs w:val="24"/>
        </w:rPr>
        <w:t xml:space="preserve"> </w:t>
      </w:r>
      <w:r>
        <w:rPr>
          <w:szCs w:val="24"/>
        </w:rPr>
        <w:t>p</w:t>
      </w:r>
      <w:r w:rsidRPr="00197CD6">
        <w:rPr>
          <w:szCs w:val="24"/>
        </w:rPr>
        <w:t>roject are:</w:t>
      </w:r>
      <w:bookmarkEnd w:id="9"/>
    </w:p>
    <w:p w:rsidR="00355558" w:rsidRPr="00856C25" w:rsidRDefault="00355558" w:rsidP="00355558">
      <w:pPr>
        <w:pStyle w:val="Paragraph"/>
        <w:numPr>
          <w:ilvl w:val="0"/>
          <w:numId w:val="0"/>
        </w:numPr>
        <w:spacing w:after="80"/>
        <w:rPr>
          <w:i/>
          <w:u w:val="single"/>
        </w:rPr>
      </w:pPr>
      <w:r w:rsidRPr="00856C25">
        <w:rPr>
          <w:i/>
          <w:u w:val="single"/>
        </w:rPr>
        <w:t xml:space="preserve">Assumptions related to </w:t>
      </w:r>
      <w:r w:rsidR="003005BD" w:rsidRPr="00856C25">
        <w:rPr>
          <w:i/>
          <w:u w:val="single"/>
        </w:rPr>
        <w:t>power saving with geothermal technology</w:t>
      </w:r>
      <w:r w:rsidRPr="00856C25">
        <w:rPr>
          <w:i/>
          <w:u w:val="single"/>
        </w:rPr>
        <w:t>:</w:t>
      </w:r>
    </w:p>
    <w:p w:rsidR="00132972" w:rsidRPr="00856C25" w:rsidRDefault="00132972" w:rsidP="00856C25">
      <w:pPr>
        <w:pStyle w:val="Paragraph"/>
        <w:numPr>
          <w:ilvl w:val="0"/>
          <w:numId w:val="11"/>
        </w:numPr>
        <w:spacing w:after="80"/>
        <w:rPr>
          <w:b/>
          <w:u w:val="single"/>
        </w:rPr>
      </w:pPr>
      <w:r w:rsidRPr="00856C25">
        <w:rPr>
          <w:b/>
          <w:u w:val="single"/>
        </w:rPr>
        <w:t>Geothermal Poten</w:t>
      </w:r>
      <w:r w:rsidR="00800264">
        <w:rPr>
          <w:b/>
          <w:u w:val="single"/>
        </w:rPr>
        <w:t>ti</w:t>
      </w:r>
      <w:r w:rsidRPr="00856C25">
        <w:rPr>
          <w:b/>
          <w:u w:val="single"/>
        </w:rPr>
        <w:t>al</w:t>
      </w:r>
    </w:p>
    <w:p w:rsidR="00241C3A" w:rsidRPr="00241C3A" w:rsidRDefault="00E758C1" w:rsidP="00921FA1">
      <w:pPr>
        <w:pStyle w:val="Paragraph"/>
        <w:numPr>
          <w:ilvl w:val="0"/>
          <w:numId w:val="5"/>
        </w:numPr>
        <w:spacing w:after="80"/>
        <w:rPr>
          <w:u w:val="single"/>
        </w:rPr>
      </w:pPr>
      <w:r>
        <w:t>Mexico is the fourth largest country in geothermal generation with 890 Mw installed. It is expected that by 2020 geothermal capacity exceeds 1000 Mw, representing a 23% growth from 2010 to 2020</w:t>
      </w:r>
      <w:r>
        <w:rPr>
          <w:rStyle w:val="FootnoteReference"/>
        </w:rPr>
        <w:footnoteReference w:id="8"/>
      </w:r>
      <w:r>
        <w:t>.</w:t>
      </w:r>
      <w:r w:rsidR="00241C3A">
        <w:t xml:space="preserve"> The </w:t>
      </w:r>
      <w:r w:rsidR="00F11024">
        <w:t xml:space="preserve">program is expected to </w:t>
      </w:r>
      <w:r w:rsidR="00241C3A">
        <w:t xml:space="preserve">finance </w:t>
      </w:r>
      <w:r w:rsidR="00F11024">
        <w:t>projects that will contribute with</w:t>
      </w:r>
      <w:r w:rsidR="00241C3A">
        <w:t xml:space="preserve"> 300 M</w:t>
      </w:r>
      <w:r w:rsidR="00F11024">
        <w:t>W to the total geothermal capacity installed</w:t>
      </w:r>
      <w:r w:rsidR="00241C3A">
        <w:t xml:space="preserve">. </w:t>
      </w:r>
    </w:p>
    <w:p w:rsidR="00E41A56" w:rsidRPr="00BE6A92" w:rsidRDefault="00B30E6A" w:rsidP="00921FA1">
      <w:pPr>
        <w:pStyle w:val="Paragraph"/>
        <w:numPr>
          <w:ilvl w:val="0"/>
          <w:numId w:val="5"/>
        </w:numPr>
        <w:spacing w:after="80"/>
        <w:rPr>
          <w:u w:val="single"/>
        </w:rPr>
      </w:pPr>
      <w:r>
        <w:t>F</w:t>
      </w:r>
      <w:r w:rsidR="0099777A">
        <w:t>ollow</w:t>
      </w:r>
      <w:r>
        <w:t>ing</w:t>
      </w:r>
      <w:r w:rsidR="0099777A">
        <w:t xml:space="preserve"> the classification of Benderitter and Cormy</w:t>
      </w:r>
      <w:r w:rsidR="00E41A56">
        <w:rPr>
          <w:rStyle w:val="FootnoteReference"/>
        </w:rPr>
        <w:footnoteReference w:id="9"/>
      </w:r>
      <w:r w:rsidR="0099777A">
        <w:t xml:space="preserve"> (1990),</w:t>
      </w:r>
    </w:p>
    <w:p w:rsidR="00BE6A92" w:rsidRPr="00E5036C" w:rsidRDefault="00BE6A92" w:rsidP="00BE6A92">
      <w:pPr>
        <w:pStyle w:val="Paragraph"/>
        <w:numPr>
          <w:ilvl w:val="0"/>
          <w:numId w:val="0"/>
        </w:numPr>
        <w:spacing w:after="80"/>
        <w:ind w:left="2520"/>
        <w:rPr>
          <w:b/>
          <w:sz w:val="20"/>
          <w:szCs w:val="20"/>
          <w:u w:val="single"/>
        </w:rPr>
      </w:pPr>
      <w:r w:rsidRPr="00E5036C">
        <w:rPr>
          <w:b/>
          <w:sz w:val="20"/>
          <w:szCs w:val="20"/>
        </w:rPr>
        <w:t>Table 2.1. Classification of Geothermal Projects</w:t>
      </w:r>
    </w:p>
    <w:tbl>
      <w:tblPr>
        <w:tblStyle w:val="LightList"/>
        <w:tblW w:w="0" w:type="auto"/>
        <w:jc w:val="center"/>
        <w:tblLook w:val="04A0" w:firstRow="1" w:lastRow="0" w:firstColumn="1" w:lastColumn="0" w:noHBand="0" w:noVBand="1"/>
      </w:tblPr>
      <w:tblGrid>
        <w:gridCol w:w="2259"/>
        <w:gridCol w:w="2259"/>
        <w:gridCol w:w="2871"/>
      </w:tblGrid>
      <w:tr w:rsidR="00E41A56" w:rsidTr="002B2B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9" w:type="dxa"/>
          </w:tcPr>
          <w:p w:rsidR="00E41A56" w:rsidRPr="00741B5A" w:rsidRDefault="00E41A56" w:rsidP="007B028F">
            <w:pPr>
              <w:pStyle w:val="Paragraph"/>
              <w:numPr>
                <w:ilvl w:val="0"/>
                <w:numId w:val="0"/>
              </w:numPr>
              <w:spacing w:before="0" w:after="0"/>
              <w:jc w:val="center"/>
              <w:rPr>
                <w:sz w:val="20"/>
                <w:szCs w:val="20"/>
              </w:rPr>
            </w:pPr>
            <w:r w:rsidRPr="00741B5A">
              <w:rPr>
                <w:sz w:val="20"/>
                <w:szCs w:val="20"/>
              </w:rPr>
              <w:t>Entalphy</w:t>
            </w:r>
          </w:p>
        </w:tc>
        <w:tc>
          <w:tcPr>
            <w:tcW w:w="2259" w:type="dxa"/>
          </w:tcPr>
          <w:p w:rsidR="00E41A56" w:rsidRPr="00741B5A" w:rsidRDefault="00E41A56" w:rsidP="007B028F">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741B5A">
              <w:rPr>
                <w:sz w:val="20"/>
                <w:szCs w:val="20"/>
              </w:rPr>
              <w:t>Temperature</w:t>
            </w:r>
          </w:p>
        </w:tc>
        <w:tc>
          <w:tcPr>
            <w:tcW w:w="2871" w:type="dxa"/>
          </w:tcPr>
          <w:p w:rsidR="00E41A56" w:rsidRPr="00741B5A" w:rsidRDefault="00F717B3" w:rsidP="007B028F">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741B5A">
              <w:rPr>
                <w:sz w:val="20"/>
                <w:szCs w:val="20"/>
              </w:rPr>
              <w:t>General Applications</w:t>
            </w:r>
          </w:p>
        </w:tc>
      </w:tr>
      <w:tr w:rsidR="00E41A56" w:rsidTr="002B2B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9" w:type="dxa"/>
          </w:tcPr>
          <w:p w:rsidR="00E41A56" w:rsidRPr="00741B5A" w:rsidRDefault="00E41A56" w:rsidP="0073425E">
            <w:pPr>
              <w:pStyle w:val="Paragraph"/>
              <w:numPr>
                <w:ilvl w:val="0"/>
                <w:numId w:val="0"/>
              </w:numPr>
              <w:spacing w:before="0" w:after="0"/>
              <w:rPr>
                <w:sz w:val="20"/>
                <w:szCs w:val="20"/>
              </w:rPr>
            </w:pPr>
            <w:r w:rsidRPr="00741B5A">
              <w:rPr>
                <w:sz w:val="20"/>
                <w:szCs w:val="20"/>
              </w:rPr>
              <w:t>Low enthalpy</w:t>
            </w:r>
          </w:p>
        </w:tc>
        <w:tc>
          <w:tcPr>
            <w:tcW w:w="2259" w:type="dxa"/>
            <w:vAlign w:val="center"/>
          </w:tcPr>
          <w:p w:rsidR="00E41A56" w:rsidRPr="00741B5A" w:rsidRDefault="00E41A56" w:rsidP="002B2B77">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741B5A">
              <w:rPr>
                <w:sz w:val="20"/>
                <w:szCs w:val="20"/>
              </w:rPr>
              <w:t xml:space="preserve">&lt;100 </w:t>
            </w:r>
            <w:r w:rsidRPr="00741B5A">
              <w:rPr>
                <w:sz w:val="20"/>
                <w:szCs w:val="20"/>
                <w:vertAlign w:val="superscript"/>
              </w:rPr>
              <w:t>o</w:t>
            </w:r>
            <w:r w:rsidRPr="00741B5A">
              <w:rPr>
                <w:sz w:val="20"/>
                <w:szCs w:val="20"/>
              </w:rPr>
              <w:t>C</w:t>
            </w:r>
          </w:p>
        </w:tc>
        <w:tc>
          <w:tcPr>
            <w:tcW w:w="2871" w:type="dxa"/>
          </w:tcPr>
          <w:p w:rsidR="00E41A56" w:rsidRPr="00741B5A" w:rsidRDefault="00960C77" w:rsidP="0073425E">
            <w:pPr>
              <w:pStyle w:val="Paragraph"/>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0"/>
                <w:szCs w:val="20"/>
              </w:rPr>
            </w:pPr>
            <w:r w:rsidRPr="00741B5A">
              <w:rPr>
                <w:sz w:val="20"/>
                <w:szCs w:val="20"/>
              </w:rPr>
              <w:t>Thermal uses</w:t>
            </w:r>
          </w:p>
        </w:tc>
      </w:tr>
      <w:tr w:rsidR="00E41A56" w:rsidTr="002B2B77">
        <w:trPr>
          <w:jc w:val="center"/>
        </w:trPr>
        <w:tc>
          <w:tcPr>
            <w:cnfStyle w:val="001000000000" w:firstRow="0" w:lastRow="0" w:firstColumn="1" w:lastColumn="0" w:oddVBand="0" w:evenVBand="0" w:oddHBand="0" w:evenHBand="0" w:firstRowFirstColumn="0" w:firstRowLastColumn="0" w:lastRowFirstColumn="0" w:lastRowLastColumn="0"/>
            <w:tcW w:w="2259" w:type="dxa"/>
            <w:vAlign w:val="center"/>
          </w:tcPr>
          <w:p w:rsidR="00E41A56" w:rsidRPr="00741B5A" w:rsidRDefault="00E41A56" w:rsidP="003E0B57">
            <w:pPr>
              <w:pStyle w:val="Paragraph"/>
              <w:numPr>
                <w:ilvl w:val="0"/>
                <w:numId w:val="0"/>
              </w:numPr>
              <w:spacing w:before="0" w:after="0"/>
              <w:jc w:val="left"/>
              <w:rPr>
                <w:sz w:val="20"/>
                <w:szCs w:val="20"/>
              </w:rPr>
            </w:pPr>
            <w:r w:rsidRPr="00741B5A">
              <w:rPr>
                <w:sz w:val="20"/>
                <w:szCs w:val="20"/>
              </w:rPr>
              <w:t>Intermediate</w:t>
            </w:r>
          </w:p>
        </w:tc>
        <w:tc>
          <w:tcPr>
            <w:tcW w:w="2259" w:type="dxa"/>
            <w:vAlign w:val="center"/>
          </w:tcPr>
          <w:p w:rsidR="00E41A56" w:rsidRPr="00741B5A" w:rsidRDefault="00E41A56" w:rsidP="002B2B77">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741B5A">
              <w:rPr>
                <w:sz w:val="20"/>
                <w:szCs w:val="20"/>
              </w:rPr>
              <w:t xml:space="preserve">100-200 </w:t>
            </w:r>
            <w:r w:rsidRPr="00741B5A">
              <w:rPr>
                <w:sz w:val="20"/>
                <w:szCs w:val="20"/>
                <w:vertAlign w:val="superscript"/>
              </w:rPr>
              <w:t>o</w:t>
            </w:r>
            <w:r w:rsidRPr="00741B5A">
              <w:rPr>
                <w:sz w:val="20"/>
                <w:szCs w:val="20"/>
              </w:rPr>
              <w:t>C</w:t>
            </w:r>
          </w:p>
        </w:tc>
        <w:tc>
          <w:tcPr>
            <w:tcW w:w="2871" w:type="dxa"/>
          </w:tcPr>
          <w:p w:rsidR="00E41A56" w:rsidRPr="00741B5A" w:rsidRDefault="00F717B3" w:rsidP="00E41A5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0"/>
                <w:szCs w:val="20"/>
              </w:rPr>
            </w:pPr>
            <w:r w:rsidRPr="00741B5A">
              <w:rPr>
                <w:sz w:val="20"/>
                <w:szCs w:val="20"/>
              </w:rPr>
              <w:t>Electric Generation (T&gt;150</w:t>
            </w:r>
            <w:r w:rsidRPr="00741B5A">
              <w:rPr>
                <w:sz w:val="20"/>
                <w:szCs w:val="20"/>
                <w:vertAlign w:val="superscript"/>
              </w:rPr>
              <w:t>0</w:t>
            </w:r>
            <w:r w:rsidRPr="00741B5A">
              <w:rPr>
                <w:sz w:val="20"/>
                <w:szCs w:val="20"/>
              </w:rPr>
              <w:t>C)</w:t>
            </w:r>
          </w:p>
          <w:p w:rsidR="005440D8" w:rsidRPr="00741B5A" w:rsidRDefault="005440D8" w:rsidP="00E41A5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0"/>
                <w:szCs w:val="20"/>
              </w:rPr>
            </w:pPr>
            <w:r w:rsidRPr="00741B5A">
              <w:rPr>
                <w:sz w:val="20"/>
                <w:szCs w:val="20"/>
              </w:rPr>
              <w:t>Thermic uses</w:t>
            </w:r>
          </w:p>
        </w:tc>
      </w:tr>
      <w:tr w:rsidR="00E41A56" w:rsidTr="002B2B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9" w:type="dxa"/>
          </w:tcPr>
          <w:p w:rsidR="00E41A56" w:rsidRPr="00741B5A" w:rsidRDefault="00E41A56" w:rsidP="00E41A56">
            <w:pPr>
              <w:pStyle w:val="Paragraph"/>
              <w:numPr>
                <w:ilvl w:val="0"/>
                <w:numId w:val="0"/>
              </w:numPr>
              <w:spacing w:before="0" w:after="0"/>
              <w:rPr>
                <w:sz w:val="20"/>
                <w:szCs w:val="20"/>
              </w:rPr>
            </w:pPr>
            <w:r w:rsidRPr="00741B5A">
              <w:rPr>
                <w:sz w:val="20"/>
                <w:szCs w:val="20"/>
              </w:rPr>
              <w:t>High enthalpy</w:t>
            </w:r>
          </w:p>
        </w:tc>
        <w:tc>
          <w:tcPr>
            <w:tcW w:w="2259" w:type="dxa"/>
            <w:vAlign w:val="center"/>
          </w:tcPr>
          <w:p w:rsidR="00E41A56" w:rsidRPr="00741B5A" w:rsidRDefault="005440D8" w:rsidP="002B2B77">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741B5A">
              <w:rPr>
                <w:sz w:val="20"/>
                <w:szCs w:val="20"/>
              </w:rPr>
              <w:t>&gt;200</w:t>
            </w:r>
            <w:r w:rsidR="00E41A56" w:rsidRPr="00741B5A">
              <w:rPr>
                <w:sz w:val="20"/>
                <w:szCs w:val="20"/>
              </w:rPr>
              <w:t xml:space="preserve"> </w:t>
            </w:r>
            <w:r w:rsidR="00E41A56" w:rsidRPr="00741B5A">
              <w:rPr>
                <w:sz w:val="20"/>
                <w:szCs w:val="20"/>
                <w:vertAlign w:val="superscript"/>
              </w:rPr>
              <w:t>o</w:t>
            </w:r>
            <w:r w:rsidR="00E41A56" w:rsidRPr="00741B5A">
              <w:rPr>
                <w:sz w:val="20"/>
                <w:szCs w:val="20"/>
              </w:rPr>
              <w:t>C</w:t>
            </w:r>
          </w:p>
        </w:tc>
        <w:tc>
          <w:tcPr>
            <w:tcW w:w="2871" w:type="dxa"/>
          </w:tcPr>
          <w:p w:rsidR="00E41A56" w:rsidRPr="00741B5A" w:rsidRDefault="005440D8" w:rsidP="00E41A56">
            <w:pPr>
              <w:pStyle w:val="Paragraph"/>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0"/>
                <w:szCs w:val="20"/>
              </w:rPr>
            </w:pPr>
            <w:r w:rsidRPr="00741B5A">
              <w:rPr>
                <w:sz w:val="20"/>
                <w:szCs w:val="20"/>
              </w:rPr>
              <w:t>Electric Generation</w:t>
            </w:r>
          </w:p>
        </w:tc>
      </w:tr>
    </w:tbl>
    <w:p w:rsidR="00E9163E" w:rsidRDefault="00F11024" w:rsidP="00387711">
      <w:pPr>
        <w:pStyle w:val="Paragraph"/>
        <w:numPr>
          <w:ilvl w:val="0"/>
          <w:numId w:val="0"/>
        </w:numPr>
        <w:spacing w:after="80"/>
        <w:ind w:left="1080"/>
      </w:pPr>
      <w:r>
        <w:t>H</w:t>
      </w:r>
      <w:r w:rsidR="00067C07">
        <w:t xml:space="preserve">igh </w:t>
      </w:r>
      <w:r w:rsidR="00387711">
        <w:t>enthalpy</w:t>
      </w:r>
      <w:r w:rsidR="00067C07">
        <w:t xml:space="preserve"> </w:t>
      </w:r>
      <w:r w:rsidR="00387711">
        <w:t>resources</w:t>
      </w:r>
      <w:r w:rsidR="00067C07">
        <w:t xml:space="preserve"> </w:t>
      </w:r>
      <w:r>
        <w:t xml:space="preserve">are needed </w:t>
      </w:r>
      <w:r w:rsidR="00F40958">
        <w:t xml:space="preserve">to generate electricity. </w:t>
      </w:r>
      <w:r w:rsidR="00677FF1">
        <w:t>Studies conducted over more than 30 years coincide with the great potential of Mexico</w:t>
      </w:r>
      <w:r>
        <w:t xml:space="preserve"> regarding geothermal resources</w:t>
      </w:r>
      <w:r w:rsidR="00677FF1">
        <w:t xml:space="preserve">. </w:t>
      </w:r>
      <w:r>
        <w:t>T</w:t>
      </w:r>
      <w:r w:rsidR="00677FF1">
        <w:t xml:space="preserve">he three </w:t>
      </w:r>
      <w:r>
        <w:t>most recent</w:t>
      </w:r>
      <w:r w:rsidR="00677FF1">
        <w:t xml:space="preserve"> studies</w:t>
      </w:r>
      <w:r w:rsidR="00677FF1">
        <w:rPr>
          <w:rStyle w:val="FootnoteReference"/>
        </w:rPr>
        <w:footnoteReference w:id="10"/>
      </w:r>
      <w:r w:rsidR="00677FF1">
        <w:t xml:space="preserve"> </w:t>
      </w:r>
      <w:r>
        <w:t>show</w:t>
      </w:r>
      <w:r w:rsidR="00677FF1">
        <w:t xml:space="preserve"> that</w:t>
      </w:r>
      <w:r>
        <w:t xml:space="preserve"> there is </w:t>
      </w:r>
      <w:r w:rsidRPr="00F11024">
        <w:t>enough potential for 300 MW</w:t>
      </w:r>
      <w:r>
        <w:t>:</w:t>
      </w:r>
    </w:p>
    <w:p w:rsidR="00C31669" w:rsidRPr="00E5036C" w:rsidRDefault="00E9163E" w:rsidP="00E9163E">
      <w:pPr>
        <w:pStyle w:val="Paragraph"/>
        <w:numPr>
          <w:ilvl w:val="0"/>
          <w:numId w:val="0"/>
        </w:numPr>
        <w:spacing w:after="80"/>
        <w:ind w:left="1080"/>
        <w:rPr>
          <w:b/>
          <w:sz w:val="20"/>
          <w:szCs w:val="20"/>
          <w:u w:val="single"/>
        </w:rPr>
      </w:pPr>
      <w:r>
        <w:rPr>
          <w:b/>
        </w:rPr>
        <w:t xml:space="preserve">                </w:t>
      </w:r>
      <w:r w:rsidR="0043460B">
        <w:rPr>
          <w:b/>
          <w:sz w:val="20"/>
          <w:szCs w:val="20"/>
        </w:rPr>
        <w:t>Chart</w:t>
      </w:r>
      <w:r w:rsidR="0043460B" w:rsidRPr="00E5036C">
        <w:rPr>
          <w:b/>
          <w:sz w:val="20"/>
          <w:szCs w:val="20"/>
        </w:rPr>
        <w:t xml:space="preserve"> </w:t>
      </w:r>
      <w:r w:rsidR="00C31669" w:rsidRPr="00E5036C">
        <w:rPr>
          <w:b/>
          <w:sz w:val="20"/>
          <w:szCs w:val="20"/>
        </w:rPr>
        <w:t>2.</w:t>
      </w:r>
      <w:r w:rsidR="0043460B">
        <w:rPr>
          <w:b/>
          <w:sz w:val="20"/>
          <w:szCs w:val="20"/>
        </w:rPr>
        <w:t>1</w:t>
      </w:r>
      <w:r w:rsidR="00C31669" w:rsidRPr="00E5036C">
        <w:rPr>
          <w:b/>
          <w:sz w:val="20"/>
          <w:szCs w:val="20"/>
        </w:rPr>
        <w:t>. High Temperature Resources (Mw)</w:t>
      </w:r>
    </w:p>
    <w:p w:rsidR="00AB725B" w:rsidRPr="00F40958" w:rsidRDefault="002E7550" w:rsidP="00856C25">
      <w:pPr>
        <w:pStyle w:val="Paragraph"/>
        <w:numPr>
          <w:ilvl w:val="0"/>
          <w:numId w:val="0"/>
        </w:numPr>
        <w:spacing w:after="80"/>
        <w:jc w:val="center"/>
        <w:rPr>
          <w:u w:val="single"/>
        </w:rPr>
      </w:pPr>
      <w:r>
        <w:rPr>
          <w:noProof/>
        </w:rPr>
        <w:drawing>
          <wp:inline distT="0" distB="0" distL="0" distR="0" wp14:anchorId="69B313F3" wp14:editId="16115262">
            <wp:extent cx="4667250" cy="23336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C1397" w:rsidRPr="00856C25" w:rsidRDefault="00537517" w:rsidP="00856C25">
      <w:pPr>
        <w:pStyle w:val="Paragraph"/>
        <w:numPr>
          <w:ilvl w:val="0"/>
          <w:numId w:val="11"/>
        </w:numPr>
        <w:spacing w:after="80"/>
        <w:rPr>
          <w:b/>
          <w:u w:val="single"/>
        </w:rPr>
      </w:pPr>
      <w:r>
        <w:rPr>
          <w:b/>
          <w:u w:val="single"/>
        </w:rPr>
        <w:lastRenderedPageBreak/>
        <w:t>Geothermal Areas: potential p</w:t>
      </w:r>
      <w:r w:rsidR="000C1397">
        <w:rPr>
          <w:b/>
          <w:u w:val="single"/>
        </w:rPr>
        <w:t>ipeline</w:t>
      </w:r>
    </w:p>
    <w:p w:rsidR="00D35B7B" w:rsidRDefault="00331080">
      <w:pPr>
        <w:pStyle w:val="Paragraph"/>
        <w:numPr>
          <w:ilvl w:val="0"/>
          <w:numId w:val="5"/>
        </w:numPr>
        <w:spacing w:after="80"/>
      </w:pPr>
      <w:r>
        <w:t xml:space="preserve"> The country’s potential and its distribution </w:t>
      </w:r>
      <w:r w:rsidR="008E68A7">
        <w:t>have</w:t>
      </w:r>
      <w:r>
        <w:t xml:space="preserve"> been studied and several</w:t>
      </w:r>
      <w:r w:rsidR="00730821">
        <w:t xml:space="preserve"> areas with geothermal resour</w:t>
      </w:r>
      <w:r w:rsidR="00843F15">
        <w:t>ces</w:t>
      </w:r>
      <w:r>
        <w:t xml:space="preserve"> have been identified</w:t>
      </w:r>
      <w:r w:rsidR="00843F15">
        <w:t xml:space="preserve">. </w:t>
      </w:r>
      <w:r>
        <w:t>Table 2.2 shows the list of geothermal areas</w:t>
      </w:r>
      <w:r w:rsidR="00843F15">
        <w:t xml:space="preserve">. </w:t>
      </w:r>
    </w:p>
    <w:p w:rsidR="00C31669" w:rsidRPr="00E5036C" w:rsidRDefault="00E9163E" w:rsidP="00C31669">
      <w:pPr>
        <w:pStyle w:val="Paragraph"/>
        <w:numPr>
          <w:ilvl w:val="0"/>
          <w:numId w:val="0"/>
        </w:numPr>
        <w:spacing w:after="80"/>
        <w:ind w:left="2160"/>
        <w:rPr>
          <w:b/>
          <w:sz w:val="20"/>
          <w:szCs w:val="20"/>
          <w:u w:val="single"/>
        </w:rPr>
      </w:pPr>
      <w:r>
        <w:rPr>
          <w:b/>
        </w:rPr>
        <w:t xml:space="preserve">         </w:t>
      </w:r>
      <w:r w:rsidR="00C31669" w:rsidRPr="00E5036C">
        <w:rPr>
          <w:b/>
          <w:sz w:val="20"/>
          <w:szCs w:val="20"/>
        </w:rPr>
        <w:t>Table 2.</w:t>
      </w:r>
      <w:r w:rsidR="005A7F07">
        <w:rPr>
          <w:b/>
          <w:sz w:val="20"/>
          <w:szCs w:val="20"/>
        </w:rPr>
        <w:t>2</w:t>
      </w:r>
      <w:r w:rsidR="00C31669" w:rsidRPr="00E5036C">
        <w:rPr>
          <w:b/>
          <w:sz w:val="20"/>
          <w:szCs w:val="20"/>
        </w:rPr>
        <w:t xml:space="preserve">. </w:t>
      </w:r>
      <w:r w:rsidR="00EA1A6D">
        <w:rPr>
          <w:b/>
          <w:sz w:val="20"/>
          <w:szCs w:val="20"/>
        </w:rPr>
        <w:t>Geothermal Areas</w:t>
      </w:r>
    </w:p>
    <w:tbl>
      <w:tblPr>
        <w:tblStyle w:val="LightList"/>
        <w:tblW w:w="0" w:type="auto"/>
        <w:jc w:val="center"/>
        <w:tblLook w:val="04A0" w:firstRow="1" w:lastRow="0" w:firstColumn="1" w:lastColumn="0" w:noHBand="0" w:noVBand="1"/>
      </w:tblPr>
      <w:tblGrid>
        <w:gridCol w:w="3410"/>
        <w:gridCol w:w="1599"/>
        <w:gridCol w:w="1190"/>
        <w:gridCol w:w="1160"/>
      </w:tblGrid>
      <w:tr w:rsidR="003D7239" w:rsidTr="00856C25">
        <w:trPr>
          <w:cnfStyle w:val="100000000000" w:firstRow="1" w:lastRow="0" w:firstColumn="0" w:lastColumn="0" w:oddVBand="0" w:evenVBand="0" w:oddHBand="0"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3410" w:type="dxa"/>
            <w:vMerge w:val="restart"/>
            <w:vAlign w:val="center"/>
          </w:tcPr>
          <w:p w:rsidR="003D7239" w:rsidRPr="00741B5A" w:rsidRDefault="003D7239" w:rsidP="00451ADF">
            <w:pPr>
              <w:pStyle w:val="Paragraph"/>
              <w:numPr>
                <w:ilvl w:val="0"/>
                <w:numId w:val="0"/>
              </w:numPr>
              <w:spacing w:before="0" w:after="0"/>
              <w:jc w:val="center"/>
              <w:rPr>
                <w:sz w:val="20"/>
                <w:szCs w:val="20"/>
              </w:rPr>
            </w:pPr>
            <w:r w:rsidRPr="00741B5A">
              <w:rPr>
                <w:sz w:val="20"/>
                <w:szCs w:val="20"/>
              </w:rPr>
              <w:t>Geothermal Area</w:t>
            </w:r>
          </w:p>
        </w:tc>
        <w:tc>
          <w:tcPr>
            <w:tcW w:w="1599" w:type="dxa"/>
            <w:vMerge w:val="restart"/>
            <w:vAlign w:val="center"/>
          </w:tcPr>
          <w:p w:rsidR="003D7239" w:rsidRPr="00741B5A" w:rsidRDefault="003D7239" w:rsidP="00451ADF">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741B5A">
              <w:rPr>
                <w:sz w:val="20"/>
                <w:szCs w:val="20"/>
              </w:rPr>
              <w:t>State</w:t>
            </w:r>
          </w:p>
        </w:tc>
        <w:tc>
          <w:tcPr>
            <w:tcW w:w="2350" w:type="dxa"/>
            <w:gridSpan w:val="2"/>
          </w:tcPr>
          <w:p w:rsidR="003D7239" w:rsidRPr="00741B5A" w:rsidRDefault="003D7239" w:rsidP="00451ADF">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741B5A">
              <w:rPr>
                <w:sz w:val="20"/>
                <w:szCs w:val="20"/>
              </w:rPr>
              <w:t>Potential Estimation</w:t>
            </w:r>
          </w:p>
        </w:tc>
      </w:tr>
      <w:tr w:rsidR="003D7239" w:rsidTr="00856C25">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3410" w:type="dxa"/>
            <w:vMerge/>
          </w:tcPr>
          <w:p w:rsidR="003D7239" w:rsidRPr="00741B5A" w:rsidRDefault="003D7239" w:rsidP="00451ADF">
            <w:pPr>
              <w:pStyle w:val="Paragraph"/>
              <w:numPr>
                <w:ilvl w:val="0"/>
                <w:numId w:val="0"/>
              </w:numPr>
              <w:spacing w:before="0" w:after="0"/>
              <w:jc w:val="center"/>
              <w:rPr>
                <w:color w:val="FFFFFF" w:themeColor="background1"/>
                <w:sz w:val="20"/>
                <w:szCs w:val="20"/>
              </w:rPr>
            </w:pPr>
          </w:p>
        </w:tc>
        <w:tc>
          <w:tcPr>
            <w:tcW w:w="1599" w:type="dxa"/>
            <w:vMerge/>
          </w:tcPr>
          <w:p w:rsidR="003D7239" w:rsidRPr="00741B5A" w:rsidRDefault="003D7239" w:rsidP="00451ADF">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p>
        </w:tc>
        <w:tc>
          <w:tcPr>
            <w:tcW w:w="1190" w:type="dxa"/>
            <w:shd w:val="clear" w:color="auto" w:fill="000000" w:themeFill="text1"/>
          </w:tcPr>
          <w:p w:rsidR="003D7239" w:rsidRPr="00741B5A" w:rsidRDefault="003D7239" w:rsidP="00451ADF">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b/>
                <w:color w:val="FFFFFF" w:themeColor="background1"/>
                <w:sz w:val="20"/>
                <w:szCs w:val="20"/>
                <w:lang w:val="es-CL"/>
              </w:rPr>
            </w:pPr>
            <w:r w:rsidRPr="00741B5A">
              <w:rPr>
                <w:b/>
                <w:color w:val="FFFFFF" w:themeColor="background1"/>
                <w:sz w:val="20"/>
                <w:szCs w:val="20"/>
              </w:rPr>
              <w:t>Probable</w:t>
            </w:r>
          </w:p>
        </w:tc>
        <w:tc>
          <w:tcPr>
            <w:tcW w:w="1160" w:type="dxa"/>
            <w:shd w:val="clear" w:color="auto" w:fill="000000" w:themeFill="text1"/>
          </w:tcPr>
          <w:p w:rsidR="003D7239" w:rsidRPr="00741B5A" w:rsidRDefault="003D7239" w:rsidP="00451ADF">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b/>
                <w:color w:val="FFFFFF" w:themeColor="background1"/>
                <w:sz w:val="20"/>
                <w:szCs w:val="20"/>
              </w:rPr>
            </w:pPr>
            <w:r w:rsidRPr="00741B5A">
              <w:rPr>
                <w:b/>
                <w:color w:val="FFFFFF" w:themeColor="background1"/>
                <w:sz w:val="20"/>
                <w:szCs w:val="20"/>
              </w:rPr>
              <w:t>90%</w:t>
            </w:r>
          </w:p>
        </w:tc>
      </w:tr>
      <w:tr w:rsidR="003D7239" w:rsidTr="00856C25">
        <w:trPr>
          <w:jc w:val="center"/>
        </w:trPr>
        <w:tc>
          <w:tcPr>
            <w:cnfStyle w:val="001000000000" w:firstRow="0" w:lastRow="0" w:firstColumn="1" w:lastColumn="0" w:oddVBand="0" w:evenVBand="0" w:oddHBand="0" w:evenHBand="0" w:firstRowFirstColumn="0" w:firstRowLastColumn="0" w:lastRowFirstColumn="0" w:lastRowLastColumn="0"/>
            <w:tcW w:w="3410" w:type="dxa"/>
            <w:tcBorders>
              <w:top w:val="single" w:sz="8" w:space="0" w:color="000000" w:themeColor="text1"/>
              <w:bottom w:val="single" w:sz="8" w:space="0" w:color="000000" w:themeColor="text1"/>
            </w:tcBorders>
            <w:shd w:val="clear" w:color="auto" w:fill="auto"/>
          </w:tcPr>
          <w:p w:rsidR="003D7239" w:rsidRPr="00741B5A" w:rsidRDefault="003D7239" w:rsidP="003D7239">
            <w:pPr>
              <w:autoSpaceDE w:val="0"/>
              <w:autoSpaceDN w:val="0"/>
              <w:adjustRightInd w:val="0"/>
              <w:rPr>
                <w:rFonts w:ascii="Times New Roman" w:hAnsi="Times New Roman" w:cs="Times New Roman"/>
                <w:sz w:val="20"/>
                <w:szCs w:val="20"/>
                <w:lang w:val="es-CL"/>
              </w:rPr>
            </w:pPr>
            <w:r w:rsidRPr="00741B5A">
              <w:rPr>
                <w:rFonts w:ascii="Times New Roman" w:eastAsiaTheme="minorHAnsi" w:hAnsi="Times New Roman" w:cs="Times New Roman"/>
                <w:color w:val="000000"/>
                <w:sz w:val="20"/>
                <w:szCs w:val="20"/>
                <w:lang w:val="es-ES"/>
              </w:rPr>
              <w:t>1. La Soledad</w:t>
            </w:r>
          </w:p>
        </w:tc>
        <w:tc>
          <w:tcPr>
            <w:tcW w:w="1599" w:type="dxa"/>
            <w:tcBorders>
              <w:top w:val="single" w:sz="8" w:space="0" w:color="000000" w:themeColor="text1"/>
              <w:bottom w:val="single" w:sz="8" w:space="0" w:color="000000" w:themeColor="text1"/>
            </w:tcBorders>
            <w:shd w:val="clear" w:color="auto" w:fill="auto"/>
          </w:tcPr>
          <w:p w:rsidR="003D7239" w:rsidRPr="00741B5A" w:rsidRDefault="003D7239" w:rsidP="007901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Jalisco</w:t>
            </w:r>
          </w:p>
        </w:tc>
        <w:tc>
          <w:tcPr>
            <w:tcW w:w="1190" w:type="dxa"/>
            <w:tcBorders>
              <w:top w:val="single" w:sz="8" w:space="0" w:color="000000" w:themeColor="text1"/>
              <w:bottom w:val="single" w:sz="8" w:space="0" w:color="000000" w:themeColor="text1"/>
            </w:tcBorders>
            <w:shd w:val="clear" w:color="auto" w:fill="auto"/>
          </w:tcPr>
          <w:p w:rsidR="003D7239" w:rsidRPr="00741B5A" w:rsidRDefault="003D7239" w:rsidP="007901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52</w:t>
            </w:r>
          </w:p>
        </w:tc>
        <w:tc>
          <w:tcPr>
            <w:tcW w:w="1160" w:type="dxa"/>
            <w:tcBorders>
              <w:top w:val="single" w:sz="8" w:space="0" w:color="000000" w:themeColor="text1"/>
              <w:bottom w:val="single" w:sz="8" w:space="0" w:color="000000" w:themeColor="text1"/>
            </w:tcBorders>
            <w:shd w:val="clear" w:color="auto" w:fill="auto"/>
          </w:tcPr>
          <w:p w:rsidR="003D7239" w:rsidRPr="00741B5A" w:rsidRDefault="003D7239" w:rsidP="007901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10-94</w:t>
            </w:r>
          </w:p>
        </w:tc>
      </w:tr>
      <w:tr w:rsidR="003D7239" w:rsidTr="00856C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10" w:type="dxa"/>
            <w:shd w:val="clear" w:color="auto" w:fill="auto"/>
          </w:tcPr>
          <w:p w:rsidR="003D7239" w:rsidRPr="00741B5A" w:rsidRDefault="003D7239" w:rsidP="003D7239">
            <w:pPr>
              <w:autoSpaceDE w:val="0"/>
              <w:autoSpaceDN w:val="0"/>
              <w:adjustRightInd w:val="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2. Las Planillas </w:t>
            </w:r>
          </w:p>
        </w:tc>
        <w:tc>
          <w:tcPr>
            <w:tcW w:w="1599" w:type="dxa"/>
            <w:shd w:val="clear" w:color="auto" w:fill="auto"/>
          </w:tcPr>
          <w:p w:rsidR="003D7239" w:rsidRPr="00741B5A" w:rsidRDefault="003D7239" w:rsidP="003D723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Jalisco </w:t>
            </w:r>
          </w:p>
        </w:tc>
        <w:tc>
          <w:tcPr>
            <w:tcW w:w="1190" w:type="dxa"/>
            <w:shd w:val="clear" w:color="auto" w:fill="auto"/>
          </w:tcPr>
          <w:p w:rsidR="003D7239" w:rsidRPr="00741B5A" w:rsidRDefault="003D7239" w:rsidP="007901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70</w:t>
            </w:r>
          </w:p>
        </w:tc>
        <w:tc>
          <w:tcPr>
            <w:tcW w:w="1160" w:type="dxa"/>
            <w:shd w:val="clear" w:color="auto" w:fill="auto"/>
          </w:tcPr>
          <w:p w:rsidR="003D7239" w:rsidRPr="00741B5A" w:rsidRDefault="003D7239" w:rsidP="007901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26 – 113</w:t>
            </w:r>
          </w:p>
        </w:tc>
      </w:tr>
      <w:tr w:rsidR="003D7239" w:rsidTr="00856C25">
        <w:trPr>
          <w:jc w:val="center"/>
        </w:trPr>
        <w:tc>
          <w:tcPr>
            <w:cnfStyle w:val="001000000000" w:firstRow="0" w:lastRow="0" w:firstColumn="1" w:lastColumn="0" w:oddVBand="0" w:evenVBand="0" w:oddHBand="0" w:evenHBand="0" w:firstRowFirstColumn="0" w:firstRowLastColumn="0" w:lastRowFirstColumn="0" w:lastRowLastColumn="0"/>
            <w:tcW w:w="3410" w:type="dxa"/>
            <w:tcBorders>
              <w:top w:val="single" w:sz="8" w:space="0" w:color="000000" w:themeColor="text1"/>
              <w:bottom w:val="single" w:sz="8" w:space="0" w:color="000000" w:themeColor="text1"/>
            </w:tcBorders>
            <w:shd w:val="clear" w:color="auto" w:fill="auto"/>
          </w:tcPr>
          <w:p w:rsidR="003D7239" w:rsidRPr="00741B5A" w:rsidRDefault="003D7239" w:rsidP="003D7239">
            <w:pPr>
              <w:autoSpaceDE w:val="0"/>
              <w:autoSpaceDN w:val="0"/>
              <w:adjustRightInd w:val="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3. Pathé </w:t>
            </w:r>
          </w:p>
        </w:tc>
        <w:tc>
          <w:tcPr>
            <w:tcW w:w="1599" w:type="dxa"/>
            <w:tcBorders>
              <w:top w:val="single" w:sz="8" w:space="0" w:color="000000" w:themeColor="text1"/>
              <w:bottom w:val="single" w:sz="8" w:space="0" w:color="000000" w:themeColor="text1"/>
            </w:tcBorders>
            <w:shd w:val="clear" w:color="auto" w:fill="auto"/>
          </w:tcPr>
          <w:p w:rsidR="003D7239" w:rsidRPr="00741B5A" w:rsidRDefault="003D7239" w:rsidP="003D723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Hidalgo </w:t>
            </w:r>
          </w:p>
        </w:tc>
        <w:tc>
          <w:tcPr>
            <w:tcW w:w="1190" w:type="dxa"/>
            <w:tcBorders>
              <w:top w:val="single" w:sz="8" w:space="0" w:color="000000" w:themeColor="text1"/>
              <w:bottom w:val="single" w:sz="8" w:space="0" w:color="000000" w:themeColor="text1"/>
            </w:tcBorders>
            <w:shd w:val="clear" w:color="auto" w:fill="auto"/>
          </w:tcPr>
          <w:p w:rsidR="003D7239" w:rsidRPr="00741B5A" w:rsidRDefault="003D7239" w:rsidP="007901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33</w:t>
            </w:r>
          </w:p>
        </w:tc>
        <w:tc>
          <w:tcPr>
            <w:tcW w:w="1160" w:type="dxa"/>
            <w:tcBorders>
              <w:top w:val="single" w:sz="8" w:space="0" w:color="000000" w:themeColor="text1"/>
              <w:bottom w:val="single" w:sz="8" w:space="0" w:color="000000" w:themeColor="text1"/>
            </w:tcBorders>
            <w:shd w:val="clear" w:color="auto" w:fill="auto"/>
          </w:tcPr>
          <w:p w:rsidR="003D7239" w:rsidRPr="00741B5A" w:rsidRDefault="003D7239" w:rsidP="007901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6 – 61</w:t>
            </w:r>
          </w:p>
        </w:tc>
      </w:tr>
      <w:tr w:rsidR="003D7239" w:rsidTr="00856C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10" w:type="dxa"/>
            <w:shd w:val="clear" w:color="auto" w:fill="auto"/>
          </w:tcPr>
          <w:p w:rsidR="003D7239" w:rsidRPr="00741B5A" w:rsidRDefault="003D7239" w:rsidP="003D7239">
            <w:pPr>
              <w:autoSpaceDE w:val="0"/>
              <w:autoSpaceDN w:val="0"/>
              <w:adjustRightInd w:val="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4. Araró </w:t>
            </w:r>
          </w:p>
        </w:tc>
        <w:tc>
          <w:tcPr>
            <w:tcW w:w="1599" w:type="dxa"/>
            <w:shd w:val="clear" w:color="auto" w:fill="auto"/>
          </w:tcPr>
          <w:p w:rsidR="003D7239" w:rsidRPr="00741B5A" w:rsidRDefault="003D7239" w:rsidP="003D723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Michoacán </w:t>
            </w:r>
          </w:p>
        </w:tc>
        <w:tc>
          <w:tcPr>
            <w:tcW w:w="1190" w:type="dxa"/>
            <w:shd w:val="clear" w:color="auto" w:fill="auto"/>
          </w:tcPr>
          <w:p w:rsidR="003D7239" w:rsidRPr="00741B5A" w:rsidRDefault="003D7239" w:rsidP="007901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21</w:t>
            </w:r>
          </w:p>
        </w:tc>
        <w:tc>
          <w:tcPr>
            <w:tcW w:w="1160" w:type="dxa"/>
            <w:shd w:val="clear" w:color="auto" w:fill="auto"/>
          </w:tcPr>
          <w:p w:rsidR="003D7239" w:rsidRPr="00741B5A" w:rsidRDefault="003D7239" w:rsidP="007901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5 – 37</w:t>
            </w:r>
          </w:p>
        </w:tc>
      </w:tr>
      <w:tr w:rsidR="003D7239" w:rsidTr="00856C25">
        <w:trPr>
          <w:jc w:val="center"/>
        </w:trPr>
        <w:tc>
          <w:tcPr>
            <w:cnfStyle w:val="001000000000" w:firstRow="0" w:lastRow="0" w:firstColumn="1" w:lastColumn="0" w:oddVBand="0" w:evenVBand="0" w:oddHBand="0" w:evenHBand="0" w:firstRowFirstColumn="0" w:firstRowLastColumn="0" w:lastRowFirstColumn="0" w:lastRowLastColumn="0"/>
            <w:tcW w:w="3410" w:type="dxa"/>
            <w:shd w:val="clear" w:color="auto" w:fill="auto"/>
          </w:tcPr>
          <w:p w:rsidR="003D7239" w:rsidRPr="00741B5A" w:rsidRDefault="003D7239" w:rsidP="003D7239">
            <w:pPr>
              <w:autoSpaceDE w:val="0"/>
              <w:autoSpaceDN w:val="0"/>
              <w:adjustRightInd w:val="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5. Acoculco </w:t>
            </w:r>
          </w:p>
        </w:tc>
        <w:tc>
          <w:tcPr>
            <w:tcW w:w="1599" w:type="dxa"/>
            <w:shd w:val="clear" w:color="auto" w:fill="auto"/>
          </w:tcPr>
          <w:p w:rsidR="003D7239" w:rsidRPr="00741B5A" w:rsidRDefault="003D7239" w:rsidP="003D723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Puebla </w:t>
            </w:r>
          </w:p>
        </w:tc>
        <w:tc>
          <w:tcPr>
            <w:tcW w:w="1190" w:type="dxa"/>
            <w:shd w:val="clear" w:color="auto" w:fill="auto"/>
          </w:tcPr>
          <w:p w:rsidR="003D7239" w:rsidRPr="00741B5A" w:rsidRDefault="003D7239" w:rsidP="007901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107</w:t>
            </w:r>
          </w:p>
        </w:tc>
        <w:tc>
          <w:tcPr>
            <w:tcW w:w="1160" w:type="dxa"/>
            <w:shd w:val="clear" w:color="auto" w:fill="auto"/>
          </w:tcPr>
          <w:p w:rsidR="003D7239" w:rsidRPr="00741B5A" w:rsidRDefault="003D7239" w:rsidP="007901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38 – 177</w:t>
            </w:r>
          </w:p>
        </w:tc>
      </w:tr>
      <w:tr w:rsidR="003D7239" w:rsidTr="00856C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10" w:type="dxa"/>
            <w:shd w:val="clear" w:color="auto" w:fill="auto"/>
          </w:tcPr>
          <w:p w:rsidR="003D7239" w:rsidRPr="00741B5A" w:rsidRDefault="003D7239" w:rsidP="003D7239">
            <w:pPr>
              <w:autoSpaceDE w:val="0"/>
              <w:autoSpaceDN w:val="0"/>
              <w:adjustRightInd w:val="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6. Ixtlán de los Hervores </w:t>
            </w:r>
          </w:p>
        </w:tc>
        <w:tc>
          <w:tcPr>
            <w:tcW w:w="1599" w:type="dxa"/>
            <w:shd w:val="clear" w:color="auto" w:fill="auto"/>
          </w:tcPr>
          <w:p w:rsidR="003D7239" w:rsidRPr="00741B5A" w:rsidRDefault="003D7239" w:rsidP="003D723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Michoacán </w:t>
            </w:r>
          </w:p>
        </w:tc>
        <w:tc>
          <w:tcPr>
            <w:tcW w:w="1190" w:type="dxa"/>
            <w:shd w:val="clear" w:color="auto" w:fill="auto"/>
          </w:tcPr>
          <w:p w:rsidR="003D7239" w:rsidRPr="00741B5A" w:rsidRDefault="003D7239" w:rsidP="007901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17</w:t>
            </w:r>
          </w:p>
        </w:tc>
        <w:tc>
          <w:tcPr>
            <w:tcW w:w="1160" w:type="dxa"/>
            <w:shd w:val="clear" w:color="auto" w:fill="auto"/>
          </w:tcPr>
          <w:p w:rsidR="003D7239" w:rsidRPr="00741B5A" w:rsidRDefault="003D7239" w:rsidP="007901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0 – 23</w:t>
            </w:r>
          </w:p>
        </w:tc>
      </w:tr>
      <w:tr w:rsidR="003D7239" w:rsidTr="00856C25">
        <w:trPr>
          <w:jc w:val="center"/>
        </w:trPr>
        <w:tc>
          <w:tcPr>
            <w:cnfStyle w:val="001000000000" w:firstRow="0" w:lastRow="0" w:firstColumn="1" w:lastColumn="0" w:oddVBand="0" w:evenVBand="0" w:oddHBand="0" w:evenHBand="0" w:firstRowFirstColumn="0" w:firstRowLastColumn="0" w:lastRowFirstColumn="0" w:lastRowLastColumn="0"/>
            <w:tcW w:w="3410" w:type="dxa"/>
            <w:tcBorders>
              <w:top w:val="single" w:sz="8" w:space="0" w:color="000000" w:themeColor="text1"/>
              <w:bottom w:val="single" w:sz="8" w:space="0" w:color="000000" w:themeColor="text1"/>
            </w:tcBorders>
            <w:shd w:val="clear" w:color="auto" w:fill="auto"/>
          </w:tcPr>
          <w:p w:rsidR="003D7239" w:rsidRPr="00741B5A" w:rsidRDefault="003D7239" w:rsidP="003D7239">
            <w:pPr>
              <w:autoSpaceDE w:val="0"/>
              <w:autoSpaceDN w:val="0"/>
              <w:adjustRightInd w:val="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7. Los Negritos </w:t>
            </w:r>
          </w:p>
        </w:tc>
        <w:tc>
          <w:tcPr>
            <w:tcW w:w="1599" w:type="dxa"/>
            <w:tcBorders>
              <w:top w:val="single" w:sz="8" w:space="0" w:color="000000" w:themeColor="text1"/>
              <w:bottom w:val="single" w:sz="8" w:space="0" w:color="000000" w:themeColor="text1"/>
            </w:tcBorders>
            <w:shd w:val="clear" w:color="auto" w:fill="auto"/>
          </w:tcPr>
          <w:p w:rsidR="003D7239" w:rsidRPr="00741B5A" w:rsidRDefault="003D7239" w:rsidP="003D723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Michoacán </w:t>
            </w:r>
          </w:p>
        </w:tc>
        <w:tc>
          <w:tcPr>
            <w:tcW w:w="1190" w:type="dxa"/>
            <w:tcBorders>
              <w:top w:val="single" w:sz="8" w:space="0" w:color="000000" w:themeColor="text1"/>
              <w:bottom w:val="single" w:sz="8" w:space="0" w:color="000000" w:themeColor="text1"/>
            </w:tcBorders>
            <w:shd w:val="clear" w:color="auto" w:fill="auto"/>
          </w:tcPr>
          <w:p w:rsidR="003D7239" w:rsidRPr="00741B5A" w:rsidRDefault="003D7239" w:rsidP="007901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24</w:t>
            </w:r>
          </w:p>
        </w:tc>
        <w:tc>
          <w:tcPr>
            <w:tcW w:w="1160" w:type="dxa"/>
            <w:tcBorders>
              <w:top w:val="single" w:sz="8" w:space="0" w:color="000000" w:themeColor="text1"/>
              <w:bottom w:val="single" w:sz="8" w:space="0" w:color="000000" w:themeColor="text1"/>
            </w:tcBorders>
            <w:shd w:val="clear" w:color="auto" w:fill="auto"/>
          </w:tcPr>
          <w:p w:rsidR="003D7239" w:rsidRPr="00741B5A" w:rsidRDefault="003D7239" w:rsidP="007901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3 – 44</w:t>
            </w:r>
          </w:p>
        </w:tc>
      </w:tr>
      <w:tr w:rsidR="003D7239" w:rsidTr="00856C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10" w:type="dxa"/>
            <w:shd w:val="clear" w:color="auto" w:fill="auto"/>
          </w:tcPr>
          <w:p w:rsidR="003D7239" w:rsidRPr="00741B5A" w:rsidRDefault="003D7239" w:rsidP="003D7239">
            <w:pPr>
              <w:autoSpaceDE w:val="0"/>
              <w:autoSpaceDN w:val="0"/>
              <w:adjustRightInd w:val="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8. Volcán Ceboruco </w:t>
            </w:r>
          </w:p>
        </w:tc>
        <w:tc>
          <w:tcPr>
            <w:tcW w:w="1599" w:type="dxa"/>
            <w:shd w:val="clear" w:color="auto" w:fill="auto"/>
          </w:tcPr>
          <w:p w:rsidR="003D7239" w:rsidRPr="00741B5A" w:rsidRDefault="003D7239" w:rsidP="003D723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Nayarit </w:t>
            </w:r>
          </w:p>
        </w:tc>
        <w:tc>
          <w:tcPr>
            <w:tcW w:w="1190" w:type="dxa"/>
            <w:shd w:val="clear" w:color="auto" w:fill="auto"/>
          </w:tcPr>
          <w:p w:rsidR="003D7239" w:rsidRPr="00741B5A" w:rsidRDefault="003D7239" w:rsidP="007901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74</w:t>
            </w:r>
          </w:p>
        </w:tc>
        <w:tc>
          <w:tcPr>
            <w:tcW w:w="1160" w:type="dxa"/>
            <w:shd w:val="clear" w:color="auto" w:fill="auto"/>
          </w:tcPr>
          <w:p w:rsidR="003D7239" w:rsidRPr="00741B5A" w:rsidRDefault="003D7239" w:rsidP="007901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34 – 113</w:t>
            </w:r>
          </w:p>
        </w:tc>
      </w:tr>
      <w:tr w:rsidR="003D7239" w:rsidTr="00856C25">
        <w:trPr>
          <w:jc w:val="center"/>
        </w:trPr>
        <w:tc>
          <w:tcPr>
            <w:cnfStyle w:val="001000000000" w:firstRow="0" w:lastRow="0" w:firstColumn="1" w:lastColumn="0" w:oddVBand="0" w:evenVBand="0" w:oddHBand="0" w:evenHBand="0" w:firstRowFirstColumn="0" w:firstRowLastColumn="0" w:lastRowFirstColumn="0" w:lastRowLastColumn="0"/>
            <w:tcW w:w="3410" w:type="dxa"/>
            <w:tcBorders>
              <w:bottom w:val="single" w:sz="8" w:space="0" w:color="000000" w:themeColor="text1"/>
            </w:tcBorders>
            <w:shd w:val="clear" w:color="auto" w:fill="auto"/>
          </w:tcPr>
          <w:p w:rsidR="003D7239" w:rsidRPr="00741B5A" w:rsidRDefault="003D7239" w:rsidP="003D7239">
            <w:pPr>
              <w:autoSpaceDE w:val="0"/>
              <w:autoSpaceDN w:val="0"/>
              <w:adjustRightInd w:val="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9. Graben de Compostela </w:t>
            </w:r>
          </w:p>
        </w:tc>
        <w:tc>
          <w:tcPr>
            <w:tcW w:w="1599" w:type="dxa"/>
            <w:tcBorders>
              <w:bottom w:val="single" w:sz="8" w:space="0" w:color="000000" w:themeColor="text1"/>
            </w:tcBorders>
            <w:shd w:val="clear" w:color="auto" w:fill="auto"/>
          </w:tcPr>
          <w:p w:rsidR="003D7239" w:rsidRPr="00741B5A" w:rsidRDefault="003D7239" w:rsidP="003D723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Nayarit </w:t>
            </w:r>
          </w:p>
        </w:tc>
        <w:tc>
          <w:tcPr>
            <w:tcW w:w="1190" w:type="dxa"/>
            <w:tcBorders>
              <w:bottom w:val="single" w:sz="8" w:space="0" w:color="000000" w:themeColor="text1"/>
            </w:tcBorders>
            <w:shd w:val="clear" w:color="auto" w:fill="auto"/>
          </w:tcPr>
          <w:p w:rsidR="003D7239" w:rsidRPr="00741B5A" w:rsidRDefault="003D7239" w:rsidP="007901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105</w:t>
            </w:r>
          </w:p>
        </w:tc>
        <w:tc>
          <w:tcPr>
            <w:tcW w:w="1160" w:type="dxa"/>
            <w:tcBorders>
              <w:bottom w:val="single" w:sz="8" w:space="0" w:color="000000" w:themeColor="text1"/>
            </w:tcBorders>
            <w:shd w:val="clear" w:color="auto" w:fill="auto"/>
          </w:tcPr>
          <w:p w:rsidR="003D7239" w:rsidRPr="00741B5A" w:rsidRDefault="003D7239" w:rsidP="007901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35 – 175</w:t>
            </w:r>
          </w:p>
        </w:tc>
      </w:tr>
      <w:tr w:rsidR="003D7239" w:rsidRPr="003D7239" w:rsidTr="00856C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10" w:type="dxa"/>
            <w:shd w:val="clear" w:color="auto" w:fill="auto"/>
          </w:tcPr>
          <w:p w:rsidR="003D7239" w:rsidRPr="00741B5A" w:rsidRDefault="003D7239" w:rsidP="003D7239">
            <w:pPr>
              <w:autoSpaceDE w:val="0"/>
              <w:autoSpaceDN w:val="0"/>
              <w:adjustRightInd w:val="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10. San Antonio El Bravo (Ojinaga) </w:t>
            </w:r>
          </w:p>
        </w:tc>
        <w:tc>
          <w:tcPr>
            <w:tcW w:w="1599" w:type="dxa"/>
            <w:shd w:val="clear" w:color="auto" w:fill="auto"/>
          </w:tcPr>
          <w:p w:rsidR="003D7239" w:rsidRPr="00741B5A" w:rsidRDefault="003D7239" w:rsidP="003D723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Chihuahua </w:t>
            </w:r>
          </w:p>
        </w:tc>
        <w:tc>
          <w:tcPr>
            <w:tcW w:w="1190" w:type="dxa"/>
            <w:shd w:val="clear" w:color="auto" w:fill="auto"/>
          </w:tcPr>
          <w:p w:rsidR="003D7239" w:rsidRPr="00741B5A" w:rsidRDefault="003D7239" w:rsidP="007901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27</w:t>
            </w:r>
          </w:p>
        </w:tc>
        <w:tc>
          <w:tcPr>
            <w:tcW w:w="1160" w:type="dxa"/>
            <w:shd w:val="clear" w:color="auto" w:fill="auto"/>
          </w:tcPr>
          <w:p w:rsidR="003D7239" w:rsidRPr="00741B5A" w:rsidRDefault="003D7239" w:rsidP="007901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10 – 43</w:t>
            </w:r>
          </w:p>
        </w:tc>
      </w:tr>
      <w:tr w:rsidR="003D7239" w:rsidTr="00856C25">
        <w:trPr>
          <w:jc w:val="center"/>
        </w:trPr>
        <w:tc>
          <w:tcPr>
            <w:cnfStyle w:val="001000000000" w:firstRow="0" w:lastRow="0" w:firstColumn="1" w:lastColumn="0" w:oddVBand="0" w:evenVBand="0" w:oddHBand="0" w:evenHBand="0" w:firstRowFirstColumn="0" w:firstRowLastColumn="0" w:lastRowFirstColumn="0" w:lastRowLastColumn="0"/>
            <w:tcW w:w="3410" w:type="dxa"/>
            <w:shd w:val="clear" w:color="auto" w:fill="auto"/>
          </w:tcPr>
          <w:p w:rsidR="003D7239" w:rsidRPr="00741B5A" w:rsidRDefault="003D7239" w:rsidP="003D7239">
            <w:pPr>
              <w:autoSpaceDE w:val="0"/>
              <w:autoSpaceDN w:val="0"/>
              <w:adjustRightInd w:val="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11. Maguarichic </w:t>
            </w:r>
          </w:p>
        </w:tc>
        <w:tc>
          <w:tcPr>
            <w:tcW w:w="1599" w:type="dxa"/>
            <w:shd w:val="clear" w:color="auto" w:fill="auto"/>
          </w:tcPr>
          <w:p w:rsidR="003D7239" w:rsidRPr="00741B5A" w:rsidRDefault="003D7239" w:rsidP="003D723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Chihuahua </w:t>
            </w:r>
          </w:p>
        </w:tc>
        <w:tc>
          <w:tcPr>
            <w:tcW w:w="1190" w:type="dxa"/>
            <w:shd w:val="clear" w:color="auto" w:fill="auto"/>
          </w:tcPr>
          <w:p w:rsidR="003D7239" w:rsidRPr="00741B5A" w:rsidRDefault="003D7239" w:rsidP="007901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1</w:t>
            </w:r>
          </w:p>
        </w:tc>
        <w:tc>
          <w:tcPr>
            <w:tcW w:w="1160" w:type="dxa"/>
            <w:shd w:val="clear" w:color="auto" w:fill="auto"/>
          </w:tcPr>
          <w:p w:rsidR="003D7239" w:rsidRPr="00741B5A" w:rsidRDefault="003D7239" w:rsidP="007901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0.2 – 1.7</w:t>
            </w:r>
          </w:p>
        </w:tc>
      </w:tr>
      <w:tr w:rsidR="003D7239" w:rsidTr="00856C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10" w:type="dxa"/>
            <w:shd w:val="clear" w:color="auto" w:fill="auto"/>
          </w:tcPr>
          <w:p w:rsidR="003D7239" w:rsidRPr="00741B5A" w:rsidRDefault="003D7239" w:rsidP="003D7239">
            <w:pPr>
              <w:autoSpaceDE w:val="0"/>
              <w:autoSpaceDN w:val="0"/>
              <w:adjustRightInd w:val="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12. Puruándiro </w:t>
            </w:r>
          </w:p>
        </w:tc>
        <w:tc>
          <w:tcPr>
            <w:tcW w:w="1599" w:type="dxa"/>
            <w:shd w:val="clear" w:color="auto" w:fill="auto"/>
          </w:tcPr>
          <w:p w:rsidR="003D7239" w:rsidRPr="00741B5A" w:rsidRDefault="003D7239" w:rsidP="003D723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Michoacán </w:t>
            </w:r>
          </w:p>
        </w:tc>
        <w:tc>
          <w:tcPr>
            <w:tcW w:w="1190" w:type="dxa"/>
            <w:shd w:val="clear" w:color="auto" w:fill="auto"/>
          </w:tcPr>
          <w:p w:rsidR="003D7239" w:rsidRPr="00741B5A" w:rsidRDefault="003D7239" w:rsidP="007901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10</w:t>
            </w:r>
          </w:p>
        </w:tc>
        <w:tc>
          <w:tcPr>
            <w:tcW w:w="1160" w:type="dxa"/>
            <w:shd w:val="clear" w:color="auto" w:fill="auto"/>
          </w:tcPr>
          <w:p w:rsidR="003D7239" w:rsidRPr="00741B5A" w:rsidRDefault="003D7239" w:rsidP="007901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3 – 17</w:t>
            </w:r>
          </w:p>
        </w:tc>
      </w:tr>
      <w:tr w:rsidR="003D7239" w:rsidTr="00856C25">
        <w:trPr>
          <w:jc w:val="center"/>
        </w:trPr>
        <w:tc>
          <w:tcPr>
            <w:cnfStyle w:val="001000000000" w:firstRow="0" w:lastRow="0" w:firstColumn="1" w:lastColumn="0" w:oddVBand="0" w:evenVBand="0" w:oddHBand="0" w:evenHBand="0" w:firstRowFirstColumn="0" w:firstRowLastColumn="0" w:lastRowFirstColumn="0" w:lastRowLastColumn="0"/>
            <w:tcW w:w="3410" w:type="dxa"/>
            <w:tcBorders>
              <w:top w:val="single" w:sz="8" w:space="0" w:color="000000" w:themeColor="text1"/>
              <w:bottom w:val="single" w:sz="8" w:space="0" w:color="000000" w:themeColor="text1"/>
            </w:tcBorders>
            <w:shd w:val="clear" w:color="auto" w:fill="auto"/>
          </w:tcPr>
          <w:p w:rsidR="003D7239" w:rsidRPr="00741B5A" w:rsidRDefault="003D7239" w:rsidP="003D7239">
            <w:pPr>
              <w:autoSpaceDE w:val="0"/>
              <w:autoSpaceDN w:val="0"/>
              <w:adjustRightInd w:val="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13. Volcán Tacaná </w:t>
            </w:r>
          </w:p>
        </w:tc>
        <w:tc>
          <w:tcPr>
            <w:tcW w:w="1599" w:type="dxa"/>
            <w:tcBorders>
              <w:top w:val="single" w:sz="8" w:space="0" w:color="000000" w:themeColor="text1"/>
              <w:bottom w:val="single" w:sz="8" w:space="0" w:color="000000" w:themeColor="text1"/>
            </w:tcBorders>
            <w:shd w:val="clear" w:color="auto" w:fill="auto"/>
          </w:tcPr>
          <w:p w:rsidR="003D7239" w:rsidRPr="00741B5A" w:rsidRDefault="003D7239" w:rsidP="003D723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Chiapas </w:t>
            </w:r>
          </w:p>
        </w:tc>
        <w:tc>
          <w:tcPr>
            <w:tcW w:w="1190" w:type="dxa"/>
            <w:tcBorders>
              <w:top w:val="single" w:sz="8" w:space="0" w:color="000000" w:themeColor="text1"/>
              <w:bottom w:val="single" w:sz="8" w:space="0" w:color="000000" w:themeColor="text1"/>
            </w:tcBorders>
            <w:shd w:val="clear" w:color="auto" w:fill="auto"/>
          </w:tcPr>
          <w:p w:rsidR="003D7239" w:rsidRPr="00741B5A" w:rsidRDefault="003D7239" w:rsidP="007901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60</w:t>
            </w:r>
          </w:p>
        </w:tc>
        <w:tc>
          <w:tcPr>
            <w:tcW w:w="1160" w:type="dxa"/>
            <w:tcBorders>
              <w:top w:val="single" w:sz="8" w:space="0" w:color="000000" w:themeColor="text1"/>
              <w:bottom w:val="single" w:sz="8" w:space="0" w:color="000000" w:themeColor="text1"/>
            </w:tcBorders>
            <w:shd w:val="clear" w:color="auto" w:fill="auto"/>
          </w:tcPr>
          <w:p w:rsidR="003D7239" w:rsidRPr="00741B5A" w:rsidRDefault="003D7239" w:rsidP="007901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21 – 99</w:t>
            </w:r>
          </w:p>
        </w:tc>
      </w:tr>
      <w:tr w:rsidR="003D7239" w:rsidTr="00856C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10" w:type="dxa"/>
            <w:shd w:val="clear" w:color="auto" w:fill="auto"/>
          </w:tcPr>
          <w:p w:rsidR="003D7239" w:rsidRPr="00741B5A" w:rsidRDefault="003D7239" w:rsidP="003D7239">
            <w:pPr>
              <w:autoSpaceDE w:val="0"/>
              <w:autoSpaceDN w:val="0"/>
              <w:adjustRightInd w:val="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14. El Orito-Los Borbollones </w:t>
            </w:r>
          </w:p>
        </w:tc>
        <w:tc>
          <w:tcPr>
            <w:tcW w:w="1599" w:type="dxa"/>
            <w:shd w:val="clear" w:color="auto" w:fill="auto"/>
          </w:tcPr>
          <w:p w:rsidR="003D7239" w:rsidRPr="00741B5A" w:rsidRDefault="003D7239" w:rsidP="003D723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Jalisco </w:t>
            </w:r>
          </w:p>
        </w:tc>
        <w:tc>
          <w:tcPr>
            <w:tcW w:w="1190" w:type="dxa"/>
            <w:shd w:val="clear" w:color="auto" w:fill="auto"/>
          </w:tcPr>
          <w:p w:rsidR="003D7239" w:rsidRPr="00741B5A" w:rsidRDefault="003D7239" w:rsidP="007901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11</w:t>
            </w:r>
          </w:p>
        </w:tc>
        <w:tc>
          <w:tcPr>
            <w:tcW w:w="1160" w:type="dxa"/>
            <w:shd w:val="clear" w:color="auto" w:fill="auto"/>
          </w:tcPr>
          <w:p w:rsidR="003D7239" w:rsidRPr="00741B5A" w:rsidRDefault="003D7239" w:rsidP="007901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1 – 21</w:t>
            </w:r>
          </w:p>
        </w:tc>
      </w:tr>
      <w:tr w:rsidR="003D7239" w:rsidTr="00856C25">
        <w:trPr>
          <w:jc w:val="center"/>
        </w:trPr>
        <w:tc>
          <w:tcPr>
            <w:cnfStyle w:val="001000000000" w:firstRow="0" w:lastRow="0" w:firstColumn="1" w:lastColumn="0" w:oddVBand="0" w:evenVBand="0" w:oddHBand="0" w:evenHBand="0" w:firstRowFirstColumn="0" w:firstRowLastColumn="0" w:lastRowFirstColumn="0" w:lastRowLastColumn="0"/>
            <w:tcW w:w="3410" w:type="dxa"/>
            <w:tcBorders>
              <w:bottom w:val="single" w:sz="8" w:space="0" w:color="000000" w:themeColor="text1"/>
            </w:tcBorders>
            <w:shd w:val="clear" w:color="auto" w:fill="auto"/>
          </w:tcPr>
          <w:p w:rsidR="003D7239" w:rsidRPr="00741B5A" w:rsidRDefault="003D7239" w:rsidP="003D7239">
            <w:pPr>
              <w:autoSpaceDE w:val="0"/>
              <w:autoSpaceDN w:val="0"/>
              <w:adjustRightInd w:val="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15. Santa Cruz de Atistique </w:t>
            </w:r>
          </w:p>
        </w:tc>
        <w:tc>
          <w:tcPr>
            <w:tcW w:w="1599" w:type="dxa"/>
            <w:tcBorders>
              <w:bottom w:val="single" w:sz="8" w:space="0" w:color="000000" w:themeColor="text1"/>
            </w:tcBorders>
            <w:shd w:val="clear" w:color="auto" w:fill="auto"/>
          </w:tcPr>
          <w:p w:rsidR="003D7239" w:rsidRPr="00741B5A" w:rsidRDefault="003D7239" w:rsidP="003D723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Jalisco </w:t>
            </w:r>
          </w:p>
        </w:tc>
        <w:tc>
          <w:tcPr>
            <w:tcW w:w="1190" w:type="dxa"/>
            <w:tcBorders>
              <w:bottom w:val="single" w:sz="8" w:space="0" w:color="000000" w:themeColor="text1"/>
            </w:tcBorders>
            <w:shd w:val="clear" w:color="auto" w:fill="auto"/>
          </w:tcPr>
          <w:p w:rsidR="003D7239" w:rsidRPr="00741B5A" w:rsidRDefault="003D7239" w:rsidP="007901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12</w:t>
            </w:r>
          </w:p>
        </w:tc>
        <w:tc>
          <w:tcPr>
            <w:tcW w:w="1160" w:type="dxa"/>
            <w:tcBorders>
              <w:bottom w:val="single" w:sz="8" w:space="0" w:color="000000" w:themeColor="text1"/>
            </w:tcBorders>
            <w:shd w:val="clear" w:color="auto" w:fill="auto"/>
          </w:tcPr>
          <w:p w:rsidR="003D7239" w:rsidRPr="00741B5A" w:rsidRDefault="003D7239" w:rsidP="007901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2 – 22</w:t>
            </w:r>
          </w:p>
        </w:tc>
      </w:tr>
      <w:tr w:rsidR="003D7239" w:rsidTr="00856C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10" w:type="dxa"/>
            <w:shd w:val="clear" w:color="auto" w:fill="auto"/>
          </w:tcPr>
          <w:p w:rsidR="003D7239" w:rsidRPr="00741B5A" w:rsidRDefault="003D7239" w:rsidP="003D7239">
            <w:pPr>
              <w:autoSpaceDE w:val="0"/>
              <w:autoSpaceDN w:val="0"/>
              <w:adjustRightInd w:val="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16. Volcán Chichonal </w:t>
            </w:r>
          </w:p>
        </w:tc>
        <w:tc>
          <w:tcPr>
            <w:tcW w:w="1599" w:type="dxa"/>
            <w:shd w:val="clear" w:color="auto" w:fill="auto"/>
          </w:tcPr>
          <w:p w:rsidR="003D7239" w:rsidRPr="00741B5A" w:rsidRDefault="003D7239" w:rsidP="003D723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Chiapas </w:t>
            </w:r>
          </w:p>
        </w:tc>
        <w:tc>
          <w:tcPr>
            <w:tcW w:w="1190" w:type="dxa"/>
            <w:shd w:val="clear" w:color="auto" w:fill="auto"/>
          </w:tcPr>
          <w:p w:rsidR="003D7239" w:rsidRPr="00741B5A" w:rsidRDefault="003D7239" w:rsidP="007901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46</w:t>
            </w:r>
          </w:p>
        </w:tc>
        <w:tc>
          <w:tcPr>
            <w:tcW w:w="1160" w:type="dxa"/>
            <w:shd w:val="clear" w:color="auto" w:fill="auto"/>
          </w:tcPr>
          <w:p w:rsidR="003D7239" w:rsidRPr="00741B5A" w:rsidRDefault="003D7239" w:rsidP="007901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9 – 84</w:t>
            </w:r>
          </w:p>
        </w:tc>
      </w:tr>
      <w:tr w:rsidR="003D7239" w:rsidTr="00856C25">
        <w:trPr>
          <w:jc w:val="center"/>
        </w:trPr>
        <w:tc>
          <w:tcPr>
            <w:cnfStyle w:val="001000000000" w:firstRow="0" w:lastRow="0" w:firstColumn="1" w:lastColumn="0" w:oddVBand="0" w:evenVBand="0" w:oddHBand="0" w:evenHBand="0" w:firstRowFirstColumn="0" w:firstRowLastColumn="0" w:lastRowFirstColumn="0" w:lastRowLastColumn="0"/>
            <w:tcW w:w="3410" w:type="dxa"/>
            <w:tcBorders>
              <w:top w:val="single" w:sz="8" w:space="0" w:color="000000" w:themeColor="text1"/>
              <w:bottom w:val="single" w:sz="8" w:space="0" w:color="000000" w:themeColor="text1"/>
            </w:tcBorders>
            <w:shd w:val="clear" w:color="auto" w:fill="auto"/>
          </w:tcPr>
          <w:p w:rsidR="003D7239" w:rsidRPr="00741B5A" w:rsidRDefault="003D7239" w:rsidP="003D7239">
            <w:pPr>
              <w:autoSpaceDE w:val="0"/>
              <w:autoSpaceDN w:val="0"/>
              <w:adjustRightInd w:val="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17. Hervores de la Vega </w:t>
            </w:r>
          </w:p>
        </w:tc>
        <w:tc>
          <w:tcPr>
            <w:tcW w:w="1599" w:type="dxa"/>
            <w:tcBorders>
              <w:top w:val="single" w:sz="8" w:space="0" w:color="000000" w:themeColor="text1"/>
              <w:bottom w:val="single" w:sz="8" w:space="0" w:color="000000" w:themeColor="text1"/>
            </w:tcBorders>
            <w:shd w:val="clear" w:color="auto" w:fill="auto"/>
          </w:tcPr>
          <w:p w:rsidR="003D7239" w:rsidRPr="00741B5A" w:rsidRDefault="003D7239" w:rsidP="003D723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Jalisco </w:t>
            </w:r>
          </w:p>
        </w:tc>
        <w:tc>
          <w:tcPr>
            <w:tcW w:w="1190" w:type="dxa"/>
            <w:tcBorders>
              <w:top w:val="single" w:sz="8" w:space="0" w:color="000000" w:themeColor="text1"/>
              <w:bottom w:val="single" w:sz="8" w:space="0" w:color="000000" w:themeColor="text1"/>
            </w:tcBorders>
            <w:shd w:val="clear" w:color="auto" w:fill="auto"/>
          </w:tcPr>
          <w:p w:rsidR="003D7239" w:rsidRPr="00741B5A" w:rsidRDefault="003D7239" w:rsidP="007901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45</w:t>
            </w:r>
          </w:p>
        </w:tc>
        <w:tc>
          <w:tcPr>
            <w:tcW w:w="1160" w:type="dxa"/>
            <w:tcBorders>
              <w:top w:val="single" w:sz="8" w:space="0" w:color="000000" w:themeColor="text1"/>
              <w:bottom w:val="single" w:sz="8" w:space="0" w:color="000000" w:themeColor="text1"/>
            </w:tcBorders>
            <w:shd w:val="clear" w:color="auto" w:fill="auto"/>
          </w:tcPr>
          <w:p w:rsidR="003D7239" w:rsidRPr="00741B5A" w:rsidRDefault="003D7239" w:rsidP="007901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20 – 71</w:t>
            </w:r>
          </w:p>
        </w:tc>
      </w:tr>
      <w:tr w:rsidR="003D7239" w:rsidTr="00856C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10" w:type="dxa"/>
            <w:shd w:val="clear" w:color="auto" w:fill="auto"/>
          </w:tcPr>
          <w:p w:rsidR="003D7239" w:rsidRPr="00741B5A" w:rsidRDefault="003D7239" w:rsidP="003D7239">
            <w:pPr>
              <w:autoSpaceDE w:val="0"/>
              <w:autoSpaceDN w:val="0"/>
              <w:adjustRightInd w:val="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18. Los Hervores-El Molote </w:t>
            </w:r>
          </w:p>
        </w:tc>
        <w:tc>
          <w:tcPr>
            <w:tcW w:w="1599" w:type="dxa"/>
            <w:shd w:val="clear" w:color="auto" w:fill="auto"/>
          </w:tcPr>
          <w:p w:rsidR="003D7239" w:rsidRPr="00741B5A" w:rsidRDefault="003D7239" w:rsidP="003D723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Nayarit </w:t>
            </w:r>
          </w:p>
        </w:tc>
        <w:tc>
          <w:tcPr>
            <w:tcW w:w="1190" w:type="dxa"/>
            <w:shd w:val="clear" w:color="auto" w:fill="auto"/>
          </w:tcPr>
          <w:p w:rsidR="003D7239" w:rsidRPr="00741B5A" w:rsidRDefault="003D7239" w:rsidP="007901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36</w:t>
            </w:r>
          </w:p>
        </w:tc>
        <w:tc>
          <w:tcPr>
            <w:tcW w:w="1160" w:type="dxa"/>
            <w:shd w:val="clear" w:color="auto" w:fill="auto"/>
          </w:tcPr>
          <w:p w:rsidR="003D7239" w:rsidRPr="00741B5A" w:rsidRDefault="003D7239" w:rsidP="007901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12 – 59</w:t>
            </w:r>
          </w:p>
        </w:tc>
      </w:tr>
      <w:tr w:rsidR="003D7239" w:rsidRPr="003D7239" w:rsidTr="00856C25">
        <w:trPr>
          <w:jc w:val="center"/>
        </w:trPr>
        <w:tc>
          <w:tcPr>
            <w:cnfStyle w:val="001000000000" w:firstRow="0" w:lastRow="0" w:firstColumn="1" w:lastColumn="0" w:oddVBand="0" w:evenVBand="0" w:oddHBand="0" w:evenHBand="0" w:firstRowFirstColumn="0" w:firstRowLastColumn="0" w:lastRowFirstColumn="0" w:lastRowLastColumn="0"/>
            <w:tcW w:w="3410" w:type="dxa"/>
            <w:shd w:val="clear" w:color="auto" w:fill="auto"/>
          </w:tcPr>
          <w:p w:rsidR="003D7239" w:rsidRPr="00741B5A" w:rsidRDefault="003D7239" w:rsidP="003D7239">
            <w:pPr>
              <w:autoSpaceDE w:val="0"/>
              <w:autoSpaceDN w:val="0"/>
              <w:adjustRightInd w:val="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19. San Bartolomé de los Baños </w:t>
            </w:r>
          </w:p>
        </w:tc>
        <w:tc>
          <w:tcPr>
            <w:tcW w:w="1599" w:type="dxa"/>
            <w:shd w:val="clear" w:color="auto" w:fill="auto"/>
          </w:tcPr>
          <w:p w:rsidR="003D7239" w:rsidRPr="00741B5A" w:rsidRDefault="003D7239" w:rsidP="003D723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Guanajuato </w:t>
            </w:r>
          </w:p>
        </w:tc>
        <w:tc>
          <w:tcPr>
            <w:tcW w:w="1190" w:type="dxa"/>
            <w:shd w:val="clear" w:color="auto" w:fill="auto"/>
          </w:tcPr>
          <w:p w:rsidR="003D7239" w:rsidRPr="00741B5A" w:rsidRDefault="003D7239" w:rsidP="007901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7</w:t>
            </w:r>
          </w:p>
        </w:tc>
        <w:tc>
          <w:tcPr>
            <w:tcW w:w="1160" w:type="dxa"/>
            <w:shd w:val="clear" w:color="auto" w:fill="auto"/>
          </w:tcPr>
          <w:p w:rsidR="003D7239" w:rsidRPr="00741B5A" w:rsidRDefault="003D7239" w:rsidP="007901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3 – 12</w:t>
            </w:r>
          </w:p>
        </w:tc>
      </w:tr>
      <w:tr w:rsidR="003D7239" w:rsidTr="00856C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10" w:type="dxa"/>
          </w:tcPr>
          <w:p w:rsidR="003D7239" w:rsidRPr="00741B5A" w:rsidRDefault="003D7239" w:rsidP="003D7239">
            <w:pPr>
              <w:autoSpaceDE w:val="0"/>
              <w:autoSpaceDN w:val="0"/>
              <w:adjustRightInd w:val="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20. Santiago Papasquiaro </w:t>
            </w:r>
          </w:p>
        </w:tc>
        <w:tc>
          <w:tcPr>
            <w:tcW w:w="1599" w:type="dxa"/>
          </w:tcPr>
          <w:p w:rsidR="003D7239" w:rsidRPr="00741B5A" w:rsidRDefault="003D7239" w:rsidP="003D723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Durango </w:t>
            </w:r>
          </w:p>
        </w:tc>
        <w:tc>
          <w:tcPr>
            <w:tcW w:w="1190" w:type="dxa"/>
          </w:tcPr>
          <w:p w:rsidR="003D7239" w:rsidRPr="00741B5A" w:rsidRDefault="003D7239" w:rsidP="007901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4</w:t>
            </w:r>
          </w:p>
        </w:tc>
        <w:tc>
          <w:tcPr>
            <w:tcW w:w="1160" w:type="dxa"/>
          </w:tcPr>
          <w:p w:rsidR="003D7239" w:rsidRPr="00741B5A" w:rsidRDefault="003D7239" w:rsidP="007901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1 – 7</w:t>
            </w:r>
          </w:p>
        </w:tc>
      </w:tr>
    </w:tbl>
    <w:p w:rsidR="00843F15" w:rsidRPr="00856C25" w:rsidRDefault="00F11024" w:rsidP="00843F15">
      <w:pPr>
        <w:pStyle w:val="Paragraph"/>
        <w:numPr>
          <w:ilvl w:val="0"/>
          <w:numId w:val="0"/>
        </w:numPr>
        <w:spacing w:after="80"/>
        <w:ind w:left="1152"/>
        <w:rPr>
          <w:u w:val="single"/>
        </w:rPr>
      </w:pPr>
      <w:r w:rsidRPr="00856C25">
        <w:rPr>
          <w:u w:val="single"/>
        </w:rPr>
        <w:t>For practical purposes, the analysis assumes</w:t>
      </w:r>
      <w:r w:rsidR="00843F15" w:rsidRPr="00856C25">
        <w:rPr>
          <w:u w:val="single"/>
        </w:rPr>
        <w:t xml:space="preserve"> </w:t>
      </w:r>
      <w:r w:rsidRPr="00856C25">
        <w:rPr>
          <w:u w:val="single"/>
        </w:rPr>
        <w:t>the 300 MW will be developed in</w:t>
      </w:r>
      <w:r w:rsidR="00843F15" w:rsidRPr="00856C25">
        <w:rPr>
          <w:u w:val="single"/>
        </w:rPr>
        <w:t xml:space="preserve"> </w:t>
      </w:r>
      <w:r w:rsidR="00331080" w:rsidRPr="00856C25">
        <w:rPr>
          <w:u w:val="single"/>
        </w:rPr>
        <w:t>six</w:t>
      </w:r>
      <w:r w:rsidR="00843F15" w:rsidRPr="00856C25">
        <w:rPr>
          <w:u w:val="single"/>
        </w:rPr>
        <w:t xml:space="preserve"> </w:t>
      </w:r>
      <w:r w:rsidR="00331080" w:rsidRPr="00856C25">
        <w:rPr>
          <w:u w:val="single"/>
        </w:rPr>
        <w:t xml:space="preserve">geothermal </w:t>
      </w:r>
      <w:r w:rsidR="00843F15" w:rsidRPr="00856C25">
        <w:rPr>
          <w:u w:val="single"/>
        </w:rPr>
        <w:t xml:space="preserve">plants, </w:t>
      </w:r>
      <w:r w:rsidR="00331080" w:rsidRPr="00856C25">
        <w:rPr>
          <w:u w:val="single"/>
        </w:rPr>
        <w:t>with an average of</w:t>
      </w:r>
      <w:r w:rsidR="00843F15" w:rsidRPr="00856C25">
        <w:rPr>
          <w:u w:val="single"/>
        </w:rPr>
        <w:t xml:space="preserve"> 5</w:t>
      </w:r>
      <w:r w:rsidR="00E01EF3" w:rsidRPr="00856C25">
        <w:rPr>
          <w:u w:val="single"/>
        </w:rPr>
        <w:t>0</w:t>
      </w:r>
      <w:r w:rsidR="00843F15" w:rsidRPr="00856C25">
        <w:rPr>
          <w:u w:val="single"/>
        </w:rPr>
        <w:t xml:space="preserve"> M</w:t>
      </w:r>
      <w:r w:rsidRPr="00856C25">
        <w:rPr>
          <w:u w:val="single"/>
        </w:rPr>
        <w:t>W</w:t>
      </w:r>
      <w:r w:rsidR="00843F15" w:rsidRPr="00856C25">
        <w:rPr>
          <w:u w:val="single"/>
        </w:rPr>
        <w:t xml:space="preserve"> </w:t>
      </w:r>
      <w:r w:rsidR="00331080" w:rsidRPr="00856C25">
        <w:rPr>
          <w:u w:val="single"/>
        </w:rPr>
        <w:t xml:space="preserve">of capacity </w:t>
      </w:r>
      <w:r w:rsidR="00843F15" w:rsidRPr="00856C25">
        <w:rPr>
          <w:u w:val="single"/>
        </w:rPr>
        <w:t>installed</w:t>
      </w:r>
      <w:r w:rsidR="00331080" w:rsidRPr="00856C25">
        <w:rPr>
          <w:u w:val="single"/>
        </w:rPr>
        <w:t xml:space="preserve"> each</w:t>
      </w:r>
      <w:r w:rsidR="00843F15" w:rsidRPr="00856C25">
        <w:rPr>
          <w:u w:val="single"/>
        </w:rPr>
        <w:t xml:space="preserve">. </w:t>
      </w:r>
      <w:r w:rsidR="009C7DAF" w:rsidRPr="00856C25">
        <w:rPr>
          <w:u w:val="single"/>
        </w:rPr>
        <w:t xml:space="preserve">The program will in fact finance </w:t>
      </w:r>
      <w:r w:rsidR="008D7C43" w:rsidRPr="00856C25">
        <w:rPr>
          <w:u w:val="single"/>
        </w:rPr>
        <w:t xml:space="preserve">up to 15 projects of which the remaining 9 will fail to reach a commercial stage of power generation. </w:t>
      </w:r>
    </w:p>
    <w:p w:rsidR="00306FA7" w:rsidRPr="00856C25" w:rsidRDefault="009C7DAF" w:rsidP="00856C25">
      <w:pPr>
        <w:pStyle w:val="Paragraph"/>
        <w:numPr>
          <w:ilvl w:val="0"/>
          <w:numId w:val="11"/>
        </w:numPr>
        <w:spacing w:after="80"/>
        <w:rPr>
          <w:b/>
          <w:u w:val="single"/>
        </w:rPr>
      </w:pPr>
      <w:r>
        <w:rPr>
          <w:b/>
          <w:u w:val="single"/>
        </w:rPr>
        <w:t>G</w:t>
      </w:r>
      <w:r w:rsidR="00306FA7">
        <w:rPr>
          <w:b/>
          <w:u w:val="single"/>
        </w:rPr>
        <w:t>eothermal power generation</w:t>
      </w:r>
      <w:r w:rsidR="00B76D84">
        <w:rPr>
          <w:b/>
          <w:u w:val="single"/>
        </w:rPr>
        <w:t xml:space="preserve"> </w:t>
      </w:r>
    </w:p>
    <w:p w:rsidR="00F67DAC" w:rsidRPr="00856C25" w:rsidRDefault="00F12F23" w:rsidP="00921FA1">
      <w:pPr>
        <w:pStyle w:val="Paragraph"/>
        <w:numPr>
          <w:ilvl w:val="0"/>
          <w:numId w:val="5"/>
        </w:numPr>
        <w:spacing w:after="80"/>
        <w:rPr>
          <w:u w:val="single"/>
        </w:rPr>
      </w:pPr>
      <w:r w:rsidRPr="00F12F23">
        <w:t xml:space="preserve"> The </w:t>
      </w:r>
      <w:r w:rsidR="008D7C43">
        <w:t>development</w:t>
      </w:r>
      <w:r w:rsidR="00F67DAC">
        <w:t xml:space="preserve"> of a geothermal power plant can be divided </w:t>
      </w:r>
      <w:r w:rsidR="00331080">
        <w:t>into</w:t>
      </w:r>
      <w:r w:rsidR="008D7C43">
        <w:t xml:space="preserve"> four stages</w:t>
      </w:r>
      <w:r w:rsidR="00F67DAC">
        <w:t xml:space="preserve">: Exploration, Confirmation and Drilling, Construction, and Operation and Maintenance. </w:t>
      </w:r>
    </w:p>
    <w:p w:rsidR="00C31669" w:rsidRPr="00E5036C" w:rsidRDefault="009B3E7B" w:rsidP="00C31669">
      <w:pPr>
        <w:pStyle w:val="Paragraph"/>
        <w:numPr>
          <w:ilvl w:val="0"/>
          <w:numId w:val="0"/>
        </w:numPr>
        <w:spacing w:after="80"/>
        <w:ind w:left="2520" w:firstLine="360"/>
        <w:rPr>
          <w:b/>
          <w:sz w:val="20"/>
          <w:szCs w:val="20"/>
          <w:u w:val="single"/>
        </w:rPr>
      </w:pPr>
      <w:r>
        <w:rPr>
          <w:b/>
          <w:sz w:val="20"/>
          <w:szCs w:val="20"/>
        </w:rPr>
        <w:t>Figure</w:t>
      </w:r>
      <w:r w:rsidR="00C31669" w:rsidRPr="00E5036C">
        <w:rPr>
          <w:b/>
          <w:sz w:val="20"/>
          <w:szCs w:val="20"/>
        </w:rPr>
        <w:t xml:space="preserve"> 2.1. Phases of a geothermal project</w:t>
      </w:r>
    </w:p>
    <w:p w:rsidR="00D93530" w:rsidRPr="00F12F23" w:rsidRDefault="00F12F23" w:rsidP="00D35B7B">
      <w:pPr>
        <w:pStyle w:val="Paragraph"/>
        <w:numPr>
          <w:ilvl w:val="0"/>
          <w:numId w:val="0"/>
        </w:numPr>
        <w:spacing w:after="80"/>
        <w:ind w:left="-720"/>
        <w:rPr>
          <w:u w:val="single"/>
        </w:rPr>
      </w:pPr>
      <w:r w:rsidRPr="00D93530">
        <w:rPr>
          <w:noProof/>
        </w:rPr>
        <w:lastRenderedPageBreak/>
        <w:drawing>
          <wp:inline distT="0" distB="0" distL="0" distR="0" wp14:anchorId="31922BCE" wp14:editId="4FA74C23">
            <wp:extent cx="6791325" cy="2124075"/>
            <wp:effectExtent l="0" t="0" r="952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bl>
      <w:tblPr>
        <w:tblStyle w:val="TableGrid"/>
        <w:tblW w:w="10170" w:type="dxa"/>
        <w:tblInd w:w="-61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20"/>
        <w:gridCol w:w="2610"/>
        <w:gridCol w:w="2610"/>
        <w:gridCol w:w="2430"/>
      </w:tblGrid>
      <w:tr w:rsidR="00B8466F" w:rsidTr="00856C25">
        <w:tc>
          <w:tcPr>
            <w:tcW w:w="2520" w:type="dxa"/>
            <w:shd w:val="clear" w:color="auto" w:fill="DBE5F1" w:themeFill="accent1" w:themeFillTint="33"/>
          </w:tcPr>
          <w:p w:rsidR="00B8466F" w:rsidRPr="00856C25" w:rsidRDefault="00331080" w:rsidP="00E5036C">
            <w:pPr>
              <w:pStyle w:val="Paragraph"/>
              <w:numPr>
                <w:ilvl w:val="0"/>
                <w:numId w:val="0"/>
              </w:numPr>
              <w:spacing w:before="0" w:after="0"/>
              <w:jc w:val="center"/>
              <w:rPr>
                <w:sz w:val="16"/>
              </w:rPr>
            </w:pPr>
            <w:r w:rsidRPr="00856C25">
              <w:rPr>
                <w:sz w:val="16"/>
              </w:rPr>
              <w:t>≈</w:t>
            </w:r>
            <w:r w:rsidR="00B8466F" w:rsidRPr="00856C25">
              <w:rPr>
                <w:sz w:val="16"/>
              </w:rPr>
              <w:t xml:space="preserve">2 </w:t>
            </w:r>
            <w:r w:rsidRPr="00856C25">
              <w:rPr>
                <w:sz w:val="16"/>
              </w:rPr>
              <w:t>y</w:t>
            </w:r>
            <w:r w:rsidR="00B8466F" w:rsidRPr="00856C25">
              <w:rPr>
                <w:sz w:val="16"/>
              </w:rPr>
              <w:t>ears</w:t>
            </w:r>
          </w:p>
        </w:tc>
        <w:tc>
          <w:tcPr>
            <w:tcW w:w="2610" w:type="dxa"/>
            <w:shd w:val="clear" w:color="auto" w:fill="DBE5F1" w:themeFill="accent1" w:themeFillTint="33"/>
          </w:tcPr>
          <w:p w:rsidR="00B8466F" w:rsidRPr="00856C25" w:rsidRDefault="00331080" w:rsidP="00E5036C">
            <w:pPr>
              <w:pStyle w:val="Paragraph"/>
              <w:numPr>
                <w:ilvl w:val="0"/>
                <w:numId w:val="0"/>
              </w:numPr>
              <w:spacing w:before="0" w:after="0"/>
              <w:jc w:val="center"/>
              <w:rPr>
                <w:sz w:val="16"/>
              </w:rPr>
            </w:pPr>
            <w:r w:rsidRPr="00856C25">
              <w:rPr>
                <w:sz w:val="16"/>
              </w:rPr>
              <w:t>≈</w:t>
            </w:r>
            <w:r w:rsidR="00B8466F" w:rsidRPr="00856C25">
              <w:rPr>
                <w:sz w:val="16"/>
              </w:rPr>
              <w:t xml:space="preserve">4 </w:t>
            </w:r>
            <w:r w:rsidRPr="00856C25">
              <w:rPr>
                <w:sz w:val="16"/>
              </w:rPr>
              <w:t>y</w:t>
            </w:r>
            <w:r w:rsidR="00B8466F" w:rsidRPr="00856C25">
              <w:rPr>
                <w:sz w:val="16"/>
              </w:rPr>
              <w:t>ears</w:t>
            </w:r>
          </w:p>
        </w:tc>
        <w:tc>
          <w:tcPr>
            <w:tcW w:w="2610" w:type="dxa"/>
            <w:shd w:val="clear" w:color="auto" w:fill="DBE5F1" w:themeFill="accent1" w:themeFillTint="33"/>
          </w:tcPr>
          <w:p w:rsidR="00B8466F" w:rsidRPr="00856C25" w:rsidRDefault="00331080" w:rsidP="00B8466F">
            <w:pPr>
              <w:pStyle w:val="Paragraph"/>
              <w:numPr>
                <w:ilvl w:val="0"/>
                <w:numId w:val="0"/>
              </w:numPr>
              <w:spacing w:before="0" w:after="0"/>
              <w:jc w:val="center"/>
              <w:rPr>
                <w:sz w:val="16"/>
              </w:rPr>
            </w:pPr>
            <w:r w:rsidRPr="00856C25">
              <w:rPr>
                <w:sz w:val="16"/>
              </w:rPr>
              <w:t>≈</w:t>
            </w:r>
            <w:r w:rsidR="00B8466F" w:rsidRPr="00856C25">
              <w:rPr>
                <w:sz w:val="16"/>
              </w:rPr>
              <w:t xml:space="preserve">3 </w:t>
            </w:r>
            <w:r w:rsidRPr="00856C25">
              <w:rPr>
                <w:sz w:val="16"/>
              </w:rPr>
              <w:t>y</w:t>
            </w:r>
            <w:r w:rsidR="00B8466F" w:rsidRPr="00856C25">
              <w:rPr>
                <w:sz w:val="16"/>
              </w:rPr>
              <w:t>ears</w:t>
            </w:r>
          </w:p>
        </w:tc>
        <w:tc>
          <w:tcPr>
            <w:tcW w:w="2430" w:type="dxa"/>
            <w:shd w:val="clear" w:color="auto" w:fill="DBE5F1" w:themeFill="accent1" w:themeFillTint="33"/>
          </w:tcPr>
          <w:p w:rsidR="00B8466F" w:rsidRPr="00856C25" w:rsidRDefault="00B8466F" w:rsidP="00E5036C">
            <w:pPr>
              <w:pStyle w:val="Paragraph"/>
              <w:numPr>
                <w:ilvl w:val="0"/>
                <w:numId w:val="0"/>
              </w:numPr>
              <w:spacing w:before="0" w:after="0"/>
              <w:jc w:val="center"/>
              <w:rPr>
                <w:sz w:val="16"/>
              </w:rPr>
            </w:pPr>
            <w:r w:rsidRPr="00856C25">
              <w:rPr>
                <w:sz w:val="16"/>
              </w:rPr>
              <w:t>30</w:t>
            </w:r>
            <w:r w:rsidR="00331080" w:rsidRPr="00856C25">
              <w:rPr>
                <w:sz w:val="16"/>
              </w:rPr>
              <w:t>+ years</w:t>
            </w:r>
          </w:p>
        </w:tc>
      </w:tr>
    </w:tbl>
    <w:p w:rsidR="00E558C4" w:rsidRDefault="00E558C4" w:rsidP="00E558C4">
      <w:pPr>
        <w:pStyle w:val="Paragraph"/>
        <w:numPr>
          <w:ilvl w:val="0"/>
          <w:numId w:val="0"/>
        </w:numPr>
        <w:spacing w:after="80"/>
      </w:pPr>
    </w:p>
    <w:p w:rsidR="0073425E" w:rsidRDefault="00331080" w:rsidP="00921FA1">
      <w:pPr>
        <w:pStyle w:val="Paragraph"/>
        <w:numPr>
          <w:ilvl w:val="0"/>
          <w:numId w:val="5"/>
        </w:numPr>
        <w:spacing w:after="80"/>
      </w:pPr>
      <w:r>
        <w:t>In accordance with the program targets,</w:t>
      </w:r>
      <w:r w:rsidR="00555E80">
        <w:t xml:space="preserve"> </w:t>
      </w:r>
      <w:r>
        <w:t>six (</w:t>
      </w:r>
      <w:r w:rsidR="006067B5">
        <w:t>6</w:t>
      </w:r>
      <w:r>
        <w:t>)</w:t>
      </w:r>
      <w:r w:rsidR="00DD79B1">
        <w:t xml:space="preserve"> </w:t>
      </w:r>
      <w:r>
        <w:t>of the</w:t>
      </w:r>
      <w:r w:rsidR="00555E80">
        <w:t xml:space="preserve"> </w:t>
      </w:r>
      <w:r w:rsidR="006067B5">
        <w:t xml:space="preserve">geothermal </w:t>
      </w:r>
      <w:r>
        <w:t xml:space="preserve">projects that will be </w:t>
      </w:r>
      <w:r w:rsidR="006067B5">
        <w:t xml:space="preserve">financed at some stage by the program </w:t>
      </w:r>
      <w:r>
        <w:t>will be successful, i.e. they will move on from exploration and production drilling to</w:t>
      </w:r>
      <w:r w:rsidR="006067B5">
        <w:t xml:space="preserve"> operation (</w:t>
      </w:r>
      <w:r>
        <w:t xml:space="preserve">they will end up </w:t>
      </w:r>
      <w:r w:rsidR="006067B5">
        <w:t xml:space="preserve">producing electricity). </w:t>
      </w:r>
      <w:r>
        <w:t>For the purpose of this analysis,</w:t>
      </w:r>
      <w:r w:rsidR="008F13A5">
        <w:t xml:space="preserve"> we assume the </w:t>
      </w:r>
      <w:r>
        <w:t xml:space="preserve">following </w:t>
      </w:r>
      <w:r w:rsidR="008F13A5">
        <w:t xml:space="preserve">calendar: </w:t>
      </w:r>
    </w:p>
    <w:p w:rsidR="00C31669" w:rsidRPr="00E5036C" w:rsidRDefault="00C31669" w:rsidP="00F76568">
      <w:pPr>
        <w:pStyle w:val="Paragraph"/>
        <w:numPr>
          <w:ilvl w:val="0"/>
          <w:numId w:val="0"/>
        </w:numPr>
        <w:spacing w:after="80"/>
        <w:ind w:left="1440" w:firstLine="360"/>
        <w:rPr>
          <w:b/>
          <w:sz w:val="20"/>
          <w:szCs w:val="20"/>
          <w:u w:val="single"/>
        </w:rPr>
      </w:pPr>
      <w:r w:rsidRPr="00E5036C">
        <w:rPr>
          <w:b/>
          <w:sz w:val="20"/>
          <w:szCs w:val="20"/>
        </w:rPr>
        <w:t>Table 2.</w:t>
      </w:r>
      <w:r w:rsidR="00250D96">
        <w:rPr>
          <w:b/>
          <w:sz w:val="20"/>
          <w:szCs w:val="20"/>
        </w:rPr>
        <w:t>3</w:t>
      </w:r>
      <w:r w:rsidRPr="00E5036C">
        <w:rPr>
          <w:b/>
          <w:sz w:val="20"/>
          <w:szCs w:val="20"/>
        </w:rPr>
        <w:t xml:space="preserve">. </w:t>
      </w:r>
      <w:r w:rsidR="00F76568" w:rsidRPr="00E5036C">
        <w:rPr>
          <w:b/>
          <w:sz w:val="20"/>
          <w:szCs w:val="20"/>
        </w:rPr>
        <w:t>Calendar of implementation of the program</w:t>
      </w:r>
    </w:p>
    <w:tbl>
      <w:tblPr>
        <w:tblStyle w:val="LightList"/>
        <w:tblW w:w="9468" w:type="dxa"/>
        <w:tblInd w:w="-612" w:type="dxa"/>
        <w:tblLayout w:type="fixed"/>
        <w:tblLook w:val="04A0" w:firstRow="1" w:lastRow="0" w:firstColumn="1" w:lastColumn="0" w:noHBand="0" w:noVBand="1"/>
      </w:tblPr>
      <w:tblGrid>
        <w:gridCol w:w="1447"/>
        <w:gridCol w:w="707"/>
        <w:gridCol w:w="707"/>
        <w:gridCol w:w="708"/>
        <w:gridCol w:w="708"/>
        <w:gridCol w:w="708"/>
        <w:gridCol w:w="630"/>
        <w:gridCol w:w="630"/>
        <w:gridCol w:w="630"/>
        <w:gridCol w:w="634"/>
        <w:gridCol w:w="653"/>
        <w:gridCol w:w="653"/>
        <w:gridCol w:w="653"/>
      </w:tblGrid>
      <w:tr w:rsidR="00BD4CB4" w:rsidTr="00856C25">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447" w:type="dxa"/>
            <w:vAlign w:val="center"/>
          </w:tcPr>
          <w:p w:rsidR="00BD4CB4" w:rsidRPr="00741B5A" w:rsidRDefault="00BD4CB4" w:rsidP="00A73B35">
            <w:pPr>
              <w:pStyle w:val="Paragraph"/>
              <w:numPr>
                <w:ilvl w:val="0"/>
                <w:numId w:val="0"/>
              </w:numPr>
              <w:spacing w:before="0" w:after="0"/>
              <w:jc w:val="center"/>
              <w:rPr>
                <w:sz w:val="20"/>
                <w:szCs w:val="20"/>
              </w:rPr>
            </w:pPr>
            <w:r w:rsidRPr="00741B5A">
              <w:rPr>
                <w:sz w:val="20"/>
                <w:szCs w:val="20"/>
              </w:rPr>
              <w:t>Project</w:t>
            </w:r>
          </w:p>
        </w:tc>
        <w:tc>
          <w:tcPr>
            <w:tcW w:w="707" w:type="dxa"/>
            <w:tcBorders>
              <w:bottom w:val="single" w:sz="8" w:space="0" w:color="000000" w:themeColor="text1"/>
            </w:tcBorders>
            <w:vAlign w:val="center"/>
          </w:tcPr>
          <w:p w:rsidR="00BD4CB4" w:rsidRPr="00741B5A" w:rsidRDefault="00BD4CB4" w:rsidP="00A73B35">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741B5A">
              <w:rPr>
                <w:sz w:val="20"/>
                <w:szCs w:val="20"/>
              </w:rPr>
              <w:t>2015</w:t>
            </w:r>
          </w:p>
        </w:tc>
        <w:tc>
          <w:tcPr>
            <w:tcW w:w="707" w:type="dxa"/>
            <w:tcBorders>
              <w:bottom w:val="single" w:sz="8" w:space="0" w:color="000000" w:themeColor="text1"/>
            </w:tcBorders>
            <w:vAlign w:val="center"/>
          </w:tcPr>
          <w:p w:rsidR="00BD4CB4" w:rsidRPr="00741B5A" w:rsidRDefault="00BD4CB4" w:rsidP="00A73B35">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741B5A">
              <w:rPr>
                <w:sz w:val="20"/>
                <w:szCs w:val="20"/>
              </w:rPr>
              <w:t>2016</w:t>
            </w:r>
          </w:p>
        </w:tc>
        <w:tc>
          <w:tcPr>
            <w:tcW w:w="708" w:type="dxa"/>
            <w:tcBorders>
              <w:bottom w:val="single" w:sz="8" w:space="0" w:color="000000" w:themeColor="text1"/>
            </w:tcBorders>
            <w:vAlign w:val="center"/>
          </w:tcPr>
          <w:p w:rsidR="00BD4CB4" w:rsidRPr="00741B5A" w:rsidRDefault="00BD4CB4" w:rsidP="00A73B35">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741B5A">
              <w:rPr>
                <w:sz w:val="20"/>
                <w:szCs w:val="20"/>
              </w:rPr>
              <w:t>2017</w:t>
            </w:r>
          </w:p>
        </w:tc>
        <w:tc>
          <w:tcPr>
            <w:tcW w:w="708" w:type="dxa"/>
            <w:tcBorders>
              <w:bottom w:val="single" w:sz="8" w:space="0" w:color="000000" w:themeColor="text1"/>
            </w:tcBorders>
            <w:vAlign w:val="center"/>
          </w:tcPr>
          <w:p w:rsidR="00BD4CB4" w:rsidRPr="00741B5A" w:rsidRDefault="00BD4CB4" w:rsidP="00A73B35">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741B5A">
              <w:rPr>
                <w:sz w:val="20"/>
                <w:szCs w:val="20"/>
              </w:rPr>
              <w:t>2018</w:t>
            </w:r>
          </w:p>
        </w:tc>
        <w:tc>
          <w:tcPr>
            <w:tcW w:w="708" w:type="dxa"/>
            <w:tcBorders>
              <w:bottom w:val="single" w:sz="8" w:space="0" w:color="000000" w:themeColor="text1"/>
            </w:tcBorders>
            <w:vAlign w:val="center"/>
          </w:tcPr>
          <w:p w:rsidR="00BD4CB4" w:rsidRPr="00741B5A" w:rsidRDefault="00BD4CB4" w:rsidP="00A73B35">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741B5A">
              <w:rPr>
                <w:sz w:val="20"/>
                <w:szCs w:val="20"/>
              </w:rPr>
              <w:t>2019</w:t>
            </w:r>
          </w:p>
        </w:tc>
        <w:tc>
          <w:tcPr>
            <w:tcW w:w="630" w:type="dxa"/>
            <w:tcBorders>
              <w:bottom w:val="single" w:sz="8" w:space="0" w:color="000000" w:themeColor="text1"/>
            </w:tcBorders>
            <w:vAlign w:val="center"/>
          </w:tcPr>
          <w:p w:rsidR="00BD4CB4" w:rsidRPr="00741B5A" w:rsidRDefault="00BD4CB4" w:rsidP="00A73B35">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741B5A">
              <w:rPr>
                <w:sz w:val="20"/>
                <w:szCs w:val="20"/>
              </w:rPr>
              <w:t>2020</w:t>
            </w:r>
          </w:p>
        </w:tc>
        <w:tc>
          <w:tcPr>
            <w:tcW w:w="630" w:type="dxa"/>
            <w:tcBorders>
              <w:bottom w:val="single" w:sz="8" w:space="0" w:color="000000" w:themeColor="text1"/>
            </w:tcBorders>
            <w:vAlign w:val="center"/>
          </w:tcPr>
          <w:p w:rsidR="00BD4CB4" w:rsidRPr="00741B5A" w:rsidRDefault="00BD4CB4" w:rsidP="00A73B35">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741B5A">
              <w:rPr>
                <w:sz w:val="20"/>
                <w:szCs w:val="20"/>
              </w:rPr>
              <w:t>2021</w:t>
            </w:r>
          </w:p>
        </w:tc>
        <w:tc>
          <w:tcPr>
            <w:tcW w:w="630" w:type="dxa"/>
            <w:tcBorders>
              <w:bottom w:val="single" w:sz="8" w:space="0" w:color="000000" w:themeColor="text1"/>
            </w:tcBorders>
            <w:vAlign w:val="center"/>
          </w:tcPr>
          <w:p w:rsidR="00BD4CB4" w:rsidRPr="00741B5A" w:rsidRDefault="00BD4CB4" w:rsidP="00A73B35">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741B5A">
              <w:rPr>
                <w:sz w:val="20"/>
                <w:szCs w:val="20"/>
              </w:rPr>
              <w:t>2022</w:t>
            </w:r>
          </w:p>
        </w:tc>
        <w:tc>
          <w:tcPr>
            <w:tcW w:w="634" w:type="dxa"/>
            <w:tcBorders>
              <w:bottom w:val="single" w:sz="8" w:space="0" w:color="000000" w:themeColor="text1"/>
            </w:tcBorders>
            <w:vAlign w:val="center"/>
          </w:tcPr>
          <w:p w:rsidR="00BD4CB4" w:rsidRPr="00741B5A" w:rsidRDefault="00BD4CB4" w:rsidP="00A73B35">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741B5A">
              <w:rPr>
                <w:sz w:val="20"/>
                <w:szCs w:val="20"/>
              </w:rPr>
              <w:t>2023</w:t>
            </w:r>
          </w:p>
        </w:tc>
        <w:tc>
          <w:tcPr>
            <w:tcW w:w="653" w:type="dxa"/>
            <w:tcBorders>
              <w:bottom w:val="single" w:sz="8" w:space="0" w:color="000000" w:themeColor="text1"/>
            </w:tcBorders>
            <w:vAlign w:val="center"/>
          </w:tcPr>
          <w:p w:rsidR="00BD4CB4" w:rsidRPr="00741B5A" w:rsidRDefault="00BD4CB4" w:rsidP="00A73B35">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2024</w:t>
            </w:r>
          </w:p>
        </w:tc>
        <w:tc>
          <w:tcPr>
            <w:tcW w:w="653" w:type="dxa"/>
            <w:tcBorders>
              <w:bottom w:val="single" w:sz="8" w:space="0" w:color="000000" w:themeColor="text1"/>
            </w:tcBorders>
          </w:tcPr>
          <w:p w:rsidR="00BD4CB4" w:rsidRDefault="00BD4CB4" w:rsidP="00A73B35">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w:t>
            </w:r>
          </w:p>
        </w:tc>
        <w:tc>
          <w:tcPr>
            <w:tcW w:w="653" w:type="dxa"/>
            <w:tcBorders>
              <w:bottom w:val="single" w:sz="8" w:space="0" w:color="000000" w:themeColor="text1"/>
            </w:tcBorders>
          </w:tcPr>
          <w:p w:rsidR="00BD4CB4" w:rsidRDefault="00BD4CB4" w:rsidP="00A73B35">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2044</w:t>
            </w:r>
          </w:p>
        </w:tc>
      </w:tr>
      <w:tr w:rsidR="00537517" w:rsidTr="00BD4CB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447" w:type="dxa"/>
            <w:vAlign w:val="center"/>
          </w:tcPr>
          <w:p w:rsidR="00BD4CB4" w:rsidRPr="00741B5A" w:rsidRDefault="00BD4CB4" w:rsidP="00A73B35">
            <w:pPr>
              <w:pStyle w:val="Paragraph"/>
              <w:numPr>
                <w:ilvl w:val="0"/>
                <w:numId w:val="0"/>
              </w:numPr>
              <w:spacing w:before="0" w:after="0"/>
              <w:jc w:val="center"/>
              <w:rPr>
                <w:sz w:val="20"/>
                <w:szCs w:val="20"/>
              </w:rPr>
            </w:pPr>
            <w:r w:rsidRPr="00741B5A">
              <w:rPr>
                <w:sz w:val="20"/>
                <w:szCs w:val="20"/>
              </w:rPr>
              <w:t>Geothermal 1</w:t>
            </w:r>
          </w:p>
        </w:tc>
        <w:tc>
          <w:tcPr>
            <w:tcW w:w="707" w:type="dxa"/>
            <w:shd w:val="clear" w:color="auto" w:fill="FFFFFF"/>
            <w:vAlign w:val="center"/>
          </w:tcPr>
          <w:p w:rsidR="00BD4CB4" w:rsidRPr="00741B5A"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07" w:type="dxa"/>
            <w:shd w:val="clear" w:color="auto" w:fill="92D050"/>
            <w:vAlign w:val="center"/>
          </w:tcPr>
          <w:p w:rsidR="00BD4CB4" w:rsidRPr="00741B5A" w:rsidRDefault="00BD4CB4" w:rsidP="00856C25">
            <w:pPr>
              <w:pStyle w:val="Paragraph"/>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0"/>
                <w:szCs w:val="20"/>
                <w:lang w:val="es-ES" w:eastAsia="es-ES"/>
              </w:rPr>
            </w:pPr>
          </w:p>
        </w:tc>
        <w:tc>
          <w:tcPr>
            <w:tcW w:w="708" w:type="dxa"/>
            <w:shd w:val="clear" w:color="auto" w:fill="92D050"/>
            <w:vAlign w:val="center"/>
          </w:tcPr>
          <w:p w:rsidR="00BD4CB4" w:rsidRPr="00741B5A"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08" w:type="dxa"/>
            <w:shd w:val="clear" w:color="auto" w:fill="92D050"/>
            <w:vAlign w:val="center"/>
          </w:tcPr>
          <w:p w:rsidR="00BD4CB4" w:rsidRPr="00741B5A"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08" w:type="dxa"/>
            <w:shd w:val="clear" w:color="auto" w:fill="92D050"/>
            <w:vAlign w:val="center"/>
          </w:tcPr>
          <w:p w:rsidR="00BD4CB4" w:rsidRPr="00741B5A"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shd w:val="clear" w:color="auto" w:fill="92D050"/>
            <w:vAlign w:val="center"/>
          </w:tcPr>
          <w:p w:rsidR="00BD4CB4" w:rsidRPr="00741B5A"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shd w:val="clear" w:color="auto" w:fill="92D050"/>
            <w:vAlign w:val="center"/>
          </w:tcPr>
          <w:p w:rsidR="00BD4CB4" w:rsidRPr="00741B5A"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shd w:val="clear" w:color="auto" w:fill="92D050"/>
            <w:vAlign w:val="center"/>
          </w:tcPr>
          <w:p w:rsidR="00BD4CB4" w:rsidRPr="00741B5A" w:rsidRDefault="00BD4CB4" w:rsidP="00856C25">
            <w:pPr>
              <w:pStyle w:val="Paragraph"/>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0"/>
                <w:szCs w:val="20"/>
              </w:rPr>
            </w:pPr>
          </w:p>
        </w:tc>
        <w:tc>
          <w:tcPr>
            <w:tcW w:w="634" w:type="dxa"/>
            <w:shd w:val="clear" w:color="auto" w:fill="92D050"/>
            <w:vAlign w:val="center"/>
          </w:tcPr>
          <w:p w:rsidR="00BD4CB4" w:rsidRPr="00741B5A" w:rsidRDefault="00BD4CB4" w:rsidP="00856C25">
            <w:pPr>
              <w:pStyle w:val="Paragraph"/>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0"/>
                <w:szCs w:val="20"/>
              </w:rPr>
            </w:pPr>
          </w:p>
        </w:tc>
        <w:tc>
          <w:tcPr>
            <w:tcW w:w="653" w:type="dxa"/>
            <w:shd w:val="clear" w:color="auto" w:fill="92D050"/>
            <w:vAlign w:val="center"/>
          </w:tcPr>
          <w:p w:rsidR="00BD4CB4" w:rsidRPr="00741B5A" w:rsidRDefault="00BD4CB4" w:rsidP="00856C25">
            <w:pPr>
              <w:pStyle w:val="Paragraph"/>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0"/>
                <w:szCs w:val="20"/>
              </w:rPr>
            </w:pPr>
          </w:p>
        </w:tc>
        <w:tc>
          <w:tcPr>
            <w:tcW w:w="653" w:type="dxa"/>
            <w:shd w:val="clear" w:color="auto" w:fill="92D050"/>
          </w:tcPr>
          <w:p w:rsidR="00BD4CB4" w:rsidRPr="00741B5A" w:rsidRDefault="00BD4CB4">
            <w:pPr>
              <w:pStyle w:val="Paragraph"/>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0"/>
                <w:szCs w:val="20"/>
              </w:rPr>
            </w:pPr>
          </w:p>
        </w:tc>
        <w:tc>
          <w:tcPr>
            <w:tcW w:w="653" w:type="dxa"/>
            <w:shd w:val="clear" w:color="auto" w:fill="92D050"/>
          </w:tcPr>
          <w:p w:rsidR="00BD4CB4" w:rsidRPr="00741B5A" w:rsidRDefault="00BD4CB4">
            <w:pPr>
              <w:pStyle w:val="Paragraph"/>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0"/>
                <w:szCs w:val="20"/>
              </w:rPr>
            </w:pPr>
          </w:p>
        </w:tc>
      </w:tr>
      <w:tr w:rsidR="00537517" w:rsidTr="00BD4CB4">
        <w:trPr>
          <w:trHeight w:val="60"/>
        </w:trPr>
        <w:tc>
          <w:tcPr>
            <w:cnfStyle w:val="001000000000" w:firstRow="0" w:lastRow="0" w:firstColumn="1" w:lastColumn="0" w:oddVBand="0" w:evenVBand="0" w:oddHBand="0" w:evenHBand="0" w:firstRowFirstColumn="0" w:firstRowLastColumn="0" w:lastRowFirstColumn="0" w:lastRowLastColumn="0"/>
            <w:tcW w:w="1447" w:type="dxa"/>
            <w:vAlign w:val="center"/>
          </w:tcPr>
          <w:p w:rsidR="00BD4CB4" w:rsidRPr="00741B5A" w:rsidRDefault="00BD4CB4" w:rsidP="00A73B35">
            <w:pPr>
              <w:pStyle w:val="Paragraph"/>
              <w:numPr>
                <w:ilvl w:val="0"/>
                <w:numId w:val="0"/>
              </w:numPr>
              <w:spacing w:before="0" w:after="0"/>
              <w:jc w:val="center"/>
              <w:rPr>
                <w:sz w:val="20"/>
                <w:szCs w:val="20"/>
              </w:rPr>
            </w:pPr>
            <w:r w:rsidRPr="00741B5A">
              <w:rPr>
                <w:sz w:val="20"/>
                <w:szCs w:val="20"/>
              </w:rPr>
              <w:t>Geothermal 2</w:t>
            </w:r>
          </w:p>
        </w:tc>
        <w:tc>
          <w:tcPr>
            <w:tcW w:w="707" w:type="dxa"/>
            <w:tcBorders>
              <w:top w:val="single" w:sz="8" w:space="0" w:color="000000" w:themeColor="text1"/>
              <w:bottom w:val="single" w:sz="8" w:space="0" w:color="000000" w:themeColor="text1"/>
            </w:tcBorders>
            <w:shd w:val="clear" w:color="auto" w:fill="FFFFFF"/>
            <w:vAlign w:val="center"/>
          </w:tcPr>
          <w:p w:rsidR="00BD4CB4" w:rsidRPr="00741B5A" w:rsidRDefault="00BD4CB4" w:rsidP="00A73B3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07" w:type="dxa"/>
            <w:tcBorders>
              <w:top w:val="single" w:sz="8" w:space="0" w:color="000000" w:themeColor="text1"/>
              <w:bottom w:val="single" w:sz="8" w:space="0" w:color="000000" w:themeColor="text1"/>
            </w:tcBorders>
            <w:shd w:val="clear" w:color="auto" w:fill="FFFFFF"/>
            <w:vAlign w:val="center"/>
          </w:tcPr>
          <w:p w:rsidR="00BD4CB4" w:rsidRPr="00741B5A" w:rsidRDefault="00BD4CB4" w:rsidP="00A73B3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08" w:type="dxa"/>
            <w:tcBorders>
              <w:top w:val="single" w:sz="8" w:space="0" w:color="000000" w:themeColor="text1"/>
              <w:bottom w:val="single" w:sz="8" w:space="0" w:color="000000" w:themeColor="text1"/>
            </w:tcBorders>
            <w:shd w:val="clear" w:color="auto" w:fill="FFFFFF"/>
            <w:vAlign w:val="center"/>
          </w:tcPr>
          <w:p w:rsidR="00BD4CB4" w:rsidRPr="00741B5A" w:rsidRDefault="00BD4CB4" w:rsidP="00A73B3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08" w:type="dxa"/>
            <w:tcBorders>
              <w:top w:val="single" w:sz="8" w:space="0" w:color="000000" w:themeColor="text1"/>
              <w:bottom w:val="single" w:sz="8" w:space="0" w:color="000000" w:themeColor="text1"/>
            </w:tcBorders>
            <w:shd w:val="clear" w:color="auto" w:fill="92D050"/>
            <w:vAlign w:val="center"/>
          </w:tcPr>
          <w:p w:rsidR="00BD4CB4" w:rsidRPr="00741B5A" w:rsidRDefault="00BD4CB4" w:rsidP="00A73B3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08" w:type="dxa"/>
            <w:tcBorders>
              <w:top w:val="single" w:sz="8" w:space="0" w:color="000000" w:themeColor="text1"/>
              <w:bottom w:val="single" w:sz="8" w:space="0" w:color="000000" w:themeColor="text1"/>
            </w:tcBorders>
            <w:shd w:val="clear" w:color="auto" w:fill="92D050"/>
            <w:vAlign w:val="center"/>
          </w:tcPr>
          <w:p w:rsidR="00BD4CB4" w:rsidRPr="00741B5A" w:rsidRDefault="00BD4CB4" w:rsidP="00A73B3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30" w:type="dxa"/>
            <w:tcBorders>
              <w:top w:val="single" w:sz="8" w:space="0" w:color="000000" w:themeColor="text1"/>
              <w:bottom w:val="single" w:sz="8" w:space="0" w:color="000000" w:themeColor="text1"/>
            </w:tcBorders>
            <w:shd w:val="clear" w:color="auto" w:fill="92D050"/>
            <w:vAlign w:val="center"/>
          </w:tcPr>
          <w:p w:rsidR="00BD4CB4" w:rsidRPr="00741B5A" w:rsidRDefault="00BD4CB4" w:rsidP="00A73B3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30" w:type="dxa"/>
            <w:tcBorders>
              <w:top w:val="single" w:sz="8" w:space="0" w:color="000000" w:themeColor="text1"/>
              <w:bottom w:val="single" w:sz="8" w:space="0" w:color="000000" w:themeColor="text1"/>
            </w:tcBorders>
            <w:shd w:val="clear" w:color="auto" w:fill="92D050"/>
            <w:vAlign w:val="center"/>
          </w:tcPr>
          <w:p w:rsidR="00BD4CB4" w:rsidRPr="00741B5A" w:rsidRDefault="00BD4CB4" w:rsidP="00A73B3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30" w:type="dxa"/>
            <w:tcBorders>
              <w:top w:val="single" w:sz="8" w:space="0" w:color="000000" w:themeColor="text1"/>
              <w:bottom w:val="single" w:sz="8" w:space="0" w:color="000000" w:themeColor="text1"/>
            </w:tcBorders>
            <w:shd w:val="clear" w:color="auto" w:fill="92D050"/>
            <w:vAlign w:val="center"/>
          </w:tcPr>
          <w:p w:rsidR="00BD4CB4" w:rsidRPr="00741B5A" w:rsidRDefault="00BD4CB4" w:rsidP="00A73B3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34" w:type="dxa"/>
            <w:tcBorders>
              <w:top w:val="single" w:sz="8" w:space="0" w:color="000000" w:themeColor="text1"/>
              <w:bottom w:val="single" w:sz="8" w:space="0" w:color="000000" w:themeColor="text1"/>
            </w:tcBorders>
            <w:shd w:val="clear" w:color="auto" w:fill="92D050"/>
            <w:vAlign w:val="center"/>
          </w:tcPr>
          <w:p w:rsidR="00BD4CB4" w:rsidRPr="00741B5A" w:rsidRDefault="00BD4CB4" w:rsidP="00856C25">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0"/>
                <w:szCs w:val="20"/>
              </w:rPr>
            </w:pPr>
          </w:p>
        </w:tc>
        <w:tc>
          <w:tcPr>
            <w:tcW w:w="653" w:type="dxa"/>
            <w:tcBorders>
              <w:top w:val="single" w:sz="8" w:space="0" w:color="000000" w:themeColor="text1"/>
              <w:bottom w:val="single" w:sz="8" w:space="0" w:color="000000" w:themeColor="text1"/>
            </w:tcBorders>
            <w:shd w:val="clear" w:color="auto" w:fill="92D050"/>
            <w:vAlign w:val="center"/>
          </w:tcPr>
          <w:p w:rsidR="00BD4CB4" w:rsidRPr="00741B5A" w:rsidRDefault="00BD4CB4" w:rsidP="00856C25">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0"/>
                <w:szCs w:val="20"/>
              </w:rPr>
            </w:pPr>
          </w:p>
        </w:tc>
        <w:tc>
          <w:tcPr>
            <w:tcW w:w="653" w:type="dxa"/>
            <w:tcBorders>
              <w:top w:val="single" w:sz="8" w:space="0" w:color="000000" w:themeColor="text1"/>
              <w:bottom w:val="single" w:sz="8" w:space="0" w:color="000000" w:themeColor="text1"/>
            </w:tcBorders>
            <w:shd w:val="clear" w:color="auto" w:fill="92D050"/>
          </w:tcPr>
          <w:p w:rsidR="00BD4CB4" w:rsidRPr="00741B5A" w:rsidRDefault="00BD4CB4">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0"/>
                <w:szCs w:val="20"/>
              </w:rPr>
            </w:pPr>
          </w:p>
        </w:tc>
        <w:tc>
          <w:tcPr>
            <w:tcW w:w="653" w:type="dxa"/>
            <w:tcBorders>
              <w:top w:val="single" w:sz="8" w:space="0" w:color="000000" w:themeColor="text1"/>
              <w:bottom w:val="single" w:sz="8" w:space="0" w:color="000000" w:themeColor="text1"/>
            </w:tcBorders>
            <w:shd w:val="clear" w:color="auto" w:fill="92D050"/>
          </w:tcPr>
          <w:p w:rsidR="00BD4CB4" w:rsidRPr="00741B5A" w:rsidRDefault="00BD4CB4">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0"/>
                <w:szCs w:val="20"/>
              </w:rPr>
            </w:pPr>
          </w:p>
        </w:tc>
      </w:tr>
      <w:tr w:rsidR="00537517" w:rsidTr="00BD4CB4">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1447" w:type="dxa"/>
            <w:vAlign w:val="center"/>
          </w:tcPr>
          <w:p w:rsidR="00BD4CB4" w:rsidRPr="00741B5A" w:rsidRDefault="00BD4CB4" w:rsidP="00A73B35">
            <w:pPr>
              <w:pStyle w:val="Paragraph"/>
              <w:numPr>
                <w:ilvl w:val="0"/>
                <w:numId w:val="0"/>
              </w:numPr>
              <w:spacing w:before="0" w:after="0"/>
              <w:jc w:val="center"/>
              <w:rPr>
                <w:sz w:val="20"/>
                <w:szCs w:val="20"/>
              </w:rPr>
            </w:pPr>
            <w:r w:rsidRPr="00741B5A">
              <w:rPr>
                <w:sz w:val="20"/>
                <w:szCs w:val="20"/>
              </w:rPr>
              <w:t>Geothermal 3</w:t>
            </w:r>
          </w:p>
        </w:tc>
        <w:tc>
          <w:tcPr>
            <w:tcW w:w="707" w:type="dxa"/>
            <w:shd w:val="clear" w:color="auto" w:fill="FFFFFF"/>
            <w:vAlign w:val="center"/>
          </w:tcPr>
          <w:p w:rsidR="00BD4CB4" w:rsidRPr="00741B5A" w:rsidRDefault="00BD4CB4" w:rsidP="00856C25">
            <w:pPr>
              <w:pStyle w:val="Paragraph"/>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0"/>
                <w:szCs w:val="20"/>
              </w:rPr>
            </w:pPr>
          </w:p>
        </w:tc>
        <w:tc>
          <w:tcPr>
            <w:tcW w:w="707" w:type="dxa"/>
            <w:shd w:val="clear" w:color="auto" w:fill="FFFFFF"/>
            <w:vAlign w:val="center"/>
          </w:tcPr>
          <w:p w:rsidR="00BD4CB4" w:rsidRPr="00741B5A"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08" w:type="dxa"/>
            <w:shd w:val="clear" w:color="auto" w:fill="FFFFFF"/>
            <w:vAlign w:val="center"/>
          </w:tcPr>
          <w:p w:rsidR="00BD4CB4" w:rsidRPr="00741B5A"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08" w:type="dxa"/>
            <w:shd w:val="clear" w:color="auto" w:fill="FFFFFF"/>
            <w:vAlign w:val="center"/>
          </w:tcPr>
          <w:p w:rsidR="00BD4CB4" w:rsidRPr="00741B5A"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08" w:type="dxa"/>
            <w:shd w:val="clear" w:color="auto" w:fill="FFFFFF"/>
            <w:vAlign w:val="center"/>
          </w:tcPr>
          <w:p w:rsidR="00BD4CB4" w:rsidRPr="00741B5A"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shd w:val="clear" w:color="auto" w:fill="92D050"/>
            <w:vAlign w:val="center"/>
          </w:tcPr>
          <w:p w:rsidR="00BD4CB4" w:rsidRPr="00741B5A"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shd w:val="clear" w:color="auto" w:fill="92D050"/>
            <w:vAlign w:val="center"/>
          </w:tcPr>
          <w:p w:rsidR="00BD4CB4" w:rsidRPr="00741B5A"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shd w:val="clear" w:color="auto" w:fill="92D050"/>
            <w:vAlign w:val="center"/>
          </w:tcPr>
          <w:p w:rsidR="00BD4CB4" w:rsidRPr="00741B5A"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34" w:type="dxa"/>
            <w:shd w:val="clear" w:color="auto" w:fill="92D050"/>
            <w:vAlign w:val="center"/>
          </w:tcPr>
          <w:p w:rsidR="00BD4CB4" w:rsidRPr="00741B5A" w:rsidRDefault="00BD4CB4" w:rsidP="00856C25">
            <w:pPr>
              <w:pStyle w:val="Paragraph"/>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0"/>
                <w:szCs w:val="20"/>
              </w:rPr>
            </w:pPr>
          </w:p>
        </w:tc>
        <w:tc>
          <w:tcPr>
            <w:tcW w:w="653" w:type="dxa"/>
            <w:shd w:val="clear" w:color="auto" w:fill="92D050"/>
            <w:vAlign w:val="center"/>
          </w:tcPr>
          <w:p w:rsidR="00BD4CB4" w:rsidRPr="00741B5A" w:rsidRDefault="00BD4CB4" w:rsidP="00856C25">
            <w:pPr>
              <w:pStyle w:val="Paragraph"/>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0"/>
                <w:szCs w:val="20"/>
              </w:rPr>
            </w:pPr>
          </w:p>
        </w:tc>
        <w:tc>
          <w:tcPr>
            <w:tcW w:w="653" w:type="dxa"/>
            <w:shd w:val="clear" w:color="auto" w:fill="92D050"/>
          </w:tcPr>
          <w:p w:rsidR="00BD4CB4" w:rsidRPr="00741B5A" w:rsidRDefault="00BD4CB4">
            <w:pPr>
              <w:pStyle w:val="Paragraph"/>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0"/>
                <w:szCs w:val="20"/>
              </w:rPr>
            </w:pPr>
          </w:p>
        </w:tc>
        <w:tc>
          <w:tcPr>
            <w:tcW w:w="653" w:type="dxa"/>
            <w:shd w:val="clear" w:color="auto" w:fill="92D050"/>
          </w:tcPr>
          <w:p w:rsidR="00BD4CB4" w:rsidRPr="00741B5A" w:rsidRDefault="00BD4CB4">
            <w:pPr>
              <w:pStyle w:val="Paragraph"/>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0"/>
                <w:szCs w:val="20"/>
              </w:rPr>
            </w:pPr>
          </w:p>
        </w:tc>
      </w:tr>
      <w:tr w:rsidR="00537517" w:rsidTr="00BD4CB4">
        <w:trPr>
          <w:trHeight w:val="88"/>
        </w:trPr>
        <w:tc>
          <w:tcPr>
            <w:cnfStyle w:val="001000000000" w:firstRow="0" w:lastRow="0" w:firstColumn="1" w:lastColumn="0" w:oddVBand="0" w:evenVBand="0" w:oddHBand="0" w:evenHBand="0" w:firstRowFirstColumn="0" w:firstRowLastColumn="0" w:lastRowFirstColumn="0" w:lastRowLastColumn="0"/>
            <w:tcW w:w="1447" w:type="dxa"/>
            <w:vAlign w:val="center"/>
          </w:tcPr>
          <w:p w:rsidR="00BD4CB4" w:rsidRPr="00741B5A" w:rsidRDefault="00BD4CB4" w:rsidP="00A73B35">
            <w:pPr>
              <w:pStyle w:val="Paragraph"/>
              <w:numPr>
                <w:ilvl w:val="0"/>
                <w:numId w:val="0"/>
              </w:numPr>
              <w:spacing w:before="0" w:after="0"/>
              <w:jc w:val="center"/>
              <w:rPr>
                <w:sz w:val="20"/>
                <w:szCs w:val="20"/>
              </w:rPr>
            </w:pPr>
            <w:r w:rsidRPr="00741B5A">
              <w:rPr>
                <w:sz w:val="20"/>
                <w:szCs w:val="20"/>
              </w:rPr>
              <w:t>Geothermal 4</w:t>
            </w:r>
          </w:p>
        </w:tc>
        <w:tc>
          <w:tcPr>
            <w:tcW w:w="707" w:type="dxa"/>
            <w:tcBorders>
              <w:top w:val="single" w:sz="8" w:space="0" w:color="000000" w:themeColor="text1"/>
              <w:bottom w:val="single" w:sz="8" w:space="0" w:color="000000" w:themeColor="text1"/>
            </w:tcBorders>
            <w:shd w:val="clear" w:color="auto" w:fill="FFFFFF"/>
            <w:vAlign w:val="center"/>
          </w:tcPr>
          <w:p w:rsidR="00BD4CB4" w:rsidRPr="00741B5A" w:rsidRDefault="00BD4CB4" w:rsidP="00856C25">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0"/>
                <w:szCs w:val="20"/>
              </w:rPr>
            </w:pPr>
          </w:p>
        </w:tc>
        <w:tc>
          <w:tcPr>
            <w:tcW w:w="707" w:type="dxa"/>
            <w:tcBorders>
              <w:top w:val="single" w:sz="8" w:space="0" w:color="000000" w:themeColor="text1"/>
              <w:bottom w:val="single" w:sz="8" w:space="0" w:color="000000" w:themeColor="text1"/>
            </w:tcBorders>
            <w:shd w:val="clear" w:color="auto" w:fill="FFFFFF"/>
            <w:vAlign w:val="center"/>
          </w:tcPr>
          <w:p w:rsidR="00BD4CB4" w:rsidRPr="00741B5A" w:rsidRDefault="00BD4CB4" w:rsidP="00856C25">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0"/>
                <w:szCs w:val="20"/>
              </w:rPr>
            </w:pPr>
          </w:p>
        </w:tc>
        <w:tc>
          <w:tcPr>
            <w:tcW w:w="708" w:type="dxa"/>
            <w:tcBorders>
              <w:top w:val="single" w:sz="8" w:space="0" w:color="000000" w:themeColor="text1"/>
              <w:bottom w:val="single" w:sz="8" w:space="0" w:color="000000" w:themeColor="text1"/>
            </w:tcBorders>
            <w:shd w:val="clear" w:color="auto" w:fill="FFFFFF"/>
            <w:vAlign w:val="center"/>
          </w:tcPr>
          <w:p w:rsidR="00BD4CB4" w:rsidRPr="00741B5A" w:rsidRDefault="00BD4CB4" w:rsidP="00A73B3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08" w:type="dxa"/>
            <w:tcBorders>
              <w:top w:val="single" w:sz="8" w:space="0" w:color="000000" w:themeColor="text1"/>
              <w:bottom w:val="single" w:sz="8" w:space="0" w:color="000000" w:themeColor="text1"/>
            </w:tcBorders>
            <w:shd w:val="clear" w:color="auto" w:fill="FFFFFF"/>
            <w:vAlign w:val="center"/>
          </w:tcPr>
          <w:p w:rsidR="00BD4CB4" w:rsidRPr="00741B5A" w:rsidRDefault="00BD4CB4" w:rsidP="00A73B3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08" w:type="dxa"/>
            <w:tcBorders>
              <w:top w:val="single" w:sz="8" w:space="0" w:color="000000" w:themeColor="text1"/>
              <w:bottom w:val="single" w:sz="8" w:space="0" w:color="000000" w:themeColor="text1"/>
            </w:tcBorders>
            <w:shd w:val="clear" w:color="auto" w:fill="FFFFFF"/>
            <w:vAlign w:val="center"/>
          </w:tcPr>
          <w:p w:rsidR="00BD4CB4" w:rsidRPr="00741B5A" w:rsidRDefault="00BD4CB4" w:rsidP="00A73B3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30" w:type="dxa"/>
            <w:tcBorders>
              <w:top w:val="single" w:sz="8" w:space="0" w:color="000000" w:themeColor="text1"/>
              <w:bottom w:val="single" w:sz="8" w:space="0" w:color="000000" w:themeColor="text1"/>
            </w:tcBorders>
            <w:shd w:val="clear" w:color="auto" w:fill="FFFFFF"/>
            <w:vAlign w:val="center"/>
          </w:tcPr>
          <w:p w:rsidR="00BD4CB4" w:rsidRPr="00741B5A" w:rsidRDefault="00BD4CB4" w:rsidP="00A73B3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30" w:type="dxa"/>
            <w:tcBorders>
              <w:top w:val="single" w:sz="8" w:space="0" w:color="000000" w:themeColor="text1"/>
              <w:bottom w:val="single" w:sz="8" w:space="0" w:color="000000" w:themeColor="text1"/>
            </w:tcBorders>
            <w:shd w:val="clear" w:color="auto" w:fill="92D050"/>
            <w:vAlign w:val="center"/>
          </w:tcPr>
          <w:p w:rsidR="00BD4CB4" w:rsidRPr="00741B5A" w:rsidRDefault="00BD4CB4" w:rsidP="00A73B3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30" w:type="dxa"/>
            <w:tcBorders>
              <w:top w:val="single" w:sz="8" w:space="0" w:color="000000" w:themeColor="text1"/>
              <w:bottom w:val="single" w:sz="8" w:space="0" w:color="000000" w:themeColor="text1"/>
            </w:tcBorders>
            <w:shd w:val="clear" w:color="auto" w:fill="92D050"/>
            <w:vAlign w:val="center"/>
          </w:tcPr>
          <w:p w:rsidR="00BD4CB4" w:rsidRPr="00741B5A" w:rsidRDefault="00BD4CB4" w:rsidP="00A73B3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34" w:type="dxa"/>
            <w:tcBorders>
              <w:top w:val="single" w:sz="8" w:space="0" w:color="000000" w:themeColor="text1"/>
              <w:bottom w:val="single" w:sz="8" w:space="0" w:color="000000" w:themeColor="text1"/>
            </w:tcBorders>
            <w:shd w:val="clear" w:color="auto" w:fill="92D050"/>
            <w:vAlign w:val="center"/>
          </w:tcPr>
          <w:p w:rsidR="00BD4CB4" w:rsidRPr="00741B5A" w:rsidRDefault="00BD4CB4" w:rsidP="00A73B3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53" w:type="dxa"/>
            <w:tcBorders>
              <w:top w:val="single" w:sz="8" w:space="0" w:color="000000" w:themeColor="text1"/>
              <w:bottom w:val="single" w:sz="8" w:space="0" w:color="000000" w:themeColor="text1"/>
            </w:tcBorders>
            <w:shd w:val="clear" w:color="auto" w:fill="92D050"/>
            <w:vAlign w:val="center"/>
          </w:tcPr>
          <w:p w:rsidR="00BD4CB4" w:rsidRPr="00741B5A" w:rsidRDefault="00BD4CB4" w:rsidP="00856C25">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0"/>
                <w:szCs w:val="20"/>
              </w:rPr>
            </w:pPr>
          </w:p>
        </w:tc>
        <w:tc>
          <w:tcPr>
            <w:tcW w:w="653" w:type="dxa"/>
            <w:tcBorders>
              <w:top w:val="single" w:sz="8" w:space="0" w:color="000000" w:themeColor="text1"/>
              <w:bottom w:val="single" w:sz="8" w:space="0" w:color="000000" w:themeColor="text1"/>
            </w:tcBorders>
            <w:shd w:val="clear" w:color="auto" w:fill="92D050"/>
          </w:tcPr>
          <w:p w:rsidR="00BD4CB4" w:rsidRPr="00741B5A" w:rsidRDefault="00BD4CB4">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0"/>
                <w:szCs w:val="20"/>
              </w:rPr>
            </w:pPr>
          </w:p>
        </w:tc>
        <w:tc>
          <w:tcPr>
            <w:tcW w:w="653" w:type="dxa"/>
            <w:tcBorders>
              <w:top w:val="single" w:sz="8" w:space="0" w:color="000000" w:themeColor="text1"/>
              <w:bottom w:val="single" w:sz="8" w:space="0" w:color="000000" w:themeColor="text1"/>
            </w:tcBorders>
            <w:shd w:val="clear" w:color="auto" w:fill="92D050"/>
          </w:tcPr>
          <w:p w:rsidR="00BD4CB4" w:rsidRPr="00741B5A" w:rsidRDefault="00BD4CB4">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0"/>
                <w:szCs w:val="20"/>
              </w:rPr>
            </w:pPr>
          </w:p>
        </w:tc>
      </w:tr>
      <w:tr w:rsidR="00537517" w:rsidTr="00BD4CB4">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447" w:type="dxa"/>
            <w:vAlign w:val="center"/>
          </w:tcPr>
          <w:p w:rsidR="00BD4CB4" w:rsidRPr="00741B5A" w:rsidRDefault="00BD4CB4" w:rsidP="00A73B35">
            <w:pPr>
              <w:pStyle w:val="Paragraph"/>
              <w:numPr>
                <w:ilvl w:val="0"/>
                <w:numId w:val="0"/>
              </w:numPr>
              <w:spacing w:before="0" w:after="0"/>
              <w:jc w:val="center"/>
              <w:rPr>
                <w:sz w:val="20"/>
                <w:szCs w:val="20"/>
              </w:rPr>
            </w:pPr>
            <w:r w:rsidRPr="00741B5A">
              <w:rPr>
                <w:sz w:val="20"/>
                <w:szCs w:val="20"/>
              </w:rPr>
              <w:t>Geothermal 5</w:t>
            </w:r>
          </w:p>
        </w:tc>
        <w:tc>
          <w:tcPr>
            <w:tcW w:w="707" w:type="dxa"/>
            <w:shd w:val="clear" w:color="auto" w:fill="FFFFFF"/>
            <w:vAlign w:val="center"/>
          </w:tcPr>
          <w:p w:rsidR="00BD4CB4" w:rsidRPr="00741B5A" w:rsidRDefault="00BD4CB4" w:rsidP="00856C25">
            <w:pPr>
              <w:pStyle w:val="Paragraph"/>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0"/>
                <w:szCs w:val="20"/>
              </w:rPr>
            </w:pPr>
          </w:p>
        </w:tc>
        <w:tc>
          <w:tcPr>
            <w:tcW w:w="707" w:type="dxa"/>
            <w:shd w:val="clear" w:color="auto" w:fill="FFFFFF"/>
            <w:vAlign w:val="center"/>
          </w:tcPr>
          <w:p w:rsidR="00BD4CB4" w:rsidRPr="00741B5A" w:rsidRDefault="00BD4CB4" w:rsidP="00856C25">
            <w:pPr>
              <w:pStyle w:val="Paragraph"/>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0"/>
                <w:szCs w:val="20"/>
              </w:rPr>
            </w:pPr>
          </w:p>
        </w:tc>
        <w:tc>
          <w:tcPr>
            <w:tcW w:w="708" w:type="dxa"/>
            <w:shd w:val="clear" w:color="auto" w:fill="FFFFFF"/>
            <w:vAlign w:val="center"/>
          </w:tcPr>
          <w:p w:rsidR="00BD4CB4" w:rsidRPr="00741B5A" w:rsidRDefault="00BD4CB4" w:rsidP="00856C25">
            <w:pPr>
              <w:pStyle w:val="Paragraph"/>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0"/>
                <w:szCs w:val="20"/>
              </w:rPr>
            </w:pPr>
          </w:p>
        </w:tc>
        <w:tc>
          <w:tcPr>
            <w:tcW w:w="708" w:type="dxa"/>
            <w:shd w:val="clear" w:color="auto" w:fill="FFFFFF"/>
            <w:vAlign w:val="center"/>
          </w:tcPr>
          <w:p w:rsidR="00BD4CB4" w:rsidRPr="00741B5A"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08" w:type="dxa"/>
            <w:shd w:val="clear" w:color="auto" w:fill="FFFFFF"/>
            <w:vAlign w:val="center"/>
          </w:tcPr>
          <w:p w:rsidR="00BD4CB4" w:rsidRPr="00741B5A"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shd w:val="clear" w:color="auto" w:fill="FFFFFF"/>
            <w:vAlign w:val="center"/>
          </w:tcPr>
          <w:p w:rsidR="00BD4CB4" w:rsidRPr="00741B5A"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shd w:val="clear" w:color="auto" w:fill="FFFFFF"/>
            <w:vAlign w:val="center"/>
          </w:tcPr>
          <w:p w:rsidR="00BD4CB4" w:rsidRPr="00741B5A"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shd w:val="clear" w:color="auto" w:fill="FFFFFF"/>
            <w:vAlign w:val="center"/>
          </w:tcPr>
          <w:p w:rsidR="00BD4CB4" w:rsidRPr="00741B5A"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34" w:type="dxa"/>
            <w:shd w:val="clear" w:color="auto" w:fill="92D050"/>
            <w:vAlign w:val="center"/>
          </w:tcPr>
          <w:p w:rsidR="00BD4CB4" w:rsidRPr="00741B5A"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53" w:type="dxa"/>
            <w:shd w:val="clear" w:color="auto" w:fill="92D050"/>
            <w:vAlign w:val="center"/>
          </w:tcPr>
          <w:p w:rsidR="00BD4CB4" w:rsidRPr="00741B5A"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53" w:type="dxa"/>
            <w:shd w:val="clear" w:color="auto" w:fill="92D050"/>
          </w:tcPr>
          <w:p w:rsidR="00BD4CB4" w:rsidRPr="00741B5A" w:rsidDel="001247E2"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53" w:type="dxa"/>
            <w:shd w:val="clear" w:color="auto" w:fill="92D050"/>
          </w:tcPr>
          <w:p w:rsidR="00BD4CB4" w:rsidRPr="00741B5A" w:rsidDel="001247E2"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537517" w:rsidTr="00BD4CB4">
        <w:trPr>
          <w:trHeight w:val="60"/>
        </w:trPr>
        <w:tc>
          <w:tcPr>
            <w:cnfStyle w:val="001000000000" w:firstRow="0" w:lastRow="0" w:firstColumn="1" w:lastColumn="0" w:oddVBand="0" w:evenVBand="0" w:oddHBand="0" w:evenHBand="0" w:firstRowFirstColumn="0" w:firstRowLastColumn="0" w:lastRowFirstColumn="0" w:lastRowLastColumn="0"/>
            <w:tcW w:w="1447" w:type="dxa"/>
            <w:vAlign w:val="center"/>
          </w:tcPr>
          <w:p w:rsidR="00BD4CB4" w:rsidRPr="00741B5A" w:rsidRDefault="00BD4CB4" w:rsidP="00A73B35">
            <w:pPr>
              <w:pStyle w:val="Paragraph"/>
              <w:numPr>
                <w:ilvl w:val="0"/>
                <w:numId w:val="0"/>
              </w:numPr>
              <w:spacing w:before="0" w:after="0"/>
              <w:jc w:val="center"/>
              <w:rPr>
                <w:sz w:val="20"/>
                <w:szCs w:val="20"/>
              </w:rPr>
            </w:pPr>
            <w:r w:rsidRPr="00741B5A">
              <w:rPr>
                <w:sz w:val="20"/>
                <w:szCs w:val="20"/>
              </w:rPr>
              <w:t>Geothermal 6</w:t>
            </w:r>
          </w:p>
        </w:tc>
        <w:tc>
          <w:tcPr>
            <w:tcW w:w="707" w:type="dxa"/>
            <w:tcBorders>
              <w:top w:val="single" w:sz="8" w:space="0" w:color="000000" w:themeColor="text1"/>
              <w:bottom w:val="single" w:sz="8" w:space="0" w:color="000000" w:themeColor="text1"/>
            </w:tcBorders>
            <w:shd w:val="clear" w:color="auto" w:fill="FFFFFF"/>
            <w:vAlign w:val="center"/>
          </w:tcPr>
          <w:p w:rsidR="00BD4CB4" w:rsidRPr="00741B5A" w:rsidRDefault="00BD4CB4" w:rsidP="00856C25">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0"/>
                <w:szCs w:val="20"/>
              </w:rPr>
            </w:pPr>
          </w:p>
        </w:tc>
        <w:tc>
          <w:tcPr>
            <w:tcW w:w="707" w:type="dxa"/>
            <w:tcBorders>
              <w:top w:val="single" w:sz="8" w:space="0" w:color="000000" w:themeColor="text1"/>
              <w:bottom w:val="single" w:sz="8" w:space="0" w:color="000000" w:themeColor="text1"/>
            </w:tcBorders>
            <w:shd w:val="clear" w:color="auto" w:fill="FFFFFF"/>
            <w:vAlign w:val="center"/>
          </w:tcPr>
          <w:p w:rsidR="00BD4CB4" w:rsidRPr="00741B5A" w:rsidRDefault="00BD4CB4" w:rsidP="00A73B3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08" w:type="dxa"/>
            <w:tcBorders>
              <w:top w:val="single" w:sz="8" w:space="0" w:color="000000" w:themeColor="text1"/>
              <w:bottom w:val="single" w:sz="8" w:space="0" w:color="000000" w:themeColor="text1"/>
            </w:tcBorders>
            <w:shd w:val="clear" w:color="auto" w:fill="FFFFFF"/>
            <w:vAlign w:val="center"/>
          </w:tcPr>
          <w:p w:rsidR="00BD4CB4" w:rsidRPr="00741B5A" w:rsidRDefault="00BD4CB4" w:rsidP="00A73B3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08" w:type="dxa"/>
            <w:tcBorders>
              <w:top w:val="single" w:sz="8" w:space="0" w:color="000000" w:themeColor="text1"/>
              <w:bottom w:val="single" w:sz="8" w:space="0" w:color="000000" w:themeColor="text1"/>
            </w:tcBorders>
            <w:shd w:val="clear" w:color="auto" w:fill="FFFFFF"/>
            <w:vAlign w:val="center"/>
          </w:tcPr>
          <w:p w:rsidR="00BD4CB4" w:rsidRPr="00741B5A" w:rsidRDefault="00BD4CB4" w:rsidP="00A73B3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08" w:type="dxa"/>
            <w:tcBorders>
              <w:top w:val="single" w:sz="8" w:space="0" w:color="000000" w:themeColor="text1"/>
              <w:bottom w:val="single" w:sz="8" w:space="0" w:color="000000" w:themeColor="text1"/>
            </w:tcBorders>
            <w:shd w:val="clear" w:color="auto" w:fill="FFFFFF"/>
            <w:vAlign w:val="center"/>
          </w:tcPr>
          <w:p w:rsidR="00BD4CB4" w:rsidRPr="00741B5A" w:rsidRDefault="00BD4CB4" w:rsidP="00A73B3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30" w:type="dxa"/>
            <w:tcBorders>
              <w:top w:val="single" w:sz="8" w:space="0" w:color="000000" w:themeColor="text1"/>
              <w:bottom w:val="single" w:sz="8" w:space="0" w:color="000000" w:themeColor="text1"/>
            </w:tcBorders>
            <w:shd w:val="clear" w:color="auto" w:fill="FFFFFF"/>
            <w:vAlign w:val="center"/>
          </w:tcPr>
          <w:p w:rsidR="00BD4CB4" w:rsidRPr="00741B5A" w:rsidRDefault="00BD4CB4" w:rsidP="00856C25">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0"/>
                <w:szCs w:val="20"/>
              </w:rPr>
            </w:pPr>
          </w:p>
        </w:tc>
        <w:tc>
          <w:tcPr>
            <w:tcW w:w="630" w:type="dxa"/>
            <w:tcBorders>
              <w:top w:val="single" w:sz="8" w:space="0" w:color="000000" w:themeColor="text1"/>
              <w:bottom w:val="single" w:sz="8" w:space="0" w:color="000000" w:themeColor="text1"/>
            </w:tcBorders>
            <w:shd w:val="clear" w:color="auto" w:fill="FFFFFF"/>
            <w:vAlign w:val="center"/>
          </w:tcPr>
          <w:p w:rsidR="00BD4CB4" w:rsidRPr="00741B5A" w:rsidRDefault="00BD4CB4" w:rsidP="00856C25">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0"/>
                <w:szCs w:val="20"/>
              </w:rPr>
            </w:pPr>
          </w:p>
        </w:tc>
        <w:tc>
          <w:tcPr>
            <w:tcW w:w="630" w:type="dxa"/>
            <w:tcBorders>
              <w:top w:val="single" w:sz="8" w:space="0" w:color="000000" w:themeColor="text1"/>
              <w:bottom w:val="single" w:sz="8" w:space="0" w:color="000000" w:themeColor="text1"/>
            </w:tcBorders>
            <w:shd w:val="clear" w:color="auto" w:fill="FFFFFF"/>
            <w:vAlign w:val="center"/>
          </w:tcPr>
          <w:p w:rsidR="00BD4CB4" w:rsidRPr="00741B5A" w:rsidRDefault="00BD4CB4" w:rsidP="00A73B3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34" w:type="dxa"/>
            <w:tcBorders>
              <w:top w:val="single" w:sz="8" w:space="0" w:color="000000" w:themeColor="text1"/>
              <w:bottom w:val="single" w:sz="8" w:space="0" w:color="000000" w:themeColor="text1"/>
            </w:tcBorders>
            <w:shd w:val="clear" w:color="auto" w:fill="FFFFFF"/>
            <w:vAlign w:val="center"/>
          </w:tcPr>
          <w:p w:rsidR="00BD4CB4" w:rsidRPr="00741B5A" w:rsidRDefault="00BD4CB4" w:rsidP="00A73B3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53" w:type="dxa"/>
            <w:tcBorders>
              <w:top w:val="single" w:sz="8" w:space="0" w:color="000000" w:themeColor="text1"/>
              <w:bottom w:val="single" w:sz="8" w:space="0" w:color="000000" w:themeColor="text1"/>
            </w:tcBorders>
            <w:shd w:val="clear" w:color="auto" w:fill="92D050"/>
            <w:vAlign w:val="center"/>
          </w:tcPr>
          <w:p w:rsidR="00BD4CB4" w:rsidRPr="00741B5A" w:rsidRDefault="00BD4CB4" w:rsidP="00A73B3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53" w:type="dxa"/>
            <w:tcBorders>
              <w:top w:val="single" w:sz="8" w:space="0" w:color="000000" w:themeColor="text1"/>
              <w:bottom w:val="single" w:sz="8" w:space="0" w:color="000000" w:themeColor="text1"/>
            </w:tcBorders>
            <w:shd w:val="clear" w:color="auto" w:fill="92D050"/>
          </w:tcPr>
          <w:p w:rsidR="00BD4CB4" w:rsidRPr="00741B5A" w:rsidRDefault="00BD4CB4" w:rsidP="00A73B3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53" w:type="dxa"/>
            <w:tcBorders>
              <w:top w:val="single" w:sz="8" w:space="0" w:color="000000" w:themeColor="text1"/>
              <w:bottom w:val="single" w:sz="8" w:space="0" w:color="000000" w:themeColor="text1"/>
            </w:tcBorders>
            <w:shd w:val="clear" w:color="auto" w:fill="92D050"/>
          </w:tcPr>
          <w:p w:rsidR="00BD4CB4" w:rsidRPr="00741B5A" w:rsidRDefault="00BD4CB4" w:rsidP="00A73B3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537517" w:rsidTr="00BD4CB4">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447" w:type="dxa"/>
            <w:vAlign w:val="center"/>
          </w:tcPr>
          <w:p w:rsidR="00BD4CB4" w:rsidRPr="00741B5A" w:rsidRDefault="00BD4CB4" w:rsidP="00A73B35">
            <w:pPr>
              <w:pStyle w:val="Paragraph"/>
              <w:numPr>
                <w:ilvl w:val="0"/>
                <w:numId w:val="0"/>
              </w:numPr>
              <w:spacing w:before="0" w:after="0"/>
              <w:jc w:val="center"/>
              <w:rPr>
                <w:sz w:val="20"/>
                <w:szCs w:val="20"/>
              </w:rPr>
            </w:pPr>
            <w:r>
              <w:rPr>
                <w:sz w:val="20"/>
                <w:szCs w:val="20"/>
              </w:rPr>
              <w:t>Investment</w:t>
            </w:r>
          </w:p>
        </w:tc>
        <w:tc>
          <w:tcPr>
            <w:tcW w:w="707" w:type="dxa"/>
            <w:shd w:val="clear" w:color="auto" w:fill="800000"/>
            <w:vAlign w:val="center"/>
          </w:tcPr>
          <w:p w:rsidR="00BD4CB4" w:rsidRPr="00741B5A" w:rsidRDefault="00BD4CB4" w:rsidP="001247E2">
            <w:pPr>
              <w:pStyle w:val="Paragraph"/>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0"/>
                <w:szCs w:val="20"/>
              </w:rPr>
            </w:pPr>
          </w:p>
        </w:tc>
        <w:tc>
          <w:tcPr>
            <w:tcW w:w="707" w:type="dxa"/>
            <w:shd w:val="clear" w:color="auto" w:fill="800000"/>
            <w:vAlign w:val="center"/>
          </w:tcPr>
          <w:p w:rsidR="00BD4CB4" w:rsidRPr="00741B5A" w:rsidDel="001247E2"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08" w:type="dxa"/>
            <w:shd w:val="clear" w:color="auto" w:fill="800000"/>
            <w:vAlign w:val="center"/>
          </w:tcPr>
          <w:p w:rsidR="00BD4CB4" w:rsidRPr="00741B5A" w:rsidDel="001247E2"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08" w:type="dxa"/>
            <w:shd w:val="clear" w:color="auto" w:fill="800000"/>
            <w:vAlign w:val="center"/>
          </w:tcPr>
          <w:p w:rsidR="00BD4CB4" w:rsidRPr="00741B5A" w:rsidDel="001247E2"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08" w:type="dxa"/>
            <w:shd w:val="clear" w:color="auto" w:fill="800000"/>
            <w:vAlign w:val="center"/>
          </w:tcPr>
          <w:p w:rsidR="00BD4CB4" w:rsidRPr="00741B5A" w:rsidDel="001247E2"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shd w:val="clear" w:color="auto" w:fill="800000"/>
            <w:vAlign w:val="center"/>
          </w:tcPr>
          <w:p w:rsidR="00BD4CB4" w:rsidRPr="00741B5A" w:rsidRDefault="00BD4CB4" w:rsidP="001247E2">
            <w:pPr>
              <w:pStyle w:val="Paragraph"/>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shd w:val="clear" w:color="auto" w:fill="FFFFFF"/>
            <w:vAlign w:val="center"/>
          </w:tcPr>
          <w:p w:rsidR="00BD4CB4" w:rsidRPr="00741B5A" w:rsidRDefault="00BD4CB4" w:rsidP="001247E2">
            <w:pPr>
              <w:pStyle w:val="Paragraph"/>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shd w:val="clear" w:color="auto" w:fill="FFFFFF"/>
            <w:vAlign w:val="center"/>
          </w:tcPr>
          <w:p w:rsidR="00BD4CB4" w:rsidRPr="00741B5A"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34" w:type="dxa"/>
            <w:shd w:val="clear" w:color="auto" w:fill="FFFFFF"/>
            <w:vAlign w:val="center"/>
          </w:tcPr>
          <w:p w:rsidR="00BD4CB4" w:rsidRPr="00741B5A"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53" w:type="dxa"/>
            <w:shd w:val="clear" w:color="auto" w:fill="FFFFFF"/>
            <w:vAlign w:val="center"/>
          </w:tcPr>
          <w:p w:rsidR="00BD4CB4" w:rsidRPr="00741B5A"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53" w:type="dxa"/>
            <w:shd w:val="clear" w:color="auto" w:fill="FFFFFF"/>
          </w:tcPr>
          <w:p w:rsidR="00BD4CB4" w:rsidRPr="00741B5A"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53" w:type="dxa"/>
            <w:shd w:val="clear" w:color="auto" w:fill="FFFFFF"/>
          </w:tcPr>
          <w:p w:rsidR="00BD4CB4" w:rsidRPr="00741B5A"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r>
    </w:tbl>
    <w:p w:rsidR="0073425E" w:rsidRPr="0073425E" w:rsidRDefault="0073425E" w:rsidP="007F5B8D">
      <w:pPr>
        <w:pStyle w:val="Paragraph"/>
        <w:numPr>
          <w:ilvl w:val="0"/>
          <w:numId w:val="0"/>
        </w:numPr>
        <w:spacing w:before="0" w:after="0"/>
      </w:pPr>
    </w:p>
    <w:tbl>
      <w:tblPr>
        <w:tblStyle w:val="TableGrid"/>
        <w:tblW w:w="9450" w:type="dxa"/>
        <w:tblInd w:w="-612" w:type="dxa"/>
        <w:tblLook w:val="04A0" w:firstRow="1" w:lastRow="0" w:firstColumn="1" w:lastColumn="0" w:noHBand="0" w:noVBand="1"/>
      </w:tblPr>
      <w:tblGrid>
        <w:gridCol w:w="5612"/>
        <w:gridCol w:w="3838"/>
      </w:tblGrid>
      <w:tr w:rsidR="00736F8F" w:rsidTr="00856C25">
        <w:trPr>
          <w:trHeight w:val="70"/>
        </w:trPr>
        <w:tc>
          <w:tcPr>
            <w:tcW w:w="5612" w:type="dxa"/>
            <w:shd w:val="clear" w:color="auto" w:fill="F2DBDB" w:themeFill="accent2" w:themeFillTint="33"/>
            <w:vAlign w:val="center"/>
          </w:tcPr>
          <w:p w:rsidR="00736F8F" w:rsidRPr="00741B5A" w:rsidRDefault="00736F8F" w:rsidP="00736F8F">
            <w:pPr>
              <w:pStyle w:val="Paragraph"/>
              <w:numPr>
                <w:ilvl w:val="0"/>
                <w:numId w:val="0"/>
              </w:numPr>
              <w:spacing w:before="0" w:after="0"/>
              <w:jc w:val="center"/>
              <w:rPr>
                <w:b/>
                <w:sz w:val="20"/>
                <w:szCs w:val="20"/>
              </w:rPr>
            </w:pPr>
            <w:r w:rsidRPr="00741B5A">
              <w:rPr>
                <w:b/>
                <w:sz w:val="20"/>
                <w:szCs w:val="20"/>
              </w:rPr>
              <w:t>Investment</w:t>
            </w:r>
          </w:p>
        </w:tc>
        <w:tc>
          <w:tcPr>
            <w:tcW w:w="3838" w:type="dxa"/>
            <w:shd w:val="clear" w:color="auto" w:fill="D6E3BC" w:themeFill="accent3" w:themeFillTint="66"/>
            <w:vAlign w:val="center"/>
          </w:tcPr>
          <w:p w:rsidR="00736F8F" w:rsidRPr="00741B5A" w:rsidRDefault="00736F8F" w:rsidP="00736F8F">
            <w:pPr>
              <w:pStyle w:val="Paragraph"/>
              <w:numPr>
                <w:ilvl w:val="0"/>
                <w:numId w:val="0"/>
              </w:numPr>
              <w:spacing w:before="0" w:after="0"/>
              <w:jc w:val="center"/>
              <w:rPr>
                <w:b/>
                <w:sz w:val="20"/>
                <w:szCs w:val="20"/>
              </w:rPr>
            </w:pPr>
            <w:r w:rsidRPr="00741B5A">
              <w:rPr>
                <w:b/>
                <w:sz w:val="20"/>
                <w:szCs w:val="20"/>
              </w:rPr>
              <w:t>Benefits</w:t>
            </w:r>
          </w:p>
        </w:tc>
      </w:tr>
    </w:tbl>
    <w:p w:rsidR="008778E6" w:rsidRPr="00320877" w:rsidRDefault="00265370" w:rsidP="00320877">
      <w:pPr>
        <w:pStyle w:val="Paragraph"/>
        <w:numPr>
          <w:ilvl w:val="0"/>
          <w:numId w:val="0"/>
        </w:numPr>
        <w:spacing w:after="80"/>
        <w:rPr>
          <w:u w:val="single"/>
        </w:rPr>
      </w:pPr>
      <w:r w:rsidRPr="00F751BC">
        <w:rPr>
          <w:i/>
          <w:sz w:val="18"/>
        </w:rPr>
        <w:t xml:space="preserve">Source: </w:t>
      </w:r>
      <w:r w:rsidR="00AC2374">
        <w:rPr>
          <w:i/>
          <w:sz w:val="18"/>
        </w:rPr>
        <w:t>Developed by author, 2013</w:t>
      </w:r>
    </w:p>
    <w:p w:rsidR="00D36B1F" w:rsidRDefault="00A316C0" w:rsidP="00921FA1">
      <w:pPr>
        <w:pStyle w:val="Paragraph"/>
        <w:numPr>
          <w:ilvl w:val="0"/>
          <w:numId w:val="5"/>
        </w:numPr>
        <w:spacing w:after="80"/>
      </w:pPr>
      <w:r w:rsidRPr="00823622">
        <w:t xml:space="preserve">Investment costs for a high heat </w:t>
      </w:r>
      <w:r w:rsidR="00DB44B3">
        <w:t>geothermal</w:t>
      </w:r>
      <w:r w:rsidRPr="00823622">
        <w:t xml:space="preserve"> plant </w:t>
      </w:r>
      <w:r>
        <w:t xml:space="preserve">are estimated on US$4 million per </w:t>
      </w:r>
      <w:r w:rsidRPr="00823622">
        <w:t>MW</w:t>
      </w:r>
      <w:r w:rsidR="00736F8F">
        <w:t xml:space="preserve"> </w:t>
      </w:r>
      <w:r>
        <w:t>(PwC, 2012)</w:t>
      </w:r>
      <w:r w:rsidRPr="00A316C0">
        <w:rPr>
          <w:vertAlign w:val="superscript"/>
        </w:rPr>
        <w:footnoteReference w:id="11"/>
      </w:r>
      <w:r w:rsidR="00645959">
        <w:t xml:space="preserve">. </w:t>
      </w:r>
      <w:r w:rsidR="00EA7187" w:rsidRPr="00F83BF2">
        <w:t>The levelized cost</w:t>
      </w:r>
      <w:r w:rsidR="00EA7187" w:rsidRPr="00F83BF2">
        <w:rPr>
          <w:rStyle w:val="FootnoteReference"/>
        </w:rPr>
        <w:footnoteReference w:id="12"/>
      </w:r>
      <w:r w:rsidR="00EA7187" w:rsidRPr="00F83BF2">
        <w:t xml:space="preserve"> of a geothermal plant is 93 USD/Mw</w:t>
      </w:r>
      <w:r w:rsidR="00736F8F" w:rsidRPr="00F83BF2">
        <w:t>h</w:t>
      </w:r>
      <w:r w:rsidR="00EA7187" w:rsidRPr="00F83BF2">
        <w:rPr>
          <w:rStyle w:val="FootnoteReference"/>
        </w:rPr>
        <w:footnoteReference w:id="13"/>
      </w:r>
      <w:r w:rsidR="00EA7187" w:rsidRPr="00F83BF2">
        <w:t>.</w:t>
      </w:r>
      <w:r w:rsidR="00EA7187">
        <w:t xml:space="preserve"> </w:t>
      </w:r>
      <w:r w:rsidR="004D5823">
        <w:t xml:space="preserve">This cost is </w:t>
      </w:r>
      <w:r w:rsidR="00DC1B56">
        <w:t xml:space="preserve">calculated </w:t>
      </w:r>
      <w:r w:rsidR="004D5823">
        <w:t xml:space="preserve">based on </w:t>
      </w:r>
      <w:r w:rsidR="00DC1B56">
        <w:t>the COPAR</w:t>
      </w:r>
      <w:r w:rsidR="00DC1B56">
        <w:rPr>
          <w:rStyle w:val="FootnoteReference"/>
        </w:rPr>
        <w:footnoteReference w:id="14"/>
      </w:r>
      <w:r w:rsidR="00DC1B56">
        <w:t xml:space="preserve"> methodology with </w:t>
      </w:r>
      <w:r w:rsidR="004D5823">
        <w:t>the following hypothesis</w:t>
      </w:r>
      <w:r w:rsidR="00A5219A">
        <w:t xml:space="preserve"> adopted to the Mexican context,</w:t>
      </w:r>
    </w:p>
    <w:p w:rsidR="00D36B1F" w:rsidRDefault="00D36B1F" w:rsidP="00921FA1">
      <w:pPr>
        <w:pStyle w:val="Paragraph"/>
        <w:numPr>
          <w:ilvl w:val="1"/>
          <w:numId w:val="5"/>
        </w:numPr>
        <w:spacing w:after="80"/>
      </w:pPr>
      <w:r>
        <w:lastRenderedPageBreak/>
        <w:t>Success ratio of drilling: 67%</w:t>
      </w:r>
    </w:p>
    <w:p w:rsidR="00D36B1F" w:rsidRDefault="00D36B1F" w:rsidP="00921FA1">
      <w:pPr>
        <w:pStyle w:val="Paragraph"/>
        <w:numPr>
          <w:ilvl w:val="1"/>
          <w:numId w:val="5"/>
        </w:numPr>
        <w:spacing w:after="80"/>
      </w:pPr>
      <w:r>
        <w:t>Average power of each well: 5 M</w:t>
      </w:r>
      <w:r w:rsidR="00DB44B3">
        <w:t>W</w:t>
      </w:r>
    </w:p>
    <w:p w:rsidR="00C20720" w:rsidRDefault="00B86890" w:rsidP="00921FA1">
      <w:pPr>
        <w:pStyle w:val="Paragraph"/>
        <w:numPr>
          <w:ilvl w:val="1"/>
          <w:numId w:val="5"/>
        </w:numPr>
        <w:spacing w:after="80"/>
      </w:pPr>
      <w:r>
        <w:t>Average depth: 2</w:t>
      </w:r>
      <w:r w:rsidR="00DB44B3">
        <w:t>,</w:t>
      </w:r>
      <w:r>
        <w:t>000 meters</w:t>
      </w:r>
    </w:p>
    <w:p w:rsidR="00CE5636" w:rsidRPr="00A316C0" w:rsidRDefault="00CE5636" w:rsidP="00921FA1">
      <w:pPr>
        <w:pStyle w:val="Paragraph"/>
        <w:numPr>
          <w:ilvl w:val="1"/>
          <w:numId w:val="5"/>
        </w:numPr>
        <w:spacing w:after="80"/>
      </w:pPr>
      <w:r>
        <w:t xml:space="preserve"> Lifespan: 30 years</w:t>
      </w:r>
    </w:p>
    <w:p w:rsidR="00B86890" w:rsidRDefault="00B86890" w:rsidP="00921FA1">
      <w:pPr>
        <w:pStyle w:val="Paragraph"/>
        <w:numPr>
          <w:ilvl w:val="0"/>
          <w:numId w:val="5"/>
        </w:numPr>
        <w:spacing w:after="80"/>
        <w:ind w:left="720" w:firstLine="0"/>
      </w:pPr>
      <w:r w:rsidRPr="00B86890">
        <w:t xml:space="preserve">We assume </w:t>
      </w:r>
      <w:r w:rsidR="002F04A2">
        <w:t>an</w:t>
      </w:r>
      <w:r w:rsidR="008778E6">
        <w:t xml:space="preserve"> 84% </w:t>
      </w:r>
      <w:r w:rsidRPr="00B86890">
        <w:t>load capacity for geothermal projects in Mexico</w:t>
      </w:r>
      <w:r>
        <w:rPr>
          <w:rStyle w:val="FootnoteReference"/>
        </w:rPr>
        <w:footnoteReference w:id="15"/>
      </w:r>
      <w:r w:rsidRPr="00B86890">
        <w:t>.</w:t>
      </w:r>
    </w:p>
    <w:p w:rsidR="00B76D84" w:rsidRPr="00856C25" w:rsidRDefault="009C7DAF" w:rsidP="00856C25">
      <w:pPr>
        <w:pStyle w:val="Paragraph"/>
        <w:numPr>
          <w:ilvl w:val="0"/>
          <w:numId w:val="11"/>
        </w:numPr>
        <w:spacing w:after="80"/>
        <w:rPr>
          <w:b/>
          <w:u w:val="single"/>
        </w:rPr>
      </w:pPr>
      <w:r>
        <w:rPr>
          <w:b/>
          <w:u w:val="single"/>
        </w:rPr>
        <w:t>R</w:t>
      </w:r>
      <w:r w:rsidR="00B76D84">
        <w:rPr>
          <w:b/>
          <w:u w:val="single"/>
        </w:rPr>
        <w:t>enewable power generation in Mexico</w:t>
      </w:r>
    </w:p>
    <w:p w:rsidR="00767F35" w:rsidRPr="0005081E" w:rsidRDefault="00767F35" w:rsidP="00C15EF1">
      <w:pPr>
        <w:pStyle w:val="Paragraph"/>
        <w:numPr>
          <w:ilvl w:val="0"/>
          <w:numId w:val="5"/>
        </w:numPr>
        <w:spacing w:after="80"/>
      </w:pPr>
      <w:r w:rsidRPr="0005081E">
        <w:rPr>
          <w:szCs w:val="24"/>
        </w:rPr>
        <w:t>To estimate the costs of renewable energy generation in Mexico</w:t>
      </w:r>
      <w:r w:rsidR="00DB44B3">
        <w:rPr>
          <w:szCs w:val="24"/>
        </w:rPr>
        <w:t>,</w:t>
      </w:r>
      <w:r w:rsidRPr="0005081E">
        <w:rPr>
          <w:szCs w:val="24"/>
        </w:rPr>
        <w:t xml:space="preserve"> we </w:t>
      </w:r>
      <w:r w:rsidR="00DB44B3">
        <w:rPr>
          <w:szCs w:val="24"/>
        </w:rPr>
        <w:t>use current</w:t>
      </w:r>
      <w:r w:rsidRPr="0005081E">
        <w:rPr>
          <w:szCs w:val="24"/>
        </w:rPr>
        <w:t xml:space="preserve"> costs of renewable energy</w:t>
      </w:r>
      <w:r w:rsidR="00DB44B3">
        <w:rPr>
          <w:szCs w:val="24"/>
        </w:rPr>
        <w:t xml:space="preserve"> (as of 2012)</w:t>
      </w:r>
      <w:r w:rsidRPr="0005081E">
        <w:rPr>
          <w:szCs w:val="24"/>
        </w:rPr>
        <w:t xml:space="preserve">. </w:t>
      </w:r>
    </w:p>
    <w:tbl>
      <w:tblPr>
        <w:tblStyle w:val="LightList"/>
        <w:tblW w:w="0" w:type="auto"/>
        <w:tblLook w:val="04A0" w:firstRow="1" w:lastRow="0" w:firstColumn="1" w:lastColumn="0" w:noHBand="0" w:noVBand="1"/>
      </w:tblPr>
      <w:tblGrid>
        <w:gridCol w:w="2718"/>
        <w:gridCol w:w="1800"/>
        <w:gridCol w:w="1620"/>
        <w:gridCol w:w="2340"/>
      </w:tblGrid>
      <w:tr w:rsidR="00E5337C" w:rsidRPr="00E5337C" w:rsidTr="00DB56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Borders>
              <w:bottom w:val="single" w:sz="4" w:space="0" w:color="auto"/>
            </w:tcBorders>
            <w:vAlign w:val="center"/>
          </w:tcPr>
          <w:p w:rsidR="000A2B0D" w:rsidRPr="00856C25" w:rsidRDefault="00C6514C" w:rsidP="00856C25">
            <w:pPr>
              <w:pStyle w:val="Paragraph"/>
              <w:numPr>
                <w:ilvl w:val="0"/>
                <w:numId w:val="0"/>
              </w:numPr>
              <w:spacing w:before="0" w:after="0"/>
              <w:jc w:val="center"/>
              <w:rPr>
                <w:color w:val="auto"/>
                <w:sz w:val="22"/>
              </w:rPr>
            </w:pPr>
            <w:r>
              <w:rPr>
                <w:sz w:val="20"/>
                <w:szCs w:val="20"/>
              </w:rPr>
              <w:t xml:space="preserve"> in</w:t>
            </w:r>
            <w:r w:rsidR="000A2B0D" w:rsidRPr="00DB44B3">
              <w:rPr>
                <w:sz w:val="20"/>
                <w:szCs w:val="20"/>
              </w:rPr>
              <w:t>o</w:t>
            </w:r>
            <w:r w:rsidR="000A2B0D" w:rsidRPr="00856C25">
              <w:rPr>
                <w:sz w:val="22"/>
              </w:rPr>
              <w:t>Plant</w:t>
            </w:r>
          </w:p>
        </w:tc>
        <w:tc>
          <w:tcPr>
            <w:tcW w:w="5760" w:type="dxa"/>
            <w:gridSpan w:val="3"/>
            <w:tcBorders>
              <w:bottom w:val="single" w:sz="4" w:space="0" w:color="auto"/>
            </w:tcBorders>
            <w:vAlign w:val="center"/>
          </w:tcPr>
          <w:p w:rsidR="000A2B0D" w:rsidRPr="00856C25" w:rsidRDefault="000A2B0D" w:rsidP="00856C25">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color w:val="auto"/>
                <w:sz w:val="22"/>
              </w:rPr>
            </w:pPr>
            <w:r w:rsidRPr="00856C25">
              <w:rPr>
                <w:sz w:val="22"/>
              </w:rPr>
              <w:t>USD/Mwh</w:t>
            </w:r>
          </w:p>
        </w:tc>
      </w:tr>
      <w:tr w:rsidR="000A2B0D" w:rsidTr="00DB567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718" w:type="dxa"/>
            <w:tcBorders>
              <w:top w:val="single" w:sz="4" w:space="0" w:color="auto"/>
              <w:left w:val="single" w:sz="4" w:space="0" w:color="auto"/>
              <w:bottom w:val="single" w:sz="4" w:space="0" w:color="auto"/>
              <w:right w:val="single" w:sz="4" w:space="0" w:color="auto"/>
            </w:tcBorders>
          </w:tcPr>
          <w:p w:rsidR="000A2B0D" w:rsidRPr="00856C25" w:rsidRDefault="000A2B0D" w:rsidP="00856C25">
            <w:pPr>
              <w:pStyle w:val="Paragraph"/>
              <w:numPr>
                <w:ilvl w:val="0"/>
                <w:numId w:val="0"/>
              </w:numPr>
              <w:spacing w:before="0" w:after="0"/>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0A2B0D" w:rsidRPr="00856C25" w:rsidRDefault="000A2B0D" w:rsidP="00856C2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856C25">
              <w:rPr>
                <w:sz w:val="20"/>
                <w:szCs w:val="20"/>
              </w:rPr>
              <w:t>Investment</w:t>
            </w:r>
          </w:p>
        </w:tc>
        <w:tc>
          <w:tcPr>
            <w:tcW w:w="1620" w:type="dxa"/>
            <w:tcBorders>
              <w:top w:val="single" w:sz="4" w:space="0" w:color="auto"/>
              <w:left w:val="single" w:sz="4" w:space="0" w:color="auto"/>
              <w:bottom w:val="single" w:sz="4" w:space="0" w:color="auto"/>
              <w:right w:val="single" w:sz="4" w:space="0" w:color="auto"/>
            </w:tcBorders>
            <w:vAlign w:val="center"/>
          </w:tcPr>
          <w:p w:rsidR="000A2B0D" w:rsidRPr="00856C25" w:rsidRDefault="000A2B0D" w:rsidP="00856C2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856C25">
              <w:rPr>
                <w:sz w:val="20"/>
                <w:szCs w:val="20"/>
              </w:rPr>
              <w:t>O&amp;M</w:t>
            </w:r>
          </w:p>
        </w:tc>
        <w:tc>
          <w:tcPr>
            <w:tcW w:w="2340" w:type="dxa"/>
            <w:tcBorders>
              <w:top w:val="single" w:sz="4" w:space="0" w:color="auto"/>
              <w:left w:val="single" w:sz="4" w:space="0" w:color="auto"/>
              <w:bottom w:val="single" w:sz="4" w:space="0" w:color="auto"/>
              <w:right w:val="single" w:sz="4" w:space="0" w:color="auto"/>
            </w:tcBorders>
            <w:vAlign w:val="center"/>
          </w:tcPr>
          <w:p w:rsidR="000A2B0D" w:rsidRPr="00856C25" w:rsidRDefault="000A2B0D" w:rsidP="00856C2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b/>
                <w:sz w:val="20"/>
                <w:szCs w:val="20"/>
              </w:rPr>
            </w:pPr>
            <w:r w:rsidRPr="00856C25">
              <w:rPr>
                <w:b/>
                <w:sz w:val="20"/>
                <w:szCs w:val="20"/>
              </w:rPr>
              <w:t>Total</w:t>
            </w:r>
          </w:p>
        </w:tc>
      </w:tr>
      <w:tr w:rsidR="000A2B0D" w:rsidTr="00856C25">
        <w:trPr>
          <w:trHeight w:val="278"/>
        </w:trPr>
        <w:tc>
          <w:tcPr>
            <w:cnfStyle w:val="001000000000" w:firstRow="0" w:lastRow="0" w:firstColumn="1" w:lastColumn="0" w:oddVBand="0" w:evenVBand="0" w:oddHBand="0" w:evenHBand="0" w:firstRowFirstColumn="0" w:firstRowLastColumn="0" w:lastRowFirstColumn="0" w:lastRowLastColumn="0"/>
            <w:tcW w:w="2718" w:type="dxa"/>
            <w:tcBorders>
              <w:top w:val="single" w:sz="4" w:space="0" w:color="auto"/>
              <w:left w:val="single" w:sz="4" w:space="0" w:color="auto"/>
              <w:bottom w:val="single" w:sz="4" w:space="0" w:color="auto"/>
              <w:right w:val="single" w:sz="4" w:space="0" w:color="auto"/>
            </w:tcBorders>
            <w:vAlign w:val="center"/>
          </w:tcPr>
          <w:p w:rsidR="000A2B0D" w:rsidRPr="00856C25" w:rsidRDefault="000A2B0D" w:rsidP="00856C25">
            <w:pPr>
              <w:pStyle w:val="Paragraph"/>
              <w:numPr>
                <w:ilvl w:val="0"/>
                <w:numId w:val="0"/>
              </w:numPr>
              <w:spacing w:before="0" w:after="0"/>
              <w:jc w:val="left"/>
              <w:rPr>
                <w:sz w:val="20"/>
                <w:szCs w:val="20"/>
              </w:rPr>
            </w:pPr>
            <w:r w:rsidRPr="00856C25">
              <w:rPr>
                <w:sz w:val="20"/>
                <w:szCs w:val="20"/>
              </w:rPr>
              <w:t>Geothermal Power</w:t>
            </w:r>
          </w:p>
        </w:tc>
        <w:tc>
          <w:tcPr>
            <w:tcW w:w="1800" w:type="dxa"/>
            <w:tcBorders>
              <w:top w:val="single" w:sz="4" w:space="0" w:color="auto"/>
              <w:left w:val="single" w:sz="4" w:space="0" w:color="auto"/>
              <w:bottom w:val="single" w:sz="4" w:space="0" w:color="auto"/>
              <w:right w:val="single" w:sz="4" w:space="0" w:color="auto"/>
            </w:tcBorders>
            <w:vAlign w:val="center"/>
          </w:tcPr>
          <w:p w:rsidR="000A2B0D" w:rsidRPr="00856C25" w:rsidRDefault="000A2B0D" w:rsidP="00856C2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856C25">
              <w:rPr>
                <w:sz w:val="20"/>
                <w:szCs w:val="20"/>
              </w:rPr>
              <w:t>65</w:t>
            </w:r>
          </w:p>
        </w:tc>
        <w:tc>
          <w:tcPr>
            <w:tcW w:w="1620" w:type="dxa"/>
            <w:tcBorders>
              <w:top w:val="single" w:sz="4" w:space="0" w:color="auto"/>
              <w:left w:val="single" w:sz="4" w:space="0" w:color="auto"/>
              <w:bottom w:val="single" w:sz="4" w:space="0" w:color="auto"/>
              <w:right w:val="single" w:sz="4" w:space="0" w:color="auto"/>
            </w:tcBorders>
            <w:vAlign w:val="center"/>
          </w:tcPr>
          <w:p w:rsidR="000A2B0D" w:rsidRPr="00856C25" w:rsidRDefault="000A2B0D" w:rsidP="00856C2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856C25">
              <w:rPr>
                <w:sz w:val="20"/>
                <w:szCs w:val="20"/>
              </w:rPr>
              <w:t>28</w:t>
            </w:r>
          </w:p>
        </w:tc>
        <w:tc>
          <w:tcPr>
            <w:tcW w:w="2340" w:type="dxa"/>
            <w:tcBorders>
              <w:top w:val="single" w:sz="4" w:space="0" w:color="auto"/>
              <w:left w:val="single" w:sz="4" w:space="0" w:color="auto"/>
              <w:bottom w:val="single" w:sz="4" w:space="0" w:color="auto"/>
              <w:right w:val="single" w:sz="4" w:space="0" w:color="auto"/>
            </w:tcBorders>
            <w:vAlign w:val="center"/>
          </w:tcPr>
          <w:p w:rsidR="000A2B0D" w:rsidRPr="00856C25" w:rsidRDefault="000A2B0D" w:rsidP="00856C2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b/>
                <w:sz w:val="20"/>
                <w:szCs w:val="20"/>
              </w:rPr>
            </w:pPr>
            <w:r w:rsidRPr="00856C25">
              <w:rPr>
                <w:b/>
                <w:sz w:val="20"/>
                <w:szCs w:val="20"/>
              </w:rPr>
              <w:t>93</w:t>
            </w:r>
          </w:p>
        </w:tc>
      </w:tr>
      <w:tr w:rsidR="000A2B0D" w:rsidTr="00856C25">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718" w:type="dxa"/>
            <w:tcBorders>
              <w:top w:val="single" w:sz="4" w:space="0" w:color="auto"/>
              <w:left w:val="single" w:sz="4" w:space="0" w:color="auto"/>
              <w:bottom w:val="single" w:sz="4" w:space="0" w:color="auto"/>
              <w:right w:val="single" w:sz="4" w:space="0" w:color="auto"/>
            </w:tcBorders>
            <w:vAlign w:val="center"/>
          </w:tcPr>
          <w:p w:rsidR="000A2B0D" w:rsidRPr="00856C25" w:rsidRDefault="000A2B0D" w:rsidP="00856C25">
            <w:pPr>
              <w:pStyle w:val="Paragraph"/>
              <w:numPr>
                <w:ilvl w:val="0"/>
                <w:numId w:val="0"/>
              </w:numPr>
              <w:spacing w:before="0" w:after="0"/>
              <w:jc w:val="left"/>
              <w:rPr>
                <w:sz w:val="20"/>
                <w:szCs w:val="20"/>
              </w:rPr>
            </w:pPr>
            <w:r w:rsidRPr="00856C25">
              <w:rPr>
                <w:sz w:val="20"/>
                <w:szCs w:val="20"/>
              </w:rPr>
              <w:t>Solar Energy</w:t>
            </w:r>
          </w:p>
        </w:tc>
        <w:tc>
          <w:tcPr>
            <w:tcW w:w="1800" w:type="dxa"/>
            <w:tcBorders>
              <w:top w:val="single" w:sz="4" w:space="0" w:color="auto"/>
              <w:left w:val="single" w:sz="4" w:space="0" w:color="auto"/>
              <w:bottom w:val="single" w:sz="4" w:space="0" w:color="auto"/>
              <w:right w:val="single" w:sz="4" w:space="0" w:color="auto"/>
            </w:tcBorders>
            <w:vAlign w:val="center"/>
          </w:tcPr>
          <w:p w:rsidR="000A2B0D" w:rsidRPr="00856C25" w:rsidRDefault="000A2B0D" w:rsidP="00856C2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856C25">
              <w:rPr>
                <w:sz w:val="20"/>
                <w:szCs w:val="20"/>
              </w:rPr>
              <w:t>182,12</w:t>
            </w:r>
          </w:p>
        </w:tc>
        <w:tc>
          <w:tcPr>
            <w:tcW w:w="1620" w:type="dxa"/>
            <w:tcBorders>
              <w:top w:val="single" w:sz="4" w:space="0" w:color="auto"/>
              <w:left w:val="single" w:sz="4" w:space="0" w:color="auto"/>
              <w:bottom w:val="single" w:sz="4" w:space="0" w:color="auto"/>
              <w:right w:val="single" w:sz="4" w:space="0" w:color="auto"/>
            </w:tcBorders>
            <w:vAlign w:val="center"/>
          </w:tcPr>
          <w:p w:rsidR="000A2B0D" w:rsidRPr="00856C25" w:rsidRDefault="000A2B0D" w:rsidP="00856C2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856C25">
              <w:rPr>
                <w:sz w:val="20"/>
                <w:szCs w:val="20"/>
              </w:rPr>
              <w:t>7,63</w:t>
            </w:r>
          </w:p>
        </w:tc>
        <w:tc>
          <w:tcPr>
            <w:tcW w:w="2340" w:type="dxa"/>
            <w:tcBorders>
              <w:top w:val="single" w:sz="4" w:space="0" w:color="auto"/>
              <w:left w:val="single" w:sz="4" w:space="0" w:color="auto"/>
              <w:bottom w:val="single" w:sz="4" w:space="0" w:color="auto"/>
              <w:right w:val="single" w:sz="4" w:space="0" w:color="auto"/>
            </w:tcBorders>
            <w:vAlign w:val="center"/>
          </w:tcPr>
          <w:p w:rsidR="000A2B0D" w:rsidRPr="00856C25" w:rsidRDefault="000A2B0D" w:rsidP="00856C2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b/>
                <w:sz w:val="20"/>
                <w:szCs w:val="20"/>
              </w:rPr>
            </w:pPr>
            <w:r w:rsidRPr="00856C25">
              <w:rPr>
                <w:b/>
                <w:sz w:val="20"/>
                <w:szCs w:val="20"/>
              </w:rPr>
              <w:t>189,74</w:t>
            </w:r>
          </w:p>
        </w:tc>
      </w:tr>
      <w:tr w:rsidR="000A2B0D" w:rsidTr="00856C25">
        <w:trPr>
          <w:trHeight w:val="332"/>
        </w:trPr>
        <w:tc>
          <w:tcPr>
            <w:cnfStyle w:val="001000000000" w:firstRow="0" w:lastRow="0" w:firstColumn="1" w:lastColumn="0" w:oddVBand="0" w:evenVBand="0" w:oddHBand="0" w:evenHBand="0" w:firstRowFirstColumn="0" w:firstRowLastColumn="0" w:lastRowFirstColumn="0" w:lastRowLastColumn="0"/>
            <w:tcW w:w="2718" w:type="dxa"/>
            <w:tcBorders>
              <w:top w:val="single" w:sz="4" w:space="0" w:color="auto"/>
              <w:left w:val="single" w:sz="4" w:space="0" w:color="auto"/>
              <w:bottom w:val="single" w:sz="4" w:space="0" w:color="auto"/>
              <w:right w:val="single" w:sz="4" w:space="0" w:color="auto"/>
            </w:tcBorders>
            <w:vAlign w:val="center"/>
          </w:tcPr>
          <w:p w:rsidR="000A2B0D" w:rsidRPr="00856C25" w:rsidRDefault="000A2B0D" w:rsidP="00856C25">
            <w:pPr>
              <w:pStyle w:val="Paragraph"/>
              <w:numPr>
                <w:ilvl w:val="0"/>
                <w:numId w:val="0"/>
              </w:numPr>
              <w:spacing w:before="0" w:after="0"/>
              <w:jc w:val="left"/>
              <w:rPr>
                <w:sz w:val="20"/>
                <w:szCs w:val="20"/>
              </w:rPr>
            </w:pPr>
            <w:r w:rsidRPr="00856C25">
              <w:rPr>
                <w:sz w:val="20"/>
                <w:szCs w:val="20"/>
              </w:rPr>
              <w:t>Hydro Power</w:t>
            </w:r>
          </w:p>
        </w:tc>
        <w:tc>
          <w:tcPr>
            <w:tcW w:w="1800" w:type="dxa"/>
            <w:tcBorders>
              <w:top w:val="single" w:sz="4" w:space="0" w:color="auto"/>
              <w:left w:val="single" w:sz="4" w:space="0" w:color="auto"/>
              <w:bottom w:val="single" w:sz="4" w:space="0" w:color="auto"/>
              <w:right w:val="single" w:sz="4" w:space="0" w:color="auto"/>
            </w:tcBorders>
            <w:vAlign w:val="center"/>
          </w:tcPr>
          <w:p w:rsidR="000A2B0D" w:rsidRPr="00856C25" w:rsidRDefault="000A2B0D" w:rsidP="00856C2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856C25">
              <w:rPr>
                <w:sz w:val="20"/>
                <w:szCs w:val="20"/>
              </w:rPr>
              <w:t>110,37</w:t>
            </w:r>
          </w:p>
        </w:tc>
        <w:tc>
          <w:tcPr>
            <w:tcW w:w="1620" w:type="dxa"/>
            <w:tcBorders>
              <w:top w:val="single" w:sz="4" w:space="0" w:color="auto"/>
              <w:left w:val="single" w:sz="4" w:space="0" w:color="auto"/>
              <w:bottom w:val="single" w:sz="4" w:space="0" w:color="auto"/>
              <w:right w:val="single" w:sz="4" w:space="0" w:color="auto"/>
            </w:tcBorders>
            <w:vAlign w:val="center"/>
          </w:tcPr>
          <w:p w:rsidR="000A2B0D" w:rsidRPr="00856C25" w:rsidRDefault="000A2B0D" w:rsidP="00856C2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856C25">
              <w:rPr>
                <w:sz w:val="20"/>
                <w:szCs w:val="20"/>
              </w:rPr>
              <w:t>9,35</w:t>
            </w:r>
          </w:p>
        </w:tc>
        <w:tc>
          <w:tcPr>
            <w:tcW w:w="2340" w:type="dxa"/>
            <w:tcBorders>
              <w:top w:val="single" w:sz="4" w:space="0" w:color="auto"/>
              <w:left w:val="single" w:sz="4" w:space="0" w:color="auto"/>
              <w:bottom w:val="single" w:sz="4" w:space="0" w:color="auto"/>
              <w:right w:val="single" w:sz="4" w:space="0" w:color="auto"/>
            </w:tcBorders>
            <w:vAlign w:val="center"/>
          </w:tcPr>
          <w:p w:rsidR="000A2B0D" w:rsidRPr="00856C25" w:rsidRDefault="000A2B0D" w:rsidP="00856C2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b/>
                <w:sz w:val="20"/>
                <w:szCs w:val="20"/>
              </w:rPr>
            </w:pPr>
            <w:r w:rsidRPr="00856C25">
              <w:rPr>
                <w:b/>
                <w:sz w:val="20"/>
                <w:szCs w:val="20"/>
              </w:rPr>
              <w:t>119,72</w:t>
            </w:r>
          </w:p>
        </w:tc>
      </w:tr>
      <w:tr w:rsidR="000A2B0D" w:rsidTr="00856C2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18" w:type="dxa"/>
            <w:tcBorders>
              <w:top w:val="single" w:sz="4" w:space="0" w:color="auto"/>
              <w:left w:val="single" w:sz="4" w:space="0" w:color="auto"/>
              <w:bottom w:val="single" w:sz="4" w:space="0" w:color="auto"/>
              <w:right w:val="single" w:sz="4" w:space="0" w:color="auto"/>
            </w:tcBorders>
            <w:vAlign w:val="center"/>
          </w:tcPr>
          <w:p w:rsidR="000A2B0D" w:rsidRPr="00856C25" w:rsidRDefault="000A2B0D" w:rsidP="00856C25">
            <w:pPr>
              <w:pStyle w:val="Paragraph"/>
              <w:numPr>
                <w:ilvl w:val="0"/>
                <w:numId w:val="0"/>
              </w:numPr>
              <w:spacing w:before="0" w:after="0"/>
              <w:jc w:val="left"/>
              <w:rPr>
                <w:sz w:val="20"/>
                <w:szCs w:val="20"/>
              </w:rPr>
            </w:pPr>
            <w:r w:rsidRPr="00856C25">
              <w:rPr>
                <w:sz w:val="20"/>
                <w:szCs w:val="20"/>
              </w:rPr>
              <w:t>Wind Power</w:t>
            </w:r>
          </w:p>
        </w:tc>
        <w:tc>
          <w:tcPr>
            <w:tcW w:w="1800" w:type="dxa"/>
            <w:tcBorders>
              <w:top w:val="single" w:sz="4" w:space="0" w:color="auto"/>
              <w:left w:val="single" w:sz="4" w:space="0" w:color="auto"/>
              <w:bottom w:val="single" w:sz="4" w:space="0" w:color="auto"/>
              <w:right w:val="single" w:sz="4" w:space="0" w:color="auto"/>
            </w:tcBorders>
            <w:vAlign w:val="center"/>
          </w:tcPr>
          <w:p w:rsidR="000A2B0D" w:rsidRPr="00856C25" w:rsidRDefault="000A2B0D" w:rsidP="00856C2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856C25">
              <w:rPr>
                <w:sz w:val="20"/>
                <w:szCs w:val="20"/>
              </w:rPr>
              <w:t>72,575</w:t>
            </w:r>
          </w:p>
        </w:tc>
        <w:tc>
          <w:tcPr>
            <w:tcW w:w="1620" w:type="dxa"/>
            <w:tcBorders>
              <w:top w:val="single" w:sz="4" w:space="0" w:color="auto"/>
              <w:left w:val="single" w:sz="4" w:space="0" w:color="auto"/>
              <w:bottom w:val="single" w:sz="4" w:space="0" w:color="auto"/>
              <w:right w:val="single" w:sz="4" w:space="0" w:color="auto"/>
            </w:tcBorders>
            <w:vAlign w:val="center"/>
          </w:tcPr>
          <w:p w:rsidR="000A2B0D" w:rsidRPr="00856C25" w:rsidRDefault="000A2B0D" w:rsidP="00856C2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856C25">
              <w:rPr>
                <w:sz w:val="20"/>
                <w:szCs w:val="20"/>
              </w:rPr>
              <w:t>8,585</w:t>
            </w:r>
          </w:p>
        </w:tc>
        <w:tc>
          <w:tcPr>
            <w:tcW w:w="2340" w:type="dxa"/>
            <w:tcBorders>
              <w:top w:val="single" w:sz="4" w:space="0" w:color="auto"/>
              <w:left w:val="single" w:sz="4" w:space="0" w:color="auto"/>
              <w:bottom w:val="single" w:sz="4" w:space="0" w:color="auto"/>
              <w:right w:val="single" w:sz="4" w:space="0" w:color="auto"/>
            </w:tcBorders>
            <w:vAlign w:val="center"/>
          </w:tcPr>
          <w:p w:rsidR="000A2B0D" w:rsidRPr="00856C25" w:rsidRDefault="000A2B0D" w:rsidP="00856C2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b/>
                <w:sz w:val="20"/>
                <w:szCs w:val="20"/>
              </w:rPr>
            </w:pPr>
            <w:r w:rsidRPr="00856C25">
              <w:rPr>
                <w:b/>
                <w:sz w:val="20"/>
                <w:szCs w:val="20"/>
              </w:rPr>
              <w:t>81,16</w:t>
            </w:r>
          </w:p>
        </w:tc>
      </w:tr>
    </w:tbl>
    <w:p w:rsidR="000A2B0D" w:rsidRPr="00C2087E" w:rsidRDefault="000A2B0D" w:rsidP="000A2B0D">
      <w:pPr>
        <w:pStyle w:val="FootnoteText"/>
        <w:spacing w:after="0"/>
        <w:rPr>
          <w:i/>
          <w:lang w:val="es-ES"/>
        </w:rPr>
      </w:pPr>
      <w:r w:rsidRPr="00856C25">
        <w:rPr>
          <w:i/>
        </w:rPr>
        <w:t>Source:</w:t>
      </w:r>
      <w:r w:rsidR="00C232CB">
        <w:rPr>
          <w:i/>
        </w:rPr>
        <w:t xml:space="preserve"> </w:t>
      </w:r>
      <w:r w:rsidR="001422F7">
        <w:rPr>
          <w:i/>
        </w:rPr>
        <w:t xml:space="preserve"> (Solar, Water and Wind Power)</w:t>
      </w:r>
      <w:r w:rsidRPr="00856C25">
        <w:rPr>
          <w:i/>
        </w:rPr>
        <w:t xml:space="preserve"> CFE. </w:t>
      </w:r>
      <w:hyperlink r:id="rId15" w:history="1">
        <w:r w:rsidRPr="00C2087E">
          <w:rPr>
            <w:rStyle w:val="Hyperlink"/>
            <w:i/>
            <w:lang w:val="es-ES"/>
          </w:rPr>
          <w:t xml:space="preserve">Costos y Parámetros de Referencia para la Formulación de </w:t>
        </w:r>
        <w:r w:rsidR="00C232CB">
          <w:rPr>
            <w:rStyle w:val="Hyperlink"/>
            <w:i/>
            <w:lang w:val="es-ES"/>
          </w:rPr>
          <w:br/>
        </w:r>
        <w:r w:rsidR="00C232CB">
          <w:rPr>
            <w:rStyle w:val="Hyperlink"/>
            <w:u w:val="none"/>
            <w:lang w:val="es-ES"/>
          </w:rPr>
          <w:t xml:space="preserve">         </w:t>
        </w:r>
        <w:r w:rsidRPr="00C2087E">
          <w:rPr>
            <w:rStyle w:val="Hyperlink"/>
            <w:i/>
            <w:lang w:val="es-ES"/>
          </w:rPr>
          <w:t>Proyectos de Inversión en el Sector Eléctrico</w:t>
        </w:r>
      </w:hyperlink>
      <w:r w:rsidRPr="00C2087E">
        <w:rPr>
          <w:i/>
          <w:lang w:val="es-ES"/>
        </w:rPr>
        <w:t>. 2012.</w:t>
      </w:r>
    </w:p>
    <w:p w:rsidR="00250D96" w:rsidRPr="00537517" w:rsidRDefault="00DA32E8" w:rsidP="00856C25">
      <w:pPr>
        <w:pStyle w:val="Paragraph"/>
        <w:numPr>
          <w:ilvl w:val="0"/>
          <w:numId w:val="5"/>
        </w:numPr>
        <w:spacing w:after="80"/>
      </w:pPr>
      <w:r w:rsidRPr="00537517">
        <w:t xml:space="preserve">In 2011, Mexico generated </w:t>
      </w:r>
      <w:r w:rsidR="00D073C2" w:rsidRPr="00537517">
        <w:t xml:space="preserve">renewable </w:t>
      </w:r>
      <w:r w:rsidRPr="00537517">
        <w:t>electricity in the following percentages</w:t>
      </w:r>
      <w:r w:rsidRPr="00DA32E8">
        <w:rPr>
          <w:vertAlign w:val="superscript"/>
        </w:rPr>
        <w:footnoteReference w:id="16"/>
      </w:r>
      <w:r w:rsidRPr="00537517">
        <w:t>:</w:t>
      </w:r>
    </w:p>
    <w:p w:rsidR="00FB0953" w:rsidRDefault="00DA32E8" w:rsidP="009758E1">
      <w:pPr>
        <w:pStyle w:val="Paragraph"/>
        <w:numPr>
          <w:ilvl w:val="0"/>
          <w:numId w:val="0"/>
        </w:numPr>
        <w:spacing w:after="80"/>
        <w:ind w:left="720"/>
        <w:jc w:val="center"/>
      </w:pPr>
      <w:r w:rsidRPr="00537517">
        <w:rPr>
          <w:b/>
          <w:sz w:val="20"/>
          <w:szCs w:val="20"/>
        </w:rPr>
        <w:t>Chart 2.2</w:t>
      </w:r>
      <w:r w:rsidR="00FB0953" w:rsidRPr="00F74212">
        <w:rPr>
          <w:b/>
          <w:sz w:val="20"/>
          <w:szCs w:val="20"/>
        </w:rPr>
        <w:t xml:space="preserve">. Distribution of renewable energy in </w:t>
      </w:r>
      <w:r w:rsidR="00FB0953">
        <w:rPr>
          <w:b/>
          <w:sz w:val="20"/>
          <w:szCs w:val="20"/>
        </w:rPr>
        <w:t>Mexico</w:t>
      </w:r>
      <w:r w:rsidR="00537517">
        <w:rPr>
          <w:b/>
          <w:sz w:val="20"/>
          <w:szCs w:val="20"/>
        </w:rPr>
        <w:t xml:space="preserve"> (excluding geothermal)</w:t>
      </w:r>
      <w:r w:rsidR="00FB0953">
        <w:rPr>
          <w:noProof/>
        </w:rPr>
        <w:drawing>
          <wp:inline distT="0" distB="0" distL="0" distR="0" wp14:anchorId="6020AD6F" wp14:editId="60AA698B">
            <wp:extent cx="4572000" cy="2743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B0953" w:rsidRPr="00736F8F" w:rsidRDefault="009758E1" w:rsidP="00856C25">
      <w:pPr>
        <w:pStyle w:val="Paragraph"/>
        <w:numPr>
          <w:ilvl w:val="0"/>
          <w:numId w:val="0"/>
        </w:numPr>
        <w:tabs>
          <w:tab w:val="num" w:pos="720"/>
        </w:tabs>
        <w:spacing w:before="0" w:after="0"/>
        <w:jc w:val="center"/>
      </w:pPr>
      <w:r>
        <w:rPr>
          <w:i/>
          <w:sz w:val="20"/>
          <w:szCs w:val="20"/>
        </w:rPr>
        <w:t>So</w:t>
      </w:r>
      <w:r w:rsidRPr="00AC2374">
        <w:rPr>
          <w:i/>
          <w:sz w:val="20"/>
          <w:szCs w:val="20"/>
        </w:rPr>
        <w:t>urce: SENER (2011). Prospectiva del Mercado de Gas Natural 2012-2026</w:t>
      </w:r>
    </w:p>
    <w:p w:rsidR="00C00D87" w:rsidRPr="00856C25" w:rsidRDefault="00C00D87" w:rsidP="00C00D87">
      <w:pPr>
        <w:pStyle w:val="Paragraph"/>
        <w:numPr>
          <w:ilvl w:val="0"/>
          <w:numId w:val="0"/>
        </w:numPr>
        <w:spacing w:after="80"/>
        <w:rPr>
          <w:i/>
          <w:u w:val="single"/>
        </w:rPr>
      </w:pPr>
      <w:r w:rsidRPr="00856C25">
        <w:rPr>
          <w:i/>
          <w:u w:val="single"/>
        </w:rPr>
        <w:lastRenderedPageBreak/>
        <w:t>Assumptions related to CO</w:t>
      </w:r>
      <w:r w:rsidRPr="00856C25">
        <w:rPr>
          <w:i/>
          <w:u w:val="single"/>
          <w:vertAlign w:val="subscript"/>
        </w:rPr>
        <w:t>2</w:t>
      </w:r>
      <w:r w:rsidRPr="00856C25">
        <w:rPr>
          <w:i/>
          <w:u w:val="single"/>
        </w:rPr>
        <w:t xml:space="preserve"> emissions and energy and water consumption:</w:t>
      </w:r>
    </w:p>
    <w:p w:rsidR="00DA4E4D" w:rsidRDefault="00C00D87" w:rsidP="00DB44B3">
      <w:pPr>
        <w:pStyle w:val="Paragraph"/>
        <w:numPr>
          <w:ilvl w:val="0"/>
          <w:numId w:val="5"/>
        </w:numPr>
        <w:spacing w:after="80"/>
      </w:pPr>
      <w:r w:rsidRPr="007C4D2F">
        <w:t>The reductions in CO</w:t>
      </w:r>
      <w:r w:rsidRPr="00856C25">
        <w:rPr>
          <w:vertAlign w:val="subscript"/>
        </w:rPr>
        <w:t>2</w:t>
      </w:r>
      <w:r w:rsidRPr="007C4D2F">
        <w:t xml:space="preserve"> emissions </w:t>
      </w:r>
      <w:r w:rsidR="006D4C99" w:rsidRPr="007C4D2F">
        <w:t xml:space="preserve">because of </w:t>
      </w:r>
      <w:r w:rsidR="00DB44B3">
        <w:t>new</w:t>
      </w:r>
      <w:r w:rsidR="00DB44B3" w:rsidRPr="007C4D2F">
        <w:t xml:space="preserve"> </w:t>
      </w:r>
      <w:r w:rsidR="006D4C99" w:rsidRPr="007C4D2F">
        <w:t xml:space="preserve">geothermal </w:t>
      </w:r>
      <w:r w:rsidR="00DB44B3">
        <w:t>capacity</w:t>
      </w:r>
      <w:r w:rsidR="00DB44B3" w:rsidRPr="007C4D2F">
        <w:t xml:space="preserve"> </w:t>
      </w:r>
      <w:r w:rsidR="006D4C99" w:rsidRPr="007C4D2F">
        <w:t>inst</w:t>
      </w:r>
      <w:r w:rsidR="00864B63">
        <w:t xml:space="preserve">alled </w:t>
      </w:r>
      <w:r w:rsidR="00DB44B3">
        <w:t xml:space="preserve">as a result of </w:t>
      </w:r>
      <w:r w:rsidRPr="007C4D2F">
        <w:t>the progr</w:t>
      </w:r>
      <w:r w:rsidR="00F7267D">
        <w:t>am are indicated in Table 2.5</w:t>
      </w:r>
      <w:r w:rsidRPr="007C4D2F">
        <w:t>. For the calculations of CO</w:t>
      </w:r>
      <w:r w:rsidRPr="00856C25">
        <w:rPr>
          <w:vertAlign w:val="subscript"/>
        </w:rPr>
        <w:t>2</w:t>
      </w:r>
      <w:r w:rsidR="00DA4E4D">
        <w:t xml:space="preserve"> emissions,</w:t>
      </w:r>
      <w:r w:rsidR="00167C61">
        <w:t xml:space="preserve"> </w:t>
      </w:r>
      <w:r w:rsidR="00DB44B3">
        <w:t xml:space="preserve">the analysis uses the standard IDB methodology, </w:t>
      </w:r>
      <w:r w:rsidR="00167C61">
        <w:t>assum</w:t>
      </w:r>
      <w:r w:rsidR="00DB44B3">
        <w:t xml:space="preserve">ing an average </w:t>
      </w:r>
      <w:r w:rsidR="00DB44B3" w:rsidRPr="00DB44B3">
        <w:t xml:space="preserve">emissions factor for electricity in Mexico </w:t>
      </w:r>
      <w:r w:rsidR="00DB44B3">
        <w:t>of</w:t>
      </w:r>
      <w:r w:rsidR="00167C61">
        <w:t xml:space="preserve"> 0</w:t>
      </w:r>
      <w:r w:rsidR="00DB44B3">
        <w:t>.</w:t>
      </w:r>
      <w:r w:rsidR="002D1E56">
        <w:t>5</w:t>
      </w:r>
      <w:r w:rsidR="00167C61">
        <w:t xml:space="preserve"> MT</w:t>
      </w:r>
      <w:r w:rsidR="00DA4E4D">
        <w:t>CO</w:t>
      </w:r>
      <w:r w:rsidR="00DA4E4D" w:rsidRPr="00856C25">
        <w:rPr>
          <w:vertAlign w:val="subscript"/>
        </w:rPr>
        <w:t>2</w:t>
      </w:r>
      <w:r w:rsidR="00DA4E4D">
        <w:t xml:space="preserve">/MWh. </w:t>
      </w:r>
    </w:p>
    <w:p w:rsidR="00C00D87" w:rsidRPr="00E5036C" w:rsidRDefault="00C949F8" w:rsidP="00C949F8">
      <w:pPr>
        <w:pStyle w:val="Paragraph"/>
        <w:numPr>
          <w:ilvl w:val="0"/>
          <w:numId w:val="0"/>
        </w:numPr>
        <w:spacing w:after="80"/>
        <w:ind w:left="1440"/>
        <w:rPr>
          <w:b/>
          <w:sz w:val="20"/>
          <w:szCs w:val="20"/>
        </w:rPr>
      </w:pPr>
      <w:r w:rsidRPr="00E5036C">
        <w:rPr>
          <w:b/>
          <w:sz w:val="20"/>
          <w:szCs w:val="20"/>
        </w:rPr>
        <w:t>Table 2.5</w:t>
      </w:r>
      <w:r w:rsidR="00C00D87" w:rsidRPr="00E5036C">
        <w:rPr>
          <w:b/>
          <w:sz w:val="20"/>
          <w:szCs w:val="20"/>
        </w:rPr>
        <w:t xml:space="preserve">: CO2 reductions </w:t>
      </w:r>
      <w:r w:rsidR="00890D86" w:rsidRPr="00E5036C">
        <w:rPr>
          <w:b/>
          <w:sz w:val="20"/>
          <w:szCs w:val="20"/>
        </w:rPr>
        <w:t>by geothermal plants</w:t>
      </w:r>
    </w:p>
    <w:tbl>
      <w:tblPr>
        <w:tblStyle w:val="LightList"/>
        <w:tblW w:w="10350" w:type="dxa"/>
        <w:tblInd w:w="-702" w:type="dxa"/>
        <w:tblLayout w:type="fixed"/>
        <w:tblLook w:val="04A0" w:firstRow="1" w:lastRow="0" w:firstColumn="1" w:lastColumn="0" w:noHBand="0" w:noVBand="1"/>
      </w:tblPr>
      <w:tblGrid>
        <w:gridCol w:w="1980"/>
        <w:gridCol w:w="810"/>
        <w:gridCol w:w="810"/>
        <w:gridCol w:w="900"/>
        <w:gridCol w:w="810"/>
        <w:gridCol w:w="810"/>
        <w:gridCol w:w="810"/>
        <w:gridCol w:w="810"/>
        <w:gridCol w:w="810"/>
        <w:gridCol w:w="810"/>
        <w:gridCol w:w="990"/>
      </w:tblGrid>
      <w:tr w:rsidR="00DB44B3" w:rsidRPr="002D1E56" w:rsidTr="00856C25">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980" w:type="dxa"/>
            <w:vAlign w:val="center"/>
          </w:tcPr>
          <w:p w:rsidR="008B7BF4" w:rsidRPr="00856C25" w:rsidRDefault="008B7BF4" w:rsidP="00A73B35">
            <w:pPr>
              <w:pStyle w:val="Paragraph"/>
              <w:numPr>
                <w:ilvl w:val="0"/>
                <w:numId w:val="0"/>
              </w:numPr>
              <w:spacing w:before="0" w:after="0"/>
              <w:jc w:val="center"/>
              <w:rPr>
                <w:sz w:val="18"/>
              </w:rPr>
            </w:pPr>
            <w:r w:rsidRPr="00856C25">
              <w:rPr>
                <w:sz w:val="18"/>
              </w:rPr>
              <w:t>Project</w:t>
            </w:r>
          </w:p>
        </w:tc>
        <w:tc>
          <w:tcPr>
            <w:tcW w:w="810" w:type="dxa"/>
          </w:tcPr>
          <w:p w:rsidR="008B7BF4" w:rsidRPr="00856C25" w:rsidRDefault="008B7BF4" w:rsidP="00A73B35">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sz w:val="18"/>
              </w:rPr>
            </w:pPr>
            <w:r w:rsidRPr="00856C25">
              <w:rPr>
                <w:sz w:val="18"/>
              </w:rPr>
              <w:t>2015</w:t>
            </w:r>
          </w:p>
        </w:tc>
        <w:tc>
          <w:tcPr>
            <w:tcW w:w="810" w:type="dxa"/>
          </w:tcPr>
          <w:p w:rsidR="008B7BF4" w:rsidRPr="00856C25" w:rsidRDefault="008B7BF4" w:rsidP="00A73B35">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sz w:val="18"/>
              </w:rPr>
            </w:pPr>
            <w:r w:rsidRPr="00856C25">
              <w:rPr>
                <w:sz w:val="18"/>
              </w:rPr>
              <w:t>2016</w:t>
            </w:r>
          </w:p>
        </w:tc>
        <w:tc>
          <w:tcPr>
            <w:tcW w:w="900" w:type="dxa"/>
            <w:vAlign w:val="center"/>
          </w:tcPr>
          <w:p w:rsidR="008B7BF4" w:rsidRPr="00856C25" w:rsidRDefault="008B7BF4" w:rsidP="00A73B35">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sz w:val="18"/>
              </w:rPr>
            </w:pPr>
            <w:r w:rsidRPr="00856C25">
              <w:rPr>
                <w:sz w:val="18"/>
              </w:rPr>
              <w:t>2017</w:t>
            </w:r>
          </w:p>
        </w:tc>
        <w:tc>
          <w:tcPr>
            <w:tcW w:w="810" w:type="dxa"/>
            <w:vAlign w:val="center"/>
          </w:tcPr>
          <w:p w:rsidR="008B7BF4" w:rsidRPr="00856C25" w:rsidRDefault="008B7BF4" w:rsidP="00A73B35">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sz w:val="18"/>
              </w:rPr>
            </w:pPr>
            <w:r w:rsidRPr="00856C25">
              <w:rPr>
                <w:sz w:val="18"/>
              </w:rPr>
              <w:t>2018</w:t>
            </w:r>
          </w:p>
        </w:tc>
        <w:tc>
          <w:tcPr>
            <w:tcW w:w="810" w:type="dxa"/>
            <w:vAlign w:val="center"/>
          </w:tcPr>
          <w:p w:rsidR="008B7BF4" w:rsidRPr="00856C25" w:rsidRDefault="008B7BF4" w:rsidP="00A73B35">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sz w:val="18"/>
              </w:rPr>
            </w:pPr>
            <w:r w:rsidRPr="00856C25">
              <w:rPr>
                <w:sz w:val="18"/>
              </w:rPr>
              <w:t>2019</w:t>
            </w:r>
          </w:p>
        </w:tc>
        <w:tc>
          <w:tcPr>
            <w:tcW w:w="810" w:type="dxa"/>
            <w:vAlign w:val="center"/>
          </w:tcPr>
          <w:p w:rsidR="008B7BF4" w:rsidRPr="00856C25" w:rsidRDefault="008B7BF4" w:rsidP="00A73B35">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sz w:val="18"/>
              </w:rPr>
            </w:pPr>
            <w:r w:rsidRPr="00856C25">
              <w:rPr>
                <w:sz w:val="18"/>
              </w:rPr>
              <w:t>2020</w:t>
            </w:r>
          </w:p>
        </w:tc>
        <w:tc>
          <w:tcPr>
            <w:tcW w:w="810" w:type="dxa"/>
            <w:vAlign w:val="center"/>
          </w:tcPr>
          <w:p w:rsidR="008B7BF4" w:rsidRPr="00856C25" w:rsidRDefault="008B7BF4" w:rsidP="00A73B35">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sz w:val="18"/>
              </w:rPr>
            </w:pPr>
            <w:r w:rsidRPr="00856C25">
              <w:rPr>
                <w:sz w:val="18"/>
              </w:rPr>
              <w:t>2021</w:t>
            </w:r>
          </w:p>
        </w:tc>
        <w:tc>
          <w:tcPr>
            <w:tcW w:w="810" w:type="dxa"/>
            <w:vAlign w:val="center"/>
          </w:tcPr>
          <w:p w:rsidR="008B7BF4" w:rsidRPr="00856C25" w:rsidRDefault="008B7BF4" w:rsidP="00A73B35">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sz w:val="18"/>
              </w:rPr>
            </w:pPr>
            <w:r w:rsidRPr="00856C25">
              <w:rPr>
                <w:sz w:val="18"/>
              </w:rPr>
              <w:t>2022</w:t>
            </w:r>
          </w:p>
        </w:tc>
        <w:tc>
          <w:tcPr>
            <w:tcW w:w="810" w:type="dxa"/>
            <w:vAlign w:val="center"/>
          </w:tcPr>
          <w:p w:rsidR="008B7BF4" w:rsidRPr="00856C25" w:rsidRDefault="008B7BF4" w:rsidP="00A73B35">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sz w:val="18"/>
              </w:rPr>
            </w:pPr>
            <w:r w:rsidRPr="00856C25">
              <w:rPr>
                <w:sz w:val="18"/>
              </w:rPr>
              <w:t>2023</w:t>
            </w:r>
          </w:p>
        </w:tc>
        <w:tc>
          <w:tcPr>
            <w:tcW w:w="990" w:type="dxa"/>
            <w:vAlign w:val="center"/>
          </w:tcPr>
          <w:p w:rsidR="008B7BF4" w:rsidRPr="00856C25" w:rsidRDefault="008B7BF4" w:rsidP="00A73B35">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sz w:val="18"/>
              </w:rPr>
            </w:pPr>
            <w:r w:rsidRPr="00856C25">
              <w:rPr>
                <w:sz w:val="18"/>
              </w:rPr>
              <w:t>20</w:t>
            </w:r>
            <w:r w:rsidR="000B6659" w:rsidRPr="00856C25">
              <w:rPr>
                <w:sz w:val="18"/>
              </w:rPr>
              <w:t>2</w:t>
            </w:r>
            <w:r w:rsidRPr="00856C25">
              <w:rPr>
                <w:sz w:val="18"/>
              </w:rPr>
              <w:t>4</w:t>
            </w:r>
          </w:p>
        </w:tc>
      </w:tr>
      <w:tr w:rsidR="008060EB" w:rsidRPr="002D1E56" w:rsidTr="008060EB">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980" w:type="dxa"/>
            <w:vAlign w:val="center"/>
          </w:tcPr>
          <w:p w:rsidR="008B7BF4" w:rsidRPr="00856C25" w:rsidRDefault="008B7BF4" w:rsidP="00A73B35">
            <w:pPr>
              <w:pStyle w:val="Paragraph"/>
              <w:numPr>
                <w:ilvl w:val="0"/>
                <w:numId w:val="0"/>
              </w:numPr>
              <w:spacing w:before="0" w:after="0"/>
              <w:jc w:val="center"/>
              <w:rPr>
                <w:b w:val="0"/>
                <w:sz w:val="18"/>
              </w:rPr>
            </w:pPr>
            <w:r w:rsidRPr="00856C25">
              <w:rPr>
                <w:sz w:val="18"/>
              </w:rPr>
              <w:t>Annual emission reduction (MTCO</w:t>
            </w:r>
            <w:r w:rsidRPr="00856C25">
              <w:rPr>
                <w:sz w:val="18"/>
                <w:vertAlign w:val="subscript"/>
              </w:rPr>
              <w:t>2</w:t>
            </w:r>
            <w:r w:rsidRPr="00856C25">
              <w:rPr>
                <w:sz w:val="18"/>
              </w:rPr>
              <w:t>)</w:t>
            </w:r>
          </w:p>
        </w:tc>
        <w:tc>
          <w:tcPr>
            <w:tcW w:w="810" w:type="dxa"/>
            <w:shd w:val="clear" w:color="auto" w:fill="FFFFFF" w:themeFill="background1"/>
            <w:vAlign w:val="center"/>
          </w:tcPr>
          <w:p w:rsidR="008B7BF4" w:rsidRPr="00856C25" w:rsidRDefault="008B7BF4" w:rsidP="00CA0667">
            <w:pPr>
              <w:pStyle w:val="Paragraph"/>
              <w:widowControl w:val="0"/>
              <w:numPr>
                <w:ilvl w:val="0"/>
                <w:numId w:val="0"/>
              </w:num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bCs/>
                <w:sz w:val="18"/>
              </w:rPr>
            </w:pPr>
            <w:r w:rsidRPr="00856C25">
              <w:rPr>
                <w:bCs/>
                <w:sz w:val="18"/>
              </w:rPr>
              <w:t>-</w:t>
            </w:r>
          </w:p>
        </w:tc>
        <w:tc>
          <w:tcPr>
            <w:tcW w:w="810" w:type="dxa"/>
            <w:shd w:val="clear" w:color="auto" w:fill="FFFFFF" w:themeFill="background1"/>
            <w:vAlign w:val="center"/>
          </w:tcPr>
          <w:p w:rsidR="008B7BF4" w:rsidRPr="00856C25" w:rsidRDefault="008B7BF4">
            <w:pPr>
              <w:pStyle w:val="Paragraph"/>
              <w:widowControl w:val="0"/>
              <w:numPr>
                <w:ilvl w:val="0"/>
                <w:numId w:val="0"/>
              </w:num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bCs/>
                <w:sz w:val="18"/>
              </w:rPr>
            </w:pPr>
            <w:r w:rsidRPr="00856C25">
              <w:rPr>
                <w:bCs/>
                <w:sz w:val="18"/>
              </w:rPr>
              <w:t>183.960</w:t>
            </w:r>
          </w:p>
        </w:tc>
        <w:tc>
          <w:tcPr>
            <w:tcW w:w="900" w:type="dxa"/>
            <w:shd w:val="clear" w:color="auto" w:fill="FFFFFF" w:themeFill="background1"/>
            <w:vAlign w:val="center"/>
          </w:tcPr>
          <w:p w:rsidR="008B7BF4" w:rsidRPr="00856C25" w:rsidRDefault="008B7BF4">
            <w:pPr>
              <w:pStyle w:val="Paragraph"/>
              <w:widowControl w:val="0"/>
              <w:numPr>
                <w:ilvl w:val="0"/>
                <w:numId w:val="0"/>
              </w:num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bCs/>
                <w:sz w:val="18"/>
              </w:rPr>
            </w:pPr>
            <w:r w:rsidRPr="00856C25">
              <w:rPr>
                <w:bCs/>
                <w:sz w:val="18"/>
              </w:rPr>
              <w:t>183.960</w:t>
            </w:r>
          </w:p>
        </w:tc>
        <w:tc>
          <w:tcPr>
            <w:tcW w:w="810" w:type="dxa"/>
            <w:shd w:val="clear" w:color="auto" w:fill="FFFFFF" w:themeFill="background1"/>
            <w:vAlign w:val="center"/>
          </w:tcPr>
          <w:p w:rsidR="008B7BF4" w:rsidRPr="00856C25" w:rsidRDefault="008B7BF4">
            <w:pPr>
              <w:pStyle w:val="Paragraph"/>
              <w:widowControl w:val="0"/>
              <w:numPr>
                <w:ilvl w:val="0"/>
                <w:numId w:val="0"/>
              </w:num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bCs/>
                <w:sz w:val="18"/>
              </w:rPr>
            </w:pPr>
            <w:r w:rsidRPr="00856C25">
              <w:rPr>
                <w:bCs/>
                <w:sz w:val="18"/>
              </w:rPr>
              <w:t>367.920</w:t>
            </w:r>
          </w:p>
        </w:tc>
        <w:tc>
          <w:tcPr>
            <w:tcW w:w="810" w:type="dxa"/>
            <w:shd w:val="clear" w:color="auto" w:fill="FFFFFF" w:themeFill="background1"/>
            <w:vAlign w:val="center"/>
          </w:tcPr>
          <w:p w:rsidR="008B7BF4" w:rsidRPr="00856C25" w:rsidRDefault="008B7BF4">
            <w:pPr>
              <w:pStyle w:val="Paragraph"/>
              <w:widowControl w:val="0"/>
              <w:numPr>
                <w:ilvl w:val="0"/>
                <w:numId w:val="0"/>
              </w:num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bCs/>
                <w:sz w:val="18"/>
              </w:rPr>
            </w:pPr>
            <w:r w:rsidRPr="00856C25">
              <w:rPr>
                <w:bCs/>
                <w:sz w:val="18"/>
              </w:rPr>
              <w:t>367.920</w:t>
            </w:r>
          </w:p>
        </w:tc>
        <w:tc>
          <w:tcPr>
            <w:tcW w:w="810" w:type="dxa"/>
            <w:shd w:val="clear" w:color="auto" w:fill="FFFFFF" w:themeFill="background1"/>
            <w:vAlign w:val="center"/>
          </w:tcPr>
          <w:p w:rsidR="008B7BF4" w:rsidRPr="00856C25" w:rsidRDefault="008B7BF4">
            <w:pPr>
              <w:pStyle w:val="Paragraph"/>
              <w:widowControl w:val="0"/>
              <w:numPr>
                <w:ilvl w:val="0"/>
                <w:numId w:val="0"/>
              </w:num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bCs/>
                <w:sz w:val="18"/>
              </w:rPr>
            </w:pPr>
            <w:r w:rsidRPr="00856C25">
              <w:rPr>
                <w:bCs/>
                <w:sz w:val="18"/>
              </w:rPr>
              <w:t>545.144</w:t>
            </w:r>
          </w:p>
        </w:tc>
        <w:tc>
          <w:tcPr>
            <w:tcW w:w="810" w:type="dxa"/>
            <w:shd w:val="clear" w:color="auto" w:fill="FFFFFF" w:themeFill="background1"/>
            <w:vAlign w:val="center"/>
          </w:tcPr>
          <w:p w:rsidR="008B7BF4" w:rsidRPr="00856C25" w:rsidRDefault="008B7BF4">
            <w:pPr>
              <w:pStyle w:val="Paragraph"/>
              <w:widowControl w:val="0"/>
              <w:numPr>
                <w:ilvl w:val="0"/>
                <w:numId w:val="0"/>
              </w:num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bCs/>
                <w:sz w:val="18"/>
              </w:rPr>
            </w:pPr>
            <w:r w:rsidRPr="00856C25">
              <w:rPr>
                <w:bCs/>
                <w:sz w:val="18"/>
              </w:rPr>
              <w:t>735.840</w:t>
            </w:r>
          </w:p>
        </w:tc>
        <w:tc>
          <w:tcPr>
            <w:tcW w:w="810" w:type="dxa"/>
            <w:shd w:val="clear" w:color="auto" w:fill="FFFFFF" w:themeFill="background1"/>
            <w:vAlign w:val="center"/>
          </w:tcPr>
          <w:p w:rsidR="008B7BF4" w:rsidRPr="00856C25" w:rsidRDefault="008B7BF4">
            <w:pPr>
              <w:pStyle w:val="Paragraph"/>
              <w:widowControl w:val="0"/>
              <w:numPr>
                <w:ilvl w:val="0"/>
                <w:numId w:val="0"/>
              </w:num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bCs/>
                <w:sz w:val="18"/>
              </w:rPr>
            </w:pPr>
            <w:r w:rsidRPr="00856C25">
              <w:rPr>
                <w:bCs/>
                <w:sz w:val="18"/>
              </w:rPr>
              <w:t>735.840</w:t>
            </w:r>
          </w:p>
        </w:tc>
        <w:tc>
          <w:tcPr>
            <w:tcW w:w="810" w:type="dxa"/>
            <w:shd w:val="clear" w:color="auto" w:fill="FFFFFF" w:themeFill="background1"/>
            <w:vAlign w:val="center"/>
          </w:tcPr>
          <w:p w:rsidR="008B7BF4" w:rsidRPr="00856C25" w:rsidRDefault="008B7BF4">
            <w:pPr>
              <w:pStyle w:val="Paragraph"/>
              <w:widowControl w:val="0"/>
              <w:numPr>
                <w:ilvl w:val="0"/>
                <w:numId w:val="0"/>
              </w:num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bCs/>
                <w:sz w:val="18"/>
              </w:rPr>
            </w:pPr>
            <w:r w:rsidRPr="00856C25">
              <w:rPr>
                <w:bCs/>
                <w:sz w:val="18"/>
              </w:rPr>
              <w:t>919.800</w:t>
            </w:r>
          </w:p>
        </w:tc>
        <w:tc>
          <w:tcPr>
            <w:tcW w:w="990" w:type="dxa"/>
            <w:shd w:val="clear" w:color="auto" w:fill="FFFFFF" w:themeFill="background1"/>
            <w:vAlign w:val="center"/>
          </w:tcPr>
          <w:p w:rsidR="008B7BF4" w:rsidRPr="00856C25" w:rsidRDefault="008B7BF4">
            <w:pPr>
              <w:pStyle w:val="Paragraph"/>
              <w:widowControl w:val="0"/>
              <w:numPr>
                <w:ilvl w:val="0"/>
                <w:numId w:val="0"/>
              </w:num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bCs/>
                <w:sz w:val="18"/>
              </w:rPr>
            </w:pPr>
            <w:r w:rsidRPr="00856C25">
              <w:rPr>
                <w:bCs/>
                <w:sz w:val="18"/>
              </w:rPr>
              <w:t>1.103.760</w:t>
            </w:r>
          </w:p>
        </w:tc>
      </w:tr>
    </w:tbl>
    <w:p w:rsidR="00C00D87" w:rsidRPr="00F751BC" w:rsidRDefault="00C00D87" w:rsidP="00C00D87">
      <w:pPr>
        <w:pStyle w:val="Paragraph"/>
        <w:numPr>
          <w:ilvl w:val="0"/>
          <w:numId w:val="0"/>
        </w:numPr>
        <w:spacing w:before="0" w:after="80"/>
        <w:ind w:left="1260"/>
        <w:rPr>
          <w:i/>
          <w:sz w:val="18"/>
        </w:rPr>
      </w:pPr>
      <w:r w:rsidRPr="00F751BC">
        <w:rPr>
          <w:i/>
          <w:sz w:val="18"/>
        </w:rPr>
        <w:t xml:space="preserve">Source: </w:t>
      </w:r>
      <w:r w:rsidR="00AC2374">
        <w:rPr>
          <w:i/>
          <w:sz w:val="18"/>
        </w:rPr>
        <w:t>Developed by author, 2013</w:t>
      </w:r>
    </w:p>
    <w:p w:rsidR="00C00D87" w:rsidRPr="00A50DEB" w:rsidRDefault="00C00D87" w:rsidP="00921FA1">
      <w:pPr>
        <w:pStyle w:val="Paragraph"/>
        <w:numPr>
          <w:ilvl w:val="0"/>
          <w:numId w:val="5"/>
        </w:numPr>
        <w:spacing w:after="80"/>
      </w:pPr>
      <w:r w:rsidRPr="00A50DEB">
        <w:t>The market price per metric ton of CO</w:t>
      </w:r>
      <w:r w:rsidRPr="00856C25">
        <w:rPr>
          <w:vertAlign w:val="subscript"/>
        </w:rPr>
        <w:t>2</w:t>
      </w:r>
      <w:r w:rsidR="00167C61" w:rsidRPr="00A50DEB">
        <w:t xml:space="preserve"> is USD 5.88</w:t>
      </w:r>
      <w:r w:rsidRPr="00A50DEB">
        <w:t>. Its valuation is calculated using public information on its unitary price in international markets;</w:t>
      </w:r>
      <w:r w:rsidRPr="00A50DEB">
        <w:rPr>
          <w:vertAlign w:val="superscript"/>
        </w:rPr>
        <w:footnoteReference w:id="17"/>
      </w:r>
    </w:p>
    <w:p w:rsidR="00C00D87" w:rsidRPr="00856C25" w:rsidRDefault="00C00D87" w:rsidP="00C00D87">
      <w:pPr>
        <w:pStyle w:val="Paragraph"/>
        <w:numPr>
          <w:ilvl w:val="0"/>
          <w:numId w:val="0"/>
        </w:numPr>
        <w:spacing w:after="80"/>
        <w:rPr>
          <w:i/>
          <w:u w:val="single"/>
        </w:rPr>
      </w:pPr>
      <w:r w:rsidRPr="00856C25">
        <w:rPr>
          <w:i/>
          <w:u w:val="single"/>
        </w:rPr>
        <w:t>Assumptions related to the costs of the program:</w:t>
      </w:r>
      <w:r w:rsidR="000F1DEC" w:rsidRPr="00856C25">
        <w:rPr>
          <w:i/>
          <w:u w:val="single"/>
        </w:rPr>
        <w:t xml:space="preserve"> </w:t>
      </w:r>
    </w:p>
    <w:p w:rsidR="00C00D87" w:rsidRPr="00856C25" w:rsidRDefault="00C00D87" w:rsidP="00856C25">
      <w:pPr>
        <w:pStyle w:val="Paragraph"/>
        <w:numPr>
          <w:ilvl w:val="0"/>
          <w:numId w:val="5"/>
        </w:numPr>
        <w:spacing w:after="80"/>
      </w:pPr>
      <w:r>
        <w:t xml:space="preserve">The financing terms for each of the </w:t>
      </w:r>
      <w:r w:rsidR="00BC0192">
        <w:t xml:space="preserve">four </w:t>
      </w:r>
      <w:r>
        <w:t>co financers are:</w:t>
      </w:r>
    </w:p>
    <w:tbl>
      <w:tblPr>
        <w:tblStyle w:val="TableGrid1"/>
        <w:tblW w:w="9072" w:type="dxa"/>
        <w:jc w:val="center"/>
        <w:tblInd w:w="720" w:type="dxa"/>
        <w:tblLayout w:type="fixed"/>
        <w:tblLook w:val="04A0" w:firstRow="1" w:lastRow="0" w:firstColumn="1" w:lastColumn="0" w:noHBand="0" w:noVBand="1"/>
      </w:tblPr>
      <w:tblGrid>
        <w:gridCol w:w="828"/>
        <w:gridCol w:w="3960"/>
        <w:gridCol w:w="810"/>
        <w:gridCol w:w="810"/>
        <w:gridCol w:w="900"/>
        <w:gridCol w:w="900"/>
        <w:gridCol w:w="864"/>
      </w:tblGrid>
      <w:tr w:rsidR="009366BF" w:rsidRPr="005A09A8" w:rsidTr="00856C25">
        <w:trPr>
          <w:jc w:val="center"/>
        </w:trPr>
        <w:tc>
          <w:tcPr>
            <w:tcW w:w="828" w:type="dxa"/>
            <w:tcBorders>
              <w:top w:val="nil"/>
              <w:left w:val="nil"/>
              <w:right w:val="nil"/>
            </w:tcBorders>
          </w:tcPr>
          <w:p w:rsidR="009366BF" w:rsidRDefault="009366BF" w:rsidP="00CA0667">
            <w:pPr>
              <w:pStyle w:val="Paragraph"/>
              <w:numPr>
                <w:ilvl w:val="0"/>
                <w:numId w:val="0"/>
              </w:numPr>
              <w:spacing w:after="40"/>
              <w:jc w:val="center"/>
              <w:rPr>
                <w:b/>
                <w:sz w:val="20"/>
              </w:rPr>
            </w:pPr>
          </w:p>
        </w:tc>
        <w:tc>
          <w:tcPr>
            <w:tcW w:w="8244" w:type="dxa"/>
            <w:gridSpan w:val="6"/>
            <w:tcBorders>
              <w:top w:val="nil"/>
              <w:left w:val="nil"/>
              <w:right w:val="nil"/>
            </w:tcBorders>
          </w:tcPr>
          <w:p w:rsidR="009366BF" w:rsidRPr="005A09A8" w:rsidRDefault="009366BF">
            <w:pPr>
              <w:pStyle w:val="Paragraph"/>
              <w:numPr>
                <w:ilvl w:val="0"/>
                <w:numId w:val="0"/>
              </w:numPr>
              <w:spacing w:after="40"/>
              <w:jc w:val="center"/>
              <w:rPr>
                <w:rFonts w:eastAsiaTheme="minorHAnsi"/>
                <w:b/>
                <w:sz w:val="20"/>
              </w:rPr>
            </w:pPr>
            <w:r>
              <w:rPr>
                <w:b/>
                <w:sz w:val="20"/>
              </w:rPr>
              <w:t>Table 2.6</w:t>
            </w:r>
            <w:r w:rsidRPr="005D3BAF">
              <w:rPr>
                <w:b/>
                <w:sz w:val="20"/>
              </w:rPr>
              <w:t xml:space="preserve">.- </w:t>
            </w:r>
            <w:r>
              <w:rPr>
                <w:b/>
                <w:sz w:val="20"/>
              </w:rPr>
              <w:t>Costs of the program by source and component (USD million)</w:t>
            </w:r>
            <w:r w:rsidR="00727970">
              <w:rPr>
                <w:rStyle w:val="FootnoteReference"/>
              </w:rPr>
              <w:footnoteReference w:id="18"/>
            </w:r>
          </w:p>
        </w:tc>
      </w:tr>
      <w:tr w:rsidR="009366BF" w:rsidRPr="005A09A8" w:rsidTr="00856C25">
        <w:trPr>
          <w:jc w:val="center"/>
        </w:trPr>
        <w:tc>
          <w:tcPr>
            <w:tcW w:w="4788" w:type="dxa"/>
            <w:gridSpan w:val="2"/>
            <w:shd w:val="clear" w:color="auto" w:fill="D9D9D9" w:themeFill="background1" w:themeFillShade="D9"/>
          </w:tcPr>
          <w:p w:rsidR="009366BF" w:rsidRPr="005A09A8" w:rsidRDefault="009366BF" w:rsidP="00BA3F2C">
            <w:pPr>
              <w:pStyle w:val="Paragraph"/>
              <w:numPr>
                <w:ilvl w:val="0"/>
                <w:numId w:val="0"/>
              </w:numPr>
              <w:spacing w:before="80" w:after="80"/>
              <w:rPr>
                <w:b/>
                <w:sz w:val="20"/>
              </w:rPr>
            </w:pPr>
            <w:r w:rsidRPr="005A09A8">
              <w:rPr>
                <w:b/>
                <w:sz w:val="20"/>
              </w:rPr>
              <w:t>C</w:t>
            </w:r>
            <w:r>
              <w:rPr>
                <w:b/>
                <w:sz w:val="20"/>
              </w:rPr>
              <w:t>ost c</w:t>
            </w:r>
            <w:r w:rsidRPr="005A09A8">
              <w:rPr>
                <w:b/>
                <w:sz w:val="20"/>
              </w:rPr>
              <w:t>omponent</w:t>
            </w:r>
          </w:p>
        </w:tc>
        <w:tc>
          <w:tcPr>
            <w:tcW w:w="810" w:type="dxa"/>
            <w:shd w:val="clear" w:color="auto" w:fill="D9D9D9" w:themeFill="background1" w:themeFillShade="D9"/>
          </w:tcPr>
          <w:p w:rsidR="009366BF" w:rsidRPr="005A09A8" w:rsidRDefault="009366BF" w:rsidP="00BA3F2C">
            <w:pPr>
              <w:pStyle w:val="Paragraph"/>
              <w:numPr>
                <w:ilvl w:val="0"/>
                <w:numId w:val="0"/>
              </w:numPr>
              <w:spacing w:before="80" w:after="80"/>
              <w:jc w:val="center"/>
              <w:rPr>
                <w:rFonts w:eastAsiaTheme="minorHAnsi"/>
                <w:b/>
                <w:sz w:val="20"/>
              </w:rPr>
            </w:pPr>
            <w:r>
              <w:rPr>
                <w:b/>
                <w:sz w:val="20"/>
              </w:rPr>
              <w:t>IDB</w:t>
            </w:r>
            <w:r w:rsidRPr="005A09A8">
              <w:rPr>
                <w:rStyle w:val="FootnoteReference"/>
                <w:sz w:val="20"/>
              </w:rPr>
              <w:footnoteReference w:id="19"/>
            </w:r>
          </w:p>
        </w:tc>
        <w:tc>
          <w:tcPr>
            <w:tcW w:w="810" w:type="dxa"/>
            <w:shd w:val="clear" w:color="auto" w:fill="D9D9D9" w:themeFill="background1" w:themeFillShade="D9"/>
          </w:tcPr>
          <w:p w:rsidR="009366BF" w:rsidRPr="005A09A8" w:rsidRDefault="009366BF" w:rsidP="00BA3F2C">
            <w:pPr>
              <w:pStyle w:val="Paragraph"/>
              <w:numPr>
                <w:ilvl w:val="0"/>
                <w:numId w:val="0"/>
              </w:numPr>
              <w:spacing w:before="80" w:after="80"/>
              <w:jc w:val="center"/>
              <w:rPr>
                <w:rFonts w:eastAsiaTheme="minorHAnsi"/>
                <w:b/>
                <w:sz w:val="20"/>
              </w:rPr>
            </w:pPr>
            <w:r>
              <w:rPr>
                <w:b/>
                <w:sz w:val="20"/>
              </w:rPr>
              <w:t>CTF</w:t>
            </w:r>
          </w:p>
        </w:tc>
        <w:tc>
          <w:tcPr>
            <w:tcW w:w="900" w:type="dxa"/>
            <w:shd w:val="clear" w:color="auto" w:fill="D9D9D9" w:themeFill="background1" w:themeFillShade="D9"/>
          </w:tcPr>
          <w:p w:rsidR="009366BF" w:rsidRPr="005A09A8" w:rsidRDefault="009366BF" w:rsidP="00BA3F2C">
            <w:pPr>
              <w:pStyle w:val="Paragraph"/>
              <w:numPr>
                <w:ilvl w:val="0"/>
                <w:numId w:val="0"/>
              </w:numPr>
              <w:spacing w:before="80" w:after="80"/>
              <w:jc w:val="center"/>
              <w:rPr>
                <w:rFonts w:eastAsiaTheme="minorHAnsi"/>
                <w:b/>
                <w:sz w:val="20"/>
              </w:rPr>
            </w:pPr>
            <w:r>
              <w:rPr>
                <w:b/>
                <w:sz w:val="20"/>
              </w:rPr>
              <w:t>Local</w:t>
            </w:r>
            <w:r>
              <w:rPr>
                <w:rStyle w:val="FootnoteReference"/>
                <w:sz w:val="20"/>
              </w:rPr>
              <w:footnoteReference w:id="20"/>
            </w:r>
          </w:p>
        </w:tc>
        <w:tc>
          <w:tcPr>
            <w:tcW w:w="900" w:type="dxa"/>
            <w:shd w:val="clear" w:color="auto" w:fill="D9D9D9" w:themeFill="background1" w:themeFillShade="D9"/>
          </w:tcPr>
          <w:p w:rsidR="009366BF" w:rsidRDefault="009366BF" w:rsidP="00BA3F2C">
            <w:pPr>
              <w:pStyle w:val="Paragraph"/>
              <w:numPr>
                <w:ilvl w:val="0"/>
                <w:numId w:val="0"/>
              </w:numPr>
              <w:spacing w:before="80" w:after="80"/>
              <w:jc w:val="center"/>
              <w:rPr>
                <w:b/>
                <w:sz w:val="20"/>
              </w:rPr>
            </w:pPr>
            <w:r>
              <w:rPr>
                <w:b/>
                <w:sz w:val="20"/>
              </w:rPr>
              <w:t>Private</w:t>
            </w:r>
          </w:p>
        </w:tc>
        <w:tc>
          <w:tcPr>
            <w:tcW w:w="864" w:type="dxa"/>
            <w:shd w:val="clear" w:color="auto" w:fill="D9D9D9" w:themeFill="background1" w:themeFillShade="D9"/>
          </w:tcPr>
          <w:p w:rsidR="009366BF" w:rsidRPr="005A09A8" w:rsidRDefault="009366BF" w:rsidP="00BA3F2C">
            <w:pPr>
              <w:pStyle w:val="Paragraph"/>
              <w:numPr>
                <w:ilvl w:val="0"/>
                <w:numId w:val="0"/>
              </w:numPr>
              <w:spacing w:before="80" w:after="80"/>
              <w:jc w:val="center"/>
              <w:rPr>
                <w:rFonts w:eastAsiaTheme="minorHAnsi"/>
                <w:b/>
                <w:sz w:val="20"/>
              </w:rPr>
            </w:pPr>
            <w:r>
              <w:rPr>
                <w:b/>
                <w:sz w:val="20"/>
              </w:rPr>
              <w:t>Total</w:t>
            </w:r>
          </w:p>
        </w:tc>
      </w:tr>
      <w:tr w:rsidR="00842457" w:rsidRPr="005A09A8" w:rsidTr="00856C25">
        <w:trPr>
          <w:trHeight w:val="449"/>
          <w:jc w:val="center"/>
        </w:trPr>
        <w:tc>
          <w:tcPr>
            <w:tcW w:w="4788" w:type="dxa"/>
            <w:gridSpan w:val="2"/>
          </w:tcPr>
          <w:p w:rsidR="00842457" w:rsidRPr="008B70C4" w:rsidDel="004F5C65" w:rsidRDefault="00842457" w:rsidP="00842457">
            <w:pPr>
              <w:pStyle w:val="Paragraph"/>
              <w:numPr>
                <w:ilvl w:val="0"/>
                <w:numId w:val="0"/>
              </w:numPr>
              <w:spacing w:before="80" w:after="80"/>
              <w:jc w:val="left"/>
              <w:rPr>
                <w:b/>
                <w:sz w:val="20"/>
              </w:rPr>
            </w:pPr>
            <w:r w:rsidRPr="00B52A5A">
              <w:rPr>
                <w:b/>
                <w:sz w:val="20"/>
              </w:rPr>
              <w:t>Total</w:t>
            </w:r>
            <w:r>
              <w:rPr>
                <w:b/>
                <w:sz w:val="20"/>
              </w:rPr>
              <w:t xml:space="preserve"> financing</w:t>
            </w:r>
          </w:p>
        </w:tc>
        <w:tc>
          <w:tcPr>
            <w:tcW w:w="810" w:type="dxa"/>
            <w:vAlign w:val="center"/>
          </w:tcPr>
          <w:p w:rsidR="00842457" w:rsidRPr="00856C25" w:rsidDel="002C1CDD" w:rsidRDefault="00842457" w:rsidP="00842457">
            <w:pPr>
              <w:pStyle w:val="Paragraph"/>
              <w:widowControl w:val="0"/>
              <w:numPr>
                <w:ilvl w:val="0"/>
                <w:numId w:val="0"/>
              </w:numPr>
              <w:autoSpaceDE w:val="0"/>
              <w:autoSpaceDN w:val="0"/>
              <w:adjustRightInd w:val="0"/>
              <w:spacing w:before="80" w:after="80"/>
              <w:jc w:val="center"/>
              <w:rPr>
                <w:sz w:val="20"/>
              </w:rPr>
            </w:pPr>
            <w:r w:rsidRPr="00856C25">
              <w:rPr>
                <w:sz w:val="20"/>
              </w:rPr>
              <w:t>54.3</w:t>
            </w:r>
          </w:p>
        </w:tc>
        <w:tc>
          <w:tcPr>
            <w:tcW w:w="810" w:type="dxa"/>
            <w:vAlign w:val="center"/>
          </w:tcPr>
          <w:p w:rsidR="00842457" w:rsidRPr="00856C25" w:rsidRDefault="00842457" w:rsidP="00842457">
            <w:pPr>
              <w:pStyle w:val="Paragraph"/>
              <w:widowControl w:val="0"/>
              <w:numPr>
                <w:ilvl w:val="0"/>
                <w:numId w:val="0"/>
              </w:numPr>
              <w:autoSpaceDE w:val="0"/>
              <w:autoSpaceDN w:val="0"/>
              <w:adjustRightInd w:val="0"/>
              <w:spacing w:before="80" w:after="80"/>
              <w:jc w:val="center"/>
              <w:rPr>
                <w:sz w:val="20"/>
              </w:rPr>
            </w:pPr>
            <w:r w:rsidRPr="00856C25">
              <w:rPr>
                <w:sz w:val="20"/>
              </w:rPr>
              <w:t>54.3</w:t>
            </w:r>
          </w:p>
        </w:tc>
        <w:tc>
          <w:tcPr>
            <w:tcW w:w="900" w:type="dxa"/>
            <w:vAlign w:val="center"/>
          </w:tcPr>
          <w:p w:rsidR="00842457" w:rsidRPr="00856C25" w:rsidDel="002C1CDD" w:rsidRDefault="00842457" w:rsidP="00842457">
            <w:pPr>
              <w:pStyle w:val="Paragraph"/>
              <w:widowControl w:val="0"/>
              <w:numPr>
                <w:ilvl w:val="0"/>
                <w:numId w:val="0"/>
              </w:numPr>
              <w:autoSpaceDE w:val="0"/>
              <w:autoSpaceDN w:val="0"/>
              <w:adjustRightInd w:val="0"/>
              <w:spacing w:before="80" w:after="80"/>
              <w:jc w:val="center"/>
              <w:rPr>
                <w:sz w:val="20"/>
              </w:rPr>
            </w:pPr>
            <w:r w:rsidRPr="00856C25">
              <w:rPr>
                <w:sz w:val="20"/>
              </w:rPr>
              <w:t>11.5</w:t>
            </w:r>
          </w:p>
        </w:tc>
        <w:tc>
          <w:tcPr>
            <w:tcW w:w="900" w:type="dxa"/>
            <w:vAlign w:val="center"/>
          </w:tcPr>
          <w:p w:rsidR="00842457" w:rsidRDefault="00842457" w:rsidP="00842457">
            <w:pPr>
              <w:pStyle w:val="Paragraph"/>
              <w:numPr>
                <w:ilvl w:val="0"/>
                <w:numId w:val="0"/>
              </w:numPr>
              <w:spacing w:before="80" w:after="80"/>
              <w:jc w:val="center"/>
              <w:rPr>
                <w:b/>
                <w:sz w:val="20"/>
              </w:rPr>
            </w:pPr>
            <w:r>
              <w:rPr>
                <w:sz w:val="20"/>
              </w:rPr>
              <w:t>---</w:t>
            </w:r>
          </w:p>
        </w:tc>
        <w:tc>
          <w:tcPr>
            <w:tcW w:w="864" w:type="dxa"/>
            <w:vAlign w:val="center"/>
          </w:tcPr>
          <w:p w:rsidR="00842457" w:rsidRPr="008B70C4" w:rsidDel="002C1CDD" w:rsidRDefault="00842457" w:rsidP="00842457">
            <w:pPr>
              <w:pStyle w:val="Paragraph"/>
              <w:numPr>
                <w:ilvl w:val="0"/>
                <w:numId w:val="0"/>
              </w:numPr>
              <w:spacing w:before="80" w:after="80"/>
              <w:jc w:val="center"/>
              <w:rPr>
                <w:b/>
                <w:sz w:val="20"/>
                <w:szCs w:val="24"/>
                <w:lang w:val="es-ES" w:eastAsia="es-ES"/>
              </w:rPr>
            </w:pPr>
            <w:r>
              <w:rPr>
                <w:b/>
                <w:sz w:val="20"/>
              </w:rPr>
              <w:t>120</w:t>
            </w:r>
          </w:p>
        </w:tc>
      </w:tr>
      <w:tr w:rsidR="00842457" w:rsidRPr="005A09A8" w:rsidTr="00856C25">
        <w:trPr>
          <w:trHeight w:val="449"/>
          <w:jc w:val="center"/>
        </w:trPr>
        <w:tc>
          <w:tcPr>
            <w:tcW w:w="4788" w:type="dxa"/>
            <w:gridSpan w:val="2"/>
          </w:tcPr>
          <w:p w:rsidR="00842457" w:rsidRPr="005A09A8" w:rsidRDefault="00842457" w:rsidP="00CF7B49">
            <w:pPr>
              <w:pStyle w:val="Paragraph"/>
              <w:numPr>
                <w:ilvl w:val="0"/>
                <w:numId w:val="0"/>
              </w:numPr>
              <w:spacing w:before="80" w:after="80"/>
              <w:jc w:val="left"/>
              <w:rPr>
                <w:sz w:val="20"/>
              </w:rPr>
            </w:pPr>
            <w:r>
              <w:rPr>
                <w:b/>
                <w:sz w:val="20"/>
              </w:rPr>
              <w:t>(-) Implementation costs and Technical Assistance activities</w:t>
            </w:r>
          </w:p>
        </w:tc>
        <w:tc>
          <w:tcPr>
            <w:tcW w:w="810" w:type="dxa"/>
            <w:vAlign w:val="center"/>
          </w:tcPr>
          <w:p w:rsidR="00842457" w:rsidRPr="005A09A8" w:rsidRDefault="00842457">
            <w:pPr>
              <w:pStyle w:val="Paragraph"/>
              <w:numPr>
                <w:ilvl w:val="0"/>
                <w:numId w:val="0"/>
              </w:numPr>
              <w:spacing w:before="80" w:after="80"/>
              <w:jc w:val="center"/>
              <w:rPr>
                <w:rFonts w:eastAsiaTheme="minorHAnsi"/>
                <w:sz w:val="20"/>
              </w:rPr>
            </w:pPr>
            <w:r>
              <w:rPr>
                <w:sz w:val="20"/>
              </w:rPr>
              <w:t>---</w:t>
            </w:r>
          </w:p>
        </w:tc>
        <w:tc>
          <w:tcPr>
            <w:tcW w:w="810" w:type="dxa"/>
            <w:vAlign w:val="center"/>
          </w:tcPr>
          <w:p w:rsidR="00842457" w:rsidRPr="005A09A8" w:rsidRDefault="00842457">
            <w:pPr>
              <w:pStyle w:val="Paragraph"/>
              <w:numPr>
                <w:ilvl w:val="0"/>
                <w:numId w:val="0"/>
              </w:numPr>
              <w:spacing w:before="80" w:after="80"/>
              <w:jc w:val="center"/>
              <w:rPr>
                <w:rFonts w:eastAsiaTheme="minorHAnsi"/>
                <w:sz w:val="20"/>
              </w:rPr>
            </w:pPr>
            <w:r>
              <w:rPr>
                <w:sz w:val="20"/>
              </w:rPr>
              <w:t>(3.0)</w:t>
            </w:r>
          </w:p>
        </w:tc>
        <w:tc>
          <w:tcPr>
            <w:tcW w:w="900" w:type="dxa"/>
            <w:vAlign w:val="center"/>
          </w:tcPr>
          <w:p w:rsidR="00842457" w:rsidRPr="005A09A8" w:rsidRDefault="00842457">
            <w:pPr>
              <w:pStyle w:val="Paragraph"/>
              <w:numPr>
                <w:ilvl w:val="0"/>
                <w:numId w:val="0"/>
              </w:numPr>
              <w:spacing w:before="80" w:after="80"/>
              <w:jc w:val="center"/>
              <w:rPr>
                <w:rFonts w:eastAsiaTheme="minorHAnsi"/>
                <w:sz w:val="20"/>
              </w:rPr>
            </w:pPr>
            <w:r>
              <w:rPr>
                <w:sz w:val="20"/>
              </w:rPr>
              <w:t>---</w:t>
            </w:r>
          </w:p>
        </w:tc>
        <w:tc>
          <w:tcPr>
            <w:tcW w:w="900" w:type="dxa"/>
            <w:vAlign w:val="center"/>
          </w:tcPr>
          <w:p w:rsidR="00842457" w:rsidRDefault="00842457">
            <w:pPr>
              <w:pStyle w:val="Paragraph"/>
              <w:numPr>
                <w:ilvl w:val="0"/>
                <w:numId w:val="0"/>
              </w:numPr>
              <w:spacing w:before="80" w:after="80"/>
              <w:jc w:val="center"/>
              <w:rPr>
                <w:sz w:val="20"/>
              </w:rPr>
            </w:pPr>
            <w:r>
              <w:rPr>
                <w:sz w:val="20"/>
              </w:rPr>
              <w:t>---</w:t>
            </w:r>
          </w:p>
        </w:tc>
        <w:tc>
          <w:tcPr>
            <w:tcW w:w="864" w:type="dxa"/>
            <w:vAlign w:val="center"/>
          </w:tcPr>
          <w:p w:rsidR="00842457" w:rsidRPr="005A09A8" w:rsidRDefault="00842457" w:rsidP="00842457">
            <w:pPr>
              <w:pStyle w:val="Paragraph"/>
              <w:numPr>
                <w:ilvl w:val="0"/>
                <w:numId w:val="0"/>
              </w:numPr>
              <w:spacing w:before="80" w:after="80"/>
              <w:jc w:val="center"/>
              <w:rPr>
                <w:rFonts w:eastAsiaTheme="minorHAnsi"/>
                <w:sz w:val="20"/>
              </w:rPr>
            </w:pPr>
            <w:r>
              <w:rPr>
                <w:sz w:val="20"/>
              </w:rPr>
              <w:t>(3)</w:t>
            </w:r>
          </w:p>
        </w:tc>
      </w:tr>
      <w:tr w:rsidR="00842457" w:rsidRPr="00B52A5A" w:rsidTr="00856C25">
        <w:trPr>
          <w:trHeight w:val="269"/>
          <w:jc w:val="center"/>
        </w:trPr>
        <w:tc>
          <w:tcPr>
            <w:tcW w:w="4788" w:type="dxa"/>
            <w:gridSpan w:val="2"/>
          </w:tcPr>
          <w:p w:rsidR="00842457" w:rsidRPr="008B70C4" w:rsidDel="004F5C65" w:rsidRDefault="00842457" w:rsidP="00BA3F2C">
            <w:pPr>
              <w:pStyle w:val="Paragraph"/>
              <w:numPr>
                <w:ilvl w:val="0"/>
                <w:numId w:val="0"/>
              </w:numPr>
              <w:spacing w:before="80" w:after="80"/>
              <w:jc w:val="left"/>
              <w:rPr>
                <w:b/>
                <w:sz w:val="20"/>
              </w:rPr>
            </w:pPr>
            <w:r w:rsidRPr="00B52A5A">
              <w:rPr>
                <w:b/>
                <w:sz w:val="20"/>
              </w:rPr>
              <w:t>Total</w:t>
            </w:r>
            <w:r>
              <w:rPr>
                <w:b/>
                <w:sz w:val="20"/>
              </w:rPr>
              <w:t xml:space="preserve"> Cost of the Program</w:t>
            </w:r>
          </w:p>
        </w:tc>
        <w:tc>
          <w:tcPr>
            <w:tcW w:w="810" w:type="dxa"/>
            <w:vAlign w:val="center"/>
          </w:tcPr>
          <w:p w:rsidR="00842457" w:rsidRPr="00856C25" w:rsidDel="002C1CDD" w:rsidRDefault="00842457">
            <w:pPr>
              <w:pStyle w:val="Paragraph"/>
              <w:widowControl w:val="0"/>
              <w:numPr>
                <w:ilvl w:val="0"/>
                <w:numId w:val="0"/>
              </w:numPr>
              <w:autoSpaceDE w:val="0"/>
              <w:autoSpaceDN w:val="0"/>
              <w:adjustRightInd w:val="0"/>
              <w:spacing w:before="80" w:after="80"/>
              <w:jc w:val="center"/>
              <w:rPr>
                <w:sz w:val="20"/>
              </w:rPr>
            </w:pPr>
            <w:r w:rsidRPr="00856C25">
              <w:rPr>
                <w:sz w:val="20"/>
              </w:rPr>
              <w:t>54.3</w:t>
            </w:r>
          </w:p>
        </w:tc>
        <w:tc>
          <w:tcPr>
            <w:tcW w:w="810" w:type="dxa"/>
            <w:vAlign w:val="center"/>
          </w:tcPr>
          <w:p w:rsidR="00842457" w:rsidRPr="00856C25" w:rsidRDefault="00842457" w:rsidP="00842457">
            <w:pPr>
              <w:pStyle w:val="Paragraph"/>
              <w:widowControl w:val="0"/>
              <w:numPr>
                <w:ilvl w:val="0"/>
                <w:numId w:val="0"/>
              </w:numPr>
              <w:autoSpaceDE w:val="0"/>
              <w:autoSpaceDN w:val="0"/>
              <w:adjustRightInd w:val="0"/>
              <w:spacing w:before="80" w:after="80"/>
              <w:jc w:val="center"/>
              <w:rPr>
                <w:sz w:val="20"/>
              </w:rPr>
            </w:pPr>
            <w:r w:rsidRPr="00856C25">
              <w:rPr>
                <w:sz w:val="20"/>
              </w:rPr>
              <w:t>5</w:t>
            </w:r>
            <w:r>
              <w:rPr>
                <w:sz w:val="20"/>
              </w:rPr>
              <w:t>1</w:t>
            </w:r>
            <w:r w:rsidRPr="00856C25">
              <w:rPr>
                <w:sz w:val="20"/>
              </w:rPr>
              <w:t>.3</w:t>
            </w:r>
          </w:p>
        </w:tc>
        <w:tc>
          <w:tcPr>
            <w:tcW w:w="900" w:type="dxa"/>
            <w:vAlign w:val="center"/>
          </w:tcPr>
          <w:p w:rsidR="00842457" w:rsidRPr="00856C25" w:rsidDel="002C1CDD" w:rsidRDefault="00842457">
            <w:pPr>
              <w:pStyle w:val="Paragraph"/>
              <w:widowControl w:val="0"/>
              <w:numPr>
                <w:ilvl w:val="0"/>
                <w:numId w:val="0"/>
              </w:numPr>
              <w:autoSpaceDE w:val="0"/>
              <w:autoSpaceDN w:val="0"/>
              <w:adjustRightInd w:val="0"/>
              <w:spacing w:before="80" w:after="80"/>
              <w:jc w:val="center"/>
              <w:rPr>
                <w:sz w:val="20"/>
              </w:rPr>
            </w:pPr>
            <w:r w:rsidRPr="00856C25">
              <w:rPr>
                <w:sz w:val="20"/>
              </w:rPr>
              <w:t>11.5</w:t>
            </w:r>
          </w:p>
        </w:tc>
        <w:tc>
          <w:tcPr>
            <w:tcW w:w="900" w:type="dxa"/>
            <w:vAlign w:val="center"/>
          </w:tcPr>
          <w:p w:rsidR="00842457" w:rsidRDefault="00842457">
            <w:pPr>
              <w:pStyle w:val="Paragraph"/>
              <w:numPr>
                <w:ilvl w:val="0"/>
                <w:numId w:val="0"/>
              </w:numPr>
              <w:spacing w:before="80" w:after="80"/>
              <w:jc w:val="center"/>
              <w:rPr>
                <w:b/>
                <w:sz w:val="20"/>
              </w:rPr>
            </w:pPr>
            <w:r>
              <w:rPr>
                <w:sz w:val="20"/>
              </w:rPr>
              <w:t>---</w:t>
            </w:r>
          </w:p>
        </w:tc>
        <w:tc>
          <w:tcPr>
            <w:tcW w:w="864" w:type="dxa"/>
            <w:vAlign w:val="center"/>
          </w:tcPr>
          <w:p w:rsidR="00842457" w:rsidRPr="008B70C4" w:rsidDel="002C1CDD" w:rsidRDefault="00842457" w:rsidP="00842457">
            <w:pPr>
              <w:pStyle w:val="Paragraph"/>
              <w:numPr>
                <w:ilvl w:val="0"/>
                <w:numId w:val="0"/>
              </w:numPr>
              <w:spacing w:before="80" w:after="80"/>
              <w:jc w:val="center"/>
              <w:rPr>
                <w:b/>
                <w:sz w:val="20"/>
                <w:szCs w:val="24"/>
                <w:lang w:val="es-ES" w:eastAsia="es-ES"/>
              </w:rPr>
            </w:pPr>
            <w:r>
              <w:rPr>
                <w:b/>
                <w:sz w:val="20"/>
              </w:rPr>
              <w:t>117</w:t>
            </w:r>
          </w:p>
        </w:tc>
      </w:tr>
      <w:tr w:rsidR="00842457" w:rsidRPr="00B52A5A" w:rsidTr="00856C25">
        <w:trPr>
          <w:trHeight w:val="269"/>
          <w:jc w:val="center"/>
        </w:trPr>
        <w:tc>
          <w:tcPr>
            <w:tcW w:w="4788" w:type="dxa"/>
            <w:gridSpan w:val="2"/>
          </w:tcPr>
          <w:p w:rsidR="00842457" w:rsidRPr="00B52A5A" w:rsidRDefault="00842457" w:rsidP="00BA3F2C">
            <w:pPr>
              <w:pStyle w:val="Paragraph"/>
              <w:numPr>
                <w:ilvl w:val="0"/>
                <w:numId w:val="0"/>
              </w:numPr>
              <w:spacing w:before="80" w:after="80"/>
              <w:jc w:val="left"/>
              <w:rPr>
                <w:b/>
                <w:sz w:val="20"/>
              </w:rPr>
            </w:pPr>
            <w:r>
              <w:rPr>
                <w:b/>
                <w:sz w:val="20"/>
              </w:rPr>
              <w:t>Total Investment</w:t>
            </w:r>
          </w:p>
        </w:tc>
        <w:tc>
          <w:tcPr>
            <w:tcW w:w="810" w:type="dxa"/>
            <w:vAlign w:val="center"/>
          </w:tcPr>
          <w:p w:rsidR="00842457" w:rsidRDefault="007414ED">
            <w:pPr>
              <w:pStyle w:val="Paragraph"/>
              <w:numPr>
                <w:ilvl w:val="0"/>
                <w:numId w:val="0"/>
              </w:numPr>
              <w:spacing w:before="80" w:after="80"/>
              <w:jc w:val="center"/>
              <w:rPr>
                <w:b/>
                <w:sz w:val="20"/>
              </w:rPr>
            </w:pPr>
            <w:r>
              <w:rPr>
                <w:sz w:val="20"/>
              </w:rPr>
              <w:t>54.3</w:t>
            </w:r>
          </w:p>
        </w:tc>
        <w:tc>
          <w:tcPr>
            <w:tcW w:w="810" w:type="dxa"/>
            <w:vAlign w:val="center"/>
          </w:tcPr>
          <w:p w:rsidR="00842457" w:rsidRDefault="007414ED">
            <w:pPr>
              <w:pStyle w:val="Paragraph"/>
              <w:numPr>
                <w:ilvl w:val="0"/>
                <w:numId w:val="0"/>
              </w:numPr>
              <w:spacing w:before="80" w:after="80"/>
              <w:jc w:val="center"/>
              <w:rPr>
                <w:b/>
                <w:sz w:val="20"/>
              </w:rPr>
            </w:pPr>
            <w:r>
              <w:rPr>
                <w:sz w:val="20"/>
              </w:rPr>
              <w:t>51.3</w:t>
            </w:r>
          </w:p>
        </w:tc>
        <w:tc>
          <w:tcPr>
            <w:tcW w:w="900" w:type="dxa"/>
            <w:vAlign w:val="center"/>
          </w:tcPr>
          <w:p w:rsidR="00842457" w:rsidRPr="008B70C4" w:rsidRDefault="007414ED">
            <w:pPr>
              <w:pStyle w:val="Paragraph"/>
              <w:numPr>
                <w:ilvl w:val="0"/>
                <w:numId w:val="0"/>
              </w:numPr>
              <w:spacing w:before="80" w:after="80"/>
              <w:jc w:val="center"/>
              <w:rPr>
                <w:b/>
                <w:sz w:val="20"/>
              </w:rPr>
            </w:pPr>
            <w:r>
              <w:rPr>
                <w:sz w:val="20"/>
              </w:rPr>
              <w:t>11.5</w:t>
            </w:r>
          </w:p>
        </w:tc>
        <w:tc>
          <w:tcPr>
            <w:tcW w:w="900" w:type="dxa"/>
            <w:vAlign w:val="center"/>
          </w:tcPr>
          <w:p w:rsidR="00842457" w:rsidRPr="00856C25" w:rsidRDefault="00842457" w:rsidP="00842457">
            <w:pPr>
              <w:pStyle w:val="Paragraph"/>
              <w:widowControl w:val="0"/>
              <w:numPr>
                <w:ilvl w:val="0"/>
                <w:numId w:val="0"/>
              </w:numPr>
              <w:autoSpaceDE w:val="0"/>
              <w:autoSpaceDN w:val="0"/>
              <w:adjustRightInd w:val="0"/>
              <w:spacing w:before="80" w:after="80"/>
              <w:jc w:val="center"/>
              <w:rPr>
                <w:sz w:val="20"/>
              </w:rPr>
            </w:pPr>
            <w:r w:rsidRPr="00856C25">
              <w:rPr>
                <w:sz w:val="20"/>
              </w:rPr>
              <w:t>1</w:t>
            </w:r>
            <w:r>
              <w:rPr>
                <w:sz w:val="20"/>
              </w:rPr>
              <w:t>,</w:t>
            </w:r>
            <w:r w:rsidRPr="00856C25">
              <w:rPr>
                <w:sz w:val="20"/>
              </w:rPr>
              <w:t>0</w:t>
            </w:r>
            <w:r>
              <w:rPr>
                <w:sz w:val="20"/>
              </w:rPr>
              <w:t>83.0</w:t>
            </w:r>
          </w:p>
        </w:tc>
        <w:tc>
          <w:tcPr>
            <w:tcW w:w="864" w:type="dxa"/>
            <w:vAlign w:val="center"/>
          </w:tcPr>
          <w:p w:rsidR="00842457" w:rsidRDefault="00842457" w:rsidP="00842457">
            <w:pPr>
              <w:pStyle w:val="Paragraph"/>
              <w:numPr>
                <w:ilvl w:val="0"/>
                <w:numId w:val="0"/>
              </w:numPr>
              <w:spacing w:before="80" w:after="80"/>
              <w:jc w:val="center"/>
              <w:rPr>
                <w:b/>
                <w:sz w:val="20"/>
              </w:rPr>
            </w:pPr>
            <w:r>
              <w:rPr>
                <w:b/>
                <w:sz w:val="20"/>
              </w:rPr>
              <w:t>1,200</w:t>
            </w:r>
          </w:p>
        </w:tc>
      </w:tr>
    </w:tbl>
    <w:p w:rsidR="000D7DAF" w:rsidRDefault="000D7DAF" w:rsidP="00856C25">
      <w:pPr>
        <w:pStyle w:val="Paragraph"/>
        <w:numPr>
          <w:ilvl w:val="0"/>
          <w:numId w:val="0"/>
        </w:numPr>
        <w:spacing w:after="80"/>
        <w:ind w:left="2448" w:hanging="1296"/>
        <w:rPr>
          <w:sz w:val="18"/>
          <w:szCs w:val="18"/>
          <w:lang w:val="es-ES"/>
        </w:rPr>
      </w:pPr>
    </w:p>
    <w:p w:rsidR="00BC0192" w:rsidRPr="00856C25" w:rsidRDefault="00537517">
      <w:pPr>
        <w:pStyle w:val="Paragraph"/>
        <w:numPr>
          <w:ilvl w:val="0"/>
          <w:numId w:val="5"/>
        </w:numPr>
        <w:spacing w:after="80"/>
      </w:pPr>
      <w:r>
        <w:t>We use a general, “heroic”, assumption to avoid the presentation of a full set of assumptions over the characteristics of 15 projects: t</w:t>
      </w:r>
      <w:r w:rsidR="00D65E43" w:rsidRPr="00D65E43">
        <w:t xml:space="preserve">he cost of the private </w:t>
      </w:r>
      <w:r>
        <w:t>investment</w:t>
      </w:r>
      <w:r w:rsidR="00D65E43" w:rsidRPr="00D65E43">
        <w:t xml:space="preserve"> will be 100</w:t>
      </w:r>
      <w:r w:rsidR="00D65E43">
        <w:t>% offset by the private benefit</w:t>
      </w:r>
      <w:r w:rsidR="00D65E43" w:rsidRPr="00D65E43">
        <w:t xml:space="preserve"> and the public resources</w:t>
      </w:r>
      <w:r w:rsidR="00F74212">
        <w:t xml:space="preserve"> spent</w:t>
      </w:r>
      <w:r w:rsidR="00D65E43" w:rsidRPr="00D65E43">
        <w:t>.</w:t>
      </w:r>
      <w:r>
        <w:t xml:space="preserve"> The LCE concept </w:t>
      </w:r>
      <w:r w:rsidR="00F74212">
        <w:t xml:space="preserve">universally used in energy investments planning </w:t>
      </w:r>
      <w:r>
        <w:t>encapsulates this assumption (it is the unit cost that</w:t>
      </w:r>
      <w:r w:rsidR="00F74212">
        <w:t xml:space="preserve"> makes the investment profitable)</w:t>
      </w:r>
      <w:r>
        <w:t xml:space="preserve">. However, we provide the full range of costs of a standard 50 MW geothermal plant, enclosed in Annex 2, taken from the </w:t>
      </w:r>
      <w:r w:rsidR="008A2C1B">
        <w:lastRenderedPageBreak/>
        <w:t>“</w:t>
      </w:r>
      <w:r w:rsidR="00896B49">
        <w:t>Geothermal Handbook: Planning and Financing Power Generation</w:t>
      </w:r>
      <w:r w:rsidR="008A2C1B">
        <w:t>”</w:t>
      </w:r>
      <w:r w:rsidR="00896B49">
        <w:t xml:space="preserve"> </w:t>
      </w:r>
      <w:r>
        <w:t xml:space="preserve">of the ESMAP. </w:t>
      </w:r>
    </w:p>
    <w:p w:rsidR="00502B3B" w:rsidRDefault="00502B3B">
      <w:pPr>
        <w:pStyle w:val="Paragraph"/>
        <w:numPr>
          <w:ilvl w:val="0"/>
          <w:numId w:val="5"/>
        </w:numPr>
        <w:spacing w:after="80"/>
      </w:pPr>
      <w:r w:rsidRPr="00856C25">
        <w:t xml:space="preserve">We have to take into account that USD 3 million will be dedicated to Implementation costs and Technical Assistance activities, so the </w:t>
      </w:r>
      <w:r w:rsidR="00ED5023" w:rsidRPr="00856C25">
        <w:rPr>
          <w:u w:val="single"/>
        </w:rPr>
        <w:t>T</w:t>
      </w:r>
      <w:r w:rsidRPr="00856C25">
        <w:rPr>
          <w:u w:val="single"/>
        </w:rPr>
        <w:t xml:space="preserve">otal </w:t>
      </w:r>
      <w:r w:rsidR="00ED5023" w:rsidRPr="00856C25">
        <w:rPr>
          <w:u w:val="single"/>
        </w:rPr>
        <w:t>Cost of the Program</w:t>
      </w:r>
      <w:r w:rsidRPr="00856C25">
        <w:rPr>
          <w:u w:val="single"/>
        </w:rPr>
        <w:t xml:space="preserve"> amount adds up USD 1</w:t>
      </w:r>
      <w:r w:rsidR="00157DD0" w:rsidRPr="00856C25">
        <w:rPr>
          <w:u w:val="single"/>
        </w:rPr>
        <w:t>1</w:t>
      </w:r>
      <w:r w:rsidRPr="00856C25">
        <w:rPr>
          <w:u w:val="single"/>
        </w:rPr>
        <w:t>7 million</w:t>
      </w:r>
      <w:r w:rsidRPr="00856C25">
        <w:t>.</w:t>
      </w:r>
      <w:r w:rsidR="007147FA">
        <w:t xml:space="preserve"> </w:t>
      </w:r>
    </w:p>
    <w:p w:rsidR="00320877" w:rsidRPr="00320877" w:rsidRDefault="00CE74C9" w:rsidP="00921FA1">
      <w:pPr>
        <w:pStyle w:val="Paragraph"/>
        <w:numPr>
          <w:ilvl w:val="0"/>
          <w:numId w:val="5"/>
        </w:numPr>
        <w:spacing w:after="80"/>
      </w:pPr>
      <w:r>
        <w:t>I</w:t>
      </w:r>
      <w:r w:rsidR="00320877" w:rsidRPr="00320877">
        <w:t xml:space="preserve">t </w:t>
      </w:r>
      <w:r>
        <w:t>i</w:t>
      </w:r>
      <w:r w:rsidR="00320877" w:rsidRPr="00320877">
        <w:t xml:space="preserve">s </w:t>
      </w:r>
      <w:r w:rsidR="00320877">
        <w:t>assumed that the investment/</w:t>
      </w:r>
      <w:r w:rsidR="00320877" w:rsidRPr="00320877">
        <w:t xml:space="preserve">disbursement </w:t>
      </w:r>
      <w:r w:rsidR="00320877">
        <w:t>of funds occurs in a period of 6</w:t>
      </w:r>
      <w:r w:rsidR="00320877" w:rsidRPr="00320877">
        <w:t xml:space="preserve"> years</w:t>
      </w:r>
      <w:r>
        <w:t>, in accordance to the execution period of the program</w:t>
      </w:r>
      <w:r w:rsidR="00320877" w:rsidRPr="00320877">
        <w:t>.</w:t>
      </w:r>
    </w:p>
    <w:p w:rsidR="00C00D87" w:rsidRPr="00856C25" w:rsidRDefault="00C00D87" w:rsidP="00C00D87">
      <w:pPr>
        <w:pStyle w:val="Paragraph"/>
        <w:numPr>
          <w:ilvl w:val="0"/>
          <w:numId w:val="0"/>
        </w:numPr>
        <w:spacing w:after="80"/>
        <w:rPr>
          <w:i/>
          <w:u w:val="single"/>
        </w:rPr>
      </w:pPr>
      <w:r w:rsidRPr="00856C25">
        <w:rPr>
          <w:i/>
          <w:u w:val="single"/>
        </w:rPr>
        <w:t>Additional general assumptions:</w:t>
      </w:r>
    </w:p>
    <w:p w:rsidR="00C00D87" w:rsidRPr="00817ECA" w:rsidRDefault="003F4D26" w:rsidP="00921FA1">
      <w:pPr>
        <w:pStyle w:val="Paragraph"/>
        <w:numPr>
          <w:ilvl w:val="0"/>
          <w:numId w:val="5"/>
        </w:numPr>
        <w:spacing w:after="80"/>
      </w:pPr>
      <w:r>
        <w:t xml:space="preserve">The timespan to analyze the benefits will be </w:t>
      </w:r>
      <w:r w:rsidR="0065336B">
        <w:t>3</w:t>
      </w:r>
      <w:r>
        <w:t>0 years</w:t>
      </w:r>
      <w:r w:rsidR="00EC6A45">
        <w:t xml:space="preserve"> which is </w:t>
      </w:r>
      <w:r w:rsidR="00835C42">
        <w:t xml:space="preserve">a conservative estimate of the </w:t>
      </w:r>
      <w:r w:rsidR="00EC6A45">
        <w:t>life of a</w:t>
      </w:r>
      <w:r w:rsidR="00835C42">
        <w:t xml:space="preserve"> </w:t>
      </w:r>
      <w:r w:rsidR="00EC6A45">
        <w:t xml:space="preserve">geothermal plant. </w:t>
      </w:r>
    </w:p>
    <w:p w:rsidR="003F4D26" w:rsidRDefault="00C00D87" w:rsidP="00921FA1">
      <w:pPr>
        <w:pStyle w:val="Paragraph"/>
        <w:numPr>
          <w:ilvl w:val="0"/>
          <w:numId w:val="5"/>
        </w:numPr>
        <w:spacing w:after="80"/>
      </w:pPr>
      <w:r>
        <w:t xml:space="preserve">The average exchange rate is </w:t>
      </w:r>
      <w:r w:rsidRPr="003514BE">
        <w:t>1</w:t>
      </w:r>
      <w:r w:rsidR="00444A0C">
        <w:t>3.11 MXN/USD or</w:t>
      </w:r>
      <w:r>
        <w:t xml:space="preserve"> </w:t>
      </w:r>
      <w:r w:rsidR="003F4D26">
        <w:t>0.076 USD/</w:t>
      </w:r>
      <w:r>
        <w:t>MXN.</w:t>
      </w:r>
      <w:r w:rsidR="003F4D26">
        <w:t xml:space="preserve"> The exchange rate between dollars and euros is 0.74 EUR/USD or 1.36USD/EUR.</w:t>
      </w:r>
      <w:r w:rsidR="000E441B">
        <w:t xml:space="preserve"> </w:t>
      </w:r>
    </w:p>
    <w:p w:rsidR="000C43F7" w:rsidRDefault="00C00D87" w:rsidP="000C43F7">
      <w:pPr>
        <w:pStyle w:val="Paragraph"/>
        <w:numPr>
          <w:ilvl w:val="0"/>
          <w:numId w:val="5"/>
        </w:numPr>
        <w:spacing w:after="80"/>
      </w:pPr>
      <w:r w:rsidRPr="005A14A1">
        <w:t xml:space="preserve">For the benefits estimated in this analysis to be accomplished, it is assumed that the economy of the country will keep a framework that ensures </w:t>
      </w:r>
      <w:r w:rsidR="00835C42">
        <w:t>appropriate</w:t>
      </w:r>
      <w:r w:rsidR="00835C42" w:rsidRPr="005A14A1">
        <w:t xml:space="preserve"> </w:t>
      </w:r>
      <w:r w:rsidRPr="005A14A1">
        <w:t>conditions for consumption and investment, both public and private.</w:t>
      </w:r>
      <w:r w:rsidR="000C43F7" w:rsidRPr="000C43F7">
        <w:t xml:space="preserve"> </w:t>
      </w:r>
    </w:p>
    <w:p w:rsidR="000C43F7" w:rsidRPr="003832C1" w:rsidRDefault="000C43F7" w:rsidP="000C43F7">
      <w:pPr>
        <w:pStyle w:val="Paragraph"/>
        <w:numPr>
          <w:ilvl w:val="0"/>
          <w:numId w:val="5"/>
        </w:numPr>
        <w:spacing w:after="80"/>
      </w:pPr>
      <w:r>
        <w:t>Additional benefits derived from d</w:t>
      </w:r>
      <w:r w:rsidRPr="003832C1">
        <w:t xml:space="preserve">eveloping 300 MW </w:t>
      </w:r>
      <w:r>
        <w:t>of geothermal power are not included in the analysis. These involve</w:t>
      </w:r>
      <w:r w:rsidRPr="003832C1">
        <w:t xml:space="preserve"> positive </w:t>
      </w:r>
      <w:r>
        <w:t xml:space="preserve">economic and social </w:t>
      </w:r>
      <w:r w:rsidRPr="003832C1">
        <w:t>impacts</w:t>
      </w:r>
      <w:r>
        <w:rPr>
          <w:rStyle w:val="FootnoteReference"/>
        </w:rPr>
        <w:footnoteReference w:id="21"/>
      </w:r>
      <w:r>
        <w:t xml:space="preserve"> that are considered co-benefits and include</w:t>
      </w:r>
      <w:r w:rsidRPr="003832C1">
        <w:t xml:space="preserve">: </w:t>
      </w:r>
    </w:p>
    <w:p w:rsidR="000C43F7" w:rsidRDefault="000C43F7" w:rsidP="000C43F7">
      <w:pPr>
        <w:pStyle w:val="Paragraph"/>
        <w:numPr>
          <w:ilvl w:val="1"/>
          <w:numId w:val="6"/>
        </w:numPr>
        <w:spacing w:after="80"/>
      </w:pPr>
      <w:r>
        <w:t xml:space="preserve">It </w:t>
      </w:r>
      <w:r w:rsidRPr="003832C1">
        <w:t xml:space="preserve">would </w:t>
      </w:r>
      <w:r>
        <w:t>increase 0.10% the GDP</w:t>
      </w:r>
      <w:r w:rsidR="00835C42">
        <w:t xml:space="preserve"> once the 300 Mw are in operation.</w:t>
      </w:r>
    </w:p>
    <w:p w:rsidR="000C43F7" w:rsidRDefault="000C43F7" w:rsidP="000C43F7">
      <w:pPr>
        <w:pStyle w:val="Paragraph"/>
        <w:numPr>
          <w:ilvl w:val="1"/>
          <w:numId w:val="6"/>
        </w:numPr>
        <w:spacing w:after="80"/>
      </w:pPr>
      <w:r>
        <w:t>Generate more than 5.400 jobs</w:t>
      </w:r>
      <w:r w:rsidR="00835C42">
        <w:t xml:space="preserve"> </w:t>
      </w:r>
      <w:r w:rsidR="00AA4708">
        <w:t>throughout</w:t>
      </w:r>
      <w:r w:rsidR="00835C42">
        <w:t xml:space="preserve"> 30 years. </w:t>
      </w:r>
    </w:p>
    <w:p w:rsidR="000C43F7" w:rsidRDefault="000C43F7" w:rsidP="000C43F7">
      <w:pPr>
        <w:pStyle w:val="Paragraph"/>
        <w:numPr>
          <w:ilvl w:val="1"/>
          <w:numId w:val="6"/>
        </w:numPr>
        <w:spacing w:after="80"/>
      </w:pPr>
      <w:r>
        <w:t xml:space="preserve">It would increment the security of supply by </w:t>
      </w:r>
      <w:r w:rsidRPr="003832C1">
        <w:t>reduc</w:t>
      </w:r>
      <w:r>
        <w:t>ing a 2% of the imports of natural gas in 2020.</w:t>
      </w:r>
    </w:p>
    <w:p w:rsidR="000C43F7" w:rsidRDefault="000C43F7" w:rsidP="000C43F7">
      <w:pPr>
        <w:pStyle w:val="Paragraph"/>
        <w:numPr>
          <w:ilvl w:val="1"/>
          <w:numId w:val="6"/>
        </w:numPr>
        <w:spacing w:after="80"/>
      </w:pPr>
      <w:r>
        <w:t>It will</w:t>
      </w:r>
      <w:r w:rsidRPr="003832C1">
        <w:t xml:space="preserve"> </w:t>
      </w:r>
      <w:r>
        <w:t>help</w:t>
      </w:r>
      <w:r w:rsidRPr="003832C1">
        <w:t xml:space="preserve"> generating value-added industry.</w:t>
      </w:r>
    </w:p>
    <w:p w:rsidR="00C00D87" w:rsidRDefault="00C00D87" w:rsidP="00C00D87">
      <w:pPr>
        <w:pStyle w:val="Chapter"/>
        <w:tabs>
          <w:tab w:val="clear" w:pos="1440"/>
          <w:tab w:val="clear" w:pos="1800"/>
        </w:tabs>
        <w:spacing w:after="120"/>
        <w:ind w:left="0"/>
      </w:pPr>
      <w:bookmarkStart w:id="10" w:name="_Toc380599897"/>
      <w:bookmarkStart w:id="11" w:name="_Toc380599921"/>
      <w:bookmarkStart w:id="12" w:name="_Toc380599898"/>
      <w:bookmarkStart w:id="13" w:name="_Toc380599922"/>
      <w:bookmarkStart w:id="14" w:name="_Toc380599923"/>
      <w:bookmarkEnd w:id="10"/>
      <w:bookmarkEnd w:id="11"/>
      <w:bookmarkEnd w:id="12"/>
      <w:bookmarkEnd w:id="13"/>
      <w:r>
        <w:t>Results of the Analysis</w:t>
      </w:r>
      <w:bookmarkEnd w:id="14"/>
    </w:p>
    <w:p w:rsidR="00444A0C" w:rsidRDefault="0056559E" w:rsidP="00856C25">
      <w:pPr>
        <w:pStyle w:val="Chapter"/>
        <w:numPr>
          <w:ilvl w:val="0"/>
          <w:numId w:val="8"/>
        </w:numPr>
        <w:tabs>
          <w:tab w:val="clear" w:pos="1440"/>
        </w:tabs>
        <w:spacing w:after="120"/>
        <w:ind w:left="360"/>
        <w:jc w:val="left"/>
      </w:pPr>
      <w:bookmarkStart w:id="15" w:name="_Toc380599924"/>
      <w:r>
        <w:t>COST-EFFECTIVENESS ANALYSIS</w:t>
      </w:r>
      <w:bookmarkEnd w:id="15"/>
    </w:p>
    <w:p w:rsidR="00410C10" w:rsidRDefault="00410C10" w:rsidP="00B94089">
      <w:pPr>
        <w:pStyle w:val="Paragraph"/>
        <w:tabs>
          <w:tab w:val="num" w:pos="720"/>
        </w:tabs>
        <w:ind w:left="720" w:hanging="720"/>
      </w:pPr>
      <w:r w:rsidRPr="000B6E12">
        <w:t xml:space="preserve">Table </w:t>
      </w:r>
      <w:r>
        <w:t>3.</w:t>
      </w:r>
      <w:r w:rsidRPr="000B6E12">
        <w:t xml:space="preserve">1 below presents the results of </w:t>
      </w:r>
      <w:r w:rsidR="000C43F7">
        <w:t>the</w:t>
      </w:r>
      <w:r w:rsidR="000C43F7" w:rsidRPr="000B6E12">
        <w:t xml:space="preserve"> </w:t>
      </w:r>
      <w:r>
        <w:t xml:space="preserve">cost-effectiveness </w:t>
      </w:r>
      <w:r w:rsidRPr="000B6E12">
        <w:t xml:space="preserve">analysis. </w:t>
      </w:r>
      <w:r w:rsidR="00CA0667">
        <w:t>It is expected that t</w:t>
      </w:r>
      <w:r w:rsidR="00B94089" w:rsidRPr="000B6E12">
        <w:t xml:space="preserve">he </w:t>
      </w:r>
      <w:r w:rsidR="00B94089">
        <w:t xml:space="preserve">geothermal </w:t>
      </w:r>
      <w:r w:rsidR="00B94089" w:rsidRPr="000B6E12">
        <w:t>plants</w:t>
      </w:r>
      <w:r w:rsidR="00CA0667">
        <w:t xml:space="preserve"> financed by the program</w:t>
      </w:r>
      <w:r w:rsidR="00B94089" w:rsidRPr="000B6E12">
        <w:t xml:space="preserve">, once fully operative, </w:t>
      </w:r>
      <w:r w:rsidR="00CA0667">
        <w:t xml:space="preserve">will </w:t>
      </w:r>
      <w:r w:rsidR="00B94089" w:rsidRPr="000B6E12">
        <w:t>deliver a</w:t>
      </w:r>
      <w:r w:rsidR="00B94089">
        <w:t xml:space="preserve">n annual </w:t>
      </w:r>
      <w:r w:rsidR="00CA0667">
        <w:t xml:space="preserve">average </w:t>
      </w:r>
      <w:r w:rsidR="00B94089">
        <w:t>production of 2.</w:t>
      </w:r>
      <w:r w:rsidR="00AB754C">
        <w:t>2</w:t>
      </w:r>
      <w:r w:rsidR="00B94089">
        <w:t xml:space="preserve"> </w:t>
      </w:r>
      <w:r w:rsidR="00AB754C">
        <w:t>M</w:t>
      </w:r>
      <w:r w:rsidR="00B94089">
        <w:t xml:space="preserve">MWH and over </w:t>
      </w:r>
      <w:r w:rsidR="0001642F">
        <w:t>30</w:t>
      </w:r>
      <w:r w:rsidR="00B94089">
        <w:t xml:space="preserve"> </w:t>
      </w:r>
      <w:r w:rsidR="00AB754C">
        <w:t>M</w:t>
      </w:r>
      <w:r w:rsidR="00B94089" w:rsidRPr="000B6E12">
        <w:t>MT of C</w:t>
      </w:r>
      <w:r w:rsidR="00B94089">
        <w:t>O</w:t>
      </w:r>
      <w:r w:rsidR="00B94089" w:rsidRPr="00297CDD">
        <w:rPr>
          <w:vertAlign w:val="subscript"/>
        </w:rPr>
        <w:t>2</w:t>
      </w:r>
      <w:r w:rsidR="00B94089" w:rsidRPr="000B6E12">
        <w:t xml:space="preserve"> emissions reductions </w:t>
      </w:r>
      <w:r w:rsidR="00B94089">
        <w:t>over the life of the projects (3</w:t>
      </w:r>
      <w:r w:rsidR="00B94089" w:rsidRPr="000B6E12">
        <w:t>0 years).</w:t>
      </w:r>
    </w:p>
    <w:p w:rsidR="00410C10" w:rsidRPr="000B6E12" w:rsidRDefault="00410C10" w:rsidP="00410C10">
      <w:pPr>
        <w:pStyle w:val="Paragraph"/>
        <w:tabs>
          <w:tab w:val="num" w:pos="720"/>
        </w:tabs>
        <w:ind w:left="720" w:hanging="720"/>
      </w:pPr>
      <w:r w:rsidRPr="000B6E12">
        <w:t>Production is calculated applying the prevalent utilization factor for Mexico. Net emissions results are calculated using internal IDB tools deducting the emissions caused by the construction of the plants and by the destruction of landmass cover from the gross emissions reductions.</w:t>
      </w:r>
    </w:p>
    <w:p w:rsidR="00DC3434" w:rsidRPr="00856C25" w:rsidRDefault="00DC3434" w:rsidP="00F225E2">
      <w:pPr>
        <w:pStyle w:val="Paragraph"/>
        <w:tabs>
          <w:tab w:val="num" w:pos="720"/>
        </w:tabs>
        <w:ind w:left="720" w:hanging="720"/>
      </w:pPr>
      <w:r w:rsidRPr="00856C25">
        <w:lastRenderedPageBreak/>
        <w:t>This implies a unit abatement cost of 1.</w:t>
      </w:r>
      <w:r w:rsidR="00147E8D" w:rsidRPr="00856C25">
        <w:t>6</w:t>
      </w:r>
      <w:r w:rsidR="00CA0667">
        <w:t>4</w:t>
      </w:r>
      <w:r w:rsidRPr="00856C25">
        <w:t xml:space="preserve"> USD per Metric Ton considering total CTF investment. These results are in line with previous CTF interventions. </w:t>
      </w:r>
    </w:p>
    <w:p w:rsidR="00444A0C" w:rsidRPr="00856C25" w:rsidRDefault="00444A0C" w:rsidP="008062E4">
      <w:pPr>
        <w:spacing w:before="240" w:after="0"/>
        <w:jc w:val="center"/>
        <w:rPr>
          <w:rFonts w:ascii="Times New Roman" w:hAnsi="Times New Roman"/>
          <w:b/>
          <w:sz w:val="20"/>
          <w:szCs w:val="24"/>
        </w:rPr>
      </w:pPr>
      <w:r w:rsidRPr="00856C25">
        <w:rPr>
          <w:rFonts w:ascii="Times New Roman" w:hAnsi="Times New Roman"/>
          <w:b/>
          <w:sz w:val="20"/>
          <w:szCs w:val="24"/>
        </w:rPr>
        <w:t>Tabl</w:t>
      </w:r>
      <w:r w:rsidR="001F2FCB" w:rsidRPr="00856C25">
        <w:rPr>
          <w:rFonts w:ascii="Times New Roman" w:hAnsi="Times New Roman"/>
          <w:b/>
          <w:sz w:val="20"/>
          <w:szCs w:val="24"/>
        </w:rPr>
        <w:t>e</w:t>
      </w:r>
      <w:r w:rsidR="00320877" w:rsidRPr="00856C25">
        <w:rPr>
          <w:rFonts w:ascii="Times New Roman" w:hAnsi="Times New Roman"/>
          <w:b/>
          <w:sz w:val="20"/>
          <w:szCs w:val="24"/>
        </w:rPr>
        <w:t xml:space="preserve"> 3</w:t>
      </w:r>
      <w:r w:rsidRPr="00856C25">
        <w:rPr>
          <w:rFonts w:ascii="Times New Roman" w:hAnsi="Times New Roman"/>
          <w:b/>
          <w:sz w:val="20"/>
          <w:szCs w:val="24"/>
        </w:rPr>
        <w:t>.</w:t>
      </w:r>
      <w:r w:rsidR="00320877" w:rsidRPr="00856C25">
        <w:rPr>
          <w:rFonts w:ascii="Times New Roman" w:hAnsi="Times New Roman"/>
          <w:b/>
          <w:sz w:val="20"/>
          <w:szCs w:val="24"/>
        </w:rPr>
        <w:t>1.</w:t>
      </w:r>
      <w:r w:rsidRPr="00856C25">
        <w:rPr>
          <w:rFonts w:ascii="Times New Roman" w:hAnsi="Times New Roman"/>
          <w:b/>
          <w:sz w:val="20"/>
          <w:szCs w:val="24"/>
        </w:rPr>
        <w:t xml:space="preserve"> </w:t>
      </w:r>
      <w:r w:rsidR="00586CFB" w:rsidRPr="00856C25">
        <w:rPr>
          <w:rFonts w:ascii="Times New Roman" w:hAnsi="Times New Roman"/>
          <w:b/>
          <w:sz w:val="20"/>
          <w:szCs w:val="24"/>
        </w:rPr>
        <w:t>Main results cost-efficiency analysis</w:t>
      </w:r>
      <w:r w:rsidR="00586CFB" w:rsidRPr="00856C25" w:rsidDel="001F2FCB">
        <w:rPr>
          <w:rFonts w:ascii="Times New Roman" w:hAnsi="Times New Roman"/>
          <w:b/>
          <w:sz w:val="20"/>
          <w:szCs w:val="24"/>
        </w:rPr>
        <w:t xml:space="preserve"> </w:t>
      </w:r>
    </w:p>
    <w:tbl>
      <w:tblPr>
        <w:tblStyle w:val="LightList"/>
        <w:tblW w:w="0" w:type="auto"/>
        <w:tblLayout w:type="fixed"/>
        <w:tblLook w:val="04A0" w:firstRow="1" w:lastRow="0" w:firstColumn="1" w:lastColumn="0" w:noHBand="0" w:noVBand="1"/>
      </w:tblPr>
      <w:tblGrid>
        <w:gridCol w:w="4158"/>
        <w:gridCol w:w="720"/>
        <w:gridCol w:w="3240"/>
        <w:gridCol w:w="738"/>
      </w:tblGrid>
      <w:tr w:rsidR="00444A0C" w:rsidRPr="0005081E" w:rsidTr="00856C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gridSpan w:val="2"/>
          </w:tcPr>
          <w:p w:rsidR="00444A0C" w:rsidRPr="00856C25" w:rsidRDefault="00586CFB" w:rsidP="00E36156">
            <w:pPr>
              <w:spacing w:after="200" w:line="276" w:lineRule="auto"/>
              <w:jc w:val="center"/>
              <w:rPr>
                <w:rFonts w:ascii="Times New Roman" w:hAnsi="Times New Roman"/>
                <w:b w:val="0"/>
                <w:sz w:val="20"/>
                <w:szCs w:val="24"/>
                <w:lang w:val="es-ES_tradnl"/>
              </w:rPr>
            </w:pPr>
            <w:r w:rsidRPr="00856C25">
              <w:rPr>
                <w:rFonts w:ascii="Times New Roman" w:hAnsi="Times New Roman"/>
                <w:sz w:val="20"/>
                <w:szCs w:val="24"/>
                <w:lang w:val="es-ES_tradnl"/>
              </w:rPr>
              <w:t>Technical Factors</w:t>
            </w:r>
          </w:p>
        </w:tc>
        <w:tc>
          <w:tcPr>
            <w:tcW w:w="3978" w:type="dxa"/>
            <w:gridSpan w:val="2"/>
            <w:tcBorders>
              <w:bottom w:val="single" w:sz="8" w:space="0" w:color="000000" w:themeColor="text1"/>
            </w:tcBorders>
          </w:tcPr>
          <w:p w:rsidR="00444A0C" w:rsidRPr="00856C25" w:rsidRDefault="00586CFB" w:rsidP="00E36156">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4"/>
                <w:lang w:val="es-ES_tradnl"/>
              </w:rPr>
            </w:pPr>
            <w:r w:rsidRPr="00856C25">
              <w:rPr>
                <w:rFonts w:ascii="Times New Roman" w:hAnsi="Times New Roman"/>
                <w:sz w:val="20"/>
                <w:szCs w:val="24"/>
                <w:lang w:val="es-ES_tradnl"/>
              </w:rPr>
              <w:t>Financial Factors</w:t>
            </w:r>
          </w:p>
        </w:tc>
      </w:tr>
      <w:tr w:rsidR="008E6919" w:rsidRPr="0005081E" w:rsidTr="00856C25">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4158" w:type="dxa"/>
            <w:tcBorders>
              <w:right w:val="nil"/>
            </w:tcBorders>
          </w:tcPr>
          <w:p w:rsidR="00B171CF" w:rsidRPr="00856C25" w:rsidRDefault="00B171CF" w:rsidP="00856C25">
            <w:pPr>
              <w:spacing w:line="276" w:lineRule="auto"/>
              <w:rPr>
                <w:rFonts w:ascii="Times New Roman" w:hAnsi="Times New Roman"/>
                <w:b w:val="0"/>
                <w:bCs w:val="0"/>
                <w:sz w:val="20"/>
                <w:szCs w:val="24"/>
                <w:lang w:val="es-ES_tradnl"/>
              </w:rPr>
            </w:pPr>
            <w:r w:rsidRPr="00856C25">
              <w:rPr>
                <w:rFonts w:ascii="Times New Roman" w:hAnsi="Times New Roman"/>
                <w:sz w:val="20"/>
                <w:szCs w:val="24"/>
                <w:lang w:val="es-ES_tradnl"/>
              </w:rPr>
              <w:t xml:space="preserve">MW installed                                                    </w:t>
            </w:r>
          </w:p>
        </w:tc>
        <w:tc>
          <w:tcPr>
            <w:tcW w:w="720" w:type="dxa"/>
            <w:tcBorders>
              <w:left w:val="nil"/>
              <w:right w:val="single" w:sz="4" w:space="0" w:color="auto"/>
            </w:tcBorders>
          </w:tcPr>
          <w:p w:rsidR="00B171CF" w:rsidRPr="00856C25" w:rsidRDefault="00B171CF" w:rsidP="00856C25">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lang w:val="es-ES_tradnl"/>
              </w:rPr>
            </w:pPr>
            <w:r w:rsidRPr="00856C25">
              <w:rPr>
                <w:rFonts w:ascii="Times New Roman" w:hAnsi="Times New Roman"/>
                <w:sz w:val="20"/>
                <w:szCs w:val="24"/>
                <w:lang w:val="es-ES_tradnl"/>
              </w:rPr>
              <w:t>300</w:t>
            </w:r>
          </w:p>
        </w:tc>
        <w:tc>
          <w:tcPr>
            <w:tcW w:w="3240" w:type="dxa"/>
            <w:tcBorders>
              <w:left w:val="single" w:sz="4" w:space="0" w:color="auto"/>
              <w:right w:val="nil"/>
            </w:tcBorders>
          </w:tcPr>
          <w:p w:rsidR="00B171CF" w:rsidRPr="00856C25" w:rsidRDefault="00B171CF" w:rsidP="00856C25">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lang w:val="es-ES_tradnl"/>
              </w:rPr>
            </w:pPr>
            <w:r w:rsidRPr="00856C25">
              <w:rPr>
                <w:rFonts w:ascii="Times New Roman" w:hAnsi="Times New Roman"/>
                <w:sz w:val="20"/>
                <w:szCs w:val="24"/>
                <w:lang w:val="es-ES_tradnl"/>
              </w:rPr>
              <w:t xml:space="preserve">Total </w:t>
            </w:r>
            <w:r w:rsidR="000C43F7">
              <w:rPr>
                <w:rFonts w:ascii="Times New Roman" w:hAnsi="Times New Roman"/>
                <w:sz w:val="20"/>
                <w:szCs w:val="24"/>
                <w:lang w:val="es-ES_tradnl"/>
              </w:rPr>
              <w:t xml:space="preserve">Program </w:t>
            </w:r>
            <w:r w:rsidRPr="00856C25">
              <w:rPr>
                <w:rFonts w:ascii="Times New Roman" w:hAnsi="Times New Roman"/>
                <w:sz w:val="20"/>
                <w:szCs w:val="24"/>
                <w:lang w:val="es-ES_tradnl"/>
              </w:rPr>
              <w:t xml:space="preserve">Investment (MUSD)    </w:t>
            </w:r>
          </w:p>
        </w:tc>
        <w:tc>
          <w:tcPr>
            <w:tcW w:w="738" w:type="dxa"/>
            <w:tcBorders>
              <w:left w:val="nil"/>
            </w:tcBorders>
          </w:tcPr>
          <w:p w:rsidR="00B171CF" w:rsidRPr="00856C25" w:rsidRDefault="00B171CF" w:rsidP="00856C25">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lang w:val="es-ES_tradnl"/>
              </w:rPr>
            </w:pPr>
            <w:r w:rsidRPr="00856C25">
              <w:rPr>
                <w:rFonts w:ascii="Times New Roman" w:hAnsi="Times New Roman"/>
                <w:sz w:val="20"/>
                <w:szCs w:val="24"/>
                <w:lang w:val="es-ES_tradnl"/>
              </w:rPr>
              <w:t>1</w:t>
            </w:r>
            <w:r w:rsidR="000025A2" w:rsidRPr="00856C25">
              <w:rPr>
                <w:rFonts w:ascii="Times New Roman" w:hAnsi="Times New Roman"/>
                <w:sz w:val="20"/>
                <w:szCs w:val="24"/>
                <w:lang w:val="es-ES_tradnl"/>
              </w:rPr>
              <w:t>1</w:t>
            </w:r>
            <w:r w:rsidRPr="00856C25">
              <w:rPr>
                <w:rFonts w:ascii="Times New Roman" w:hAnsi="Times New Roman"/>
                <w:sz w:val="20"/>
                <w:szCs w:val="24"/>
                <w:lang w:val="es-ES_tradnl"/>
              </w:rPr>
              <w:t>7.1</w:t>
            </w:r>
          </w:p>
        </w:tc>
      </w:tr>
      <w:tr w:rsidR="008E6919" w:rsidRPr="0005081E" w:rsidTr="00856C25">
        <w:trPr>
          <w:trHeight w:val="199"/>
        </w:trPr>
        <w:tc>
          <w:tcPr>
            <w:cnfStyle w:val="001000000000" w:firstRow="0" w:lastRow="0" w:firstColumn="1" w:lastColumn="0" w:oddVBand="0" w:evenVBand="0" w:oddHBand="0" w:evenHBand="0" w:firstRowFirstColumn="0" w:firstRowLastColumn="0" w:lastRowFirstColumn="0" w:lastRowLastColumn="0"/>
            <w:tcW w:w="4158" w:type="dxa"/>
            <w:tcBorders>
              <w:top w:val="single" w:sz="8" w:space="0" w:color="000000" w:themeColor="text1"/>
              <w:bottom w:val="single" w:sz="8" w:space="0" w:color="000000" w:themeColor="text1"/>
              <w:right w:val="nil"/>
            </w:tcBorders>
          </w:tcPr>
          <w:p w:rsidR="00B171CF" w:rsidRPr="00856C25" w:rsidRDefault="008E6919" w:rsidP="00856C25">
            <w:pPr>
              <w:spacing w:line="276" w:lineRule="auto"/>
              <w:rPr>
                <w:rFonts w:ascii="Times New Roman" w:hAnsi="Times New Roman"/>
                <w:b w:val="0"/>
                <w:bCs w:val="0"/>
                <w:sz w:val="20"/>
                <w:szCs w:val="24"/>
              </w:rPr>
            </w:pPr>
            <w:r>
              <w:rPr>
                <w:rFonts w:ascii="Times New Roman" w:hAnsi="Times New Roman"/>
                <w:sz w:val="20"/>
                <w:szCs w:val="24"/>
              </w:rPr>
              <w:t xml:space="preserve">Total </w:t>
            </w:r>
            <w:r w:rsidR="00B171CF" w:rsidRPr="00856C25">
              <w:rPr>
                <w:rFonts w:ascii="Times New Roman" w:hAnsi="Times New Roman"/>
                <w:sz w:val="20"/>
                <w:szCs w:val="24"/>
              </w:rPr>
              <w:t xml:space="preserve">Investment per MW installed (MUSD) </w:t>
            </w:r>
          </w:p>
        </w:tc>
        <w:tc>
          <w:tcPr>
            <w:tcW w:w="720" w:type="dxa"/>
            <w:tcBorders>
              <w:left w:val="nil"/>
              <w:right w:val="single" w:sz="4" w:space="0" w:color="auto"/>
            </w:tcBorders>
          </w:tcPr>
          <w:p w:rsidR="00B171CF" w:rsidRPr="00856C25" w:rsidRDefault="00B171CF" w:rsidP="00856C2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es-ES_tradnl"/>
              </w:rPr>
            </w:pPr>
            <w:r w:rsidRPr="00856C25">
              <w:rPr>
                <w:rFonts w:ascii="Times New Roman" w:hAnsi="Times New Roman"/>
                <w:sz w:val="20"/>
                <w:szCs w:val="24"/>
                <w:lang w:val="es-ES_tradnl"/>
              </w:rPr>
              <w:t>4</w:t>
            </w:r>
            <w:r w:rsidR="00CA0667">
              <w:rPr>
                <w:rFonts w:ascii="Times New Roman" w:hAnsi="Times New Roman"/>
                <w:sz w:val="20"/>
                <w:szCs w:val="24"/>
                <w:lang w:val="es-ES_tradnl"/>
              </w:rPr>
              <w:t>.0</w:t>
            </w:r>
          </w:p>
        </w:tc>
        <w:tc>
          <w:tcPr>
            <w:tcW w:w="3240" w:type="dxa"/>
            <w:tcBorders>
              <w:top w:val="single" w:sz="8" w:space="0" w:color="000000" w:themeColor="text1"/>
              <w:left w:val="single" w:sz="4" w:space="0" w:color="auto"/>
              <w:bottom w:val="single" w:sz="8" w:space="0" w:color="000000" w:themeColor="text1"/>
              <w:right w:val="nil"/>
            </w:tcBorders>
          </w:tcPr>
          <w:p w:rsidR="00B171CF" w:rsidRPr="00856C25" w:rsidRDefault="00B171CF" w:rsidP="00856C2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es-ES_tradnl"/>
              </w:rPr>
            </w:pPr>
            <w:r w:rsidRPr="00856C25">
              <w:rPr>
                <w:rFonts w:ascii="Times New Roman" w:hAnsi="Times New Roman"/>
                <w:sz w:val="20"/>
                <w:szCs w:val="24"/>
                <w:lang w:val="es-ES_tradnl"/>
              </w:rPr>
              <w:t>IDB Investment</w:t>
            </w:r>
          </w:p>
        </w:tc>
        <w:tc>
          <w:tcPr>
            <w:tcW w:w="738" w:type="dxa"/>
            <w:tcBorders>
              <w:left w:val="nil"/>
            </w:tcBorders>
          </w:tcPr>
          <w:p w:rsidR="00B171CF" w:rsidRPr="00856C25" w:rsidRDefault="000025A2" w:rsidP="00856C2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es-ES_tradnl"/>
              </w:rPr>
            </w:pPr>
            <w:r w:rsidRPr="00856C25">
              <w:rPr>
                <w:rFonts w:ascii="Times New Roman" w:hAnsi="Times New Roman"/>
                <w:sz w:val="20"/>
                <w:szCs w:val="24"/>
                <w:lang w:val="es-ES_tradnl"/>
              </w:rPr>
              <w:t>5</w:t>
            </w:r>
            <w:r w:rsidR="00B171CF" w:rsidRPr="00856C25">
              <w:rPr>
                <w:rFonts w:ascii="Times New Roman" w:hAnsi="Times New Roman"/>
                <w:sz w:val="20"/>
                <w:szCs w:val="24"/>
                <w:lang w:val="es-ES_tradnl"/>
              </w:rPr>
              <w:t>4.3</w:t>
            </w:r>
          </w:p>
        </w:tc>
      </w:tr>
      <w:tr w:rsidR="008E6919" w:rsidRPr="0005081E" w:rsidTr="00856C25">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4158" w:type="dxa"/>
            <w:tcBorders>
              <w:right w:val="nil"/>
            </w:tcBorders>
          </w:tcPr>
          <w:p w:rsidR="00B171CF" w:rsidRPr="00856C25" w:rsidRDefault="00633691" w:rsidP="00856C25">
            <w:pPr>
              <w:spacing w:line="276" w:lineRule="auto"/>
              <w:rPr>
                <w:rFonts w:ascii="Times New Roman" w:hAnsi="Times New Roman"/>
                <w:b w:val="0"/>
                <w:bCs w:val="0"/>
                <w:sz w:val="20"/>
                <w:szCs w:val="24"/>
                <w:lang w:val="es-ES_tradnl"/>
              </w:rPr>
            </w:pPr>
            <w:r w:rsidRPr="00856C25">
              <w:rPr>
                <w:rFonts w:ascii="Times New Roman" w:hAnsi="Times New Roman"/>
                <w:sz w:val="20"/>
                <w:szCs w:val="24"/>
                <w:lang w:val="es-ES_tradnl"/>
              </w:rPr>
              <w:t>Annual Production (</w:t>
            </w:r>
            <w:r w:rsidR="008E6919">
              <w:rPr>
                <w:rFonts w:ascii="Times New Roman" w:hAnsi="Times New Roman"/>
                <w:sz w:val="20"/>
                <w:szCs w:val="24"/>
                <w:lang w:val="es-ES_tradnl"/>
              </w:rPr>
              <w:t>G</w:t>
            </w:r>
            <w:r w:rsidRPr="00856C25">
              <w:rPr>
                <w:rFonts w:ascii="Times New Roman" w:hAnsi="Times New Roman"/>
                <w:sz w:val="20"/>
                <w:szCs w:val="24"/>
                <w:lang w:val="es-ES_tradnl"/>
              </w:rPr>
              <w:t xml:space="preserve">wh)                          </w:t>
            </w:r>
          </w:p>
        </w:tc>
        <w:tc>
          <w:tcPr>
            <w:tcW w:w="720" w:type="dxa"/>
            <w:tcBorders>
              <w:left w:val="nil"/>
              <w:right w:val="single" w:sz="4" w:space="0" w:color="auto"/>
            </w:tcBorders>
          </w:tcPr>
          <w:p w:rsidR="00B171CF" w:rsidRPr="00856C25" w:rsidRDefault="00633691" w:rsidP="00856C25">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lang w:val="es-ES_tradnl"/>
              </w:rPr>
            </w:pPr>
            <w:r w:rsidRPr="00856C25">
              <w:rPr>
                <w:rFonts w:ascii="Times New Roman" w:hAnsi="Times New Roman"/>
                <w:sz w:val="20"/>
                <w:szCs w:val="24"/>
                <w:lang w:val="es-ES_tradnl"/>
              </w:rPr>
              <w:t>2.2</w:t>
            </w:r>
          </w:p>
        </w:tc>
        <w:tc>
          <w:tcPr>
            <w:tcW w:w="3240" w:type="dxa"/>
            <w:tcBorders>
              <w:left w:val="single" w:sz="4" w:space="0" w:color="auto"/>
              <w:right w:val="nil"/>
            </w:tcBorders>
          </w:tcPr>
          <w:p w:rsidR="00B171CF" w:rsidRPr="00856C25" w:rsidRDefault="00B171CF" w:rsidP="00856C25">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lang w:val="es-ES_tradnl"/>
              </w:rPr>
            </w:pPr>
            <w:r w:rsidRPr="00856C25">
              <w:rPr>
                <w:rFonts w:ascii="Times New Roman" w:hAnsi="Times New Roman"/>
                <w:sz w:val="20"/>
                <w:szCs w:val="24"/>
                <w:lang w:val="es-ES_tradnl"/>
              </w:rPr>
              <w:t>CTF Investment</w:t>
            </w:r>
          </w:p>
        </w:tc>
        <w:tc>
          <w:tcPr>
            <w:tcW w:w="738" w:type="dxa"/>
            <w:tcBorders>
              <w:left w:val="nil"/>
            </w:tcBorders>
          </w:tcPr>
          <w:p w:rsidR="00B171CF" w:rsidRPr="00856C25" w:rsidRDefault="000025A2" w:rsidP="00856C25">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lang w:val="es-ES_tradnl"/>
              </w:rPr>
            </w:pPr>
            <w:r w:rsidRPr="00856C25">
              <w:rPr>
                <w:rFonts w:ascii="Times New Roman" w:hAnsi="Times New Roman"/>
                <w:sz w:val="20"/>
                <w:szCs w:val="24"/>
                <w:lang w:val="es-ES_tradnl"/>
              </w:rPr>
              <w:t>54</w:t>
            </w:r>
            <w:r w:rsidR="00B171CF" w:rsidRPr="00856C25">
              <w:rPr>
                <w:rFonts w:ascii="Times New Roman" w:hAnsi="Times New Roman"/>
                <w:sz w:val="20"/>
                <w:szCs w:val="24"/>
                <w:lang w:val="es-ES_tradnl"/>
              </w:rPr>
              <w:t>.3</w:t>
            </w:r>
          </w:p>
        </w:tc>
      </w:tr>
      <w:tr w:rsidR="00446E0D" w:rsidRPr="0005081E" w:rsidTr="00856C25">
        <w:trPr>
          <w:trHeight w:val="199"/>
        </w:trPr>
        <w:tc>
          <w:tcPr>
            <w:cnfStyle w:val="001000000000" w:firstRow="0" w:lastRow="0" w:firstColumn="1" w:lastColumn="0" w:oddVBand="0" w:evenVBand="0" w:oddHBand="0" w:evenHBand="0" w:firstRowFirstColumn="0" w:firstRowLastColumn="0" w:lastRowFirstColumn="0" w:lastRowLastColumn="0"/>
            <w:tcW w:w="4878" w:type="dxa"/>
            <w:gridSpan w:val="2"/>
            <w:tcBorders>
              <w:right w:val="single" w:sz="4" w:space="0" w:color="auto"/>
            </w:tcBorders>
          </w:tcPr>
          <w:p w:rsidR="00446E0D" w:rsidRPr="00856C25" w:rsidRDefault="00446E0D" w:rsidP="00856C25">
            <w:pPr>
              <w:spacing w:line="276" w:lineRule="auto"/>
              <w:rPr>
                <w:rFonts w:ascii="Times New Roman" w:hAnsi="Times New Roman"/>
                <w:sz w:val="20"/>
                <w:szCs w:val="24"/>
                <w:lang w:val="es-ES_tradnl"/>
              </w:rPr>
            </w:pPr>
          </w:p>
        </w:tc>
        <w:tc>
          <w:tcPr>
            <w:tcW w:w="3240" w:type="dxa"/>
            <w:tcBorders>
              <w:left w:val="single" w:sz="4" w:space="0" w:color="auto"/>
              <w:right w:val="nil"/>
            </w:tcBorders>
          </w:tcPr>
          <w:p w:rsidR="00446E0D" w:rsidRPr="00856C25" w:rsidRDefault="00446E0D" w:rsidP="00856C2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es-ES_tradnl"/>
              </w:rPr>
            </w:pPr>
            <w:r w:rsidRPr="00856C25">
              <w:rPr>
                <w:rFonts w:ascii="Times New Roman" w:hAnsi="Times New Roman"/>
                <w:sz w:val="20"/>
                <w:szCs w:val="24"/>
                <w:lang w:val="es-ES_tradnl"/>
              </w:rPr>
              <w:t>Local Investment</w:t>
            </w:r>
          </w:p>
        </w:tc>
        <w:tc>
          <w:tcPr>
            <w:tcW w:w="738" w:type="dxa"/>
            <w:tcBorders>
              <w:left w:val="nil"/>
            </w:tcBorders>
          </w:tcPr>
          <w:p w:rsidR="00446E0D" w:rsidRPr="00856C25" w:rsidRDefault="000025A2" w:rsidP="00856C2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es-ES_tradnl"/>
              </w:rPr>
            </w:pPr>
            <w:r w:rsidRPr="00856C25">
              <w:rPr>
                <w:rFonts w:ascii="Times New Roman" w:hAnsi="Times New Roman"/>
                <w:sz w:val="20"/>
                <w:szCs w:val="24"/>
                <w:lang w:val="es-ES_tradnl"/>
              </w:rPr>
              <w:t>11</w:t>
            </w:r>
            <w:r w:rsidR="00446E0D" w:rsidRPr="00856C25">
              <w:rPr>
                <w:rFonts w:ascii="Times New Roman" w:hAnsi="Times New Roman"/>
                <w:sz w:val="20"/>
                <w:szCs w:val="24"/>
                <w:lang w:val="es-ES_tradnl"/>
              </w:rPr>
              <w:t>.5</w:t>
            </w:r>
          </w:p>
        </w:tc>
      </w:tr>
      <w:tr w:rsidR="00BA3F2C" w:rsidRPr="0005081E" w:rsidTr="00856C2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878" w:type="dxa"/>
            <w:gridSpan w:val="2"/>
          </w:tcPr>
          <w:p w:rsidR="00BA3F2C" w:rsidRPr="00856C25" w:rsidRDefault="00BA3F2C" w:rsidP="00856C25">
            <w:pPr>
              <w:spacing w:line="276" w:lineRule="auto"/>
              <w:rPr>
                <w:rFonts w:ascii="Times New Roman" w:hAnsi="Times New Roman"/>
                <w:b w:val="0"/>
                <w:bCs w:val="0"/>
                <w:sz w:val="20"/>
                <w:szCs w:val="24"/>
              </w:rPr>
            </w:pPr>
            <w:r w:rsidRPr="00856C25">
              <w:rPr>
                <w:rFonts w:ascii="Times New Roman" w:hAnsi="Times New Roman"/>
                <w:sz w:val="20"/>
                <w:szCs w:val="24"/>
              </w:rPr>
              <w:t xml:space="preserve">Annual </w:t>
            </w:r>
            <w:r w:rsidRPr="00856C25">
              <w:rPr>
                <w:rFonts w:ascii="Times New Roman" w:hAnsi="Times New Roman" w:cs="Times New Roman"/>
                <w:sz w:val="20"/>
                <w:szCs w:val="20"/>
              </w:rPr>
              <w:t>CO</w:t>
            </w:r>
            <w:r w:rsidRPr="00856C25">
              <w:rPr>
                <w:rFonts w:ascii="Times New Roman" w:hAnsi="Times New Roman" w:cs="Times New Roman"/>
                <w:sz w:val="20"/>
                <w:szCs w:val="20"/>
                <w:vertAlign w:val="subscript"/>
              </w:rPr>
              <w:t>2</w:t>
            </w:r>
            <w:r w:rsidRPr="00856C25">
              <w:rPr>
                <w:rFonts w:ascii="Times New Roman" w:hAnsi="Times New Roman" w:cs="Times New Roman"/>
                <w:sz w:val="20"/>
                <w:szCs w:val="20"/>
              </w:rPr>
              <w:t xml:space="preserve"> emissions averted MT</w:t>
            </w:r>
            <w:r w:rsidRPr="00856C25" w:rsidDel="00826069">
              <w:rPr>
                <w:rStyle w:val="FootnoteReference"/>
                <w:rFonts w:ascii="Times New Roman" w:hAnsi="Times New Roman" w:cs="Times New Roman"/>
                <w:sz w:val="18"/>
                <w:szCs w:val="18"/>
              </w:rPr>
              <w:t xml:space="preserve"> </w:t>
            </w:r>
            <w:r w:rsidRPr="00856C25">
              <w:rPr>
                <w:rFonts w:ascii="Times New Roman" w:hAnsi="Times New Roman"/>
                <w:sz w:val="20"/>
                <w:szCs w:val="24"/>
              </w:rPr>
              <w:t xml:space="preserve">         </w:t>
            </w:r>
            <w:r w:rsidR="008E6919">
              <w:rPr>
                <w:rFonts w:ascii="Times New Roman" w:hAnsi="Times New Roman"/>
                <w:sz w:val="20"/>
                <w:szCs w:val="24"/>
              </w:rPr>
              <w:t xml:space="preserve">   </w:t>
            </w:r>
            <w:r w:rsidRPr="00856C25">
              <w:rPr>
                <w:rFonts w:ascii="Times New Roman" w:hAnsi="Times New Roman"/>
                <w:sz w:val="20"/>
                <w:szCs w:val="24"/>
              </w:rPr>
              <w:t xml:space="preserve"> </w:t>
            </w:r>
            <w:r w:rsidR="008E6919">
              <w:rPr>
                <w:rFonts w:ascii="Times New Roman" w:hAnsi="Times New Roman"/>
                <w:sz w:val="20"/>
                <w:szCs w:val="24"/>
              </w:rPr>
              <w:t xml:space="preserve">  </w:t>
            </w:r>
            <w:r w:rsidRPr="00856C25">
              <w:rPr>
                <w:rFonts w:ascii="Times New Roman" w:hAnsi="Times New Roman"/>
                <w:sz w:val="20"/>
                <w:szCs w:val="24"/>
              </w:rPr>
              <w:t xml:space="preserve"> 1.103.760</w:t>
            </w:r>
          </w:p>
        </w:tc>
        <w:tc>
          <w:tcPr>
            <w:tcW w:w="3978" w:type="dxa"/>
            <w:gridSpan w:val="2"/>
          </w:tcPr>
          <w:p w:rsidR="00BA3F2C" w:rsidRPr="00856C25" w:rsidRDefault="00BA3F2C" w:rsidP="00856C25">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lang w:val="es-ES_tradnl"/>
              </w:rPr>
            </w:pPr>
            <w:r w:rsidRPr="00856C25">
              <w:rPr>
                <w:rFonts w:ascii="Times New Roman" w:hAnsi="Times New Roman"/>
                <w:sz w:val="20"/>
                <w:szCs w:val="24"/>
              </w:rPr>
              <w:t>(CO</w:t>
            </w:r>
            <w:r w:rsidRPr="00856C25">
              <w:rPr>
                <w:rFonts w:ascii="Times New Roman" w:hAnsi="Times New Roman"/>
                <w:sz w:val="20"/>
                <w:szCs w:val="24"/>
                <w:vertAlign w:val="subscript"/>
              </w:rPr>
              <w:t>2</w:t>
            </w:r>
            <w:r w:rsidRPr="00856C25">
              <w:rPr>
                <w:rFonts w:ascii="Times New Roman" w:hAnsi="Times New Roman"/>
                <w:sz w:val="20"/>
                <w:szCs w:val="24"/>
              </w:rPr>
              <w:t>TM)</w:t>
            </w:r>
          </w:p>
        </w:tc>
      </w:tr>
      <w:tr w:rsidR="00CA0667" w:rsidRPr="0005081E" w:rsidTr="00856C25">
        <w:trPr>
          <w:trHeight w:val="106"/>
        </w:trPr>
        <w:tc>
          <w:tcPr>
            <w:cnfStyle w:val="001000000000" w:firstRow="0" w:lastRow="0" w:firstColumn="1" w:lastColumn="0" w:oddVBand="0" w:evenVBand="0" w:oddHBand="0" w:evenHBand="0" w:firstRowFirstColumn="0" w:firstRowLastColumn="0" w:lastRowFirstColumn="0" w:lastRowLastColumn="0"/>
            <w:tcW w:w="4878" w:type="dxa"/>
            <w:gridSpan w:val="2"/>
          </w:tcPr>
          <w:p w:rsidR="00CA0667" w:rsidRPr="00856C25" w:rsidRDefault="00CA0667" w:rsidP="00856C25">
            <w:pPr>
              <w:spacing w:line="276" w:lineRule="auto"/>
              <w:rPr>
                <w:rFonts w:ascii="Times New Roman" w:hAnsi="Times New Roman"/>
                <w:b w:val="0"/>
                <w:bCs w:val="0"/>
                <w:sz w:val="20"/>
                <w:szCs w:val="24"/>
              </w:rPr>
            </w:pPr>
            <w:r w:rsidRPr="00856C25">
              <w:rPr>
                <w:rFonts w:ascii="Times New Roman" w:hAnsi="Times New Roman"/>
                <w:sz w:val="20"/>
                <w:szCs w:val="24"/>
              </w:rPr>
              <w:t>Total MT emissions averted 30 years</w:t>
            </w:r>
            <w:r w:rsidRPr="00856C25" w:rsidDel="006D1881">
              <w:rPr>
                <w:rFonts w:ascii="Times New Roman" w:hAnsi="Times New Roman"/>
                <w:sz w:val="20"/>
                <w:szCs w:val="24"/>
              </w:rPr>
              <w:t xml:space="preserve"> </w:t>
            </w:r>
            <w:r w:rsidRPr="00856C25">
              <w:rPr>
                <w:rFonts w:ascii="Times New Roman" w:hAnsi="Times New Roman"/>
                <w:sz w:val="20"/>
                <w:szCs w:val="24"/>
              </w:rPr>
              <w:t xml:space="preserve">      </w:t>
            </w:r>
            <w:r w:rsidR="008E6919">
              <w:rPr>
                <w:rFonts w:ascii="Times New Roman" w:hAnsi="Times New Roman"/>
                <w:sz w:val="20"/>
                <w:szCs w:val="24"/>
              </w:rPr>
              <w:t xml:space="preserve">     </w:t>
            </w:r>
            <w:r w:rsidRPr="00856C25">
              <w:rPr>
                <w:rFonts w:ascii="Times New Roman" w:hAnsi="Times New Roman"/>
                <w:sz w:val="20"/>
                <w:szCs w:val="24"/>
              </w:rPr>
              <w:t>33.112.800</w:t>
            </w:r>
          </w:p>
        </w:tc>
        <w:tc>
          <w:tcPr>
            <w:tcW w:w="3978" w:type="dxa"/>
            <w:gridSpan w:val="2"/>
          </w:tcPr>
          <w:p w:rsidR="00CA0667" w:rsidRPr="00856C25" w:rsidRDefault="00CA0667" w:rsidP="00856C2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r w:rsidRPr="003700BC">
              <w:rPr>
                <w:rFonts w:ascii="Times New Roman" w:hAnsi="Times New Roman"/>
                <w:sz w:val="20"/>
                <w:szCs w:val="24"/>
              </w:rPr>
              <w:t>(CO</w:t>
            </w:r>
            <w:r w:rsidRPr="003700BC">
              <w:rPr>
                <w:rFonts w:ascii="Times New Roman" w:hAnsi="Times New Roman"/>
                <w:sz w:val="20"/>
                <w:szCs w:val="24"/>
                <w:vertAlign w:val="subscript"/>
              </w:rPr>
              <w:t>2</w:t>
            </w:r>
            <w:r w:rsidRPr="003700BC">
              <w:rPr>
                <w:rFonts w:ascii="Times New Roman" w:hAnsi="Times New Roman"/>
                <w:sz w:val="20"/>
                <w:szCs w:val="24"/>
              </w:rPr>
              <w:t>TM)</w:t>
            </w:r>
          </w:p>
        </w:tc>
      </w:tr>
      <w:tr w:rsidR="00CA0667" w:rsidRPr="0005081E" w:rsidTr="00856C25">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4878" w:type="dxa"/>
            <w:gridSpan w:val="2"/>
          </w:tcPr>
          <w:p w:rsidR="00CA0667" w:rsidRPr="00856C25" w:rsidRDefault="00CA0667" w:rsidP="00856C25">
            <w:pPr>
              <w:spacing w:line="276" w:lineRule="auto"/>
              <w:rPr>
                <w:rFonts w:ascii="Times New Roman" w:hAnsi="Times New Roman" w:cs="Times New Roman"/>
                <w:b w:val="0"/>
                <w:bCs w:val="0"/>
                <w:sz w:val="20"/>
                <w:szCs w:val="20"/>
              </w:rPr>
            </w:pPr>
            <w:r w:rsidRPr="00856C25">
              <w:rPr>
                <w:rFonts w:ascii="Times New Roman" w:hAnsi="Times New Roman"/>
                <w:sz w:val="20"/>
                <w:szCs w:val="20"/>
              </w:rPr>
              <w:t xml:space="preserve">CTF </w:t>
            </w:r>
            <w:r w:rsidR="00F74212">
              <w:rPr>
                <w:rFonts w:ascii="Times New Roman" w:hAnsi="Times New Roman"/>
                <w:sz w:val="20"/>
                <w:szCs w:val="20"/>
              </w:rPr>
              <w:t xml:space="preserve">cost per </w:t>
            </w:r>
            <w:r w:rsidRPr="00856C25">
              <w:rPr>
                <w:rFonts w:ascii="Times New Roman" w:hAnsi="Times New Roman"/>
                <w:sz w:val="20"/>
                <w:szCs w:val="20"/>
              </w:rPr>
              <w:t>emission averted (USD/CO</w:t>
            </w:r>
            <w:r w:rsidRPr="00856C25">
              <w:rPr>
                <w:rFonts w:ascii="Times New Roman" w:hAnsi="Times New Roman"/>
                <w:sz w:val="20"/>
                <w:szCs w:val="20"/>
                <w:vertAlign w:val="subscript"/>
              </w:rPr>
              <w:t>2</w:t>
            </w:r>
            <w:r w:rsidRPr="00856C25">
              <w:rPr>
                <w:rFonts w:ascii="Times New Roman" w:hAnsi="Times New Roman"/>
                <w:sz w:val="20"/>
                <w:szCs w:val="20"/>
              </w:rPr>
              <w:t xml:space="preserve">TM)                          </w:t>
            </w:r>
          </w:p>
        </w:tc>
        <w:tc>
          <w:tcPr>
            <w:tcW w:w="3978" w:type="dxa"/>
            <w:gridSpan w:val="2"/>
          </w:tcPr>
          <w:p w:rsidR="00CA0667" w:rsidRPr="00856C25" w:rsidRDefault="00CA0667" w:rsidP="00856C25">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r w:rsidRPr="00856C25">
              <w:rPr>
                <w:rFonts w:ascii="Times New Roman" w:hAnsi="Times New Roman" w:cs="Times New Roman"/>
                <w:sz w:val="20"/>
                <w:szCs w:val="20"/>
                <w:lang w:val="es-ES_tradnl"/>
              </w:rPr>
              <w:t>1.64</w:t>
            </w:r>
          </w:p>
        </w:tc>
      </w:tr>
      <w:tr w:rsidR="00CA0667" w:rsidRPr="0005081E" w:rsidTr="00856C25">
        <w:trPr>
          <w:trHeight w:val="186"/>
        </w:trPr>
        <w:tc>
          <w:tcPr>
            <w:cnfStyle w:val="001000000000" w:firstRow="0" w:lastRow="0" w:firstColumn="1" w:lastColumn="0" w:oddVBand="0" w:evenVBand="0" w:oddHBand="0" w:evenHBand="0" w:firstRowFirstColumn="0" w:firstRowLastColumn="0" w:lastRowFirstColumn="0" w:lastRowLastColumn="0"/>
            <w:tcW w:w="4878" w:type="dxa"/>
            <w:gridSpan w:val="2"/>
          </w:tcPr>
          <w:p w:rsidR="00CA0667" w:rsidRPr="00856C25" w:rsidRDefault="00CA0667" w:rsidP="00856C25">
            <w:pPr>
              <w:spacing w:line="276" w:lineRule="auto"/>
              <w:rPr>
                <w:rFonts w:ascii="Times New Roman" w:hAnsi="Times New Roman"/>
                <w:sz w:val="20"/>
                <w:szCs w:val="20"/>
              </w:rPr>
            </w:pPr>
            <w:r>
              <w:rPr>
                <w:rFonts w:ascii="Times New Roman" w:hAnsi="Times New Roman"/>
                <w:sz w:val="20"/>
                <w:szCs w:val="20"/>
              </w:rPr>
              <w:t>Program</w:t>
            </w:r>
            <w:r w:rsidRPr="00856C25">
              <w:rPr>
                <w:rFonts w:ascii="Times New Roman" w:hAnsi="Times New Roman"/>
                <w:sz w:val="20"/>
                <w:szCs w:val="20"/>
              </w:rPr>
              <w:t xml:space="preserve"> </w:t>
            </w:r>
            <w:r w:rsidR="00F74212">
              <w:rPr>
                <w:rFonts w:ascii="Times New Roman" w:hAnsi="Times New Roman"/>
                <w:sz w:val="20"/>
                <w:szCs w:val="20"/>
              </w:rPr>
              <w:t xml:space="preserve">cost per </w:t>
            </w:r>
            <w:r w:rsidRPr="00856C25">
              <w:rPr>
                <w:rFonts w:ascii="Times New Roman" w:hAnsi="Times New Roman"/>
                <w:sz w:val="20"/>
                <w:szCs w:val="20"/>
              </w:rPr>
              <w:t>emission averted (USD/CO</w:t>
            </w:r>
            <w:r w:rsidRPr="00856C25">
              <w:rPr>
                <w:rFonts w:ascii="Times New Roman" w:hAnsi="Times New Roman"/>
                <w:sz w:val="20"/>
                <w:szCs w:val="20"/>
                <w:vertAlign w:val="subscript"/>
              </w:rPr>
              <w:t>2</w:t>
            </w:r>
            <w:r w:rsidRPr="00856C25">
              <w:rPr>
                <w:rFonts w:ascii="Times New Roman" w:hAnsi="Times New Roman"/>
                <w:sz w:val="20"/>
                <w:szCs w:val="20"/>
              </w:rPr>
              <w:t xml:space="preserve">TM)                          </w:t>
            </w:r>
          </w:p>
        </w:tc>
        <w:tc>
          <w:tcPr>
            <w:tcW w:w="3978" w:type="dxa"/>
            <w:gridSpan w:val="2"/>
          </w:tcPr>
          <w:p w:rsidR="00CA0667" w:rsidRPr="00856C25" w:rsidRDefault="00CA0667" w:rsidP="00856C25">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_tradnl"/>
              </w:rPr>
            </w:pPr>
            <w:r>
              <w:rPr>
                <w:rFonts w:ascii="Times New Roman" w:hAnsi="Times New Roman" w:cs="Times New Roman"/>
                <w:sz w:val="20"/>
                <w:szCs w:val="20"/>
                <w:lang w:val="es-ES_tradnl"/>
              </w:rPr>
              <w:t>3</w:t>
            </w:r>
            <w:r w:rsidRPr="00856C25">
              <w:rPr>
                <w:rFonts w:ascii="Times New Roman" w:hAnsi="Times New Roman" w:cs="Times New Roman"/>
                <w:sz w:val="20"/>
                <w:szCs w:val="20"/>
                <w:lang w:val="es-ES_tradnl"/>
              </w:rPr>
              <w:t>.</w:t>
            </w:r>
            <w:r w:rsidR="00BA49D8">
              <w:rPr>
                <w:rFonts w:ascii="Times New Roman" w:hAnsi="Times New Roman" w:cs="Times New Roman"/>
                <w:sz w:val="20"/>
                <w:szCs w:val="20"/>
                <w:lang w:val="es-ES_tradnl"/>
              </w:rPr>
              <w:t>5</w:t>
            </w:r>
            <w:r>
              <w:rPr>
                <w:rFonts w:ascii="Times New Roman" w:hAnsi="Times New Roman" w:cs="Times New Roman"/>
                <w:sz w:val="20"/>
                <w:szCs w:val="20"/>
                <w:lang w:val="es-ES_tradnl"/>
              </w:rPr>
              <w:t>3</w:t>
            </w:r>
          </w:p>
        </w:tc>
      </w:tr>
      <w:tr w:rsidR="00CA0667" w:rsidRPr="0005081E" w:rsidTr="00856C25">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4878" w:type="dxa"/>
            <w:gridSpan w:val="2"/>
          </w:tcPr>
          <w:p w:rsidR="00CA0667" w:rsidRPr="00CA0667" w:rsidDel="00CA0667" w:rsidRDefault="00CA0667" w:rsidP="00856C25">
            <w:pPr>
              <w:rPr>
                <w:rFonts w:ascii="Times New Roman" w:hAnsi="Times New Roman"/>
                <w:b w:val="0"/>
                <w:bCs w:val="0"/>
                <w:sz w:val="20"/>
                <w:szCs w:val="20"/>
              </w:rPr>
            </w:pPr>
            <w:r>
              <w:rPr>
                <w:rFonts w:ascii="Times New Roman" w:hAnsi="Times New Roman"/>
                <w:sz w:val="20"/>
                <w:szCs w:val="20"/>
              </w:rPr>
              <w:t xml:space="preserve">Total investment </w:t>
            </w:r>
            <w:r w:rsidR="00F74212">
              <w:rPr>
                <w:rFonts w:ascii="Times New Roman" w:hAnsi="Times New Roman"/>
                <w:sz w:val="20"/>
                <w:szCs w:val="20"/>
              </w:rPr>
              <w:t xml:space="preserve">per </w:t>
            </w:r>
            <w:r>
              <w:rPr>
                <w:rFonts w:ascii="Times New Roman" w:hAnsi="Times New Roman"/>
                <w:sz w:val="20"/>
                <w:szCs w:val="20"/>
              </w:rPr>
              <w:t xml:space="preserve">emission averted </w:t>
            </w:r>
            <w:r w:rsidRPr="003700BC">
              <w:rPr>
                <w:rFonts w:ascii="Times New Roman" w:hAnsi="Times New Roman"/>
                <w:sz w:val="20"/>
                <w:szCs w:val="20"/>
              </w:rPr>
              <w:t>(USD/CO</w:t>
            </w:r>
            <w:r w:rsidRPr="003700BC">
              <w:rPr>
                <w:rFonts w:ascii="Times New Roman" w:hAnsi="Times New Roman"/>
                <w:sz w:val="20"/>
                <w:szCs w:val="20"/>
                <w:vertAlign w:val="subscript"/>
              </w:rPr>
              <w:t>2</w:t>
            </w:r>
            <w:r w:rsidRPr="003700BC">
              <w:rPr>
                <w:rFonts w:ascii="Times New Roman" w:hAnsi="Times New Roman"/>
                <w:sz w:val="20"/>
                <w:szCs w:val="20"/>
              </w:rPr>
              <w:t xml:space="preserve">TM)                          </w:t>
            </w:r>
          </w:p>
        </w:tc>
        <w:tc>
          <w:tcPr>
            <w:tcW w:w="3978" w:type="dxa"/>
            <w:gridSpan w:val="2"/>
          </w:tcPr>
          <w:p w:rsidR="00CA0667" w:rsidRPr="00856C25" w:rsidDel="00CA0667" w:rsidRDefault="00CA0667" w:rsidP="00856C2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36.24</w:t>
            </w:r>
          </w:p>
        </w:tc>
      </w:tr>
    </w:tbl>
    <w:p w:rsidR="00AC2374" w:rsidRDefault="00AC2374" w:rsidP="00AC2374">
      <w:pPr>
        <w:spacing w:after="0"/>
        <w:rPr>
          <w:rFonts w:ascii="Times New Roman" w:hAnsi="Times New Roman" w:cs="Times New Roman"/>
          <w:i/>
          <w:sz w:val="18"/>
          <w:szCs w:val="18"/>
          <w:lang w:val="es-ES"/>
        </w:rPr>
      </w:pPr>
      <w:r w:rsidRPr="00856C25">
        <w:rPr>
          <w:rFonts w:ascii="Times New Roman" w:hAnsi="Times New Roman" w:cs="Times New Roman"/>
          <w:i/>
          <w:sz w:val="18"/>
          <w:szCs w:val="18"/>
          <w:lang w:val="es-ES"/>
        </w:rPr>
        <w:t>Soruce: Developed by author, 2013</w:t>
      </w:r>
    </w:p>
    <w:p w:rsidR="006D3AE3" w:rsidRDefault="009B3E7B" w:rsidP="004E0F6E">
      <w:pPr>
        <w:pStyle w:val="Paragraph"/>
        <w:tabs>
          <w:tab w:val="num" w:pos="720"/>
        </w:tabs>
        <w:ind w:left="720" w:hanging="720"/>
      </w:pPr>
      <w:r w:rsidRPr="009B3E7B">
        <w:t xml:space="preserve">The </w:t>
      </w:r>
      <w:hyperlink r:id="rId17" w:history="1">
        <w:r w:rsidR="00444A0C" w:rsidRPr="009B3E7B">
          <w:rPr>
            <w:rStyle w:val="Hyperlink"/>
          </w:rPr>
          <w:t>Low-Carbon Development for México</w:t>
        </w:r>
      </w:hyperlink>
      <w:r w:rsidR="00444A0C" w:rsidRPr="009B3E7B">
        <w:t xml:space="preserve"> (Johnson et al., 2009)</w:t>
      </w:r>
      <w:r w:rsidRPr="009B3E7B">
        <w:t xml:space="preserve"> study</w:t>
      </w:r>
      <w:r w:rsidR="00444A0C" w:rsidRPr="009B3E7B">
        <w:t>,</w:t>
      </w:r>
      <w:r w:rsidRPr="009B3E7B">
        <w:t xml:space="preserve"> published by the World Bank, assesses the cost-effectiveness (</w:t>
      </w:r>
      <w:r>
        <w:t>in terms of dollars per ton of CO</w:t>
      </w:r>
      <w:r w:rsidRPr="009B3E7B">
        <w:rPr>
          <w:vertAlign w:val="subscript"/>
        </w:rPr>
        <w:t>2</w:t>
      </w:r>
      <w:r w:rsidRPr="009B3E7B">
        <w:t>)</w:t>
      </w:r>
      <w:r w:rsidR="006D3AE3">
        <w:t xml:space="preserve"> for a number</w:t>
      </w:r>
      <w:r>
        <w:t xml:space="preserve"> of mitigation interventions in Mexico, from an economic point of view (see Figure 3.1)</w:t>
      </w:r>
      <w:r w:rsidR="004E0F6E">
        <w:t xml:space="preserve">. </w:t>
      </w:r>
    </w:p>
    <w:p w:rsidR="006D3AE3" w:rsidRDefault="006D3AE3" w:rsidP="006D3AE3">
      <w:pPr>
        <w:pStyle w:val="Paragraph"/>
        <w:tabs>
          <w:tab w:val="num" w:pos="720"/>
        </w:tabs>
        <w:ind w:left="720" w:hanging="720"/>
      </w:pPr>
      <w:r w:rsidRPr="00B05278">
        <w:t>According to this study, renewable energy-based electricity generation technologies have net mitigation costs between -2.4 and 11.7 USD/tCO</w:t>
      </w:r>
      <w:r w:rsidRPr="00936BA2">
        <w:rPr>
          <w:vertAlign w:val="subscript"/>
        </w:rPr>
        <w:t>2</w:t>
      </w:r>
      <w:r w:rsidRPr="00B05278">
        <w:t xml:space="preserve">e (see Table </w:t>
      </w:r>
      <w:r>
        <w:t>3.2</w:t>
      </w:r>
      <w:r w:rsidRPr="00B05278">
        <w:t>)</w:t>
      </w:r>
      <w:r>
        <w:t>.</w:t>
      </w:r>
    </w:p>
    <w:p w:rsidR="00350DBE" w:rsidRPr="000B6E12" w:rsidRDefault="00350DBE" w:rsidP="00856C25">
      <w:pPr>
        <w:pStyle w:val="Paragraph"/>
        <w:numPr>
          <w:ilvl w:val="0"/>
          <w:numId w:val="0"/>
        </w:numPr>
        <w:tabs>
          <w:tab w:val="num" w:pos="9306"/>
        </w:tabs>
        <w:spacing w:before="0" w:after="0"/>
        <w:ind w:left="8010"/>
      </w:pPr>
    </w:p>
    <w:p w:rsidR="00444A0C" w:rsidRPr="00F8237D" w:rsidRDefault="004B6CB7" w:rsidP="004B6CB7">
      <w:pPr>
        <w:pStyle w:val="Paragraph"/>
        <w:numPr>
          <w:ilvl w:val="0"/>
          <w:numId w:val="0"/>
        </w:numPr>
        <w:spacing w:before="0" w:after="0"/>
        <w:ind w:left="1440" w:firstLine="720"/>
        <w:rPr>
          <w:b/>
          <w:sz w:val="20"/>
        </w:rPr>
      </w:pPr>
      <w:r>
        <w:rPr>
          <w:b/>
          <w:sz w:val="20"/>
        </w:rPr>
        <w:t xml:space="preserve">      </w:t>
      </w:r>
      <w:r w:rsidR="009B3E7B" w:rsidRPr="00F8237D">
        <w:rPr>
          <w:b/>
          <w:sz w:val="20"/>
        </w:rPr>
        <w:t>Figure</w:t>
      </w:r>
      <w:r w:rsidR="00444A0C" w:rsidRPr="00F8237D">
        <w:rPr>
          <w:b/>
          <w:sz w:val="20"/>
        </w:rPr>
        <w:t xml:space="preserve"> </w:t>
      </w:r>
      <w:r w:rsidR="00415292" w:rsidRPr="00F8237D">
        <w:rPr>
          <w:b/>
          <w:sz w:val="20"/>
        </w:rPr>
        <w:t>3.</w:t>
      </w:r>
      <w:r w:rsidR="00444A0C" w:rsidRPr="00F8237D">
        <w:rPr>
          <w:b/>
          <w:sz w:val="20"/>
        </w:rPr>
        <w:t xml:space="preserve">1. </w:t>
      </w:r>
      <w:r w:rsidR="008678A9" w:rsidRPr="00F8237D">
        <w:rPr>
          <w:b/>
          <w:sz w:val="20"/>
        </w:rPr>
        <w:t>Margina</w:t>
      </w:r>
      <w:r w:rsidR="00F8237D" w:rsidRPr="00F8237D">
        <w:rPr>
          <w:b/>
          <w:sz w:val="20"/>
        </w:rPr>
        <w:t>l</w:t>
      </w:r>
      <w:r w:rsidR="008678A9" w:rsidRPr="00F8237D">
        <w:rPr>
          <w:b/>
          <w:sz w:val="20"/>
        </w:rPr>
        <w:t xml:space="preserve"> </w:t>
      </w:r>
      <w:r w:rsidR="006D3AE3">
        <w:rPr>
          <w:b/>
          <w:sz w:val="20"/>
        </w:rPr>
        <w:t xml:space="preserve">Abatement </w:t>
      </w:r>
      <w:r w:rsidR="008678A9" w:rsidRPr="00F8237D">
        <w:rPr>
          <w:b/>
          <w:sz w:val="20"/>
        </w:rPr>
        <w:t xml:space="preserve">Cost Curve </w:t>
      </w:r>
    </w:p>
    <w:p w:rsidR="00444A0C" w:rsidRPr="00F47C5C" w:rsidRDefault="00444A0C" w:rsidP="004B6CB7">
      <w:pPr>
        <w:pStyle w:val="Paragraph"/>
        <w:numPr>
          <w:ilvl w:val="0"/>
          <w:numId w:val="0"/>
        </w:numPr>
        <w:spacing w:before="0" w:after="0"/>
        <w:ind w:left="634"/>
        <w:jc w:val="center"/>
        <w:rPr>
          <w:b/>
          <w:lang w:val="es-ES"/>
        </w:rPr>
      </w:pPr>
      <w:r w:rsidRPr="00F8237D">
        <w:rPr>
          <w:b/>
          <w:noProof/>
          <w:u w:val="single"/>
        </w:rPr>
        <w:drawing>
          <wp:inline distT="0" distB="0" distL="0" distR="0" wp14:anchorId="049FDAC2" wp14:editId="0397EF1D">
            <wp:extent cx="3714750" cy="2481463"/>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11787" cy="2479484"/>
                    </a:xfrm>
                    <a:prstGeom prst="rect">
                      <a:avLst/>
                    </a:prstGeom>
                    <a:noFill/>
                  </pic:spPr>
                </pic:pic>
              </a:graphicData>
            </a:graphic>
          </wp:inline>
        </w:drawing>
      </w:r>
    </w:p>
    <w:p w:rsidR="00444A0C" w:rsidRDefault="00F8237D" w:rsidP="006D3AE3">
      <w:pPr>
        <w:spacing w:after="0"/>
        <w:ind w:firstLine="634"/>
        <w:rPr>
          <w:rFonts w:ascii="Times New Roman" w:hAnsi="Times New Roman" w:cs="Times New Roman"/>
          <w:i/>
          <w:sz w:val="18"/>
          <w:szCs w:val="18"/>
          <w:lang w:val="fr-FR"/>
        </w:rPr>
      </w:pPr>
      <w:r w:rsidRPr="00056D1F">
        <w:rPr>
          <w:rFonts w:ascii="Times New Roman" w:hAnsi="Times New Roman" w:cs="Times New Roman"/>
          <w:i/>
          <w:sz w:val="18"/>
          <w:szCs w:val="18"/>
          <w:lang w:val="fr-FR"/>
        </w:rPr>
        <w:t>Soruce: Johnson et al, 2009</w:t>
      </w:r>
    </w:p>
    <w:p w:rsidR="004B0605" w:rsidRPr="00056D1F" w:rsidRDefault="004B0605" w:rsidP="006D3AE3">
      <w:pPr>
        <w:spacing w:after="0"/>
        <w:ind w:firstLine="634"/>
        <w:rPr>
          <w:rFonts w:ascii="Times New Roman" w:hAnsi="Times New Roman" w:cs="Times New Roman"/>
          <w:i/>
          <w:sz w:val="18"/>
          <w:szCs w:val="18"/>
          <w:lang w:val="fr-FR"/>
        </w:rPr>
      </w:pPr>
    </w:p>
    <w:p w:rsidR="007546D9" w:rsidRDefault="007546D9" w:rsidP="007546D9">
      <w:pPr>
        <w:spacing w:after="0"/>
        <w:ind w:firstLine="634"/>
        <w:jc w:val="center"/>
        <w:rPr>
          <w:rFonts w:ascii="Times New Roman" w:hAnsi="Times New Roman" w:cs="Times New Roman"/>
          <w:b/>
          <w:sz w:val="20"/>
          <w:szCs w:val="20"/>
        </w:rPr>
      </w:pPr>
      <w:r w:rsidRPr="00056D1F">
        <w:rPr>
          <w:rFonts w:ascii="Times New Roman" w:hAnsi="Times New Roman" w:cs="Times New Roman"/>
          <w:b/>
          <w:sz w:val="20"/>
          <w:szCs w:val="20"/>
          <w:lang w:val="fr-FR"/>
        </w:rPr>
        <w:t xml:space="preserve">Table 3.2. </w:t>
      </w:r>
      <w:r w:rsidRPr="007546D9">
        <w:rPr>
          <w:rFonts w:ascii="Times New Roman" w:hAnsi="Times New Roman" w:cs="Times New Roman"/>
          <w:b/>
          <w:sz w:val="20"/>
          <w:szCs w:val="20"/>
        </w:rPr>
        <w:t>Mitigation costs for renewable energy technologies</w:t>
      </w:r>
    </w:p>
    <w:tbl>
      <w:tblPr>
        <w:tblStyle w:val="LightList"/>
        <w:tblW w:w="0" w:type="auto"/>
        <w:tblLook w:val="04A0" w:firstRow="1" w:lastRow="0" w:firstColumn="1" w:lastColumn="0" w:noHBand="0" w:noVBand="1"/>
      </w:tblPr>
      <w:tblGrid>
        <w:gridCol w:w="2898"/>
        <w:gridCol w:w="2700"/>
        <w:gridCol w:w="3060"/>
      </w:tblGrid>
      <w:tr w:rsidR="007546D9" w:rsidRPr="007546D9" w:rsidTr="007546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vAlign w:val="center"/>
          </w:tcPr>
          <w:p w:rsidR="007546D9" w:rsidRPr="007546D9" w:rsidRDefault="007546D9" w:rsidP="007546D9">
            <w:pPr>
              <w:jc w:val="center"/>
              <w:rPr>
                <w:rFonts w:ascii="Times New Roman" w:hAnsi="Times New Roman" w:cs="Times New Roman"/>
                <w:b w:val="0"/>
                <w:bCs w:val="0"/>
                <w:sz w:val="20"/>
                <w:szCs w:val="20"/>
              </w:rPr>
            </w:pPr>
            <w:r w:rsidRPr="007546D9">
              <w:rPr>
                <w:rFonts w:ascii="Times New Roman" w:hAnsi="Times New Roman" w:cs="Times New Roman"/>
                <w:sz w:val="20"/>
                <w:szCs w:val="20"/>
              </w:rPr>
              <w:t>Interventions</w:t>
            </w:r>
          </w:p>
        </w:tc>
        <w:tc>
          <w:tcPr>
            <w:tcW w:w="2700" w:type="dxa"/>
            <w:vAlign w:val="center"/>
          </w:tcPr>
          <w:p w:rsidR="007546D9" w:rsidRPr="007546D9" w:rsidRDefault="007546D9" w:rsidP="007546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7546D9">
              <w:rPr>
                <w:rFonts w:ascii="Times New Roman" w:hAnsi="Times New Roman" w:cs="Times New Roman"/>
                <w:sz w:val="20"/>
                <w:szCs w:val="20"/>
              </w:rPr>
              <w:t>Maximum annual emission reduction (MtCO</w:t>
            </w:r>
            <w:r w:rsidRPr="007546D9">
              <w:rPr>
                <w:rFonts w:ascii="Times New Roman" w:hAnsi="Times New Roman" w:cs="Times New Roman"/>
                <w:sz w:val="20"/>
                <w:szCs w:val="20"/>
                <w:vertAlign w:val="subscript"/>
              </w:rPr>
              <w:t>2</w:t>
            </w:r>
            <w:r w:rsidRPr="007546D9">
              <w:rPr>
                <w:rFonts w:ascii="Times New Roman" w:hAnsi="Times New Roman" w:cs="Times New Roman"/>
                <w:sz w:val="20"/>
                <w:szCs w:val="20"/>
              </w:rPr>
              <w:t>e/year)</w:t>
            </w:r>
          </w:p>
        </w:tc>
        <w:tc>
          <w:tcPr>
            <w:tcW w:w="3060" w:type="dxa"/>
            <w:vAlign w:val="center"/>
          </w:tcPr>
          <w:p w:rsidR="007546D9" w:rsidRPr="007546D9" w:rsidRDefault="007546D9" w:rsidP="007546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7546D9">
              <w:rPr>
                <w:rFonts w:ascii="Times New Roman" w:hAnsi="Times New Roman" w:cs="Times New Roman"/>
                <w:sz w:val="20"/>
                <w:szCs w:val="20"/>
              </w:rPr>
              <w:t>Net cost or benefit of mitigation (US$/tCO</w:t>
            </w:r>
            <w:r w:rsidRPr="007546D9">
              <w:rPr>
                <w:rFonts w:ascii="Times New Roman" w:hAnsi="Times New Roman" w:cs="Times New Roman"/>
                <w:sz w:val="20"/>
                <w:szCs w:val="20"/>
                <w:vertAlign w:val="subscript"/>
              </w:rPr>
              <w:t>2</w:t>
            </w:r>
            <w:r w:rsidRPr="007546D9">
              <w:rPr>
                <w:rFonts w:ascii="Times New Roman" w:hAnsi="Times New Roman" w:cs="Times New Roman"/>
                <w:sz w:val="20"/>
                <w:szCs w:val="20"/>
              </w:rPr>
              <w:t>e)</w:t>
            </w:r>
          </w:p>
        </w:tc>
      </w:tr>
      <w:tr w:rsidR="007546D9" w:rsidTr="00754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vAlign w:val="bottom"/>
          </w:tcPr>
          <w:p w:rsidR="007546D9" w:rsidRPr="006453C6" w:rsidRDefault="007546D9" w:rsidP="00E36156">
            <w:pPr>
              <w:rPr>
                <w:rFonts w:ascii="Times New Roman" w:hAnsi="Times New Roman" w:cs="Times New Roman"/>
                <w:color w:val="000000"/>
                <w:sz w:val="20"/>
                <w:szCs w:val="20"/>
              </w:rPr>
            </w:pPr>
            <w:r w:rsidRPr="006453C6">
              <w:rPr>
                <w:rFonts w:ascii="Times New Roman" w:hAnsi="Times New Roman" w:cs="Times New Roman"/>
                <w:color w:val="000000"/>
                <w:sz w:val="20"/>
                <w:szCs w:val="20"/>
              </w:rPr>
              <w:t>Biomass electricity</w:t>
            </w:r>
          </w:p>
        </w:tc>
        <w:tc>
          <w:tcPr>
            <w:tcW w:w="2700" w:type="dxa"/>
            <w:vAlign w:val="bottom"/>
          </w:tcPr>
          <w:p w:rsidR="007546D9" w:rsidRPr="006453C6" w:rsidRDefault="007546D9" w:rsidP="00E361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6453C6">
              <w:rPr>
                <w:rFonts w:ascii="Times New Roman" w:hAnsi="Times New Roman" w:cs="Times New Roman"/>
                <w:color w:val="000000"/>
                <w:sz w:val="20"/>
                <w:szCs w:val="20"/>
              </w:rPr>
              <w:t>35.1</w:t>
            </w:r>
          </w:p>
        </w:tc>
        <w:tc>
          <w:tcPr>
            <w:tcW w:w="3060" w:type="dxa"/>
            <w:vAlign w:val="bottom"/>
          </w:tcPr>
          <w:p w:rsidR="007546D9" w:rsidRPr="006453C6" w:rsidRDefault="007546D9" w:rsidP="00E361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6453C6">
              <w:rPr>
                <w:rFonts w:ascii="Times New Roman" w:hAnsi="Times New Roman" w:cs="Times New Roman"/>
                <w:color w:val="000000"/>
                <w:sz w:val="20"/>
                <w:szCs w:val="20"/>
              </w:rPr>
              <w:t>2.4 (benefit)</w:t>
            </w:r>
          </w:p>
        </w:tc>
      </w:tr>
      <w:tr w:rsidR="007546D9" w:rsidRPr="007546D9" w:rsidTr="007546D9">
        <w:tc>
          <w:tcPr>
            <w:cnfStyle w:val="001000000000" w:firstRow="0" w:lastRow="0" w:firstColumn="1" w:lastColumn="0" w:oddVBand="0" w:evenVBand="0" w:oddHBand="0" w:evenHBand="0" w:firstRowFirstColumn="0" w:firstRowLastColumn="0" w:lastRowFirstColumn="0" w:lastRowLastColumn="0"/>
            <w:tcW w:w="2898" w:type="dxa"/>
            <w:vAlign w:val="bottom"/>
          </w:tcPr>
          <w:p w:rsidR="007546D9" w:rsidRPr="006453C6" w:rsidRDefault="007546D9" w:rsidP="00E36156">
            <w:pPr>
              <w:rPr>
                <w:rFonts w:ascii="Times New Roman" w:hAnsi="Times New Roman" w:cs="Times New Roman"/>
                <w:color w:val="000000"/>
                <w:sz w:val="20"/>
                <w:szCs w:val="20"/>
              </w:rPr>
            </w:pPr>
            <w:r w:rsidRPr="006453C6">
              <w:rPr>
                <w:rFonts w:ascii="Times New Roman" w:hAnsi="Times New Roman" w:cs="Times New Roman"/>
                <w:color w:val="000000"/>
                <w:sz w:val="20"/>
                <w:szCs w:val="20"/>
              </w:rPr>
              <w:lastRenderedPageBreak/>
              <w:t>Biogas</w:t>
            </w:r>
          </w:p>
        </w:tc>
        <w:tc>
          <w:tcPr>
            <w:tcW w:w="2700" w:type="dxa"/>
            <w:vAlign w:val="bottom"/>
          </w:tcPr>
          <w:p w:rsidR="007546D9" w:rsidRPr="006453C6" w:rsidRDefault="007546D9" w:rsidP="00E361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6453C6">
              <w:rPr>
                <w:rFonts w:ascii="Times New Roman" w:hAnsi="Times New Roman" w:cs="Times New Roman"/>
                <w:color w:val="000000"/>
                <w:sz w:val="20"/>
                <w:szCs w:val="20"/>
              </w:rPr>
              <w:t>5.4</w:t>
            </w:r>
          </w:p>
        </w:tc>
        <w:tc>
          <w:tcPr>
            <w:tcW w:w="3060" w:type="dxa"/>
            <w:vAlign w:val="bottom"/>
          </w:tcPr>
          <w:p w:rsidR="007546D9" w:rsidRPr="006453C6" w:rsidRDefault="007546D9" w:rsidP="00E361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6453C6">
              <w:rPr>
                <w:rFonts w:ascii="Times New Roman" w:hAnsi="Times New Roman" w:cs="Times New Roman"/>
                <w:color w:val="000000"/>
                <w:sz w:val="20"/>
                <w:szCs w:val="20"/>
              </w:rPr>
              <w:t>0.6 (cost)</w:t>
            </w:r>
          </w:p>
        </w:tc>
      </w:tr>
      <w:tr w:rsidR="007546D9" w:rsidRPr="007546D9" w:rsidTr="00754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vAlign w:val="bottom"/>
          </w:tcPr>
          <w:p w:rsidR="007546D9" w:rsidRPr="006453C6" w:rsidRDefault="007546D9" w:rsidP="00E36156">
            <w:pPr>
              <w:rPr>
                <w:rFonts w:ascii="Times New Roman" w:hAnsi="Times New Roman" w:cs="Times New Roman"/>
                <w:color w:val="000000"/>
                <w:sz w:val="20"/>
                <w:szCs w:val="20"/>
              </w:rPr>
            </w:pPr>
            <w:r w:rsidRPr="006453C6">
              <w:rPr>
                <w:rFonts w:ascii="Times New Roman" w:hAnsi="Times New Roman" w:cs="Times New Roman"/>
                <w:color w:val="000000"/>
                <w:sz w:val="20"/>
                <w:szCs w:val="20"/>
              </w:rPr>
              <w:t>Windpower</w:t>
            </w:r>
          </w:p>
        </w:tc>
        <w:tc>
          <w:tcPr>
            <w:tcW w:w="2700" w:type="dxa"/>
            <w:vAlign w:val="bottom"/>
          </w:tcPr>
          <w:p w:rsidR="007546D9" w:rsidRPr="006453C6" w:rsidRDefault="007546D9" w:rsidP="00E361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6453C6">
              <w:rPr>
                <w:rFonts w:ascii="Times New Roman" w:hAnsi="Times New Roman" w:cs="Times New Roman"/>
                <w:color w:val="000000"/>
                <w:sz w:val="20"/>
                <w:szCs w:val="20"/>
              </w:rPr>
              <w:t>23</w:t>
            </w:r>
          </w:p>
        </w:tc>
        <w:tc>
          <w:tcPr>
            <w:tcW w:w="3060" w:type="dxa"/>
            <w:vAlign w:val="bottom"/>
          </w:tcPr>
          <w:p w:rsidR="007546D9" w:rsidRPr="006453C6" w:rsidRDefault="007546D9" w:rsidP="00E361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6453C6">
              <w:rPr>
                <w:rFonts w:ascii="Times New Roman" w:hAnsi="Times New Roman" w:cs="Times New Roman"/>
                <w:color w:val="000000"/>
                <w:sz w:val="20"/>
                <w:szCs w:val="20"/>
              </w:rPr>
              <w:t>2.6 (cost)</w:t>
            </w:r>
          </w:p>
        </w:tc>
      </w:tr>
      <w:tr w:rsidR="007546D9" w:rsidRPr="007546D9" w:rsidTr="007546D9">
        <w:trPr>
          <w:trHeight w:val="60"/>
        </w:trPr>
        <w:tc>
          <w:tcPr>
            <w:cnfStyle w:val="001000000000" w:firstRow="0" w:lastRow="0" w:firstColumn="1" w:lastColumn="0" w:oddVBand="0" w:evenVBand="0" w:oddHBand="0" w:evenHBand="0" w:firstRowFirstColumn="0" w:firstRowLastColumn="0" w:lastRowFirstColumn="0" w:lastRowLastColumn="0"/>
            <w:tcW w:w="2898" w:type="dxa"/>
            <w:vAlign w:val="bottom"/>
          </w:tcPr>
          <w:p w:rsidR="007546D9" w:rsidRPr="006453C6" w:rsidRDefault="007546D9" w:rsidP="00E36156">
            <w:pPr>
              <w:rPr>
                <w:rFonts w:ascii="Times New Roman" w:hAnsi="Times New Roman" w:cs="Times New Roman"/>
                <w:color w:val="000000"/>
                <w:sz w:val="20"/>
                <w:szCs w:val="20"/>
              </w:rPr>
            </w:pPr>
            <w:r w:rsidRPr="006453C6">
              <w:rPr>
                <w:rFonts w:ascii="Times New Roman" w:hAnsi="Times New Roman" w:cs="Times New Roman"/>
                <w:color w:val="000000"/>
                <w:sz w:val="20"/>
                <w:szCs w:val="20"/>
              </w:rPr>
              <w:t>Bagasse cogeneration</w:t>
            </w:r>
          </w:p>
        </w:tc>
        <w:tc>
          <w:tcPr>
            <w:tcW w:w="2700" w:type="dxa"/>
            <w:vAlign w:val="bottom"/>
          </w:tcPr>
          <w:p w:rsidR="007546D9" w:rsidRPr="006453C6" w:rsidRDefault="007546D9" w:rsidP="00E361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6453C6">
              <w:rPr>
                <w:rFonts w:ascii="Times New Roman" w:hAnsi="Times New Roman" w:cs="Times New Roman"/>
                <w:color w:val="000000"/>
                <w:sz w:val="20"/>
                <w:szCs w:val="20"/>
              </w:rPr>
              <w:t>6</w:t>
            </w:r>
          </w:p>
        </w:tc>
        <w:tc>
          <w:tcPr>
            <w:tcW w:w="3060" w:type="dxa"/>
            <w:vAlign w:val="bottom"/>
          </w:tcPr>
          <w:p w:rsidR="007546D9" w:rsidRPr="006453C6" w:rsidRDefault="007546D9" w:rsidP="00E361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6453C6">
              <w:rPr>
                <w:rFonts w:ascii="Times New Roman" w:hAnsi="Times New Roman" w:cs="Times New Roman"/>
                <w:color w:val="000000"/>
                <w:sz w:val="20"/>
                <w:szCs w:val="20"/>
              </w:rPr>
              <w:t>4.9 (cost)</w:t>
            </w:r>
          </w:p>
        </w:tc>
      </w:tr>
      <w:tr w:rsidR="007546D9" w:rsidRPr="007546D9" w:rsidTr="007546D9">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898" w:type="dxa"/>
            <w:vAlign w:val="bottom"/>
          </w:tcPr>
          <w:p w:rsidR="007546D9" w:rsidRPr="006453C6" w:rsidRDefault="007546D9" w:rsidP="00E36156">
            <w:pPr>
              <w:rPr>
                <w:rFonts w:ascii="Times New Roman" w:hAnsi="Times New Roman" w:cs="Times New Roman"/>
                <w:color w:val="000000"/>
                <w:sz w:val="20"/>
                <w:szCs w:val="20"/>
              </w:rPr>
            </w:pPr>
            <w:r w:rsidRPr="006453C6">
              <w:rPr>
                <w:rFonts w:ascii="Times New Roman" w:hAnsi="Times New Roman" w:cs="Times New Roman"/>
                <w:color w:val="000000"/>
                <w:sz w:val="20"/>
                <w:szCs w:val="20"/>
              </w:rPr>
              <w:t>Fuelwood co-firing retrofitting</w:t>
            </w:r>
          </w:p>
        </w:tc>
        <w:tc>
          <w:tcPr>
            <w:tcW w:w="2700" w:type="dxa"/>
            <w:vAlign w:val="bottom"/>
          </w:tcPr>
          <w:p w:rsidR="007546D9" w:rsidRPr="006453C6" w:rsidRDefault="007546D9" w:rsidP="00E361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6453C6">
              <w:rPr>
                <w:rFonts w:ascii="Times New Roman" w:hAnsi="Times New Roman" w:cs="Times New Roman"/>
                <w:color w:val="000000"/>
                <w:sz w:val="20"/>
                <w:szCs w:val="20"/>
              </w:rPr>
              <w:t>2.4</w:t>
            </w:r>
          </w:p>
        </w:tc>
        <w:tc>
          <w:tcPr>
            <w:tcW w:w="3060" w:type="dxa"/>
            <w:vAlign w:val="bottom"/>
          </w:tcPr>
          <w:p w:rsidR="007546D9" w:rsidRPr="006453C6" w:rsidRDefault="007546D9" w:rsidP="00E361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6453C6">
              <w:rPr>
                <w:rFonts w:ascii="Times New Roman" w:hAnsi="Times New Roman" w:cs="Times New Roman"/>
                <w:color w:val="000000"/>
                <w:sz w:val="20"/>
                <w:szCs w:val="20"/>
              </w:rPr>
              <w:t>7.3 (cost)</w:t>
            </w:r>
          </w:p>
        </w:tc>
      </w:tr>
      <w:tr w:rsidR="007546D9" w:rsidRPr="007546D9" w:rsidTr="007546D9">
        <w:trPr>
          <w:trHeight w:val="60"/>
        </w:trPr>
        <w:tc>
          <w:tcPr>
            <w:cnfStyle w:val="001000000000" w:firstRow="0" w:lastRow="0" w:firstColumn="1" w:lastColumn="0" w:oddVBand="0" w:evenVBand="0" w:oddHBand="0" w:evenHBand="0" w:firstRowFirstColumn="0" w:firstRowLastColumn="0" w:lastRowFirstColumn="0" w:lastRowLastColumn="0"/>
            <w:tcW w:w="2898" w:type="dxa"/>
            <w:vAlign w:val="bottom"/>
          </w:tcPr>
          <w:p w:rsidR="007546D9" w:rsidRPr="006453C6" w:rsidRDefault="007546D9" w:rsidP="00E36156">
            <w:pPr>
              <w:rPr>
                <w:rFonts w:ascii="Times New Roman" w:hAnsi="Times New Roman" w:cs="Times New Roman"/>
                <w:color w:val="000000"/>
                <w:sz w:val="20"/>
                <w:szCs w:val="20"/>
              </w:rPr>
            </w:pPr>
            <w:r w:rsidRPr="006453C6">
              <w:rPr>
                <w:rFonts w:ascii="Times New Roman" w:hAnsi="Times New Roman" w:cs="Times New Roman"/>
                <w:color w:val="000000"/>
                <w:sz w:val="20"/>
                <w:szCs w:val="20"/>
              </w:rPr>
              <w:t>Small hydropower</w:t>
            </w:r>
          </w:p>
        </w:tc>
        <w:tc>
          <w:tcPr>
            <w:tcW w:w="2700" w:type="dxa"/>
            <w:vAlign w:val="bottom"/>
          </w:tcPr>
          <w:p w:rsidR="007546D9" w:rsidRPr="006453C6" w:rsidRDefault="007546D9" w:rsidP="00E361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6453C6">
              <w:rPr>
                <w:rFonts w:ascii="Times New Roman" w:hAnsi="Times New Roman" w:cs="Times New Roman"/>
                <w:color w:val="000000"/>
                <w:sz w:val="20"/>
                <w:szCs w:val="20"/>
              </w:rPr>
              <w:t>8.8</w:t>
            </w:r>
          </w:p>
        </w:tc>
        <w:tc>
          <w:tcPr>
            <w:tcW w:w="3060" w:type="dxa"/>
            <w:vAlign w:val="bottom"/>
          </w:tcPr>
          <w:p w:rsidR="007546D9" w:rsidRPr="006453C6" w:rsidRDefault="007546D9" w:rsidP="00E361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6453C6">
              <w:rPr>
                <w:rFonts w:ascii="Times New Roman" w:hAnsi="Times New Roman" w:cs="Times New Roman"/>
                <w:color w:val="000000"/>
                <w:sz w:val="20"/>
                <w:szCs w:val="20"/>
              </w:rPr>
              <w:t>9.4 (cost)</w:t>
            </w:r>
          </w:p>
        </w:tc>
      </w:tr>
      <w:tr w:rsidR="007546D9" w:rsidRPr="007546D9" w:rsidTr="007546D9">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898" w:type="dxa"/>
            <w:vAlign w:val="bottom"/>
          </w:tcPr>
          <w:p w:rsidR="007546D9" w:rsidRPr="006453C6" w:rsidRDefault="007546D9" w:rsidP="00E36156">
            <w:pPr>
              <w:rPr>
                <w:rFonts w:ascii="Times New Roman" w:hAnsi="Times New Roman" w:cs="Times New Roman"/>
                <w:color w:val="000000"/>
                <w:sz w:val="20"/>
                <w:szCs w:val="20"/>
              </w:rPr>
            </w:pPr>
            <w:r w:rsidRPr="006453C6">
              <w:rPr>
                <w:rFonts w:ascii="Times New Roman" w:hAnsi="Times New Roman" w:cs="Times New Roman"/>
                <w:color w:val="000000"/>
                <w:sz w:val="20"/>
                <w:szCs w:val="20"/>
              </w:rPr>
              <w:t>Geothermal power</w:t>
            </w:r>
          </w:p>
        </w:tc>
        <w:tc>
          <w:tcPr>
            <w:tcW w:w="2700" w:type="dxa"/>
            <w:vAlign w:val="bottom"/>
          </w:tcPr>
          <w:p w:rsidR="007546D9" w:rsidRPr="006453C6" w:rsidRDefault="007546D9" w:rsidP="00E361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6453C6">
              <w:rPr>
                <w:rFonts w:ascii="Times New Roman" w:hAnsi="Times New Roman" w:cs="Times New Roman"/>
                <w:color w:val="000000"/>
                <w:sz w:val="20"/>
                <w:szCs w:val="20"/>
              </w:rPr>
              <w:t>48</w:t>
            </w:r>
          </w:p>
        </w:tc>
        <w:tc>
          <w:tcPr>
            <w:tcW w:w="3060" w:type="dxa"/>
            <w:vAlign w:val="bottom"/>
          </w:tcPr>
          <w:p w:rsidR="007546D9" w:rsidRPr="006453C6" w:rsidRDefault="007546D9" w:rsidP="00E361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6453C6">
              <w:rPr>
                <w:rFonts w:ascii="Times New Roman" w:hAnsi="Times New Roman" w:cs="Times New Roman"/>
                <w:color w:val="000000"/>
                <w:sz w:val="20"/>
                <w:szCs w:val="20"/>
              </w:rPr>
              <w:t>11.7 (cost)</w:t>
            </w:r>
          </w:p>
        </w:tc>
      </w:tr>
    </w:tbl>
    <w:p w:rsidR="007546D9" w:rsidRPr="007546D9" w:rsidRDefault="007546D9" w:rsidP="007546D9">
      <w:pPr>
        <w:spacing w:after="0"/>
        <w:rPr>
          <w:rFonts w:ascii="Times New Roman" w:hAnsi="Times New Roman" w:cs="Times New Roman"/>
          <w:b/>
          <w:sz w:val="20"/>
          <w:szCs w:val="20"/>
        </w:rPr>
      </w:pPr>
      <w:r w:rsidRPr="007546D9">
        <w:rPr>
          <w:rFonts w:ascii="Times New Roman" w:hAnsi="Times New Roman" w:cs="Times New Roman"/>
          <w:i/>
          <w:sz w:val="20"/>
          <w:szCs w:val="20"/>
        </w:rPr>
        <w:t>Source: Johnson et al, 2009</w:t>
      </w:r>
    </w:p>
    <w:p w:rsidR="007546D9" w:rsidRPr="000B6E12" w:rsidRDefault="007546D9" w:rsidP="007546D9">
      <w:pPr>
        <w:pStyle w:val="Paragraph"/>
        <w:tabs>
          <w:tab w:val="num" w:pos="720"/>
        </w:tabs>
        <w:spacing w:before="240"/>
        <w:ind w:left="720" w:hanging="720"/>
      </w:pPr>
      <w:r w:rsidRPr="000B6E12">
        <w:t xml:space="preserve">Despite the fact that the mitigation costs of renewable energy technologies are relatively high as compared to other options located on the left side of Figure </w:t>
      </w:r>
      <w:r w:rsidR="00F27BA8">
        <w:t>3.</w:t>
      </w:r>
      <w:r w:rsidRPr="000B6E12">
        <w:t>1, they are cost-effective due to the following reasons:</w:t>
      </w:r>
    </w:p>
    <w:p w:rsidR="007546D9" w:rsidRPr="000B6E12" w:rsidRDefault="007546D9" w:rsidP="00856C25">
      <w:pPr>
        <w:pStyle w:val="subpar"/>
        <w:tabs>
          <w:tab w:val="clear" w:pos="432"/>
          <w:tab w:val="num" w:pos="1620"/>
        </w:tabs>
        <w:ind w:left="1170"/>
      </w:pPr>
      <w:r w:rsidRPr="000B6E12">
        <w:t xml:space="preserve">Firstly, the mitigation costs reported in the study “do not include the additional organizational and institutional interventions that might be required to overcome barriers to implementing an option”. The negative costs therefore “suggest the presence of barriers that prevent private parties or public agencies from acting in a way that cost-effectiveness calculations suggest makes economic sense”. Unlike the interventions located on the left side of Figure </w:t>
      </w:r>
      <w:r w:rsidR="00F27BA8">
        <w:t>3.</w:t>
      </w:r>
      <w:r w:rsidRPr="000B6E12">
        <w:t>1, which face significant imperfect-market barriers,</w:t>
      </w:r>
      <w:r w:rsidR="00F27BA8">
        <w:t xml:space="preserve"> renewable energy technologies </w:t>
      </w:r>
      <w:r w:rsidRPr="000B6E12">
        <w:t>benefit today from a favorable regulatory framework that has contributed to removing barriers.</w:t>
      </w:r>
    </w:p>
    <w:p w:rsidR="00444A0C" w:rsidRDefault="00F74212" w:rsidP="00856C25">
      <w:pPr>
        <w:pStyle w:val="subpar"/>
        <w:tabs>
          <w:tab w:val="clear" w:pos="432"/>
        </w:tabs>
        <w:ind w:left="1170"/>
      </w:pPr>
      <w:r>
        <w:t>Renewable Energy investments</w:t>
      </w:r>
      <w:r w:rsidR="007546D9" w:rsidRPr="000B6E12">
        <w:t xml:space="preserve"> provide the country with a number of development co-benefits (in addition to the climate mitigation benefits). In particular they contribute to the diversification of the energy matrix, the reduction of fossil fuels imports (notably natural gas), and the reduction in the exposure to fossil fuel price volatility risks.</w:t>
      </w:r>
    </w:p>
    <w:p w:rsidR="00F74212" w:rsidRPr="007546D9" w:rsidRDefault="00F74212" w:rsidP="00856C25">
      <w:pPr>
        <w:pStyle w:val="subpar"/>
        <w:numPr>
          <w:ilvl w:val="0"/>
          <w:numId w:val="0"/>
        </w:numPr>
        <w:ind w:left="1170"/>
      </w:pPr>
    </w:p>
    <w:p w:rsidR="0056559E" w:rsidRPr="0056559E" w:rsidRDefault="0056559E" w:rsidP="00856C25">
      <w:pPr>
        <w:pStyle w:val="Chapter"/>
        <w:numPr>
          <w:ilvl w:val="0"/>
          <w:numId w:val="8"/>
        </w:numPr>
        <w:tabs>
          <w:tab w:val="clear" w:pos="1440"/>
        </w:tabs>
        <w:spacing w:after="120"/>
        <w:ind w:left="360"/>
        <w:jc w:val="left"/>
      </w:pPr>
      <w:bookmarkStart w:id="16" w:name="_Toc380599925"/>
      <w:r>
        <w:t>COST-BENEFIT ANALYSIS</w:t>
      </w:r>
      <w:bookmarkEnd w:id="16"/>
    </w:p>
    <w:p w:rsidR="00432119" w:rsidRPr="00856C25" w:rsidRDefault="00432119" w:rsidP="00856C25">
      <w:pPr>
        <w:pStyle w:val="Paragraph"/>
        <w:numPr>
          <w:ilvl w:val="0"/>
          <w:numId w:val="0"/>
        </w:numPr>
        <w:tabs>
          <w:tab w:val="num" w:pos="9306"/>
        </w:tabs>
        <w:ind w:left="360"/>
        <w:rPr>
          <w:szCs w:val="24"/>
          <w:u w:val="single"/>
        </w:rPr>
      </w:pPr>
      <w:r w:rsidRPr="00856C25">
        <w:rPr>
          <w:szCs w:val="24"/>
          <w:u w:val="single"/>
        </w:rPr>
        <w:t xml:space="preserve">Economic Benefits </w:t>
      </w:r>
    </w:p>
    <w:p w:rsidR="003A655E" w:rsidRPr="00BE440E" w:rsidRDefault="008944AD" w:rsidP="00BE440E">
      <w:pPr>
        <w:pStyle w:val="Paragraph"/>
        <w:tabs>
          <w:tab w:val="num" w:pos="720"/>
        </w:tabs>
        <w:ind w:left="720" w:hanging="720"/>
        <w:rPr>
          <w:szCs w:val="24"/>
        </w:rPr>
      </w:pPr>
      <w:r w:rsidRPr="0005081E">
        <w:rPr>
          <w:b/>
          <w:szCs w:val="24"/>
        </w:rPr>
        <w:t xml:space="preserve">Benefit A: </w:t>
      </w:r>
      <w:r w:rsidR="00B04479" w:rsidRPr="0005081E">
        <w:rPr>
          <w:b/>
          <w:szCs w:val="24"/>
        </w:rPr>
        <w:t>Savings on geothermal power generation</w:t>
      </w:r>
      <w:r w:rsidR="00B04479" w:rsidRPr="0005081E">
        <w:rPr>
          <w:szCs w:val="24"/>
        </w:rPr>
        <w:t>.</w:t>
      </w:r>
      <w:r w:rsidR="00B04479" w:rsidRPr="00BE440E">
        <w:rPr>
          <w:szCs w:val="24"/>
        </w:rPr>
        <w:t xml:space="preserve"> </w:t>
      </w:r>
      <w:r w:rsidR="00AA328E" w:rsidRPr="00BE440E">
        <w:rPr>
          <w:szCs w:val="24"/>
        </w:rPr>
        <w:t xml:space="preserve">The </w:t>
      </w:r>
      <w:r w:rsidR="003D052A" w:rsidRPr="00BE440E">
        <w:rPr>
          <w:szCs w:val="24"/>
        </w:rPr>
        <w:t>major impact of the program is focused on the savings by the generation of electricity with geotherm</w:t>
      </w:r>
      <w:r w:rsidR="0019120F" w:rsidRPr="00BE440E">
        <w:rPr>
          <w:szCs w:val="24"/>
        </w:rPr>
        <w:t xml:space="preserve">al plants </w:t>
      </w:r>
      <w:r w:rsidR="004950B6">
        <w:rPr>
          <w:szCs w:val="24"/>
        </w:rPr>
        <w:t>compare</w:t>
      </w:r>
      <w:r w:rsidR="00CA0667">
        <w:rPr>
          <w:szCs w:val="24"/>
        </w:rPr>
        <w:t>d</w:t>
      </w:r>
      <w:r w:rsidR="004950B6">
        <w:rPr>
          <w:szCs w:val="24"/>
        </w:rPr>
        <w:t xml:space="preserve"> to</w:t>
      </w:r>
      <w:r w:rsidR="0019120F" w:rsidRPr="00BE440E">
        <w:rPr>
          <w:szCs w:val="24"/>
        </w:rPr>
        <w:t xml:space="preserve"> other </w:t>
      </w:r>
      <w:r w:rsidR="00CA0667">
        <w:rPr>
          <w:szCs w:val="24"/>
        </w:rPr>
        <w:t>type</w:t>
      </w:r>
      <w:r w:rsidR="00CA0667" w:rsidRPr="00BE440E">
        <w:rPr>
          <w:szCs w:val="24"/>
        </w:rPr>
        <w:t xml:space="preserve"> </w:t>
      </w:r>
      <w:r w:rsidR="003D052A" w:rsidRPr="00BE440E">
        <w:rPr>
          <w:szCs w:val="24"/>
        </w:rPr>
        <w:t>of renewable energy</w:t>
      </w:r>
      <w:r w:rsidR="005F1835">
        <w:rPr>
          <w:rStyle w:val="FootnoteReference"/>
          <w:szCs w:val="24"/>
        </w:rPr>
        <w:footnoteReference w:id="22"/>
      </w:r>
      <w:r w:rsidR="0019120F" w:rsidRPr="00BE440E">
        <w:rPr>
          <w:szCs w:val="24"/>
        </w:rPr>
        <w:t>.</w:t>
      </w:r>
      <w:r w:rsidR="003A655E" w:rsidRPr="00BE440E">
        <w:rPr>
          <w:szCs w:val="24"/>
        </w:rPr>
        <w:t xml:space="preserve"> </w:t>
      </w:r>
    </w:p>
    <w:p w:rsidR="00B3481B" w:rsidRDefault="0045608F" w:rsidP="00017FDF">
      <w:pPr>
        <w:pStyle w:val="Paragraph"/>
        <w:tabs>
          <w:tab w:val="num" w:pos="720"/>
        </w:tabs>
        <w:spacing w:after="80"/>
        <w:ind w:left="720" w:hanging="720"/>
      </w:pPr>
      <w:r w:rsidRPr="00856C25">
        <w:t>T</w:t>
      </w:r>
      <w:r w:rsidR="00B3481B" w:rsidRPr="00856C25">
        <w:t xml:space="preserve">he cost of the pool of renewable energies </w:t>
      </w:r>
      <w:r w:rsidR="00CA0667">
        <w:t>weighted by</w:t>
      </w:r>
      <w:r w:rsidR="00CA0667" w:rsidRPr="00856C25">
        <w:t xml:space="preserve"> </w:t>
      </w:r>
      <w:r w:rsidR="00B3481B" w:rsidRPr="00856C25">
        <w:t>its</w:t>
      </w:r>
      <w:r w:rsidR="00CA0667">
        <w:t xml:space="preserve"> share of</w:t>
      </w:r>
      <w:r w:rsidR="00B3481B" w:rsidRPr="00856C25">
        <w:t xml:space="preserve"> generation </w:t>
      </w:r>
      <w:r w:rsidR="00B3481B">
        <w:t xml:space="preserve">in Mexico </w:t>
      </w:r>
      <w:r w:rsidR="006341AA">
        <w:t>(</w:t>
      </w:r>
      <w:r w:rsidR="00CA0667">
        <w:t>s</w:t>
      </w:r>
      <w:r w:rsidR="006341AA">
        <w:t xml:space="preserve">ee </w:t>
      </w:r>
      <w:r w:rsidR="00CA0667">
        <w:t xml:space="preserve">assumptions </w:t>
      </w:r>
      <w:r w:rsidR="006341AA">
        <w:t xml:space="preserve">2.8.i to 2.8.x) </w:t>
      </w:r>
      <w:r w:rsidR="00B3481B">
        <w:t>is,</w:t>
      </w:r>
    </w:p>
    <w:p w:rsidR="00F4752B" w:rsidRDefault="00B26CC9" w:rsidP="00B3481B">
      <w:pPr>
        <w:pStyle w:val="Paragraph"/>
        <w:numPr>
          <w:ilvl w:val="0"/>
          <w:numId w:val="0"/>
        </w:numPr>
        <w:spacing w:after="80"/>
        <w:ind w:firstLine="720"/>
        <w:jc w:val="center"/>
      </w:pPr>
      <m:oMathPara>
        <m:oMath>
          <m:r>
            <w:rPr>
              <w:rFonts w:ascii="Cambria Math" w:hAnsi="Cambria Math"/>
            </w:rPr>
            <m:t>C=</m:t>
          </m:r>
          <m:d>
            <m:dPr>
              <m:ctrlPr>
                <w:rPr>
                  <w:rFonts w:ascii="Cambria Math" w:hAnsi="Cambria Math"/>
                  <w:i/>
                </w:rPr>
              </m:ctrlPr>
            </m:dPr>
            <m:e>
              <m:r>
                <w:rPr>
                  <w:rFonts w:ascii="Cambria Math" w:hAnsi="Cambria Math"/>
                </w:rPr>
                <m:t>0.0001*189.74</m:t>
              </m:r>
            </m:e>
          </m:d>
          <m:r>
            <w:rPr>
              <w:rFonts w:ascii="Cambria Math" w:hAnsi="Cambria Math"/>
            </w:rPr>
            <m:t>+</m:t>
          </m:r>
          <m:d>
            <m:dPr>
              <m:ctrlPr>
                <w:rPr>
                  <w:rFonts w:ascii="Cambria Math" w:hAnsi="Cambria Math"/>
                  <w:i/>
                </w:rPr>
              </m:ctrlPr>
            </m:dPr>
            <m:e>
              <m:r>
                <w:rPr>
                  <w:rFonts w:ascii="Cambria Math" w:hAnsi="Cambria Math"/>
                </w:rPr>
                <m:t>0.9472*119,72</m:t>
              </m:r>
            </m:e>
          </m:d>
          <m:r>
            <w:rPr>
              <w:rFonts w:ascii="Cambria Math" w:hAnsi="Cambria Math"/>
            </w:rPr>
            <m:t>+(0.0527*81,16)</m:t>
          </m:r>
        </m:oMath>
      </m:oMathPara>
    </w:p>
    <w:p w:rsidR="00F4752B" w:rsidRDefault="0045608F" w:rsidP="00F4752B">
      <w:pPr>
        <w:pStyle w:val="Paragraph"/>
        <w:numPr>
          <w:ilvl w:val="0"/>
          <w:numId w:val="0"/>
        </w:numPr>
        <w:spacing w:after="80"/>
        <w:ind w:firstLine="720"/>
      </w:pPr>
      <w:r>
        <w:t>So,</w:t>
      </w:r>
    </w:p>
    <w:p w:rsidR="00432C12" w:rsidRPr="00924AC4" w:rsidRDefault="00432C12" w:rsidP="00793794">
      <w:pPr>
        <w:pStyle w:val="Paragraph"/>
        <w:numPr>
          <w:ilvl w:val="0"/>
          <w:numId w:val="0"/>
        </w:numPr>
        <w:spacing w:after="80"/>
        <w:ind w:firstLine="720"/>
      </w:pPr>
      <m:oMathPara>
        <m:oMath>
          <m:r>
            <w:rPr>
              <w:rFonts w:ascii="Cambria Math" w:hAnsi="Cambria Math"/>
            </w:rPr>
            <m:t>C=0,0114+113,3978+4,281=117,69 USD/Mwh</m:t>
          </m:r>
        </m:oMath>
      </m:oMathPara>
    </w:p>
    <w:p w:rsidR="00AA328E" w:rsidRPr="00341EFE" w:rsidRDefault="00802BDD" w:rsidP="00341EFE">
      <w:pPr>
        <w:pStyle w:val="Paragraph"/>
        <w:tabs>
          <w:tab w:val="num" w:pos="720"/>
        </w:tabs>
        <w:spacing w:after="80"/>
        <w:ind w:left="720" w:hanging="720"/>
      </w:pPr>
      <w:r w:rsidRPr="00341EFE">
        <w:t xml:space="preserve">The Benefit A will be the difference between the </w:t>
      </w:r>
      <w:r w:rsidR="00924AC4" w:rsidRPr="00341EFE">
        <w:t>costs</w:t>
      </w:r>
      <w:r w:rsidRPr="00341EFE">
        <w:t xml:space="preserve"> of generation of electricity</w:t>
      </w:r>
      <w:r w:rsidR="006163BB" w:rsidRPr="00341EFE">
        <w:t xml:space="preserve"> with</w:t>
      </w:r>
      <w:r w:rsidR="00924AC4" w:rsidRPr="00341EFE">
        <w:t xml:space="preserve"> geothermal </w:t>
      </w:r>
      <w:r w:rsidR="006163BB" w:rsidRPr="00341EFE">
        <w:t xml:space="preserve">technology </w:t>
      </w:r>
      <w:r w:rsidR="00924AC4" w:rsidRPr="00341EFE">
        <w:t xml:space="preserve">and </w:t>
      </w:r>
      <w:r w:rsidR="006163BB" w:rsidRPr="00341EFE">
        <w:t xml:space="preserve">the costs of generation with </w:t>
      </w:r>
      <w:r w:rsidR="00924AC4" w:rsidRPr="00341EFE">
        <w:t xml:space="preserve">a representative pool of the renewable energies </w:t>
      </w:r>
      <w:r w:rsidR="00CA0667">
        <w:t>in</w:t>
      </w:r>
      <w:r w:rsidR="00CA0667" w:rsidRPr="00341EFE">
        <w:t xml:space="preserve"> </w:t>
      </w:r>
      <w:r w:rsidR="00924AC4" w:rsidRPr="00341EFE">
        <w:t xml:space="preserve">Mexico. </w:t>
      </w:r>
    </w:p>
    <w:p w:rsidR="006163BB" w:rsidRPr="00802BDD" w:rsidRDefault="00DC03E3" w:rsidP="00AA328E">
      <w:pPr>
        <w:pStyle w:val="Paragraph"/>
        <w:numPr>
          <w:ilvl w:val="0"/>
          <w:numId w:val="0"/>
        </w:numPr>
        <w:spacing w:after="80"/>
        <w:ind w:left="720"/>
      </w:pPr>
      <m:oMathPara>
        <m:oMath>
          <m:r>
            <w:rPr>
              <w:rFonts w:ascii="Cambria Math" w:hAnsi="Cambria Math"/>
            </w:rPr>
            <w:lastRenderedPageBreak/>
            <m:t>Benefit A=</m:t>
          </m:r>
          <m:nary>
            <m:naryPr>
              <m:chr m:val="∑"/>
              <m:limLoc m:val="undOvr"/>
              <m:ctrlPr>
                <w:rPr>
                  <w:rFonts w:ascii="Cambria Math" w:hAnsi="Cambria Math"/>
                  <w:i/>
                </w:rPr>
              </m:ctrlPr>
            </m:naryPr>
            <m:sub>
              <m:r>
                <w:rPr>
                  <w:rFonts w:ascii="Cambria Math" w:hAnsi="Cambria Math"/>
                </w:rPr>
                <m:t>i=0</m:t>
              </m:r>
            </m:sub>
            <m:sup>
              <m:r>
                <w:rPr>
                  <w:rFonts w:ascii="Cambria Math" w:hAnsi="Cambria Math"/>
                </w:rPr>
                <m:t>8</m:t>
              </m:r>
            </m:sup>
            <m:e>
              <m:r>
                <w:rPr>
                  <w:rFonts w:ascii="Cambria Math" w:hAnsi="Cambria Math"/>
                </w:rPr>
                <m:t>(</m:t>
              </m:r>
              <m:sSub>
                <m:sSubPr>
                  <m:ctrlPr>
                    <w:rPr>
                      <w:rFonts w:ascii="Cambria Math" w:hAnsi="Cambria Math"/>
                      <w:i/>
                    </w:rPr>
                  </m:ctrlPr>
                </m:sSubPr>
                <m:e>
                  <m:r>
                    <w:rPr>
                      <w:rFonts w:ascii="Cambria Math" w:hAnsi="Cambria Math"/>
                    </w:rPr>
                    <m:t>D</m:t>
                  </m:r>
                </m:e>
                <m:sub>
                  <m:sSub>
                    <m:sSubPr>
                      <m:ctrlPr>
                        <w:rPr>
                          <w:rFonts w:ascii="Cambria Math" w:hAnsi="Cambria Math"/>
                          <w:i/>
                        </w:rPr>
                      </m:ctrlPr>
                    </m:sSubPr>
                    <m:e>
                      <m:r>
                        <w:rPr>
                          <w:rFonts w:ascii="Cambria Math" w:hAnsi="Cambria Math"/>
                        </w:rPr>
                        <m:t>C</m:t>
                      </m:r>
                    </m:e>
                    <m:sub>
                      <m:r>
                        <w:rPr>
                          <w:rFonts w:ascii="Cambria Math" w:hAnsi="Cambria Math"/>
                        </w:rPr>
                        <m:t>geot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pool</m:t>
                      </m:r>
                    </m:sub>
                  </m:sSub>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y</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cap</m:t>
                  </m:r>
                </m:sub>
              </m:sSub>
              <m:r>
                <w:rPr>
                  <w:rFonts w:ascii="Cambria Math" w:hAnsi="Cambria Math"/>
                </w:rPr>
                <m:t>)</m:t>
              </m:r>
            </m:e>
          </m:nary>
        </m:oMath>
      </m:oMathPara>
    </w:p>
    <w:p w:rsidR="00AA328E" w:rsidRPr="00E80CB7" w:rsidRDefault="00AA328E" w:rsidP="00AA328E">
      <w:pPr>
        <w:pStyle w:val="Paragraph"/>
        <w:numPr>
          <w:ilvl w:val="0"/>
          <w:numId w:val="0"/>
        </w:numPr>
        <w:spacing w:after="80"/>
        <w:ind w:left="1170"/>
        <w:rPr>
          <w:sz w:val="20"/>
        </w:rPr>
      </w:pPr>
      <w:r w:rsidRPr="00E80CB7">
        <w:rPr>
          <w:sz w:val="20"/>
        </w:rPr>
        <w:t>Where:</w:t>
      </w:r>
    </w:p>
    <w:p w:rsidR="00F810A8" w:rsidRPr="00F810A8" w:rsidRDefault="00435429" w:rsidP="00AA328E">
      <w:pPr>
        <w:pStyle w:val="Paragraph"/>
        <w:numPr>
          <w:ilvl w:val="0"/>
          <w:numId w:val="0"/>
        </w:numPr>
        <w:spacing w:before="0" w:after="80"/>
        <w:ind w:left="1170"/>
        <w:rPr>
          <w:rFonts w:ascii="Cambria Math" w:hAnsi="Cambria Math"/>
          <w:i/>
        </w:rPr>
      </w:pPr>
      <m:oMathPara>
        <m:oMathParaPr>
          <m:jc m:val="left"/>
        </m:oMathParaPr>
        <m:oMath>
          <m:sSub>
            <m:sSubPr>
              <m:ctrlPr>
                <w:rPr>
                  <w:rFonts w:ascii="Cambria Math" w:hAnsi="Cambria Math"/>
                  <w:i/>
                </w:rPr>
              </m:ctrlPr>
            </m:sSubPr>
            <m:e>
              <m:r>
                <w:rPr>
                  <w:rFonts w:ascii="Cambria Math" w:hAnsi="Cambria Math"/>
                </w:rPr>
                <m:t>D</m:t>
              </m:r>
            </m:e>
            <m:sub>
              <m:sSub>
                <m:sSubPr>
                  <m:ctrlPr>
                    <w:rPr>
                      <w:rFonts w:ascii="Cambria Math" w:hAnsi="Cambria Math"/>
                      <w:i/>
                    </w:rPr>
                  </m:ctrlPr>
                </m:sSubPr>
                <m:e>
                  <m:r>
                    <w:rPr>
                      <w:rFonts w:ascii="Cambria Math" w:hAnsi="Cambria Math"/>
                    </w:rPr>
                    <m:t>C</m:t>
                  </m:r>
                </m:e>
                <m:sub>
                  <m:r>
                    <w:rPr>
                      <w:rFonts w:ascii="Cambria Math" w:hAnsi="Cambria Math"/>
                    </w:rPr>
                    <m:t>geot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pool</m:t>
                  </m:r>
                </m:sub>
              </m:sSub>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USD</m:t>
                      </m:r>
                    </m:num>
                    <m:den>
                      <m:r>
                        <w:rPr>
                          <w:rFonts w:ascii="Cambria Math" w:hAnsi="Cambria Math"/>
                        </w:rPr>
                        <m:t>MWh</m:t>
                      </m:r>
                    </m:den>
                  </m:f>
                </m:e>
              </m:d>
              <m:r>
                <w:rPr>
                  <w:rFonts w:ascii="Cambria Math" w:hAnsi="Cambria Math"/>
                </w:rPr>
                <m:t xml:space="preserve">=Difference between the electricity generation costs </m:t>
              </m:r>
            </m:sub>
          </m:sSub>
        </m:oMath>
      </m:oMathPara>
    </w:p>
    <w:p w:rsidR="00F810A8" w:rsidRPr="00F810A8" w:rsidRDefault="00435429" w:rsidP="00AA328E">
      <w:pPr>
        <w:pStyle w:val="Paragraph"/>
        <w:numPr>
          <w:ilvl w:val="0"/>
          <w:numId w:val="0"/>
        </w:numPr>
        <w:spacing w:before="0" w:after="80"/>
        <w:ind w:left="1170"/>
      </w:pPr>
      <m:oMathPara>
        <m:oMathParaPr>
          <m:jc m:val="left"/>
        </m:oMathParaPr>
        <m:oMath>
          <m:sSub>
            <m:sSubPr>
              <m:ctrlPr>
                <w:rPr>
                  <w:rFonts w:ascii="Cambria Math" w:hAnsi="Cambria Math"/>
                  <w:i/>
                </w:rPr>
              </m:ctrlPr>
            </m:sSubPr>
            <m:e>
              <m:r>
                <w:rPr>
                  <w:rFonts w:ascii="Cambria Math" w:hAnsi="Cambria Math"/>
                </w:rPr>
                <m:t>H</m:t>
              </m:r>
            </m:e>
            <m:sub>
              <m:r>
                <w:rPr>
                  <w:rFonts w:ascii="Cambria Math" w:hAnsi="Cambria Math"/>
                </w:rPr>
                <m:t>d</m:t>
              </m:r>
            </m:sub>
          </m:sSub>
          <m:r>
            <w:rPr>
              <w:rFonts w:ascii="Cambria Math" w:hAnsi="Cambria Math"/>
            </w:rPr>
            <m:t>=Hours per day</m:t>
          </m:r>
        </m:oMath>
      </m:oMathPara>
    </w:p>
    <w:p w:rsidR="00F810A8" w:rsidRPr="00F810A8" w:rsidRDefault="00435429" w:rsidP="00AA328E">
      <w:pPr>
        <w:pStyle w:val="Paragraph"/>
        <w:numPr>
          <w:ilvl w:val="0"/>
          <w:numId w:val="0"/>
        </w:numPr>
        <w:spacing w:before="0" w:after="80"/>
        <w:ind w:left="1170"/>
      </w:pPr>
      <m:oMathPara>
        <m:oMathParaPr>
          <m:jc m:val="left"/>
        </m:oMathParaPr>
        <m:oMath>
          <m:sSub>
            <m:sSubPr>
              <m:ctrlPr>
                <w:rPr>
                  <w:rFonts w:ascii="Cambria Math" w:hAnsi="Cambria Math"/>
                  <w:i/>
                </w:rPr>
              </m:ctrlPr>
            </m:sSubPr>
            <m:e>
              <m:r>
                <w:rPr>
                  <w:rFonts w:ascii="Cambria Math" w:hAnsi="Cambria Math"/>
                </w:rPr>
                <m:t>D</m:t>
              </m:r>
            </m:e>
            <m:sub>
              <m:r>
                <w:rPr>
                  <w:rFonts w:ascii="Cambria Math" w:hAnsi="Cambria Math"/>
                </w:rPr>
                <m:t>y</m:t>
              </m:r>
            </m:sub>
          </m:sSub>
          <m:r>
            <w:rPr>
              <w:rFonts w:ascii="Cambria Math" w:hAnsi="Cambria Math"/>
            </w:rPr>
            <m:t>=Days per year</m:t>
          </m:r>
        </m:oMath>
      </m:oMathPara>
    </w:p>
    <w:p w:rsidR="00AA328E" w:rsidRPr="00F810A8" w:rsidRDefault="00435429" w:rsidP="00F810A8">
      <w:pPr>
        <w:pStyle w:val="Paragraph"/>
        <w:numPr>
          <w:ilvl w:val="0"/>
          <w:numId w:val="0"/>
        </w:numPr>
        <w:spacing w:before="0" w:after="80"/>
        <w:ind w:left="1170"/>
        <w:rPr>
          <w:sz w:val="20"/>
        </w:rPr>
      </w:pPr>
      <m:oMath>
        <m:sSub>
          <m:sSubPr>
            <m:ctrlPr>
              <w:rPr>
                <w:rFonts w:ascii="Cambria Math" w:hAnsi="Cambria Math"/>
                <w:i/>
              </w:rPr>
            </m:ctrlPr>
          </m:sSubPr>
          <m:e>
            <m:r>
              <w:rPr>
                <w:rFonts w:ascii="Cambria Math" w:hAnsi="Cambria Math"/>
              </w:rPr>
              <m:t>L</m:t>
            </m:r>
          </m:e>
          <m:sub>
            <m:r>
              <w:rPr>
                <w:rFonts w:ascii="Cambria Math" w:hAnsi="Cambria Math"/>
              </w:rPr>
              <m:t>cap</m:t>
            </m:r>
          </m:sub>
        </m:sSub>
        <m:r>
          <m:rPr>
            <m:sty m:val="p"/>
          </m:rPr>
          <w:rPr>
            <w:rFonts w:ascii="Cambria Math" w:hAnsi="Cambria Math"/>
          </w:rPr>
          <m:t>=</m:t>
        </m:r>
        <m:r>
          <w:rPr>
            <w:rFonts w:ascii="Cambria Math" w:hAnsi="Cambria Math"/>
          </w:rPr>
          <m:t xml:space="preserve"> Load Capacity o</m:t>
        </m:r>
        <m:r>
          <w:rPr>
            <w:rFonts w:ascii="Cambria Math" w:hAnsi="Cambria Math"/>
          </w:rPr>
          <m:t>f a geothermal plant</m:t>
        </m:r>
      </m:oMath>
      <w:r w:rsidR="00FC533B" w:rsidRPr="00EA37C3">
        <w:rPr>
          <w:i/>
        </w:rPr>
        <w:t xml:space="preserve"> </w:t>
      </w:r>
    </w:p>
    <w:p w:rsidR="00AA328E" w:rsidRPr="00B04479" w:rsidRDefault="00AA328E" w:rsidP="00AA328E">
      <w:pPr>
        <w:pStyle w:val="Paragraph"/>
        <w:numPr>
          <w:ilvl w:val="0"/>
          <w:numId w:val="0"/>
        </w:numPr>
        <w:spacing w:after="80"/>
        <w:ind w:left="720"/>
        <w:rPr>
          <w:b/>
        </w:rPr>
      </w:pPr>
    </w:p>
    <w:p w:rsidR="00C00D87" w:rsidRPr="00F63653" w:rsidRDefault="00C00D87" w:rsidP="00C00D87">
      <w:pPr>
        <w:pStyle w:val="Paragraph"/>
        <w:tabs>
          <w:tab w:val="num" w:pos="720"/>
        </w:tabs>
        <w:spacing w:after="80"/>
        <w:ind w:left="720" w:hanging="720"/>
      </w:pPr>
      <w:r w:rsidRPr="0005081E">
        <w:rPr>
          <w:b/>
        </w:rPr>
        <w:t>Be</w:t>
      </w:r>
      <w:r w:rsidR="008944AD" w:rsidRPr="0005081E">
        <w:rPr>
          <w:b/>
        </w:rPr>
        <w:t>nefit B</w:t>
      </w:r>
      <w:r w:rsidRPr="0005081E">
        <w:rPr>
          <w:b/>
        </w:rPr>
        <w:t>: Reduction in CO</w:t>
      </w:r>
      <w:r w:rsidRPr="0005081E">
        <w:rPr>
          <w:b/>
          <w:vertAlign w:val="subscript"/>
        </w:rPr>
        <w:t>2</w:t>
      </w:r>
      <w:r w:rsidRPr="0005081E">
        <w:rPr>
          <w:b/>
        </w:rPr>
        <w:t xml:space="preserve"> emissions generated by</w:t>
      </w:r>
      <w:r w:rsidR="00AA328E" w:rsidRPr="0005081E">
        <w:rPr>
          <w:b/>
        </w:rPr>
        <w:t xml:space="preserve"> geothermal plants financed by the program</w:t>
      </w:r>
      <w:r w:rsidRPr="0005081E">
        <w:rPr>
          <w:b/>
        </w:rPr>
        <w:t>.</w:t>
      </w:r>
      <w:r w:rsidRPr="00F63653">
        <w:rPr>
          <w:b/>
        </w:rPr>
        <w:t xml:space="preserve"> </w:t>
      </w:r>
      <w:r w:rsidRPr="00F63653">
        <w:t xml:space="preserve">The primary impact of the </w:t>
      </w:r>
      <w:r w:rsidR="004B3734">
        <w:t xml:space="preserve">renewable energies </w:t>
      </w:r>
      <w:r w:rsidRPr="00F63653">
        <w:t>is focused on its contribution to the overall reduction in GHG emissions</w:t>
      </w:r>
      <w:r>
        <w:t>. In order to quantify this benefit</w:t>
      </w:r>
      <w:r w:rsidR="00D3397B">
        <w:t xml:space="preserve"> in our program</w:t>
      </w:r>
      <w:r>
        <w:t xml:space="preserve">, the total amount of </w:t>
      </w:r>
      <w:r w:rsidRPr="00F63653">
        <w:t>CO</w:t>
      </w:r>
      <w:r w:rsidRPr="00720463">
        <w:rPr>
          <w:vertAlign w:val="subscript"/>
        </w:rPr>
        <w:t>2</w:t>
      </w:r>
      <w:r w:rsidRPr="00F63653">
        <w:t xml:space="preserve"> emissions </w:t>
      </w:r>
      <w:r>
        <w:t xml:space="preserve">averted, </w:t>
      </w:r>
      <w:r w:rsidRPr="00F63653">
        <w:t xml:space="preserve">expected from the </w:t>
      </w:r>
      <w:r w:rsidR="00B03412">
        <w:t>construction of geothermal plants</w:t>
      </w:r>
      <w:r w:rsidRPr="00F63653">
        <w:t xml:space="preserve"> </w:t>
      </w:r>
      <w:r>
        <w:t>with funds from the program, is multiplied by the international market price of the MT of CO</w:t>
      </w:r>
      <w:r w:rsidRPr="00882CAC">
        <w:rPr>
          <w:vertAlign w:val="subscript"/>
        </w:rPr>
        <w:t>2</w:t>
      </w:r>
      <w:r>
        <w:t>.</w:t>
      </w:r>
      <w:r w:rsidRPr="00F63653">
        <w:t xml:space="preserve"> </w:t>
      </w:r>
      <w:r w:rsidRPr="00882CAC">
        <w:t>The</w:t>
      </w:r>
      <w:r w:rsidRPr="00F63653">
        <w:t xml:space="preserve"> </w:t>
      </w:r>
      <w:r>
        <w:t>metric tons</w:t>
      </w:r>
      <w:r w:rsidRPr="00F63653">
        <w:t xml:space="preserve"> of CO</w:t>
      </w:r>
      <w:r w:rsidRPr="00882CAC">
        <w:rPr>
          <w:vertAlign w:val="subscript"/>
        </w:rPr>
        <w:t>2</w:t>
      </w:r>
      <w:r w:rsidRPr="00F63653">
        <w:t xml:space="preserve"> r</w:t>
      </w:r>
      <w:r>
        <w:t xml:space="preserve">educed </w:t>
      </w:r>
      <w:r w:rsidRPr="00F63653">
        <w:t xml:space="preserve">are calculated using the accumulated number of </w:t>
      </w:r>
      <w:r w:rsidR="00B03412">
        <w:t xml:space="preserve">plants </w:t>
      </w:r>
      <w:r w:rsidRPr="00F63653">
        <w:t>financed</w:t>
      </w:r>
      <w:r>
        <w:t>. T</w:t>
      </w:r>
      <w:r w:rsidRPr="00F63653">
        <w:t xml:space="preserve">he total benefit from the emissions reduced is calculated </w:t>
      </w:r>
      <w:r w:rsidR="00B03412">
        <w:t xml:space="preserve">for a period of </w:t>
      </w:r>
      <w:r w:rsidR="00363681">
        <w:t>3</w:t>
      </w:r>
      <w:r w:rsidR="00B03412">
        <w:t>0 years</w:t>
      </w:r>
      <w:r w:rsidR="00D71BD8">
        <w:t>,</w:t>
      </w:r>
      <w:r>
        <w:t xml:space="preserve"> </w:t>
      </w:r>
      <w:r w:rsidRPr="00F63653">
        <w:t>as follows:</w:t>
      </w:r>
    </w:p>
    <w:p w:rsidR="00C00D87" w:rsidRPr="00C66CDA" w:rsidRDefault="00AA328E" w:rsidP="00856C25">
      <w:pPr>
        <w:pStyle w:val="Paragraph"/>
        <w:numPr>
          <w:ilvl w:val="0"/>
          <w:numId w:val="0"/>
        </w:numPr>
        <w:spacing w:after="80"/>
        <w:ind w:left="1170" w:right="2160"/>
        <w:jc w:val="center"/>
        <w:rPr>
          <w:rFonts w:ascii="Cambria Math" w:hAnsi="Cambria Math"/>
          <w:i/>
        </w:rPr>
      </w:pPr>
      <w:r w:rsidRPr="00C66CDA">
        <w:rPr>
          <w:rFonts w:ascii="Cambria Math" w:hAnsi="Cambria Math"/>
          <w:i/>
        </w:rPr>
        <w:t>Benefit B</w:t>
      </w:r>
      <w:r w:rsidR="00C00D87" w:rsidRPr="00C66CDA">
        <w:rPr>
          <w:rFonts w:ascii="Cambria Math" w:hAnsi="Cambria Math"/>
          <w:i/>
        </w:rPr>
        <w:t xml:space="preserve"> = PxMTCO</w:t>
      </w:r>
      <w:r w:rsidR="00C00D87" w:rsidRPr="00C66CDA">
        <w:rPr>
          <w:rFonts w:ascii="Cambria Math" w:hAnsi="Cambria Math"/>
          <w:i/>
          <w:vertAlign w:val="subscript"/>
        </w:rPr>
        <w:t>2</w:t>
      </w:r>
      <w:r w:rsidRPr="00C66CDA">
        <w:rPr>
          <w:rFonts w:ascii="Cambria Math" w:hAnsi="Cambria Math"/>
          <w:i/>
        </w:rPr>
        <w:t xml:space="preserve"> × </w:t>
      </w:r>
      <w:r w:rsidR="00C00D87" w:rsidRPr="00C66CDA">
        <w:rPr>
          <w:rFonts w:ascii="Cambria Math" w:hAnsi="Cambria Math"/>
          <w:i/>
        </w:rPr>
        <w:t>RED</w:t>
      </w:r>
      <w:r w:rsidR="00C00D87" w:rsidRPr="00C66CDA">
        <w:rPr>
          <w:rFonts w:ascii="Cambria Math" w:hAnsi="Cambria Math"/>
          <w:i/>
          <w:vertAlign w:val="subscript"/>
        </w:rPr>
        <w:t xml:space="preserve">Y </w:t>
      </w:r>
      <w:r w:rsidR="00C00D87" w:rsidRPr="00C66CDA">
        <w:rPr>
          <w:rFonts w:ascii="Cambria Math" w:hAnsi="Cambria Math"/>
          <w:i/>
        </w:rPr>
        <w:sym w:font="Symbol" w:char="F0B4"/>
      </w:r>
      <w:r w:rsidR="00C00D87" w:rsidRPr="00C66CDA">
        <w:rPr>
          <w:rFonts w:ascii="Cambria Math" w:hAnsi="Cambria Math"/>
          <w:i/>
        </w:rPr>
        <w:t xml:space="preserve"> N</w:t>
      </w:r>
      <w:r w:rsidR="00C00D87" w:rsidRPr="00C66CDA">
        <w:rPr>
          <w:rFonts w:ascii="Cambria Math" w:hAnsi="Cambria Math"/>
          <w:i/>
          <w:vertAlign w:val="subscript"/>
        </w:rPr>
        <w:t>Y</w:t>
      </w:r>
    </w:p>
    <w:p w:rsidR="00C00D87" w:rsidRPr="00E80CB7" w:rsidRDefault="00C00D87" w:rsidP="00C00D87">
      <w:pPr>
        <w:pStyle w:val="Paragraph"/>
        <w:numPr>
          <w:ilvl w:val="0"/>
          <w:numId w:val="0"/>
        </w:numPr>
        <w:spacing w:after="80"/>
        <w:ind w:left="1170"/>
        <w:rPr>
          <w:sz w:val="20"/>
        </w:rPr>
      </w:pPr>
      <w:r w:rsidRPr="00E80CB7">
        <w:rPr>
          <w:sz w:val="20"/>
        </w:rPr>
        <w:t>Where:</w:t>
      </w:r>
    </w:p>
    <w:p w:rsidR="00C00D87" w:rsidRPr="000375D2" w:rsidRDefault="00C00D87" w:rsidP="00C00D87">
      <w:pPr>
        <w:pStyle w:val="Paragraph"/>
        <w:numPr>
          <w:ilvl w:val="0"/>
          <w:numId w:val="0"/>
        </w:numPr>
        <w:spacing w:before="0" w:after="80"/>
        <w:ind w:left="1170"/>
        <w:rPr>
          <w:sz w:val="20"/>
        </w:rPr>
      </w:pPr>
      <w:r w:rsidRPr="00D30BD2">
        <w:rPr>
          <w:sz w:val="20"/>
        </w:rPr>
        <w:t>PxMTCO</w:t>
      </w:r>
      <w:r w:rsidRPr="00D30BD2">
        <w:rPr>
          <w:sz w:val="20"/>
          <w:vertAlign w:val="subscript"/>
        </w:rPr>
        <w:t>2</w:t>
      </w:r>
      <w:r w:rsidRPr="00D30BD2">
        <w:rPr>
          <w:sz w:val="20"/>
        </w:rPr>
        <w:t xml:space="preserve"> </w:t>
      </w:r>
      <w:r w:rsidRPr="000375D2">
        <w:rPr>
          <w:sz w:val="20"/>
        </w:rPr>
        <w:t>(USD)</w:t>
      </w:r>
      <w:r>
        <w:rPr>
          <w:sz w:val="20"/>
        </w:rPr>
        <w:t xml:space="preserve"> </w:t>
      </w:r>
      <w:r w:rsidRPr="000375D2">
        <w:rPr>
          <w:sz w:val="20"/>
        </w:rPr>
        <w:t xml:space="preserve">= </w:t>
      </w:r>
      <w:r>
        <w:rPr>
          <w:sz w:val="20"/>
        </w:rPr>
        <w:t>International market price on 1 metric ton of CO</w:t>
      </w:r>
      <w:r w:rsidRPr="00D11097">
        <w:rPr>
          <w:sz w:val="20"/>
          <w:vertAlign w:val="subscript"/>
        </w:rPr>
        <w:t>2</w:t>
      </w:r>
    </w:p>
    <w:p w:rsidR="00C00D87" w:rsidRDefault="00C00D87" w:rsidP="00C00D87">
      <w:pPr>
        <w:pStyle w:val="Paragraph"/>
        <w:numPr>
          <w:ilvl w:val="0"/>
          <w:numId w:val="0"/>
        </w:numPr>
        <w:spacing w:before="0" w:after="80"/>
        <w:ind w:left="1170"/>
        <w:rPr>
          <w:sz w:val="20"/>
        </w:rPr>
      </w:pPr>
      <w:r>
        <w:rPr>
          <w:sz w:val="20"/>
        </w:rPr>
        <w:t>N</w:t>
      </w:r>
      <w:r>
        <w:rPr>
          <w:sz w:val="20"/>
          <w:vertAlign w:val="subscript"/>
        </w:rPr>
        <w:t>Y</w:t>
      </w:r>
      <w:r w:rsidRPr="00E80CB7">
        <w:rPr>
          <w:sz w:val="20"/>
        </w:rPr>
        <w:t xml:space="preserve"> = Number of </w:t>
      </w:r>
      <w:r w:rsidR="00AA328E">
        <w:rPr>
          <w:sz w:val="20"/>
        </w:rPr>
        <w:t>plants financed by the program</w:t>
      </w:r>
    </w:p>
    <w:p w:rsidR="00C00D87" w:rsidRPr="000375D2" w:rsidRDefault="00C00D87" w:rsidP="00C00D87">
      <w:pPr>
        <w:pStyle w:val="Paragraph"/>
        <w:numPr>
          <w:ilvl w:val="0"/>
          <w:numId w:val="0"/>
        </w:numPr>
        <w:spacing w:before="0" w:after="80"/>
        <w:ind w:left="1170"/>
        <w:rPr>
          <w:sz w:val="20"/>
        </w:rPr>
      </w:pPr>
      <w:r>
        <w:rPr>
          <w:sz w:val="20"/>
        </w:rPr>
        <w:t>RED</w:t>
      </w:r>
      <w:r>
        <w:rPr>
          <w:sz w:val="20"/>
          <w:vertAlign w:val="subscript"/>
        </w:rPr>
        <w:t>Y</w:t>
      </w:r>
      <w:r>
        <w:rPr>
          <w:sz w:val="20"/>
        </w:rPr>
        <w:t xml:space="preserve"> (MTCO</w:t>
      </w:r>
      <w:r w:rsidRPr="00D11097">
        <w:rPr>
          <w:sz w:val="20"/>
          <w:vertAlign w:val="subscript"/>
        </w:rPr>
        <w:t>2</w:t>
      </w:r>
      <w:r>
        <w:rPr>
          <w:sz w:val="20"/>
        </w:rPr>
        <w:t>)</w:t>
      </w:r>
      <w:r w:rsidRPr="000375D2">
        <w:rPr>
          <w:sz w:val="20"/>
        </w:rPr>
        <w:t xml:space="preserve"> = </w:t>
      </w:r>
      <w:r>
        <w:rPr>
          <w:sz w:val="20"/>
        </w:rPr>
        <w:t>CO</w:t>
      </w:r>
      <w:r w:rsidRPr="00D11097">
        <w:rPr>
          <w:sz w:val="20"/>
          <w:vertAlign w:val="subscript"/>
        </w:rPr>
        <w:t>2</w:t>
      </w:r>
      <w:r>
        <w:rPr>
          <w:sz w:val="20"/>
        </w:rPr>
        <w:t xml:space="preserve"> metric tons reduced per </w:t>
      </w:r>
      <w:r w:rsidR="00AA328E">
        <w:rPr>
          <w:sz w:val="20"/>
        </w:rPr>
        <w:t>plant</w:t>
      </w:r>
      <w:r>
        <w:rPr>
          <w:sz w:val="20"/>
        </w:rPr>
        <w:t xml:space="preserve"> </w:t>
      </w:r>
    </w:p>
    <w:p w:rsidR="00C00D87" w:rsidRPr="005C4D11" w:rsidRDefault="00C00D87" w:rsidP="00C00D87">
      <w:pPr>
        <w:pStyle w:val="Paragraph"/>
        <w:tabs>
          <w:tab w:val="num" w:pos="720"/>
        </w:tabs>
        <w:ind w:left="720" w:hanging="720"/>
        <w:rPr>
          <w:szCs w:val="24"/>
        </w:rPr>
      </w:pPr>
      <w:r>
        <w:rPr>
          <w:szCs w:val="24"/>
        </w:rPr>
        <w:t>T</w:t>
      </w:r>
      <w:r w:rsidRPr="005C4D11">
        <w:rPr>
          <w:szCs w:val="24"/>
        </w:rPr>
        <w:t xml:space="preserve">he </w:t>
      </w:r>
      <w:r>
        <w:rPr>
          <w:szCs w:val="24"/>
        </w:rPr>
        <w:t>global benefit of the program</w:t>
      </w:r>
      <w:r w:rsidRPr="005C4D11">
        <w:rPr>
          <w:szCs w:val="24"/>
        </w:rPr>
        <w:t xml:space="preserve"> </w:t>
      </w:r>
      <w:r w:rsidR="00026170">
        <w:rPr>
          <w:szCs w:val="24"/>
        </w:rPr>
        <w:t xml:space="preserve">will then be the sum of the </w:t>
      </w:r>
      <w:r w:rsidR="00D71BD8">
        <w:rPr>
          <w:szCs w:val="24"/>
        </w:rPr>
        <w:t xml:space="preserve">two </w:t>
      </w:r>
      <w:r>
        <w:rPr>
          <w:szCs w:val="24"/>
        </w:rPr>
        <w:t>criteria described above, resulting on total annual flows projecte</w:t>
      </w:r>
      <w:r w:rsidR="00026170">
        <w:rPr>
          <w:szCs w:val="24"/>
        </w:rPr>
        <w:t xml:space="preserve">d for a period of </w:t>
      </w:r>
      <w:r w:rsidR="00E22575">
        <w:rPr>
          <w:szCs w:val="24"/>
        </w:rPr>
        <w:t>3</w:t>
      </w:r>
      <w:r>
        <w:rPr>
          <w:szCs w:val="24"/>
        </w:rPr>
        <w:t>0 years.</w:t>
      </w:r>
    </w:p>
    <w:p w:rsidR="00C00D87" w:rsidRDefault="00C00D87" w:rsidP="00C00D87">
      <w:pPr>
        <w:pStyle w:val="Paragraph"/>
        <w:numPr>
          <w:ilvl w:val="0"/>
          <w:numId w:val="0"/>
        </w:numPr>
        <w:ind w:left="720"/>
        <w:rPr>
          <w:szCs w:val="24"/>
          <w:lang w:val="es-ES_tradnl"/>
        </w:rPr>
      </w:pPr>
      <m:oMathPara>
        <m:oMath>
          <m:r>
            <w:rPr>
              <w:rFonts w:ascii="Cambria Math" w:hAnsi="Cambria Math"/>
              <w:szCs w:val="24"/>
              <w:lang w:val="es-ES_tradnl"/>
            </w:rPr>
            <m:t>B=</m:t>
          </m:r>
          <m:nary>
            <m:naryPr>
              <m:chr m:val="∑"/>
              <m:limLoc m:val="undOvr"/>
              <m:subHide m:val="1"/>
              <m:supHide m:val="1"/>
              <m:ctrlPr>
                <w:rPr>
                  <w:rFonts w:ascii="Cambria Math" w:hAnsi="Cambria Math"/>
                  <w:i/>
                  <w:szCs w:val="24"/>
                  <w:lang w:val="es-ES_tradnl"/>
                </w:rPr>
              </m:ctrlPr>
            </m:naryPr>
            <m:sub/>
            <m:sup/>
            <m:e>
              <m:r>
                <w:rPr>
                  <w:rFonts w:ascii="Cambria Math" w:hAnsi="Cambria Math"/>
                  <w:szCs w:val="24"/>
                  <w:lang w:val="es-ES_tradnl"/>
                </w:rPr>
                <m:t>Benefit A+Benenfit B</m:t>
              </m:r>
            </m:e>
          </m:nary>
        </m:oMath>
      </m:oMathPara>
    </w:p>
    <w:p w:rsidR="00061FBC" w:rsidRPr="00061FBC" w:rsidRDefault="00061FBC" w:rsidP="00061FBC">
      <w:pPr>
        <w:pStyle w:val="Paragraph"/>
        <w:numPr>
          <w:ilvl w:val="0"/>
          <w:numId w:val="0"/>
        </w:numPr>
        <w:ind w:left="360"/>
        <w:rPr>
          <w:szCs w:val="24"/>
          <w:u w:val="single"/>
        </w:rPr>
      </w:pPr>
      <w:r w:rsidRPr="00061FBC">
        <w:rPr>
          <w:szCs w:val="24"/>
          <w:u w:val="single"/>
        </w:rPr>
        <w:t xml:space="preserve">Economic </w:t>
      </w:r>
      <w:r>
        <w:rPr>
          <w:szCs w:val="24"/>
          <w:u w:val="single"/>
        </w:rPr>
        <w:t>Costs</w:t>
      </w:r>
      <w:r w:rsidRPr="00061FBC">
        <w:rPr>
          <w:szCs w:val="24"/>
          <w:u w:val="single"/>
        </w:rPr>
        <w:t xml:space="preserve"> </w:t>
      </w:r>
    </w:p>
    <w:p w:rsidR="00A33D90" w:rsidRPr="0005081E" w:rsidRDefault="00C00D87" w:rsidP="00856C25">
      <w:pPr>
        <w:pStyle w:val="Paragraph"/>
        <w:numPr>
          <w:ilvl w:val="0"/>
          <w:numId w:val="0"/>
        </w:numPr>
        <w:tabs>
          <w:tab w:val="num" w:pos="9306"/>
        </w:tabs>
        <w:ind w:left="720"/>
      </w:pPr>
      <w:r w:rsidRPr="0005081E">
        <w:rPr>
          <w:b/>
        </w:rPr>
        <w:t>Costs</w:t>
      </w:r>
      <w:r w:rsidR="00F74212">
        <w:t xml:space="preserve"> </w:t>
      </w:r>
      <w:r w:rsidR="00F74212" w:rsidRPr="00856C25">
        <w:rPr>
          <w:b/>
        </w:rPr>
        <w:t>(see assumptions)</w:t>
      </w:r>
      <w:r w:rsidR="00F74212">
        <w:t xml:space="preserve"> </w:t>
      </w:r>
      <w:r w:rsidRPr="0005081E">
        <w:t xml:space="preserve">As described in the POD, the Bank, acting as an executing agency for the Clean Technology Fund (CTF), will disburse USD </w:t>
      </w:r>
      <w:r w:rsidR="00A33D90">
        <w:t>20</w:t>
      </w:r>
      <w:r w:rsidRPr="0005081E">
        <w:t xml:space="preserve"> million of CTF resources </w:t>
      </w:r>
      <w:r w:rsidR="00CF7B49">
        <w:t>from the DPSP</w:t>
      </w:r>
      <w:r w:rsidR="00E562FF" w:rsidRPr="0005081E">
        <w:t>, USD 3</w:t>
      </w:r>
      <w:r w:rsidR="00A33D90">
        <w:t>4</w:t>
      </w:r>
      <w:r w:rsidR="00F45DD4" w:rsidRPr="00856C25">
        <w:t>.</w:t>
      </w:r>
      <w:r w:rsidR="00A33D90">
        <w:t>3</w:t>
      </w:r>
      <w:r w:rsidR="00E562FF" w:rsidRPr="0005081E">
        <w:t xml:space="preserve"> million of CTF Funds </w:t>
      </w:r>
      <w:r w:rsidR="00CF7B49">
        <w:t>from Mexico’s IP</w:t>
      </w:r>
      <w:r w:rsidR="00E562FF" w:rsidRPr="0005081E">
        <w:t xml:space="preserve">, as well as USD </w:t>
      </w:r>
      <w:r w:rsidR="004A33B5" w:rsidRPr="00856C25">
        <w:t>5</w:t>
      </w:r>
      <w:r w:rsidR="00F45DD4" w:rsidRPr="00856C25">
        <w:t>4.3</w:t>
      </w:r>
      <w:r w:rsidR="00E562FF" w:rsidRPr="0005081E">
        <w:t xml:space="preserve"> million from the Bank's existing CCLIP (ME-X1010) that will fund geothermal projects. </w:t>
      </w:r>
      <w:r w:rsidR="00A33D90">
        <w:t xml:space="preserve">The local counterpart will collaborate with </w:t>
      </w:r>
      <w:r w:rsidR="00A33D90" w:rsidRPr="00CD795F">
        <w:t>USD 11.5 million</w:t>
      </w:r>
      <w:r w:rsidR="00A33D90">
        <w:rPr>
          <w:rStyle w:val="FootnoteReference"/>
        </w:rPr>
        <w:footnoteReference w:id="23"/>
      </w:r>
      <w:r w:rsidR="00A33D90" w:rsidRPr="00CD795F">
        <w:t>.</w:t>
      </w:r>
      <w:r w:rsidR="00A33D90">
        <w:t xml:space="preserve"> </w:t>
      </w:r>
      <w:r w:rsidR="00A33D90" w:rsidRPr="00CD795F">
        <w:t xml:space="preserve">We have to take into account that </w:t>
      </w:r>
      <w:r w:rsidR="00CF7B49">
        <w:t xml:space="preserve">around </w:t>
      </w:r>
      <w:r w:rsidR="00A33D90" w:rsidRPr="00CD795F">
        <w:t xml:space="preserve">USD 3 million will be dedicated to Implementation costs and Technical Assistance activities, so the total investment amount </w:t>
      </w:r>
      <w:r w:rsidR="00727970">
        <w:t xml:space="preserve">for the program </w:t>
      </w:r>
      <w:r w:rsidR="00A33D90" w:rsidRPr="00CD795F">
        <w:t>adds up USD 117 million.</w:t>
      </w:r>
      <w:r w:rsidR="00A33D90" w:rsidRPr="0005081E">
        <w:t xml:space="preserve"> </w:t>
      </w:r>
      <w:r w:rsidRPr="0005081E">
        <w:t>Th</w:t>
      </w:r>
      <w:r w:rsidR="005A5FE3">
        <w:t xml:space="preserve">is </w:t>
      </w:r>
      <w:r w:rsidR="005A5FE3">
        <w:lastRenderedPageBreak/>
        <w:t>amount</w:t>
      </w:r>
      <w:r w:rsidRPr="0005081E">
        <w:t xml:space="preserve">, with the associated costs and terms from the agents that participate in the operation, </w:t>
      </w:r>
      <w:r w:rsidRPr="00A33D90">
        <w:rPr>
          <w:szCs w:val="24"/>
        </w:rPr>
        <w:t>result on total annual cost fl</w:t>
      </w:r>
      <w:r w:rsidR="00D902A0" w:rsidRPr="00A33D90">
        <w:rPr>
          <w:szCs w:val="24"/>
        </w:rPr>
        <w:t xml:space="preserve">ows, projected for a period of </w:t>
      </w:r>
      <w:r w:rsidR="00835C42">
        <w:rPr>
          <w:szCs w:val="24"/>
        </w:rPr>
        <w:t>30</w:t>
      </w:r>
      <w:r w:rsidRPr="00A33D90">
        <w:rPr>
          <w:szCs w:val="24"/>
        </w:rPr>
        <w:t xml:space="preserve"> years</w:t>
      </w:r>
      <w:r w:rsidRPr="0005081E">
        <w:t>.</w:t>
      </w:r>
    </w:p>
    <w:p w:rsidR="00C00D87" w:rsidRDefault="00C00D87" w:rsidP="00D71BD8">
      <w:pPr>
        <w:pStyle w:val="Chapter"/>
        <w:numPr>
          <w:ilvl w:val="0"/>
          <w:numId w:val="8"/>
        </w:numPr>
        <w:tabs>
          <w:tab w:val="clear" w:pos="1440"/>
        </w:tabs>
        <w:spacing w:after="120"/>
        <w:ind w:left="360"/>
        <w:jc w:val="left"/>
      </w:pPr>
      <w:bookmarkStart w:id="17" w:name="_Toc380599902"/>
      <w:bookmarkStart w:id="18" w:name="_Toc380599926"/>
      <w:bookmarkStart w:id="19" w:name="_Toc380599927"/>
      <w:bookmarkEnd w:id="17"/>
      <w:bookmarkEnd w:id="18"/>
      <w:r w:rsidRPr="00573027">
        <w:t>Economi</w:t>
      </w:r>
      <w:r>
        <w:t>c Returns</w:t>
      </w:r>
      <w:bookmarkEnd w:id="19"/>
    </w:p>
    <w:p w:rsidR="00C00D87" w:rsidRPr="00592126" w:rsidRDefault="00C00D87" w:rsidP="00C00D87">
      <w:pPr>
        <w:pStyle w:val="Paragraph"/>
        <w:tabs>
          <w:tab w:val="num" w:pos="720"/>
        </w:tabs>
        <w:ind w:left="720" w:hanging="720"/>
      </w:pPr>
      <w:r w:rsidRPr="00592126">
        <w:t xml:space="preserve">Based on the calculations of costs and benefits  </w:t>
      </w:r>
      <w:r>
        <w:t>detailed above</w:t>
      </w:r>
      <w:r w:rsidRPr="00592126">
        <w:t xml:space="preserve">, the net cash flows discounted at a rate of 12% produce a net present value (NPV) for the program of USD </w:t>
      </w:r>
      <w:r w:rsidR="008744E2">
        <w:t>194.53</w:t>
      </w:r>
      <w:r>
        <w:t xml:space="preserve"> million (see Table 3.</w:t>
      </w:r>
      <w:r w:rsidR="00D71BD8">
        <w:t>3</w:t>
      </w:r>
      <w:r w:rsidRPr="00592126">
        <w:t>)</w:t>
      </w:r>
      <w:r>
        <w:t>. A detailed chart with the calculations is annexed at the end of this document.</w:t>
      </w:r>
    </w:p>
    <w:p w:rsidR="00C00D87" w:rsidRDefault="00626B21" w:rsidP="00B06E65">
      <w:pPr>
        <w:pStyle w:val="Paragraph"/>
        <w:numPr>
          <w:ilvl w:val="0"/>
          <w:numId w:val="0"/>
        </w:numPr>
        <w:spacing w:before="0" w:after="0"/>
        <w:ind w:left="720"/>
        <w:rPr>
          <w:b/>
          <w:bCs/>
          <w:sz w:val="20"/>
        </w:rPr>
      </w:pPr>
      <w:r>
        <w:rPr>
          <w:b/>
          <w:sz w:val="20"/>
        </w:rPr>
        <w:t xml:space="preserve">                       </w:t>
      </w:r>
      <w:r w:rsidR="00B06E65">
        <w:rPr>
          <w:b/>
          <w:sz w:val="20"/>
        </w:rPr>
        <w:t xml:space="preserve">   </w:t>
      </w:r>
      <w:r>
        <w:rPr>
          <w:b/>
          <w:sz w:val="20"/>
        </w:rPr>
        <w:t xml:space="preserve">  </w:t>
      </w:r>
      <w:r w:rsidR="00C00D87" w:rsidRPr="00A70B5D">
        <w:rPr>
          <w:b/>
          <w:sz w:val="20"/>
        </w:rPr>
        <w:t xml:space="preserve">Table </w:t>
      </w:r>
      <w:r w:rsidR="00C00D87">
        <w:rPr>
          <w:b/>
          <w:sz w:val="20"/>
        </w:rPr>
        <w:t>3.</w:t>
      </w:r>
      <w:r w:rsidR="00D71BD8">
        <w:rPr>
          <w:b/>
          <w:sz w:val="20"/>
        </w:rPr>
        <w:t>3</w:t>
      </w:r>
      <w:r w:rsidR="00C00D87" w:rsidRPr="00A70B5D">
        <w:rPr>
          <w:b/>
          <w:sz w:val="20"/>
        </w:rPr>
        <w:t xml:space="preserve">: </w:t>
      </w:r>
      <w:r w:rsidR="00C00D87" w:rsidRPr="00A70B5D">
        <w:rPr>
          <w:b/>
          <w:bCs/>
          <w:sz w:val="20"/>
        </w:rPr>
        <w:t>Summary of Benefits and Costs Analysis</w:t>
      </w:r>
    </w:p>
    <w:tbl>
      <w:tblPr>
        <w:tblStyle w:val="LightList"/>
        <w:tblW w:w="4488" w:type="dxa"/>
        <w:jc w:val="center"/>
        <w:tblLook w:val="04A0" w:firstRow="1" w:lastRow="0" w:firstColumn="1" w:lastColumn="0" w:noHBand="0" w:noVBand="1"/>
      </w:tblPr>
      <w:tblGrid>
        <w:gridCol w:w="3510"/>
        <w:gridCol w:w="978"/>
      </w:tblGrid>
      <w:tr w:rsidR="00C00D87" w:rsidRPr="00263593" w:rsidTr="00A73B35">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510" w:type="dxa"/>
            <w:noWrap/>
            <w:hideMark/>
          </w:tcPr>
          <w:p w:rsidR="00C00D87" w:rsidRPr="00263593" w:rsidRDefault="00C00D87" w:rsidP="0073425E">
            <w:pPr>
              <w:rPr>
                <w:rFonts w:ascii="Times New Roman" w:eastAsia="Times New Roman" w:hAnsi="Times New Roman" w:cs="Times New Roman"/>
                <w:b w:val="0"/>
                <w:bCs w:val="0"/>
                <w:sz w:val="20"/>
                <w:szCs w:val="20"/>
              </w:rPr>
            </w:pPr>
            <w:r w:rsidRPr="00263593">
              <w:rPr>
                <w:rFonts w:ascii="Times New Roman" w:eastAsia="Times New Roman" w:hAnsi="Times New Roman" w:cs="Times New Roman"/>
                <w:b w:val="0"/>
                <w:bCs w:val="0"/>
                <w:sz w:val="20"/>
                <w:szCs w:val="20"/>
              </w:rPr>
              <w:t>NPV per concept</w:t>
            </w:r>
          </w:p>
        </w:tc>
        <w:tc>
          <w:tcPr>
            <w:tcW w:w="978" w:type="dxa"/>
            <w:noWrap/>
            <w:hideMark/>
          </w:tcPr>
          <w:p w:rsidR="00C00D87" w:rsidRPr="00263593" w:rsidRDefault="00C00D87" w:rsidP="0073425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Pr>
            </w:pPr>
            <w:r w:rsidRPr="00263593">
              <w:rPr>
                <w:rFonts w:ascii="Times New Roman" w:eastAsia="Times New Roman" w:hAnsi="Times New Roman" w:cs="Times New Roman"/>
                <w:b w:val="0"/>
                <w:bCs w:val="0"/>
                <w:sz w:val="20"/>
                <w:szCs w:val="20"/>
              </w:rPr>
              <w:t> </w:t>
            </w:r>
            <w:r w:rsidR="00A73B35">
              <w:rPr>
                <w:rFonts w:ascii="Times New Roman" w:eastAsia="Times New Roman" w:hAnsi="Times New Roman" w:cs="Times New Roman"/>
                <w:b w:val="0"/>
                <w:bCs w:val="0"/>
                <w:sz w:val="20"/>
                <w:szCs w:val="20"/>
              </w:rPr>
              <w:t>(MUSD)</w:t>
            </w:r>
          </w:p>
        </w:tc>
      </w:tr>
      <w:tr w:rsidR="00C00D87" w:rsidRPr="00D9626D" w:rsidTr="00A73B3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510" w:type="dxa"/>
            <w:noWrap/>
          </w:tcPr>
          <w:p w:rsidR="00C00D87" w:rsidRPr="00547786" w:rsidRDefault="00683854" w:rsidP="0073425E">
            <w:pPr>
              <w:rPr>
                <w:rFonts w:ascii="Times New Roman" w:eastAsia="Times New Roman" w:hAnsi="Times New Roman" w:cs="Times New Roman"/>
                <w:b w:val="0"/>
                <w:bCs w:val="0"/>
                <w:sz w:val="20"/>
                <w:szCs w:val="20"/>
              </w:rPr>
            </w:pPr>
            <w:r w:rsidRPr="00547786">
              <w:rPr>
                <w:rFonts w:ascii="Times New Roman" w:eastAsia="Times New Roman" w:hAnsi="Times New Roman" w:cs="Times New Roman"/>
                <w:b w:val="0"/>
                <w:bCs w:val="0"/>
                <w:sz w:val="20"/>
                <w:szCs w:val="20"/>
              </w:rPr>
              <w:t>Electricity Saving</w:t>
            </w:r>
          </w:p>
        </w:tc>
        <w:tc>
          <w:tcPr>
            <w:tcW w:w="978" w:type="dxa"/>
            <w:noWrap/>
          </w:tcPr>
          <w:p w:rsidR="00C00D87" w:rsidRPr="00C01204" w:rsidRDefault="008744E2" w:rsidP="007342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245.54</w:t>
            </w:r>
          </w:p>
        </w:tc>
      </w:tr>
      <w:tr w:rsidR="00A73B35" w:rsidRPr="00D9626D" w:rsidTr="00A73B35">
        <w:trPr>
          <w:trHeight w:val="255"/>
          <w:jc w:val="center"/>
        </w:trPr>
        <w:tc>
          <w:tcPr>
            <w:cnfStyle w:val="001000000000" w:firstRow="0" w:lastRow="0" w:firstColumn="1" w:lastColumn="0" w:oddVBand="0" w:evenVBand="0" w:oddHBand="0" w:evenHBand="0" w:firstRowFirstColumn="0" w:firstRowLastColumn="0" w:lastRowFirstColumn="0" w:lastRowLastColumn="0"/>
            <w:tcW w:w="3510" w:type="dxa"/>
            <w:noWrap/>
          </w:tcPr>
          <w:p w:rsidR="00A73B35" w:rsidRPr="00547786" w:rsidRDefault="00A73B35" w:rsidP="0021648A">
            <w:pPr>
              <w:rPr>
                <w:rFonts w:ascii="Times New Roman" w:eastAsia="Times New Roman" w:hAnsi="Times New Roman" w:cs="Times New Roman"/>
                <w:b w:val="0"/>
                <w:bCs w:val="0"/>
                <w:sz w:val="20"/>
                <w:szCs w:val="20"/>
              </w:rPr>
            </w:pPr>
            <w:r w:rsidRPr="00547786">
              <w:rPr>
                <w:rFonts w:ascii="Times New Roman" w:eastAsia="Times New Roman" w:hAnsi="Times New Roman" w:cs="Times New Roman"/>
                <w:b w:val="0"/>
                <w:bCs w:val="0"/>
                <w:sz w:val="20"/>
                <w:szCs w:val="20"/>
              </w:rPr>
              <w:t>Total CO2 reductions</w:t>
            </w:r>
          </w:p>
        </w:tc>
        <w:tc>
          <w:tcPr>
            <w:tcW w:w="978" w:type="dxa"/>
            <w:noWrap/>
          </w:tcPr>
          <w:p w:rsidR="00A73B35" w:rsidRPr="00C01204" w:rsidRDefault="008744E2" w:rsidP="0021648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29.23</w:t>
            </w:r>
          </w:p>
        </w:tc>
      </w:tr>
      <w:tr w:rsidR="00A73B35" w:rsidRPr="00D9626D" w:rsidTr="00A73B3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510" w:type="dxa"/>
            <w:noWrap/>
            <w:hideMark/>
          </w:tcPr>
          <w:p w:rsidR="00A73B35" w:rsidRPr="00547786" w:rsidRDefault="00A73B35" w:rsidP="00683854">
            <w:pPr>
              <w:rPr>
                <w:rFonts w:ascii="Times New Roman" w:eastAsia="Times New Roman" w:hAnsi="Times New Roman" w:cs="Times New Roman"/>
                <w:b w:val="0"/>
                <w:bCs w:val="0"/>
                <w:sz w:val="20"/>
                <w:szCs w:val="20"/>
              </w:rPr>
            </w:pPr>
            <w:r w:rsidRPr="00547786">
              <w:rPr>
                <w:rFonts w:ascii="Times New Roman" w:eastAsia="Times New Roman" w:hAnsi="Times New Roman" w:cs="Times New Roman"/>
                <w:b w:val="0"/>
                <w:bCs w:val="0"/>
                <w:sz w:val="20"/>
                <w:szCs w:val="20"/>
              </w:rPr>
              <w:t>Total cost</w:t>
            </w:r>
            <w:r w:rsidR="00683854" w:rsidRPr="00547786">
              <w:rPr>
                <w:rFonts w:ascii="Times New Roman" w:eastAsia="Times New Roman" w:hAnsi="Times New Roman" w:cs="Times New Roman"/>
                <w:b w:val="0"/>
                <w:bCs w:val="0"/>
                <w:sz w:val="20"/>
                <w:szCs w:val="20"/>
              </w:rPr>
              <w:t>s</w:t>
            </w:r>
            <w:r w:rsidRPr="00547786">
              <w:rPr>
                <w:rFonts w:ascii="Times New Roman" w:eastAsia="Times New Roman" w:hAnsi="Times New Roman" w:cs="Times New Roman"/>
                <w:b w:val="0"/>
                <w:bCs w:val="0"/>
                <w:sz w:val="20"/>
                <w:szCs w:val="20"/>
              </w:rPr>
              <w:t xml:space="preserve"> </w:t>
            </w:r>
          </w:p>
        </w:tc>
        <w:tc>
          <w:tcPr>
            <w:tcW w:w="978" w:type="dxa"/>
            <w:noWrap/>
            <w:hideMark/>
          </w:tcPr>
          <w:p w:rsidR="00A73B35" w:rsidRPr="00C01204" w:rsidRDefault="00D93E55" w:rsidP="007342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w:t>
            </w:r>
            <w:r w:rsidR="00E875EA">
              <w:rPr>
                <w:rFonts w:ascii="Times New Roman" w:eastAsia="Times New Roman" w:hAnsi="Times New Roman" w:cs="Times New Roman"/>
                <w:bCs/>
                <w:sz w:val="20"/>
                <w:szCs w:val="20"/>
              </w:rPr>
              <w:t>0</w:t>
            </w:r>
            <w:r>
              <w:rPr>
                <w:rFonts w:ascii="Times New Roman" w:eastAsia="Times New Roman" w:hAnsi="Times New Roman" w:cs="Times New Roman"/>
                <w:bCs/>
                <w:sz w:val="20"/>
                <w:szCs w:val="20"/>
              </w:rPr>
              <w:t>.</w:t>
            </w:r>
            <w:r w:rsidR="00E875EA">
              <w:rPr>
                <w:rFonts w:ascii="Times New Roman" w:eastAsia="Times New Roman" w:hAnsi="Times New Roman" w:cs="Times New Roman"/>
                <w:bCs/>
                <w:sz w:val="20"/>
                <w:szCs w:val="20"/>
              </w:rPr>
              <w:t>24</w:t>
            </w:r>
            <w:r>
              <w:rPr>
                <w:rFonts w:ascii="Times New Roman" w:eastAsia="Times New Roman" w:hAnsi="Times New Roman" w:cs="Times New Roman"/>
                <w:bCs/>
                <w:sz w:val="20"/>
                <w:szCs w:val="20"/>
              </w:rPr>
              <w:t>)</w:t>
            </w:r>
          </w:p>
        </w:tc>
      </w:tr>
      <w:tr w:rsidR="00A73B35" w:rsidRPr="00D9626D" w:rsidTr="00A73B35">
        <w:trPr>
          <w:trHeight w:val="255"/>
          <w:jc w:val="center"/>
        </w:trPr>
        <w:tc>
          <w:tcPr>
            <w:cnfStyle w:val="001000000000" w:firstRow="0" w:lastRow="0" w:firstColumn="1" w:lastColumn="0" w:oddVBand="0" w:evenVBand="0" w:oddHBand="0" w:evenHBand="0" w:firstRowFirstColumn="0" w:firstRowLastColumn="0" w:lastRowFirstColumn="0" w:lastRowLastColumn="0"/>
            <w:tcW w:w="3510" w:type="dxa"/>
            <w:noWrap/>
            <w:hideMark/>
          </w:tcPr>
          <w:p w:rsidR="00A73B35" w:rsidRPr="00547786" w:rsidRDefault="00A73B35" w:rsidP="0073425E">
            <w:pPr>
              <w:rPr>
                <w:rFonts w:ascii="Times New Roman" w:eastAsia="Times New Roman" w:hAnsi="Times New Roman" w:cs="Times New Roman"/>
                <w:bCs w:val="0"/>
                <w:sz w:val="20"/>
                <w:szCs w:val="20"/>
              </w:rPr>
            </w:pPr>
            <w:r w:rsidRPr="00547786">
              <w:rPr>
                <w:rFonts w:ascii="Times New Roman" w:eastAsia="Times New Roman" w:hAnsi="Times New Roman" w:cs="Times New Roman"/>
                <w:bCs w:val="0"/>
                <w:sz w:val="20"/>
                <w:szCs w:val="20"/>
              </w:rPr>
              <w:t>Net NPV</w:t>
            </w:r>
          </w:p>
        </w:tc>
        <w:tc>
          <w:tcPr>
            <w:tcW w:w="978" w:type="dxa"/>
            <w:noWrap/>
            <w:hideMark/>
          </w:tcPr>
          <w:p w:rsidR="00A73B35" w:rsidRPr="00D9626D" w:rsidRDefault="008744E2" w:rsidP="007342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194.53</w:t>
            </w:r>
          </w:p>
        </w:tc>
      </w:tr>
    </w:tbl>
    <w:p w:rsidR="00DB72B8" w:rsidRDefault="003E295E" w:rsidP="00856C25">
      <w:pPr>
        <w:pStyle w:val="Paragraph"/>
        <w:numPr>
          <w:ilvl w:val="0"/>
          <w:numId w:val="0"/>
        </w:numPr>
        <w:tabs>
          <w:tab w:val="num" w:pos="9306"/>
        </w:tabs>
        <w:spacing w:before="0" w:after="0"/>
        <w:ind w:left="1440"/>
      </w:pPr>
      <w:r>
        <w:rPr>
          <w:i/>
          <w:sz w:val="20"/>
          <w:szCs w:val="20"/>
        </w:rPr>
        <w:t xml:space="preserve">            </w:t>
      </w:r>
      <w:r w:rsidRPr="003E295E">
        <w:rPr>
          <w:i/>
          <w:sz w:val="20"/>
          <w:szCs w:val="20"/>
        </w:rPr>
        <w:t>Source: Developed by author</w:t>
      </w:r>
      <w:r w:rsidR="00AC2374">
        <w:rPr>
          <w:i/>
          <w:sz w:val="20"/>
          <w:szCs w:val="20"/>
        </w:rPr>
        <w:t>, 2013</w:t>
      </w:r>
    </w:p>
    <w:p w:rsidR="00C00D87" w:rsidRDefault="00A62360" w:rsidP="00C00D87">
      <w:pPr>
        <w:pStyle w:val="Paragraph"/>
        <w:tabs>
          <w:tab w:val="num" w:pos="720"/>
        </w:tabs>
        <w:spacing w:after="80"/>
        <w:ind w:left="720" w:hanging="720"/>
      </w:pPr>
      <w:r>
        <w:t>A</w:t>
      </w:r>
      <w:r w:rsidR="00C00D87">
        <w:t xml:space="preserve">s it can be seen in the chart above, the program would be considered viable even if we only consider the direct benefits related to </w:t>
      </w:r>
      <w:r w:rsidR="004002E2">
        <w:t xml:space="preserve">electricity </w:t>
      </w:r>
      <w:r w:rsidR="00C00D87">
        <w:t>savings</w:t>
      </w:r>
      <w:r w:rsidR="004002E2">
        <w:t xml:space="preserve"> in its generation</w:t>
      </w:r>
      <w:r w:rsidR="005370E0">
        <w:t xml:space="preserve"> (some indirect benefits are mentioned in assumption xix and point 3.6 b). </w:t>
      </w:r>
    </w:p>
    <w:p w:rsidR="00C00D87" w:rsidRPr="00934636" w:rsidRDefault="00C00D87" w:rsidP="00C00D87">
      <w:pPr>
        <w:pStyle w:val="Paragraph"/>
        <w:tabs>
          <w:tab w:val="num" w:pos="720"/>
        </w:tabs>
        <w:spacing w:after="80"/>
        <w:ind w:left="720" w:hanging="720"/>
      </w:pPr>
      <w:r>
        <w:t>I</w:t>
      </w:r>
      <w:r w:rsidRPr="00E00D18">
        <w:t xml:space="preserve">t is important to mention </w:t>
      </w:r>
      <w:r>
        <w:t xml:space="preserve">also </w:t>
      </w:r>
      <w:r w:rsidRPr="00E00D18">
        <w:t>that</w:t>
      </w:r>
      <w:r>
        <w:t>,</w:t>
      </w:r>
      <w:r w:rsidRPr="00E00D18">
        <w:t xml:space="preserve"> in addition to the benefi</w:t>
      </w:r>
      <w:r>
        <w:t xml:space="preserve">ts considered in this analysis, </w:t>
      </w:r>
      <w:r w:rsidRPr="004D1DC8">
        <w:t xml:space="preserve">the project is expected to </w:t>
      </w:r>
      <w:r w:rsidR="005370E0">
        <w:t xml:space="preserve">have a substantial </w:t>
      </w:r>
      <w:r w:rsidR="001F0540">
        <w:t>demonstrat</w:t>
      </w:r>
      <w:r w:rsidR="005370E0">
        <w:t>ion effect on t</w:t>
      </w:r>
      <w:r w:rsidR="001F0540">
        <w:t xml:space="preserve">he private sector </w:t>
      </w:r>
      <w:r w:rsidR="00C17506">
        <w:t>investors</w:t>
      </w:r>
      <w:r w:rsidR="005370E0">
        <w:t xml:space="preserve"> and developers</w:t>
      </w:r>
      <w:r w:rsidR="001F0540">
        <w:t xml:space="preserve">. </w:t>
      </w:r>
    </w:p>
    <w:p w:rsidR="00C00D87" w:rsidRDefault="00C00D87" w:rsidP="00C00D87">
      <w:pPr>
        <w:pStyle w:val="Chapter"/>
        <w:tabs>
          <w:tab w:val="clear" w:pos="1440"/>
          <w:tab w:val="clear" w:pos="1800"/>
        </w:tabs>
        <w:spacing w:after="120"/>
        <w:ind w:left="0"/>
      </w:pPr>
      <w:bookmarkStart w:id="20" w:name="_Toc380599928"/>
      <w:r>
        <w:t>Sensitivity Analysis</w:t>
      </w:r>
      <w:bookmarkEnd w:id="20"/>
    </w:p>
    <w:p w:rsidR="00C00D87" w:rsidRDefault="00C00D87" w:rsidP="00C00D87">
      <w:pPr>
        <w:pStyle w:val="Paragraph"/>
        <w:tabs>
          <w:tab w:val="num" w:pos="720"/>
        </w:tabs>
        <w:spacing w:after="80"/>
        <w:ind w:left="720" w:hanging="720"/>
      </w:pPr>
      <w:r>
        <w:t xml:space="preserve">Complementary to these results, a sensitivity analysis is included in this section, where variations on key </w:t>
      </w:r>
      <w:r w:rsidR="00D71BD8">
        <w:t xml:space="preserve">parameters </w:t>
      </w:r>
      <w:r w:rsidR="005370E0">
        <w:t>(load factor, as a proxy to total production/capacity installed, cost of other renewable technologies, and CO</w:t>
      </w:r>
      <w:r w:rsidR="005370E0" w:rsidRPr="00856C25">
        <w:rPr>
          <w:vertAlign w:val="subscript"/>
        </w:rPr>
        <w:t>2</w:t>
      </w:r>
      <w:r w:rsidR="005370E0">
        <w:t xml:space="preserve"> price) </w:t>
      </w:r>
      <w:r>
        <w:t xml:space="preserve">are simulated to </w:t>
      </w:r>
      <w:r w:rsidR="005370E0">
        <w:t xml:space="preserve">gauge their </w:t>
      </w:r>
      <w:r>
        <w:t>impact</w:t>
      </w:r>
      <w:r w:rsidR="005370E0">
        <w:t xml:space="preserve"> on the benefits</w:t>
      </w:r>
      <w:r>
        <w:t xml:space="preserve">. In other words, </w:t>
      </w:r>
      <w:r w:rsidR="005370E0">
        <w:t xml:space="preserve">values are stressed </w:t>
      </w:r>
      <w:r w:rsidRPr="00A70B5D">
        <w:t xml:space="preserve">in order to verify the tolerance of the program to variations on the conditions that </w:t>
      </w:r>
      <w:r>
        <w:t>may have an impact on the results established above</w:t>
      </w:r>
      <w:r w:rsidRPr="00A70B5D">
        <w:t>.</w:t>
      </w:r>
    </w:p>
    <w:p w:rsidR="00C00D87" w:rsidRDefault="00C00D87" w:rsidP="00C00D87">
      <w:pPr>
        <w:pStyle w:val="Paragraph"/>
        <w:tabs>
          <w:tab w:val="num" w:pos="720"/>
        </w:tabs>
        <w:ind w:left="720" w:hanging="720"/>
      </w:pPr>
      <w:r>
        <w:t>The parameters that were changed for the sensitivity analysis and each of their</w:t>
      </w:r>
      <w:r w:rsidRPr="00A70B5D">
        <w:t xml:space="preserve"> </w:t>
      </w:r>
      <w:r w:rsidR="005370E0">
        <w:t>breakeven values (</w:t>
      </w:r>
      <w:r w:rsidRPr="00A70B5D">
        <w:t>minimum value</w:t>
      </w:r>
      <w:r w:rsidR="005370E0">
        <w:t>s</w:t>
      </w:r>
      <w:r w:rsidRPr="00A70B5D">
        <w:t xml:space="preserve"> for the program to </w:t>
      </w:r>
      <w:r>
        <w:t>remain</w:t>
      </w:r>
      <w:r w:rsidRPr="00A70B5D">
        <w:t xml:space="preserve"> viable</w:t>
      </w:r>
      <w:r w:rsidR="005370E0">
        <w:t xml:space="preserve">, </w:t>
      </w:r>
      <w:r w:rsidRPr="00A70B5D">
        <w:t xml:space="preserve">based on the analysis of the </w:t>
      </w:r>
      <w:r>
        <w:t>program NPV, discounting flows at a 12% rate</w:t>
      </w:r>
      <w:r w:rsidRPr="00A70B5D">
        <w:t>)</w:t>
      </w:r>
      <w:r>
        <w:t>, are shown in the table below. Hence, the program would become unviable only if the values of any of these variables, independently, were equal to or less than the figures indicated below</w:t>
      </w:r>
      <w:r w:rsidR="00D71BD8">
        <w:t xml:space="preserve"> (except for the i</w:t>
      </w:r>
      <w:r w:rsidR="00D71BD8" w:rsidRPr="00D71BD8">
        <w:t xml:space="preserve">nternational market price </w:t>
      </w:r>
      <w:r w:rsidR="00D71BD8">
        <w:t>per</w:t>
      </w:r>
      <w:r w:rsidR="00D71BD8" w:rsidRPr="00D71BD8">
        <w:t xml:space="preserve"> metric ton of CO</w:t>
      </w:r>
      <w:r w:rsidR="00D71BD8" w:rsidRPr="00D71BD8">
        <w:rPr>
          <w:vertAlign w:val="subscript"/>
        </w:rPr>
        <w:t>2</w:t>
      </w:r>
      <w:r w:rsidR="00D71BD8">
        <w:rPr>
          <w:vertAlign w:val="subscript"/>
        </w:rPr>
        <w:t xml:space="preserve">, </w:t>
      </w:r>
      <w:r w:rsidR="00D71BD8">
        <w:t>which is set at a minimum value of zero)</w:t>
      </w:r>
      <w:r>
        <w:t>.</w:t>
      </w:r>
    </w:p>
    <w:p w:rsidR="00C00D87" w:rsidRPr="0005081E" w:rsidRDefault="00C00D87" w:rsidP="00B06E65">
      <w:pPr>
        <w:pStyle w:val="Paragraph"/>
        <w:numPr>
          <w:ilvl w:val="0"/>
          <w:numId w:val="0"/>
        </w:numPr>
        <w:spacing w:before="0" w:after="0"/>
        <w:ind w:left="720"/>
        <w:jc w:val="center"/>
        <w:rPr>
          <w:b/>
          <w:sz w:val="20"/>
        </w:rPr>
      </w:pPr>
      <w:r w:rsidRPr="0005081E">
        <w:rPr>
          <w:b/>
          <w:sz w:val="20"/>
        </w:rPr>
        <w:t xml:space="preserve">Table 4.1: </w:t>
      </w:r>
      <w:r w:rsidRPr="0005081E">
        <w:rPr>
          <w:b/>
          <w:bCs/>
          <w:sz w:val="20"/>
        </w:rPr>
        <w:t>Summary of Sensitivity Analysis</w:t>
      </w:r>
    </w:p>
    <w:tbl>
      <w:tblPr>
        <w:tblStyle w:val="LightList"/>
        <w:tblpPr w:leftFromText="180" w:rightFromText="180" w:vertAnchor="text" w:tblpX="-162" w:tblpY="1"/>
        <w:tblW w:w="9846" w:type="dxa"/>
        <w:tblLook w:val="04A0" w:firstRow="1" w:lastRow="0" w:firstColumn="1" w:lastColumn="0" w:noHBand="0" w:noVBand="1"/>
      </w:tblPr>
      <w:tblGrid>
        <w:gridCol w:w="2142"/>
        <w:gridCol w:w="2412"/>
        <w:gridCol w:w="1944"/>
        <w:gridCol w:w="1800"/>
        <w:gridCol w:w="1548"/>
      </w:tblGrid>
      <w:tr w:rsidR="00A907B5" w:rsidRPr="0005081E" w:rsidTr="00A907B5">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142" w:type="dxa"/>
            <w:noWrap/>
            <w:hideMark/>
          </w:tcPr>
          <w:p w:rsidR="006242E0" w:rsidRPr="00856C25" w:rsidRDefault="006242E0" w:rsidP="00A907B5">
            <w:pPr>
              <w:pStyle w:val="BodyTextIndent"/>
              <w:spacing w:after="0" w:line="276" w:lineRule="auto"/>
              <w:ind w:left="0"/>
              <w:jc w:val="center"/>
              <w:rPr>
                <w:rFonts w:ascii="Times New Roman" w:hAnsi="Times New Roman" w:cs="Times New Roman"/>
                <w:sz w:val="20"/>
              </w:rPr>
            </w:pPr>
            <w:r w:rsidRPr="00856C25">
              <w:rPr>
                <w:rFonts w:ascii="Times New Roman" w:hAnsi="Times New Roman" w:cs="Times New Roman"/>
                <w:sz w:val="20"/>
              </w:rPr>
              <w:t>Parameter that was changed</w:t>
            </w:r>
          </w:p>
        </w:tc>
        <w:tc>
          <w:tcPr>
            <w:tcW w:w="2412" w:type="dxa"/>
          </w:tcPr>
          <w:p w:rsidR="006242E0" w:rsidRPr="00856C25" w:rsidRDefault="00DB31BB" w:rsidP="00A907B5">
            <w:pPr>
              <w:pStyle w:val="BodyTextIndent"/>
              <w:spacing w:after="0"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856C25">
              <w:rPr>
                <w:rFonts w:ascii="Times New Roman" w:hAnsi="Times New Roman" w:cs="Times New Roman"/>
                <w:sz w:val="20"/>
              </w:rPr>
              <w:t>Value Used for Economic Returns Estimations</w:t>
            </w:r>
          </w:p>
        </w:tc>
        <w:tc>
          <w:tcPr>
            <w:tcW w:w="1944" w:type="dxa"/>
            <w:hideMark/>
          </w:tcPr>
          <w:p w:rsidR="006242E0" w:rsidRPr="00856C25" w:rsidRDefault="00DB31BB" w:rsidP="00A907B5">
            <w:pPr>
              <w:pStyle w:val="BodyTextIndent"/>
              <w:spacing w:after="0"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856C25">
              <w:rPr>
                <w:rFonts w:ascii="Times New Roman" w:hAnsi="Times New Roman" w:cs="Times New Roman"/>
                <w:sz w:val="20"/>
              </w:rPr>
              <w:t>New Value for Sensitivity Analysis</w:t>
            </w:r>
          </w:p>
        </w:tc>
        <w:tc>
          <w:tcPr>
            <w:tcW w:w="1800" w:type="dxa"/>
            <w:hideMark/>
          </w:tcPr>
          <w:p w:rsidR="006242E0" w:rsidRPr="00856C25" w:rsidRDefault="00DB31BB" w:rsidP="00A907B5">
            <w:pPr>
              <w:pStyle w:val="BodyTextIndent"/>
              <w:spacing w:after="0"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856C25">
              <w:rPr>
                <w:rFonts w:ascii="Times New Roman" w:hAnsi="Times New Roman" w:cs="Times New Roman"/>
                <w:sz w:val="20"/>
              </w:rPr>
              <w:t>NPV with the new value</w:t>
            </w:r>
            <w:r w:rsidR="00B8663B" w:rsidRPr="00856C25">
              <w:rPr>
                <w:rFonts w:ascii="Times New Roman" w:hAnsi="Times New Roman" w:cs="Times New Roman"/>
                <w:sz w:val="20"/>
              </w:rPr>
              <w:t xml:space="preserve"> (MUSD)</w:t>
            </w:r>
          </w:p>
        </w:tc>
        <w:tc>
          <w:tcPr>
            <w:tcW w:w="1548" w:type="dxa"/>
            <w:hideMark/>
          </w:tcPr>
          <w:p w:rsidR="006242E0" w:rsidRPr="00856C25" w:rsidRDefault="006242E0" w:rsidP="00A907B5">
            <w:pPr>
              <w:pStyle w:val="BodyTextIndent"/>
              <w:spacing w:after="0"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856C25">
              <w:rPr>
                <w:rFonts w:ascii="Times New Roman" w:hAnsi="Times New Roman" w:cs="Times New Roman"/>
                <w:sz w:val="20"/>
              </w:rPr>
              <w:t>Variation in parameter (%)</w:t>
            </w:r>
          </w:p>
        </w:tc>
      </w:tr>
      <w:tr w:rsidR="005F1835" w:rsidRPr="0005081E" w:rsidTr="00A907B5">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2142" w:type="dxa"/>
            <w:vAlign w:val="center"/>
            <w:hideMark/>
          </w:tcPr>
          <w:p w:rsidR="006242E0" w:rsidRPr="00856C25" w:rsidRDefault="006242E0" w:rsidP="00A907B5">
            <w:pPr>
              <w:pStyle w:val="Paragraph"/>
              <w:numPr>
                <w:ilvl w:val="0"/>
                <w:numId w:val="0"/>
              </w:numPr>
              <w:spacing w:before="0" w:after="0"/>
              <w:jc w:val="left"/>
              <w:rPr>
                <w:sz w:val="18"/>
                <w:szCs w:val="18"/>
              </w:rPr>
            </w:pPr>
            <w:r w:rsidRPr="00856C25">
              <w:rPr>
                <w:sz w:val="18"/>
                <w:szCs w:val="18"/>
              </w:rPr>
              <w:t>Load capacity factor</w:t>
            </w:r>
            <w:r w:rsidR="001151D3">
              <w:rPr>
                <w:rStyle w:val="FootnoteReference"/>
                <w:sz w:val="18"/>
                <w:szCs w:val="18"/>
              </w:rPr>
              <w:footnoteReference w:id="24"/>
            </w:r>
          </w:p>
        </w:tc>
        <w:tc>
          <w:tcPr>
            <w:tcW w:w="2412" w:type="dxa"/>
            <w:vAlign w:val="center"/>
          </w:tcPr>
          <w:p w:rsidR="006242E0" w:rsidRPr="00856C25" w:rsidRDefault="00DB31BB" w:rsidP="00A907B5">
            <w:pPr>
              <w:pStyle w:val="Paragraph"/>
              <w:widowControl w:val="0"/>
              <w:numPr>
                <w:ilvl w:val="0"/>
                <w:numId w:val="0"/>
              </w:num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sz w:val="18"/>
                <w:szCs w:val="18"/>
              </w:rPr>
            </w:pPr>
            <w:r w:rsidRPr="00856C25">
              <w:rPr>
                <w:sz w:val="18"/>
                <w:szCs w:val="18"/>
              </w:rPr>
              <w:t>84%</w:t>
            </w:r>
          </w:p>
        </w:tc>
        <w:tc>
          <w:tcPr>
            <w:tcW w:w="1944" w:type="dxa"/>
            <w:noWrap/>
            <w:vAlign w:val="center"/>
            <w:hideMark/>
          </w:tcPr>
          <w:p w:rsidR="006242E0" w:rsidRPr="00856C25" w:rsidRDefault="008744E2" w:rsidP="00A907B5">
            <w:pPr>
              <w:pStyle w:val="Paragraph"/>
              <w:widowControl w:val="0"/>
              <w:numPr>
                <w:ilvl w:val="0"/>
                <w:numId w:val="0"/>
              </w:num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sz w:val="18"/>
                <w:szCs w:val="18"/>
              </w:rPr>
            </w:pPr>
            <w:r w:rsidRPr="00856C25">
              <w:rPr>
                <w:sz w:val="18"/>
                <w:szCs w:val="18"/>
              </w:rPr>
              <w:t>24.5</w:t>
            </w:r>
            <w:r w:rsidR="00AE1246" w:rsidRPr="00856C25">
              <w:rPr>
                <w:sz w:val="18"/>
                <w:szCs w:val="18"/>
              </w:rPr>
              <w:t>%</w:t>
            </w:r>
          </w:p>
        </w:tc>
        <w:tc>
          <w:tcPr>
            <w:tcW w:w="1800" w:type="dxa"/>
            <w:noWrap/>
            <w:vAlign w:val="center"/>
          </w:tcPr>
          <w:p w:rsidR="006242E0" w:rsidRPr="00856C25" w:rsidRDefault="00AE1246" w:rsidP="00A907B5">
            <w:pPr>
              <w:pStyle w:val="Paragraph"/>
              <w:widowControl w:val="0"/>
              <w:numPr>
                <w:ilvl w:val="0"/>
                <w:numId w:val="0"/>
              </w:num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sz w:val="18"/>
                <w:szCs w:val="18"/>
              </w:rPr>
            </w:pPr>
            <w:r w:rsidRPr="00856C25">
              <w:rPr>
                <w:sz w:val="18"/>
                <w:szCs w:val="18"/>
              </w:rPr>
              <w:t>0</w:t>
            </w:r>
          </w:p>
        </w:tc>
        <w:tc>
          <w:tcPr>
            <w:tcW w:w="1548" w:type="dxa"/>
            <w:noWrap/>
            <w:vAlign w:val="center"/>
          </w:tcPr>
          <w:p w:rsidR="006242E0" w:rsidRPr="00856C25" w:rsidRDefault="00D85265" w:rsidP="008662FA">
            <w:pPr>
              <w:pStyle w:val="Paragraph"/>
              <w:widowControl w:val="0"/>
              <w:numPr>
                <w:ilvl w:val="0"/>
                <w:numId w:val="0"/>
              </w:num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b/>
                <w:sz w:val="18"/>
                <w:szCs w:val="18"/>
              </w:rPr>
            </w:pPr>
            <w:r w:rsidRPr="00856C25">
              <w:rPr>
                <w:b/>
                <w:sz w:val="18"/>
                <w:szCs w:val="18"/>
              </w:rPr>
              <w:t>-</w:t>
            </w:r>
            <w:r w:rsidR="008662FA" w:rsidRPr="00856C25">
              <w:rPr>
                <w:b/>
                <w:sz w:val="18"/>
                <w:szCs w:val="18"/>
              </w:rPr>
              <w:t>70.4</w:t>
            </w:r>
            <w:r w:rsidR="00B8663B" w:rsidRPr="00856C25">
              <w:rPr>
                <w:b/>
                <w:sz w:val="18"/>
                <w:szCs w:val="18"/>
              </w:rPr>
              <w:t>%</w:t>
            </w:r>
          </w:p>
        </w:tc>
      </w:tr>
      <w:tr w:rsidR="005F1835" w:rsidRPr="0005081E" w:rsidTr="00A907B5">
        <w:trPr>
          <w:trHeight w:val="67"/>
        </w:trPr>
        <w:tc>
          <w:tcPr>
            <w:cnfStyle w:val="001000000000" w:firstRow="0" w:lastRow="0" w:firstColumn="1" w:lastColumn="0" w:oddVBand="0" w:evenVBand="0" w:oddHBand="0" w:evenHBand="0" w:firstRowFirstColumn="0" w:firstRowLastColumn="0" w:lastRowFirstColumn="0" w:lastRowLastColumn="0"/>
            <w:tcW w:w="2142" w:type="dxa"/>
            <w:vAlign w:val="center"/>
            <w:hideMark/>
          </w:tcPr>
          <w:p w:rsidR="006242E0" w:rsidRPr="00856C25" w:rsidRDefault="006242E0" w:rsidP="00A907B5">
            <w:pPr>
              <w:pStyle w:val="Paragraph"/>
              <w:widowControl w:val="0"/>
              <w:numPr>
                <w:ilvl w:val="0"/>
                <w:numId w:val="0"/>
              </w:numPr>
              <w:autoSpaceDE w:val="0"/>
              <w:autoSpaceDN w:val="0"/>
              <w:adjustRightInd w:val="0"/>
              <w:spacing w:before="0" w:after="0"/>
              <w:jc w:val="left"/>
              <w:rPr>
                <w:sz w:val="18"/>
                <w:szCs w:val="18"/>
              </w:rPr>
            </w:pPr>
            <w:r w:rsidRPr="00856C25">
              <w:rPr>
                <w:sz w:val="18"/>
                <w:szCs w:val="18"/>
              </w:rPr>
              <w:lastRenderedPageBreak/>
              <w:t>Cost of pool of energies</w:t>
            </w:r>
          </w:p>
        </w:tc>
        <w:tc>
          <w:tcPr>
            <w:tcW w:w="2412" w:type="dxa"/>
            <w:vAlign w:val="center"/>
          </w:tcPr>
          <w:p w:rsidR="006242E0" w:rsidRPr="00856C25" w:rsidRDefault="006242E0" w:rsidP="00A907B5">
            <w:pPr>
              <w:pStyle w:val="Paragraph"/>
              <w:widowControl w:val="0"/>
              <w:numPr>
                <w:ilvl w:val="0"/>
                <w:numId w:val="0"/>
              </w:num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856C25">
              <w:rPr>
                <w:sz w:val="18"/>
                <w:szCs w:val="18"/>
              </w:rPr>
              <w:t>11</w:t>
            </w:r>
            <w:r w:rsidR="00060760" w:rsidRPr="00856C25">
              <w:rPr>
                <w:sz w:val="18"/>
                <w:szCs w:val="18"/>
              </w:rPr>
              <w:t>7.69</w:t>
            </w:r>
            <w:r w:rsidRPr="00856C25">
              <w:rPr>
                <w:sz w:val="18"/>
                <w:szCs w:val="18"/>
              </w:rPr>
              <w:t xml:space="preserve"> USD/Mwh</w:t>
            </w:r>
          </w:p>
        </w:tc>
        <w:tc>
          <w:tcPr>
            <w:tcW w:w="1944" w:type="dxa"/>
            <w:noWrap/>
            <w:vAlign w:val="center"/>
            <w:hideMark/>
          </w:tcPr>
          <w:p w:rsidR="006242E0" w:rsidRPr="00856C25" w:rsidRDefault="008744E2" w:rsidP="008744E2">
            <w:pPr>
              <w:pStyle w:val="Paragraph"/>
              <w:widowControl w:val="0"/>
              <w:numPr>
                <w:ilvl w:val="0"/>
                <w:numId w:val="0"/>
              </w:num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856C25">
              <w:rPr>
                <w:sz w:val="18"/>
                <w:szCs w:val="18"/>
              </w:rPr>
              <w:t>98.13</w:t>
            </w:r>
            <w:r w:rsidR="00B8663B" w:rsidRPr="00856C25">
              <w:rPr>
                <w:sz w:val="18"/>
                <w:szCs w:val="18"/>
              </w:rPr>
              <w:t xml:space="preserve"> USD/Mwh</w:t>
            </w:r>
          </w:p>
        </w:tc>
        <w:tc>
          <w:tcPr>
            <w:tcW w:w="1800" w:type="dxa"/>
            <w:noWrap/>
            <w:vAlign w:val="center"/>
          </w:tcPr>
          <w:p w:rsidR="006242E0" w:rsidRPr="00856C25" w:rsidRDefault="00B8663B" w:rsidP="00A907B5">
            <w:pPr>
              <w:pStyle w:val="Paragraph"/>
              <w:widowControl w:val="0"/>
              <w:numPr>
                <w:ilvl w:val="0"/>
                <w:numId w:val="0"/>
              </w:num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856C25">
              <w:rPr>
                <w:sz w:val="18"/>
                <w:szCs w:val="18"/>
              </w:rPr>
              <w:t>0</w:t>
            </w:r>
          </w:p>
        </w:tc>
        <w:tc>
          <w:tcPr>
            <w:tcW w:w="1548" w:type="dxa"/>
            <w:noWrap/>
            <w:vAlign w:val="center"/>
          </w:tcPr>
          <w:p w:rsidR="006242E0" w:rsidRPr="00856C25" w:rsidRDefault="00B8663B" w:rsidP="008662FA">
            <w:pPr>
              <w:pStyle w:val="Paragraph"/>
              <w:widowControl w:val="0"/>
              <w:numPr>
                <w:ilvl w:val="0"/>
                <w:numId w:val="0"/>
              </w:num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b/>
                <w:sz w:val="18"/>
                <w:szCs w:val="18"/>
              </w:rPr>
            </w:pPr>
            <w:r w:rsidRPr="00856C25">
              <w:rPr>
                <w:b/>
                <w:sz w:val="18"/>
                <w:szCs w:val="18"/>
              </w:rPr>
              <w:t>-</w:t>
            </w:r>
            <w:r w:rsidR="008662FA" w:rsidRPr="00856C25">
              <w:rPr>
                <w:b/>
                <w:sz w:val="18"/>
                <w:szCs w:val="18"/>
              </w:rPr>
              <w:t>16.62</w:t>
            </w:r>
            <w:r w:rsidRPr="00856C25">
              <w:rPr>
                <w:b/>
                <w:sz w:val="18"/>
                <w:szCs w:val="18"/>
              </w:rPr>
              <w:t>%</w:t>
            </w:r>
          </w:p>
        </w:tc>
      </w:tr>
      <w:tr w:rsidR="005F1835" w:rsidRPr="0005081E" w:rsidTr="00A907B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142" w:type="dxa"/>
            <w:vAlign w:val="center"/>
          </w:tcPr>
          <w:p w:rsidR="000C51AF" w:rsidRPr="00856C25" w:rsidRDefault="00DB31BB" w:rsidP="00A907B5">
            <w:pPr>
              <w:pStyle w:val="Paragraph"/>
              <w:widowControl w:val="0"/>
              <w:numPr>
                <w:ilvl w:val="0"/>
                <w:numId w:val="0"/>
              </w:numPr>
              <w:autoSpaceDE w:val="0"/>
              <w:autoSpaceDN w:val="0"/>
              <w:adjustRightInd w:val="0"/>
              <w:spacing w:before="0" w:after="0"/>
              <w:jc w:val="left"/>
              <w:rPr>
                <w:sz w:val="18"/>
                <w:szCs w:val="18"/>
              </w:rPr>
            </w:pPr>
            <w:r w:rsidRPr="00856C25">
              <w:rPr>
                <w:sz w:val="20"/>
              </w:rPr>
              <w:t>PxMTCO</w:t>
            </w:r>
            <w:r w:rsidRPr="00856C25">
              <w:rPr>
                <w:sz w:val="20"/>
                <w:vertAlign w:val="subscript"/>
              </w:rPr>
              <w:t>2</w:t>
            </w:r>
            <w:r w:rsidRPr="00856C25">
              <w:rPr>
                <w:sz w:val="20"/>
              </w:rPr>
              <w:t xml:space="preserve"> (USD)</w:t>
            </w:r>
          </w:p>
        </w:tc>
        <w:tc>
          <w:tcPr>
            <w:tcW w:w="2412" w:type="dxa"/>
            <w:vAlign w:val="center"/>
          </w:tcPr>
          <w:p w:rsidR="000C51AF" w:rsidRPr="00856C25" w:rsidRDefault="00B8663B" w:rsidP="00A907B5">
            <w:pPr>
              <w:pStyle w:val="Paragraph"/>
              <w:widowControl w:val="0"/>
              <w:numPr>
                <w:ilvl w:val="0"/>
                <w:numId w:val="0"/>
              </w:num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sz w:val="18"/>
                <w:szCs w:val="18"/>
              </w:rPr>
            </w:pPr>
            <w:r w:rsidRPr="00856C25">
              <w:rPr>
                <w:sz w:val="18"/>
                <w:szCs w:val="18"/>
              </w:rPr>
              <w:t>5.88</w:t>
            </w:r>
          </w:p>
        </w:tc>
        <w:tc>
          <w:tcPr>
            <w:tcW w:w="1944" w:type="dxa"/>
            <w:noWrap/>
            <w:vAlign w:val="center"/>
          </w:tcPr>
          <w:p w:rsidR="000C51AF" w:rsidRPr="00856C25" w:rsidRDefault="00B8663B" w:rsidP="00A907B5">
            <w:pPr>
              <w:pStyle w:val="Paragraph"/>
              <w:widowControl w:val="0"/>
              <w:numPr>
                <w:ilvl w:val="0"/>
                <w:numId w:val="0"/>
              </w:num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sz w:val="18"/>
                <w:szCs w:val="18"/>
              </w:rPr>
            </w:pPr>
            <w:r w:rsidRPr="00856C25">
              <w:rPr>
                <w:sz w:val="18"/>
                <w:szCs w:val="18"/>
              </w:rPr>
              <w:t>0</w:t>
            </w:r>
          </w:p>
        </w:tc>
        <w:tc>
          <w:tcPr>
            <w:tcW w:w="1800" w:type="dxa"/>
            <w:noWrap/>
            <w:vAlign w:val="center"/>
          </w:tcPr>
          <w:p w:rsidR="000C51AF" w:rsidRPr="00856C25" w:rsidRDefault="008744E2" w:rsidP="008744E2">
            <w:pPr>
              <w:pStyle w:val="Paragraph"/>
              <w:widowControl w:val="0"/>
              <w:numPr>
                <w:ilvl w:val="0"/>
                <w:numId w:val="0"/>
              </w:num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sz w:val="18"/>
                <w:szCs w:val="18"/>
              </w:rPr>
            </w:pPr>
            <w:r w:rsidRPr="00856C25">
              <w:rPr>
                <w:sz w:val="18"/>
                <w:szCs w:val="18"/>
              </w:rPr>
              <w:t>165.30</w:t>
            </w:r>
          </w:p>
        </w:tc>
        <w:tc>
          <w:tcPr>
            <w:tcW w:w="1548" w:type="dxa"/>
            <w:noWrap/>
            <w:vAlign w:val="center"/>
          </w:tcPr>
          <w:p w:rsidR="000C51AF" w:rsidRPr="0005081E" w:rsidRDefault="00B8663B" w:rsidP="00A907B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b/>
                <w:sz w:val="18"/>
                <w:szCs w:val="18"/>
              </w:rPr>
            </w:pPr>
            <w:r w:rsidRPr="00856C25">
              <w:rPr>
                <w:b/>
                <w:sz w:val="18"/>
                <w:szCs w:val="18"/>
              </w:rPr>
              <w:t>- 100%</w:t>
            </w:r>
          </w:p>
        </w:tc>
      </w:tr>
    </w:tbl>
    <w:p w:rsidR="00C00D87" w:rsidRPr="003E295E" w:rsidRDefault="003E295E" w:rsidP="003E295E">
      <w:pPr>
        <w:pStyle w:val="Paragraph"/>
        <w:numPr>
          <w:ilvl w:val="0"/>
          <w:numId w:val="0"/>
        </w:numPr>
        <w:spacing w:before="0" w:after="0"/>
        <w:ind w:left="-270"/>
        <w:jc w:val="left"/>
        <w:rPr>
          <w:i/>
          <w:sz w:val="20"/>
          <w:szCs w:val="20"/>
        </w:rPr>
      </w:pPr>
      <w:r w:rsidRPr="0005081E">
        <w:rPr>
          <w:i/>
          <w:sz w:val="20"/>
          <w:szCs w:val="20"/>
        </w:rPr>
        <w:t>Source: Developed by author</w:t>
      </w:r>
      <w:r w:rsidR="00AC2374" w:rsidRPr="0005081E">
        <w:rPr>
          <w:i/>
          <w:sz w:val="20"/>
          <w:szCs w:val="20"/>
        </w:rPr>
        <w:t>, 2013</w:t>
      </w:r>
      <w:r w:rsidR="00C00D87" w:rsidRPr="003E295E">
        <w:rPr>
          <w:i/>
          <w:sz w:val="20"/>
          <w:szCs w:val="20"/>
        </w:rPr>
        <w:br w:type="textWrapping" w:clear="all"/>
      </w:r>
    </w:p>
    <w:p w:rsidR="00C00D87" w:rsidRDefault="00C00D87" w:rsidP="00C00D87">
      <w:pPr>
        <w:pStyle w:val="Chapter"/>
        <w:tabs>
          <w:tab w:val="clear" w:pos="1440"/>
          <w:tab w:val="clear" w:pos="1800"/>
        </w:tabs>
        <w:spacing w:after="120"/>
        <w:ind w:left="0"/>
      </w:pPr>
      <w:bookmarkStart w:id="21" w:name="_Toc380599929"/>
      <w:r>
        <w:t>Conclusions</w:t>
      </w:r>
      <w:bookmarkEnd w:id="21"/>
    </w:p>
    <w:p w:rsidR="00C00D87" w:rsidRPr="00902935" w:rsidRDefault="00C00D87" w:rsidP="00C00D87">
      <w:pPr>
        <w:pStyle w:val="Paragraph"/>
        <w:tabs>
          <w:tab w:val="num" w:pos="720"/>
        </w:tabs>
        <w:spacing w:after="80"/>
        <w:ind w:left="720" w:hanging="720"/>
      </w:pPr>
      <w:r w:rsidRPr="00902935">
        <w:t>The cost benefit analysis shows how the discounted benefits are greater than the discounted costs, thus resulting in a positive net present value</w:t>
      </w:r>
      <w:r>
        <w:t xml:space="preserve"> (NPV)</w:t>
      </w:r>
      <w:r w:rsidRPr="00902935">
        <w:t>.</w:t>
      </w:r>
    </w:p>
    <w:p w:rsidR="00C00D87" w:rsidRDefault="00C00D87" w:rsidP="00C00D87">
      <w:pPr>
        <w:pStyle w:val="Paragraph"/>
        <w:tabs>
          <w:tab w:val="num" w:pos="720"/>
        </w:tabs>
        <w:spacing w:after="80"/>
        <w:ind w:left="720" w:hanging="720"/>
      </w:pPr>
      <w:r w:rsidRPr="00902935">
        <w:t xml:space="preserve">With regards to the benefits of the program, the NPV of the </w:t>
      </w:r>
      <w:r w:rsidR="004547DB">
        <w:t>two</w:t>
      </w:r>
      <w:r w:rsidRPr="00902935">
        <w:t xml:space="preserve"> benefits considered</w:t>
      </w:r>
      <w:r>
        <w:t xml:space="preserve"> </w:t>
      </w:r>
      <w:r w:rsidRPr="006F28A7">
        <w:t>(</w:t>
      </w:r>
      <w:r>
        <w:t xml:space="preserve">see </w:t>
      </w:r>
      <w:r w:rsidRPr="0010568D">
        <w:rPr>
          <w:b/>
        </w:rPr>
        <w:t xml:space="preserve">Section III: </w:t>
      </w:r>
      <w:r w:rsidR="004547DB">
        <w:rPr>
          <w:b/>
          <w:i/>
        </w:rPr>
        <w:t>Results of the Analysis</w:t>
      </w:r>
      <w:r>
        <w:t xml:space="preserve"> for more detail</w:t>
      </w:r>
      <w:r w:rsidRPr="006F28A7">
        <w:t>)</w:t>
      </w:r>
      <w:r w:rsidRPr="00902935">
        <w:t>, add up to</w:t>
      </w:r>
      <w:r>
        <w:t xml:space="preserve"> a total </w:t>
      </w:r>
      <w:r w:rsidR="004F5D35">
        <w:t xml:space="preserve">of USD </w:t>
      </w:r>
      <w:r w:rsidR="008744E2">
        <w:t>274.77</w:t>
      </w:r>
      <w:r w:rsidR="00D71BD8">
        <w:t xml:space="preserve"> </w:t>
      </w:r>
      <w:r>
        <w:t>million</w:t>
      </w:r>
      <w:r w:rsidRPr="00902935">
        <w:t xml:space="preserve">. This amount represents a higher value than that of the discounted flows from the </w:t>
      </w:r>
      <w:r>
        <w:t xml:space="preserve">total </w:t>
      </w:r>
      <w:r w:rsidRPr="00902935">
        <w:t xml:space="preserve">costs of the program, </w:t>
      </w:r>
      <w:r>
        <w:t xml:space="preserve">which result on </w:t>
      </w:r>
      <w:r w:rsidRPr="00902935">
        <w:t xml:space="preserve">USD </w:t>
      </w:r>
      <w:r w:rsidR="007F75D1">
        <w:t>80.24</w:t>
      </w:r>
      <w:r w:rsidRPr="00902935">
        <w:t xml:space="preserve"> mill</w:t>
      </w:r>
      <w:r>
        <w:t>ion</w:t>
      </w:r>
      <w:r w:rsidRPr="00902935">
        <w:t xml:space="preserve">. Hence, the monetary net benefits of the program </w:t>
      </w:r>
      <w:r>
        <w:t xml:space="preserve">are estimated on </w:t>
      </w:r>
      <w:r w:rsidRPr="00902935">
        <w:t xml:space="preserve">USD </w:t>
      </w:r>
      <w:r w:rsidR="008744E2">
        <w:t>194.53</w:t>
      </w:r>
      <w:r w:rsidR="00D71BD8">
        <w:t xml:space="preserve"> </w:t>
      </w:r>
      <w:r w:rsidRPr="00902935">
        <w:t>mill</w:t>
      </w:r>
      <w:r>
        <w:t>i</w:t>
      </w:r>
      <w:r w:rsidRPr="00902935">
        <w:t xml:space="preserve">on. In addition, the sensitivity analysis shows that even when </w:t>
      </w:r>
      <w:r>
        <w:t>changing</w:t>
      </w:r>
      <w:r w:rsidRPr="00902935">
        <w:t xml:space="preserve"> the value of the parameters used for the calculati</w:t>
      </w:r>
      <w:r>
        <w:t>ons, the program remains viable for a wide range of values</w:t>
      </w:r>
      <w:r w:rsidRPr="00902935">
        <w:t xml:space="preserve">. </w:t>
      </w:r>
    </w:p>
    <w:p w:rsidR="00C00D87" w:rsidRPr="00CC3392" w:rsidRDefault="00C00D87" w:rsidP="004F5D35">
      <w:pPr>
        <w:pStyle w:val="Paragraph"/>
        <w:tabs>
          <w:tab w:val="num" w:pos="720"/>
        </w:tabs>
        <w:spacing w:after="80"/>
        <w:ind w:left="720" w:hanging="720"/>
      </w:pPr>
      <w:r>
        <w:t>There are</w:t>
      </w:r>
      <w:r w:rsidRPr="0010568D">
        <w:t xml:space="preserve"> relevant factors that entail </w:t>
      </w:r>
      <w:r>
        <w:t xml:space="preserve">rather prudent and conservative </w:t>
      </w:r>
      <w:r w:rsidRPr="0010568D">
        <w:t>calculation</w:t>
      </w:r>
      <w:r>
        <w:t>s</w:t>
      </w:r>
      <w:r w:rsidRPr="0010568D">
        <w:t xml:space="preserve"> </w:t>
      </w:r>
      <w:r>
        <w:t>for</w:t>
      </w:r>
      <w:r w:rsidRPr="0010568D">
        <w:t xml:space="preserve"> this analysis, </w:t>
      </w:r>
      <w:r>
        <w:t xml:space="preserve">which are </w:t>
      </w:r>
      <w:r w:rsidRPr="0010568D">
        <w:t xml:space="preserve">likely </w:t>
      </w:r>
      <w:r>
        <w:t>to have resulted</w:t>
      </w:r>
      <w:r w:rsidRPr="0010568D">
        <w:t xml:space="preserve"> on an u</w:t>
      </w:r>
      <w:r>
        <w:t xml:space="preserve">nderestimation of the real benefits of the program. </w:t>
      </w:r>
    </w:p>
    <w:p w:rsidR="00C00D87" w:rsidRPr="00902935" w:rsidRDefault="00C00D87" w:rsidP="00C00D87">
      <w:pPr>
        <w:pStyle w:val="Paragraph"/>
        <w:tabs>
          <w:tab w:val="num" w:pos="720"/>
        </w:tabs>
        <w:spacing w:after="80"/>
        <w:ind w:left="720" w:hanging="720"/>
      </w:pPr>
      <w:r>
        <w:t>In general, the p</w:t>
      </w:r>
      <w:r w:rsidRPr="005F3AEE">
        <w:t>roject team has used plausible and contrasted assumptions</w:t>
      </w:r>
      <w:r>
        <w:t>, with aims of a conservative approach for the analysis. Based on this</w:t>
      </w:r>
      <w:r w:rsidRPr="005D707A">
        <w:t xml:space="preserve">, the </w:t>
      </w:r>
      <w:r>
        <w:t>p</w:t>
      </w:r>
      <w:r w:rsidRPr="005D707A">
        <w:t>roject team recommends the Bank approve</w:t>
      </w:r>
      <w:r>
        <w:t>s the financing of this program</w:t>
      </w:r>
      <w:r w:rsidRPr="005D707A">
        <w:t>.</w:t>
      </w:r>
    </w:p>
    <w:p w:rsidR="00C00D87" w:rsidRDefault="00C00D87" w:rsidP="00C00D87">
      <w:pPr>
        <w:jc w:val="both"/>
        <w:rPr>
          <w:rFonts w:ascii="Times New Roman" w:hAnsi="Times New Roman"/>
          <w:sz w:val="24"/>
        </w:rPr>
      </w:pPr>
    </w:p>
    <w:p w:rsidR="00710F7A" w:rsidRDefault="00710F7A" w:rsidP="00C00D87">
      <w:pPr>
        <w:jc w:val="both"/>
        <w:rPr>
          <w:rFonts w:ascii="Times New Roman" w:hAnsi="Times New Roman"/>
          <w:sz w:val="24"/>
        </w:rPr>
      </w:pPr>
    </w:p>
    <w:p w:rsidR="00710F7A" w:rsidRPr="00E00D18" w:rsidRDefault="00710F7A" w:rsidP="00C00D87">
      <w:pPr>
        <w:jc w:val="both"/>
        <w:rPr>
          <w:rFonts w:ascii="Times New Roman" w:hAnsi="Times New Roman"/>
          <w:sz w:val="24"/>
        </w:rPr>
        <w:sectPr w:rsidR="00710F7A" w:rsidRPr="00E00D18" w:rsidSect="00856C25">
          <w:headerReference w:type="default" r:id="rId19"/>
          <w:pgSz w:w="12240" w:h="15840"/>
          <w:pgMar w:top="1170" w:right="1800" w:bottom="1440" w:left="1800" w:header="720" w:footer="720" w:gutter="0"/>
          <w:cols w:space="720"/>
          <w:titlePg/>
          <w:docGrid w:linePitch="360"/>
        </w:sectPr>
      </w:pPr>
    </w:p>
    <w:p w:rsidR="00C00D87" w:rsidRPr="00C74CD8" w:rsidRDefault="00C00D87" w:rsidP="00C74CD8">
      <w:pPr>
        <w:pStyle w:val="Chapter"/>
        <w:numPr>
          <w:ilvl w:val="0"/>
          <w:numId w:val="0"/>
        </w:numPr>
        <w:tabs>
          <w:tab w:val="clear" w:pos="1440"/>
        </w:tabs>
        <w:spacing w:after="120"/>
        <w:ind w:left="288"/>
      </w:pPr>
      <w:bookmarkStart w:id="22" w:name="_Toc380599930"/>
      <w:r w:rsidRPr="00C74CD8">
        <w:lastRenderedPageBreak/>
        <w:t>Annex 1. Detailed annual cash flows – Cost-benefit analysis</w:t>
      </w:r>
      <w:bookmarkEnd w:id="22"/>
    </w:p>
    <w:p w:rsidR="00C00D87" w:rsidRDefault="00C00D87" w:rsidP="00C00D87">
      <w:pPr>
        <w:ind w:left="450" w:hanging="450"/>
        <w:jc w:val="both"/>
        <w:rPr>
          <w:rFonts w:ascii="Times New Roman" w:hAnsi="Times New Roman"/>
          <w:sz w:val="24"/>
        </w:rPr>
      </w:pPr>
    </w:p>
    <w:p w:rsidR="00C00D87" w:rsidRDefault="00C00D87">
      <w:pPr>
        <w:ind w:left="-450"/>
        <w:jc w:val="both"/>
        <w:rPr>
          <w:rFonts w:ascii="Times New Roman" w:hAnsi="Times New Roman"/>
          <w:sz w:val="24"/>
        </w:rPr>
      </w:pPr>
    </w:p>
    <w:p w:rsidR="000B6659" w:rsidRDefault="00584F41" w:rsidP="00C00D87">
      <w:pPr>
        <w:ind w:left="-450"/>
        <w:jc w:val="both"/>
        <w:rPr>
          <w:rFonts w:ascii="Times New Roman" w:hAnsi="Times New Roman"/>
          <w:sz w:val="24"/>
        </w:rPr>
      </w:pPr>
      <w:r w:rsidRPr="00584F41">
        <w:rPr>
          <w:noProof/>
        </w:rPr>
        <w:drawing>
          <wp:inline distT="0" distB="0" distL="0" distR="0" wp14:anchorId="474864D1" wp14:editId="3F5071AE">
            <wp:extent cx="8229600" cy="1312153"/>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29600" cy="1312153"/>
                    </a:xfrm>
                    <a:prstGeom prst="rect">
                      <a:avLst/>
                    </a:prstGeom>
                    <a:noFill/>
                    <a:ln>
                      <a:noFill/>
                    </a:ln>
                  </pic:spPr>
                </pic:pic>
              </a:graphicData>
            </a:graphic>
          </wp:inline>
        </w:drawing>
      </w:r>
    </w:p>
    <w:p w:rsidR="00C00D87" w:rsidRDefault="00C00D87" w:rsidP="00C00D87">
      <w:pPr>
        <w:ind w:left="-450"/>
        <w:jc w:val="both"/>
        <w:rPr>
          <w:rFonts w:ascii="Times New Roman" w:hAnsi="Times New Roman"/>
          <w:sz w:val="24"/>
        </w:rPr>
      </w:pPr>
    </w:p>
    <w:p w:rsidR="00C00D87" w:rsidRDefault="00C00D87" w:rsidP="00C00D87">
      <w:pPr>
        <w:ind w:left="-450"/>
        <w:jc w:val="both"/>
        <w:rPr>
          <w:rFonts w:ascii="Times New Roman" w:hAnsi="Times New Roman"/>
          <w:sz w:val="24"/>
        </w:rPr>
      </w:pPr>
    </w:p>
    <w:p w:rsidR="00C00D87" w:rsidRDefault="00C00D87" w:rsidP="00C00D87">
      <w:pPr>
        <w:ind w:left="-450"/>
        <w:jc w:val="both"/>
        <w:rPr>
          <w:rFonts w:ascii="Times New Roman" w:hAnsi="Times New Roman"/>
          <w:sz w:val="24"/>
        </w:rPr>
      </w:pPr>
    </w:p>
    <w:p w:rsidR="00C00D87" w:rsidRDefault="00C00D87" w:rsidP="00C00D87">
      <w:pPr>
        <w:ind w:left="-450"/>
        <w:jc w:val="both"/>
        <w:rPr>
          <w:rFonts w:ascii="Times New Roman" w:hAnsi="Times New Roman"/>
          <w:sz w:val="24"/>
        </w:rPr>
      </w:pPr>
    </w:p>
    <w:p w:rsidR="00350DBE" w:rsidRDefault="00350DBE" w:rsidP="00C00D87">
      <w:pPr>
        <w:sectPr w:rsidR="00350DBE" w:rsidSect="007B2B31">
          <w:pgSz w:w="15840" w:h="12240" w:orient="landscape"/>
          <w:pgMar w:top="1440" w:right="1440" w:bottom="1440" w:left="1440" w:header="720" w:footer="720" w:gutter="0"/>
          <w:cols w:space="720"/>
          <w:docGrid w:linePitch="360"/>
        </w:sectPr>
      </w:pPr>
    </w:p>
    <w:p w:rsidR="00C342A7" w:rsidRPr="00856C25" w:rsidRDefault="00C342A7" w:rsidP="00856C25">
      <w:pPr>
        <w:pStyle w:val="Chapter"/>
        <w:numPr>
          <w:ilvl w:val="0"/>
          <w:numId w:val="0"/>
        </w:numPr>
        <w:tabs>
          <w:tab w:val="clear" w:pos="1440"/>
        </w:tabs>
        <w:spacing w:after="120"/>
        <w:ind w:left="288"/>
      </w:pPr>
      <w:bookmarkStart w:id="23" w:name="_Toc380599931"/>
      <w:r w:rsidRPr="00856C25">
        <w:lastRenderedPageBreak/>
        <w:t>ANNEX 2</w:t>
      </w:r>
      <w:r w:rsidR="007420DE" w:rsidRPr="00CF7B49">
        <w:t xml:space="preserve">. </w:t>
      </w:r>
      <w:r w:rsidRPr="00856C25">
        <w:t>AN ILLUSTRATIVE CASE OF GOVERNMENT COST-SHARING OF EXPLORATION COSTS</w:t>
      </w:r>
      <w:bookmarkEnd w:id="23"/>
      <w:r w:rsidRPr="00856C25">
        <w:t xml:space="preserve"> </w:t>
      </w:r>
    </w:p>
    <w:p w:rsidR="00C342A7" w:rsidRDefault="00C342A7" w:rsidP="00C342A7">
      <w:pPr>
        <w:pStyle w:val="CM89"/>
        <w:spacing w:after="92" w:line="280" w:lineRule="atLeast"/>
        <w:rPr>
          <w:rFonts w:ascii="CJEEG B+ Helvetica LT Std" w:hAnsi="CJEEG B+ Helvetica LT Std" w:cs="CJEEG B+ Helvetica LT Std"/>
          <w:b/>
          <w:bCs/>
          <w:color w:val="1585A1"/>
          <w:sz w:val="22"/>
          <w:szCs w:val="22"/>
          <w:lang w:val="en-US"/>
        </w:rPr>
      </w:pPr>
    </w:p>
    <w:p w:rsidR="00C342A7" w:rsidRPr="00710EF7" w:rsidRDefault="00C342A7" w:rsidP="00C342A7">
      <w:pPr>
        <w:pStyle w:val="CM89"/>
        <w:spacing w:after="92" w:line="280" w:lineRule="atLeast"/>
        <w:rPr>
          <w:rFonts w:ascii="CJEEG B+ Helvetica LT Std" w:hAnsi="CJEEG B+ Helvetica LT Std" w:cs="CJEEG B+ Helvetica LT Std"/>
          <w:color w:val="1585A1"/>
          <w:sz w:val="22"/>
          <w:szCs w:val="22"/>
          <w:lang w:val="en-US"/>
        </w:rPr>
      </w:pPr>
      <w:r w:rsidRPr="00710EF7">
        <w:rPr>
          <w:rFonts w:ascii="CJEEG B+ Helvetica LT Std" w:hAnsi="CJEEG B+ Helvetica LT Std" w:cs="CJEEG B+ Helvetica LT Std"/>
          <w:b/>
          <w:bCs/>
          <w:color w:val="1585A1"/>
          <w:sz w:val="22"/>
          <w:szCs w:val="22"/>
          <w:lang w:val="en-US"/>
        </w:rPr>
        <w:t xml:space="preserve">METHODOLOGY </w:t>
      </w:r>
    </w:p>
    <w:p w:rsidR="00C342A7" w:rsidRPr="00856C25" w:rsidRDefault="00C342A7" w:rsidP="00C342A7">
      <w:pPr>
        <w:pStyle w:val="CM89"/>
        <w:spacing w:after="92" w:line="280" w:lineRule="atLeast"/>
        <w:ind w:right="100"/>
        <w:jc w:val="both"/>
        <w:rPr>
          <w:rFonts w:ascii="Times New Roman" w:hAnsi="Times New Roman" w:cs="Times New Roman"/>
          <w:szCs w:val="18"/>
          <w:lang w:val="en-US"/>
        </w:rPr>
      </w:pPr>
      <w:r w:rsidRPr="00856C25">
        <w:rPr>
          <w:rFonts w:ascii="Times New Roman" w:hAnsi="Times New Roman" w:cs="Times New Roman"/>
          <w:szCs w:val="18"/>
          <w:lang w:val="en-US"/>
        </w:rPr>
        <w:t xml:space="preserve">The illustrative </w:t>
      </w:r>
      <w:r w:rsidRPr="00856C25">
        <w:rPr>
          <w:rFonts w:ascii="Times New Roman" w:hAnsi="Times New Roman" w:cs="Times New Roman"/>
          <w:szCs w:val="18"/>
        </w:rPr>
        <w:t>ﬁ</w:t>
      </w:r>
      <w:r w:rsidRPr="00856C25">
        <w:rPr>
          <w:rFonts w:ascii="Times New Roman" w:hAnsi="Times New Roman" w:cs="Times New Roman"/>
          <w:szCs w:val="18"/>
          <w:lang w:val="en-US"/>
        </w:rPr>
        <w:t xml:space="preserve">nancial analysis of a hypothetical 50 MW geothermal project used in this handbook is based on a customized Excel spreadsheet model. The model calculates the internal rate of return (IRR) on the project and its net present value (NPV), as well as the rate of return on equity investment and its respective NPV. These are common decision making criteria in project </w:t>
      </w:r>
      <w:r w:rsidRPr="00856C25">
        <w:rPr>
          <w:rFonts w:ascii="Times New Roman" w:hAnsi="Times New Roman" w:cs="Times New Roman"/>
          <w:szCs w:val="18"/>
        </w:rPr>
        <w:t>ﬁ</w:t>
      </w:r>
      <w:r w:rsidRPr="00856C25">
        <w:rPr>
          <w:rFonts w:ascii="Times New Roman" w:hAnsi="Times New Roman" w:cs="Times New Roman"/>
          <w:szCs w:val="18"/>
          <w:lang w:val="en-US"/>
        </w:rPr>
        <w:t xml:space="preserve">nance. In addition, the model calculates the levelized cost of energy (LCOE), although it is not an integral part of the return and NPV calculations. The LCOE is calculated as the discounted stream of project costs (including both capital and operating expenses) over the life of the project, divided by the stream of corresponding energy outputs discounted by the same discount rate. </w:t>
      </w:r>
    </w:p>
    <w:p w:rsidR="00C342A7" w:rsidRPr="00856C25" w:rsidRDefault="00C342A7" w:rsidP="00C342A7">
      <w:pPr>
        <w:pStyle w:val="CM5"/>
        <w:jc w:val="both"/>
        <w:rPr>
          <w:rFonts w:ascii="Times New Roman" w:hAnsi="Times New Roman" w:cs="Times New Roman"/>
          <w:szCs w:val="18"/>
          <w:lang w:val="en-US"/>
        </w:rPr>
      </w:pPr>
      <w:r w:rsidRPr="00856C25">
        <w:rPr>
          <w:rFonts w:ascii="Times New Roman" w:hAnsi="Times New Roman" w:cs="Times New Roman"/>
          <w:szCs w:val="18"/>
          <w:lang w:val="en-US"/>
        </w:rPr>
        <w:t xml:space="preserve">The dollar amounts are given in real terms. To convert the results into nominal terms, escalation factors would need to be introduced for all cost items as well as for the tariff. The NPV on the project and its respective IRR take the perspective of all investors, including the suppliers of debt (lenders). The cash </w:t>
      </w:r>
      <w:r w:rsidRPr="00856C25">
        <w:rPr>
          <w:rFonts w:ascii="Times New Roman" w:hAnsi="Times New Roman" w:cs="Times New Roman"/>
          <w:szCs w:val="18"/>
        </w:rPr>
        <w:t>ﬂ</w:t>
      </w:r>
      <w:r w:rsidRPr="00856C25">
        <w:rPr>
          <w:rFonts w:ascii="Times New Roman" w:hAnsi="Times New Roman" w:cs="Times New Roman"/>
          <w:szCs w:val="18"/>
          <w:lang w:val="en-US"/>
        </w:rPr>
        <w:t xml:space="preserve">ow used in this part of the caclulation is based on the concept known in project </w:t>
      </w:r>
      <w:r w:rsidRPr="00856C25">
        <w:rPr>
          <w:rFonts w:ascii="Times New Roman" w:hAnsi="Times New Roman" w:cs="Times New Roman"/>
          <w:szCs w:val="18"/>
        </w:rPr>
        <w:t>ﬁ</w:t>
      </w:r>
      <w:r w:rsidRPr="00856C25">
        <w:rPr>
          <w:rFonts w:ascii="Times New Roman" w:hAnsi="Times New Roman" w:cs="Times New Roman"/>
          <w:szCs w:val="18"/>
          <w:lang w:val="en-US"/>
        </w:rPr>
        <w:t xml:space="preserve">nance as free cash </w:t>
      </w:r>
      <w:r w:rsidRPr="00856C25">
        <w:rPr>
          <w:rFonts w:ascii="Times New Roman" w:hAnsi="Times New Roman" w:cs="Times New Roman"/>
          <w:szCs w:val="18"/>
        </w:rPr>
        <w:t>ﬂ</w:t>
      </w:r>
      <w:r w:rsidRPr="00856C25">
        <w:rPr>
          <w:rFonts w:ascii="Times New Roman" w:hAnsi="Times New Roman" w:cs="Times New Roman"/>
          <w:szCs w:val="18"/>
          <w:lang w:val="en-US"/>
        </w:rPr>
        <w:t>ow, sometimes de</w:t>
      </w:r>
      <w:r w:rsidRPr="00856C25">
        <w:rPr>
          <w:rFonts w:ascii="Times New Roman" w:hAnsi="Times New Roman" w:cs="Times New Roman"/>
          <w:szCs w:val="18"/>
        </w:rPr>
        <w:t>ﬁ</w:t>
      </w:r>
      <w:r w:rsidRPr="00856C25">
        <w:rPr>
          <w:rFonts w:ascii="Times New Roman" w:hAnsi="Times New Roman" w:cs="Times New Roman"/>
          <w:szCs w:val="18"/>
          <w:lang w:val="en-US"/>
        </w:rPr>
        <w:t>ned more speci</w:t>
      </w:r>
      <w:r w:rsidRPr="00856C25">
        <w:rPr>
          <w:rFonts w:ascii="Times New Roman" w:hAnsi="Times New Roman" w:cs="Times New Roman"/>
          <w:szCs w:val="18"/>
        </w:rPr>
        <w:t>ﬁ</w:t>
      </w:r>
      <w:r w:rsidRPr="00856C25">
        <w:rPr>
          <w:rFonts w:ascii="Times New Roman" w:hAnsi="Times New Roman" w:cs="Times New Roman"/>
          <w:szCs w:val="18"/>
          <w:lang w:val="en-US"/>
        </w:rPr>
        <w:t xml:space="preserve">cally as the free cash </w:t>
      </w:r>
      <w:r w:rsidRPr="00856C25">
        <w:rPr>
          <w:rFonts w:ascii="Times New Roman" w:hAnsi="Times New Roman" w:cs="Times New Roman"/>
          <w:szCs w:val="18"/>
        </w:rPr>
        <w:t>ﬂ</w:t>
      </w:r>
      <w:r w:rsidRPr="00856C25">
        <w:rPr>
          <w:rFonts w:ascii="Times New Roman" w:hAnsi="Times New Roman" w:cs="Times New Roman"/>
          <w:szCs w:val="18"/>
          <w:lang w:val="en-US"/>
        </w:rPr>
        <w:t xml:space="preserve">ow to the </w:t>
      </w:r>
      <w:r w:rsidRPr="00856C25">
        <w:rPr>
          <w:rFonts w:ascii="Times New Roman" w:hAnsi="Times New Roman" w:cs="Times New Roman"/>
          <w:szCs w:val="18"/>
        </w:rPr>
        <w:t>ﬁ</w:t>
      </w:r>
      <w:r w:rsidRPr="00856C25">
        <w:rPr>
          <w:rFonts w:ascii="Times New Roman" w:hAnsi="Times New Roman" w:cs="Times New Roman"/>
          <w:szCs w:val="18"/>
          <w:lang w:val="en-US"/>
        </w:rPr>
        <w:t>rm (FCFF). In our case the “</w:t>
      </w:r>
      <w:r w:rsidRPr="00856C25">
        <w:rPr>
          <w:rFonts w:ascii="Times New Roman" w:hAnsi="Times New Roman" w:cs="Times New Roman"/>
          <w:szCs w:val="18"/>
        </w:rPr>
        <w:t>ﬁ</w:t>
      </w:r>
      <w:r w:rsidRPr="00856C25">
        <w:rPr>
          <w:rFonts w:ascii="Times New Roman" w:hAnsi="Times New Roman" w:cs="Times New Roman"/>
          <w:szCs w:val="18"/>
          <w:lang w:val="en-US"/>
        </w:rPr>
        <w:t xml:space="preserve">rm” is the project, so the cash </w:t>
      </w:r>
      <w:r w:rsidRPr="00856C25">
        <w:rPr>
          <w:rFonts w:ascii="Times New Roman" w:hAnsi="Times New Roman" w:cs="Times New Roman"/>
          <w:szCs w:val="18"/>
        </w:rPr>
        <w:t>ﬂ</w:t>
      </w:r>
      <w:r w:rsidRPr="00856C25">
        <w:rPr>
          <w:rFonts w:ascii="Times New Roman" w:hAnsi="Times New Roman" w:cs="Times New Roman"/>
          <w:szCs w:val="18"/>
          <w:lang w:val="en-US"/>
        </w:rPr>
        <w:t xml:space="preserve">ow is denoted as free cash </w:t>
      </w:r>
      <w:r w:rsidRPr="00856C25">
        <w:rPr>
          <w:rFonts w:ascii="Times New Roman" w:hAnsi="Times New Roman" w:cs="Times New Roman"/>
          <w:szCs w:val="18"/>
        </w:rPr>
        <w:t>ﬂ</w:t>
      </w:r>
      <w:r w:rsidRPr="00856C25">
        <w:rPr>
          <w:rFonts w:ascii="Times New Roman" w:hAnsi="Times New Roman" w:cs="Times New Roman"/>
          <w:szCs w:val="18"/>
          <w:lang w:val="en-US"/>
        </w:rPr>
        <w:t xml:space="preserve">ow to the project (FCFP). The formula to determine the project NPV is: </w:t>
      </w:r>
    </w:p>
    <w:p w:rsidR="00C342A7" w:rsidRDefault="00C342A7" w:rsidP="00C342A7">
      <w:pPr>
        <w:pStyle w:val="Default"/>
      </w:pPr>
    </w:p>
    <w:p w:rsidR="00C342A7" w:rsidRDefault="00C342A7" w:rsidP="00C342A7">
      <w:pPr>
        <w:pStyle w:val="Default"/>
        <w:jc w:val="center"/>
      </w:pPr>
      <w:r>
        <w:rPr>
          <w:noProof/>
        </w:rPr>
        <w:drawing>
          <wp:inline distT="0" distB="0" distL="0" distR="0" wp14:anchorId="222D102B" wp14:editId="35D20701">
            <wp:extent cx="3648075" cy="10096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48075" cy="1009650"/>
                    </a:xfrm>
                    <a:prstGeom prst="rect">
                      <a:avLst/>
                    </a:prstGeom>
                    <a:noFill/>
                    <a:ln>
                      <a:noFill/>
                    </a:ln>
                  </pic:spPr>
                </pic:pic>
              </a:graphicData>
            </a:graphic>
          </wp:inline>
        </w:drawing>
      </w:r>
    </w:p>
    <w:p w:rsidR="00C342A7" w:rsidRPr="00710EF7" w:rsidRDefault="00C342A7" w:rsidP="00C342A7">
      <w:pPr>
        <w:pStyle w:val="Default"/>
      </w:pPr>
    </w:p>
    <w:p w:rsidR="00C342A7" w:rsidRPr="00856C25" w:rsidRDefault="00C342A7" w:rsidP="00C342A7">
      <w:pPr>
        <w:pStyle w:val="CM5"/>
        <w:jc w:val="both"/>
        <w:rPr>
          <w:rFonts w:ascii="Times New Roman" w:hAnsi="Times New Roman" w:cs="Times New Roman"/>
          <w:szCs w:val="18"/>
          <w:lang w:val="en-US"/>
        </w:rPr>
      </w:pPr>
      <w:r w:rsidRPr="00856C25">
        <w:rPr>
          <w:rFonts w:ascii="Times New Roman" w:hAnsi="Times New Roman" w:cs="Times New Roman"/>
          <w:szCs w:val="18"/>
          <w:lang w:val="en-US"/>
        </w:rPr>
        <w:t xml:space="preserve">where FCFPt is the free cash ﬂow to the project in year t in the project life of n years; WACC is the weighted average cost of capital. WACC is found by the formula WACC = interest rate of the debt x (1– corporate tax rate) x proportion of debt in the project capital + (required rate of return on equity x proportion of equity in the project capital). When grants are included, they reduce the amount of capital to be covered by debt and equity. </w:t>
      </w:r>
    </w:p>
    <w:p w:rsidR="00C342A7" w:rsidRPr="00856C25" w:rsidRDefault="00C342A7" w:rsidP="00C342A7">
      <w:pPr>
        <w:pStyle w:val="CM5"/>
        <w:jc w:val="both"/>
        <w:rPr>
          <w:rFonts w:ascii="Times New Roman" w:hAnsi="Times New Roman" w:cs="Times New Roman"/>
          <w:szCs w:val="18"/>
          <w:lang w:val="en-US"/>
        </w:rPr>
      </w:pPr>
      <w:r w:rsidRPr="00856C25">
        <w:rPr>
          <w:rFonts w:ascii="Times New Roman" w:hAnsi="Times New Roman" w:cs="Times New Roman"/>
          <w:szCs w:val="18"/>
          <w:lang w:val="en-US"/>
        </w:rPr>
        <w:t xml:space="preserve">The NPV of the cash ﬂow to equity and the respective rate of return take the perspective of equity investors only. The cash ﬂow used in this caclulation is based on the concept of free cash ﬂow to equity (FCFE). The formula to determine the equity NPV is: </w:t>
      </w:r>
    </w:p>
    <w:p w:rsidR="00C342A7" w:rsidRDefault="00C342A7" w:rsidP="00C342A7">
      <w:pPr>
        <w:pStyle w:val="Default"/>
        <w:jc w:val="center"/>
      </w:pPr>
      <w:r>
        <w:rPr>
          <w:noProof/>
        </w:rPr>
        <w:drawing>
          <wp:inline distT="0" distB="0" distL="0" distR="0" wp14:anchorId="50EF35CA" wp14:editId="03EF743B">
            <wp:extent cx="3886200" cy="10382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86200" cy="1038225"/>
                    </a:xfrm>
                    <a:prstGeom prst="rect">
                      <a:avLst/>
                    </a:prstGeom>
                    <a:noFill/>
                    <a:ln>
                      <a:noFill/>
                    </a:ln>
                  </pic:spPr>
                </pic:pic>
              </a:graphicData>
            </a:graphic>
          </wp:inline>
        </w:drawing>
      </w:r>
    </w:p>
    <w:p w:rsidR="00C342A7" w:rsidRDefault="00C342A7" w:rsidP="00C342A7">
      <w:pPr>
        <w:pStyle w:val="CM5"/>
        <w:jc w:val="both"/>
        <w:rPr>
          <w:rFonts w:ascii="Times New Roman" w:hAnsi="Times New Roman" w:cs="Times New Roman"/>
          <w:szCs w:val="18"/>
          <w:lang w:val="en-US"/>
        </w:rPr>
      </w:pPr>
      <w:r w:rsidRPr="00856C25">
        <w:rPr>
          <w:rFonts w:ascii="Times New Roman" w:hAnsi="Times New Roman" w:cs="Times New Roman"/>
          <w:szCs w:val="18"/>
          <w:lang w:val="en-US"/>
        </w:rPr>
        <w:t xml:space="preserve">where FCFEt is the free cash ﬂow to equity in year t in the project life of n years; and Re is the required return on equity. Discounting by Re (rather than by WACC) is consistent with the fact that the annual interest and principal payments for the debt are already made and the entire remaining cash ﬂow belongs to the equity investors. The latter generally require a higher return from this cash ﬂow to compensate for the higher risk associated with being the last in line to receive the payoff. </w:t>
      </w:r>
    </w:p>
    <w:p w:rsidR="007420DE" w:rsidRDefault="007420DE" w:rsidP="00856C25">
      <w:pPr>
        <w:pStyle w:val="Default"/>
      </w:pPr>
    </w:p>
    <w:p w:rsidR="007420DE" w:rsidRDefault="007420DE" w:rsidP="00856C25">
      <w:pPr>
        <w:pStyle w:val="Default"/>
      </w:pPr>
    </w:p>
    <w:p w:rsidR="007420DE" w:rsidRDefault="007420DE" w:rsidP="00856C25">
      <w:pPr>
        <w:pStyle w:val="Default"/>
      </w:pPr>
    </w:p>
    <w:p w:rsidR="007420DE" w:rsidRDefault="007420DE" w:rsidP="00856C25">
      <w:pPr>
        <w:pStyle w:val="Default"/>
      </w:pPr>
    </w:p>
    <w:p w:rsidR="007420DE" w:rsidRPr="00856C25" w:rsidRDefault="007420DE" w:rsidP="00856C25">
      <w:pPr>
        <w:pStyle w:val="Default"/>
      </w:pPr>
    </w:p>
    <w:p w:rsidR="00C342A7" w:rsidRDefault="00C342A7" w:rsidP="00C342A7">
      <w:pPr>
        <w:pStyle w:val="CM5"/>
        <w:jc w:val="both"/>
        <w:rPr>
          <w:rFonts w:ascii="Times New Roman" w:hAnsi="Times New Roman" w:cs="Times New Roman"/>
          <w:szCs w:val="18"/>
          <w:lang w:val="en-US"/>
        </w:rPr>
      </w:pPr>
      <w:r w:rsidRPr="00856C25">
        <w:rPr>
          <w:rFonts w:ascii="Times New Roman" w:hAnsi="Times New Roman" w:cs="Times New Roman"/>
          <w:szCs w:val="18"/>
          <w:lang w:val="en-US"/>
        </w:rPr>
        <w:lastRenderedPageBreak/>
        <w:t xml:space="preserve">The level of the risk premium and the resulting Re depends strongly on the nature of the project. As noted in this book, common equity investors in a geothermal project may require a return between 20 and 30 percent. However, as also noted in Chapter 3, this can be lowered by proper cost sharing arrangements. Partial grant support from the government during the crucial early stages of the project, for example, may reduce the required rate of return considerably. </w:t>
      </w:r>
    </w:p>
    <w:p w:rsidR="007420DE" w:rsidRPr="00856C25" w:rsidRDefault="007420DE" w:rsidP="00856C25">
      <w:pPr>
        <w:pStyle w:val="Default"/>
      </w:pPr>
    </w:p>
    <w:p w:rsidR="00C342A7" w:rsidRDefault="00C342A7" w:rsidP="00C342A7">
      <w:pPr>
        <w:pStyle w:val="Default"/>
        <w:rPr>
          <w:rFonts w:ascii="CJEEG B+ Helvetica LT Std" w:hAnsi="CJEEG B+ Helvetica LT Std" w:cs="CJEEG B+ Helvetica LT Std"/>
          <w:b/>
          <w:bCs/>
          <w:color w:val="auto"/>
          <w:sz w:val="20"/>
          <w:szCs w:val="20"/>
        </w:rPr>
      </w:pPr>
    </w:p>
    <w:p w:rsidR="00C342A7" w:rsidRDefault="00C342A7" w:rsidP="00C342A7">
      <w:pPr>
        <w:pStyle w:val="Default"/>
        <w:rPr>
          <w:rFonts w:ascii="CJEEG B+ Helvetica LT Std" w:hAnsi="CJEEG B+ Helvetica LT Std" w:cs="CJEEG B+ Helvetica LT Std"/>
          <w:b/>
          <w:bCs/>
          <w:color w:val="auto"/>
          <w:sz w:val="20"/>
          <w:szCs w:val="20"/>
        </w:rPr>
      </w:pPr>
    </w:p>
    <w:p w:rsidR="00C342A7" w:rsidRPr="008F2D57" w:rsidRDefault="00C342A7" w:rsidP="00C342A7">
      <w:pPr>
        <w:pStyle w:val="Default"/>
        <w:rPr>
          <w:rFonts w:ascii="CJEEG B+ Helvetica LT Std" w:hAnsi="CJEEG B+ Helvetica LT Std" w:cs="CJEEG B+ Helvetica LT Std"/>
          <w:b/>
          <w:bCs/>
          <w:color w:val="5A2924"/>
          <w:sz w:val="22"/>
          <w:szCs w:val="22"/>
        </w:rPr>
      </w:pPr>
      <w:r w:rsidRPr="008F2D57">
        <w:rPr>
          <w:rFonts w:ascii="CJEEG B+ Helvetica LT Std" w:hAnsi="CJEEG B+ Helvetica LT Std" w:cs="CJEEG B+ Helvetica LT Std"/>
          <w:b/>
          <w:bCs/>
          <w:color w:val="5A2924"/>
          <w:sz w:val="22"/>
          <w:szCs w:val="22"/>
        </w:rPr>
        <w:t xml:space="preserve">SUMMARY TABLES </w:t>
      </w:r>
    </w:p>
    <w:p w:rsidR="00C342A7" w:rsidRPr="008F2D57" w:rsidRDefault="00C342A7" w:rsidP="00C342A7">
      <w:pPr>
        <w:pStyle w:val="CM89"/>
        <w:spacing w:after="92" w:line="280" w:lineRule="atLeast"/>
        <w:rPr>
          <w:rFonts w:ascii="CJEEG B+ Helvetica LT Std" w:hAnsi="CJEEG B+ Helvetica LT Std" w:cs="CJEEG B+ Helvetica LT Std"/>
          <w:b/>
          <w:bCs/>
          <w:color w:val="1585A1"/>
          <w:sz w:val="22"/>
          <w:szCs w:val="22"/>
          <w:lang w:val="en-US"/>
        </w:rPr>
      </w:pPr>
      <w:r w:rsidRPr="008F2D57">
        <w:rPr>
          <w:rFonts w:ascii="CJEEG B+ Helvetica LT Std" w:hAnsi="CJEEG B+ Helvetica LT Std" w:cs="CJEEG B+ Helvetica LT Std"/>
          <w:b/>
          <w:bCs/>
          <w:color w:val="1585A1"/>
          <w:sz w:val="22"/>
          <w:szCs w:val="22"/>
          <w:lang w:val="en-US"/>
        </w:rPr>
        <w:t xml:space="preserve">A Hypothetical Geothermal Project - Financial Analysis </w:t>
      </w:r>
    </w:p>
    <w:p w:rsidR="00C342A7" w:rsidRPr="00710EF7" w:rsidRDefault="00C342A7" w:rsidP="00C342A7">
      <w:pPr>
        <w:pStyle w:val="CM89"/>
        <w:spacing w:after="92"/>
        <w:rPr>
          <w:rFonts w:ascii="CJEEH B+ Helvetica LT Std" w:hAnsi="CJEEH B+ Helvetica LT Std" w:cs="CJEEH B+ Helvetica LT Std"/>
          <w:sz w:val="18"/>
          <w:szCs w:val="18"/>
          <w:lang w:val="en-US"/>
        </w:rPr>
      </w:pPr>
      <w:r>
        <w:rPr>
          <w:noProof/>
          <w:lang w:val="en-US" w:eastAsia="en-US"/>
        </w:rPr>
        <mc:AlternateContent>
          <mc:Choice Requires="wps">
            <w:drawing>
              <wp:anchor distT="0" distB="0" distL="114300" distR="114300" simplePos="0" relativeHeight="251659264" behindDoc="0" locked="0" layoutInCell="0" allowOverlap="1" wp14:anchorId="038C1367" wp14:editId="2FD1016E">
                <wp:simplePos x="0" y="0"/>
                <wp:positionH relativeFrom="page">
                  <wp:posOffset>476250</wp:posOffset>
                </wp:positionH>
                <wp:positionV relativeFrom="page">
                  <wp:posOffset>3148330</wp:posOffset>
                </wp:positionV>
                <wp:extent cx="5778500" cy="2372360"/>
                <wp:effectExtent l="0" t="0" r="0" b="8890"/>
                <wp:wrapThrough wrapText="bothSides">
                  <wp:wrapPolygon edited="0">
                    <wp:start x="142" y="0"/>
                    <wp:lineTo x="142" y="21507"/>
                    <wp:lineTo x="21363" y="21507"/>
                    <wp:lineTo x="21363" y="0"/>
                    <wp:lineTo x="142" y="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237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252" w:type="dxa"/>
                              <w:tblBorders>
                                <w:top w:val="nil"/>
                                <w:left w:val="nil"/>
                                <w:bottom w:val="nil"/>
                                <w:right w:val="nil"/>
                              </w:tblBorders>
                              <w:tblLayout w:type="fixed"/>
                              <w:tblLook w:val="0000" w:firstRow="0" w:lastRow="0" w:firstColumn="0" w:lastColumn="0" w:noHBand="0" w:noVBand="0"/>
                            </w:tblPr>
                            <w:tblGrid>
                              <w:gridCol w:w="4587"/>
                              <w:gridCol w:w="7665"/>
                            </w:tblGrid>
                            <w:tr w:rsidR="00842457" w:rsidRPr="00710EF7" w:rsidTr="00856C25">
                              <w:trPr>
                                <w:trHeight w:val="150"/>
                              </w:trPr>
                              <w:tc>
                                <w:tcPr>
                                  <w:tcW w:w="3275" w:type="dxa"/>
                                  <w:tcBorders>
                                    <w:top w:val="single" w:sz="4" w:space="0" w:color="auto"/>
                                    <w:left w:val="single" w:sz="2" w:space="0" w:color="000000"/>
                                    <w:bottom w:val="single" w:sz="4" w:space="0" w:color="E29C30"/>
                                    <w:right w:val="single" w:sz="4" w:space="0" w:color="E09624"/>
                                  </w:tcBorders>
                                  <w:shd w:val="clear" w:color="auto" w:fill="F8E2C7"/>
                                  <w:vAlign w:val="center"/>
                                </w:tcPr>
                                <w:p w:rsidR="00842457" w:rsidRDefault="00842457">
                                  <w:pPr>
                                    <w:pStyle w:val="Default"/>
                                    <w:rPr>
                                      <w:rFonts w:ascii="CJEEH B+ Helvetica LT Std" w:hAnsi="CJEEH B+ Helvetica LT Std" w:cs="CJEEH B+ Helvetica LT Std"/>
                                      <w:color w:val="00BDF2"/>
                                      <w:sz w:val="18"/>
                                      <w:szCs w:val="18"/>
                                    </w:rPr>
                                  </w:pPr>
                                  <w:r w:rsidRPr="008F2D57">
                                    <w:rPr>
                                      <w:rFonts w:ascii="CJEEH B+ Helvetica LT Std" w:hAnsi="CJEEH B+ Helvetica LT Std" w:cs="CJEEH B+ Helvetica LT Std"/>
                                      <w:color w:val="auto"/>
                                      <w:sz w:val="18"/>
                                      <w:szCs w:val="18"/>
                                    </w:rPr>
                                    <w:t xml:space="preserve">Capex </w:t>
                                  </w:r>
                                </w:p>
                              </w:tc>
                              <w:tc>
                                <w:tcPr>
                                  <w:tcW w:w="5473" w:type="dxa"/>
                                  <w:tcBorders>
                                    <w:top w:val="single" w:sz="4" w:space="0" w:color="auto"/>
                                    <w:left w:val="single" w:sz="4" w:space="0" w:color="E09624"/>
                                    <w:bottom w:val="single" w:sz="4" w:space="0" w:color="E29C30"/>
                                    <w:right w:val="single" w:sz="4" w:space="0" w:color="000000" w:themeColor="text1"/>
                                  </w:tcBorders>
                                  <w:shd w:val="clear" w:color="auto" w:fill="F8E2C7"/>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Capital expenditures (or investment costs) </w:t>
                                  </w:r>
                                </w:p>
                              </w:tc>
                            </w:tr>
                            <w:tr w:rsidR="00842457" w:rsidRPr="00710EF7" w:rsidTr="00856C25">
                              <w:trPr>
                                <w:trHeight w:val="145"/>
                              </w:trPr>
                              <w:tc>
                                <w:tcPr>
                                  <w:tcW w:w="3275" w:type="dxa"/>
                                  <w:tcBorders>
                                    <w:top w:val="single" w:sz="4" w:space="0" w:color="E29C30"/>
                                    <w:left w:val="single" w:sz="2" w:space="0" w:color="000000"/>
                                    <w:bottom w:val="single" w:sz="4" w:space="0" w:color="E29C30"/>
                                    <w:right w:val="single" w:sz="4" w:space="0" w:color="E09624"/>
                                  </w:tcBorders>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EBIT </w:t>
                                  </w:r>
                                </w:p>
                              </w:tc>
                              <w:tc>
                                <w:tcPr>
                                  <w:tcW w:w="5473" w:type="dxa"/>
                                  <w:tcBorders>
                                    <w:top w:val="single" w:sz="4" w:space="0" w:color="E29C30"/>
                                    <w:left w:val="single" w:sz="4" w:space="0" w:color="E09624"/>
                                    <w:bottom w:val="single" w:sz="4" w:space="0" w:color="E29C30"/>
                                    <w:right w:val="single" w:sz="4" w:space="0" w:color="000000" w:themeColor="text1"/>
                                  </w:tcBorders>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Earnings before interest and taxes </w:t>
                                  </w:r>
                                </w:p>
                              </w:tc>
                            </w:tr>
                            <w:tr w:rsidR="00842457" w:rsidRPr="00710EF7" w:rsidTr="00856C25">
                              <w:trPr>
                                <w:trHeight w:val="143"/>
                              </w:trPr>
                              <w:tc>
                                <w:tcPr>
                                  <w:tcW w:w="3275" w:type="dxa"/>
                                  <w:tcBorders>
                                    <w:top w:val="single" w:sz="4" w:space="0" w:color="E29C30"/>
                                    <w:left w:val="single" w:sz="2" w:space="0" w:color="000000"/>
                                    <w:bottom w:val="single" w:sz="4" w:space="0" w:color="E29C30"/>
                                    <w:right w:val="single" w:sz="4" w:space="0" w:color="E09624"/>
                                  </w:tcBorders>
                                  <w:shd w:val="clear" w:color="auto" w:fill="F8E2C7"/>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EBITDA </w:t>
                                  </w:r>
                                </w:p>
                              </w:tc>
                              <w:tc>
                                <w:tcPr>
                                  <w:tcW w:w="5473" w:type="dxa"/>
                                  <w:tcBorders>
                                    <w:top w:val="single" w:sz="4" w:space="0" w:color="E29C30"/>
                                    <w:left w:val="single" w:sz="4" w:space="0" w:color="E09624"/>
                                    <w:bottom w:val="single" w:sz="4" w:space="0" w:color="E29C30"/>
                                    <w:right w:val="single" w:sz="4" w:space="0" w:color="000000" w:themeColor="text1"/>
                                  </w:tcBorders>
                                  <w:shd w:val="clear" w:color="auto" w:fill="F8E2C7"/>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Earnings before interest, taxes, and depreciation/amortization </w:t>
                                  </w:r>
                                </w:p>
                              </w:tc>
                            </w:tr>
                            <w:tr w:rsidR="00842457" w:rsidRPr="00710EF7" w:rsidTr="00856C25">
                              <w:trPr>
                                <w:trHeight w:val="145"/>
                              </w:trPr>
                              <w:tc>
                                <w:tcPr>
                                  <w:tcW w:w="3275" w:type="dxa"/>
                                  <w:tcBorders>
                                    <w:top w:val="single" w:sz="4" w:space="0" w:color="E29C30"/>
                                    <w:left w:val="single" w:sz="2" w:space="0" w:color="000000"/>
                                    <w:bottom w:val="single" w:sz="4" w:space="0" w:color="E29C30"/>
                                    <w:right w:val="single" w:sz="4" w:space="0" w:color="E09624"/>
                                  </w:tcBorders>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FCFE </w:t>
                                  </w:r>
                                </w:p>
                              </w:tc>
                              <w:tc>
                                <w:tcPr>
                                  <w:tcW w:w="5473" w:type="dxa"/>
                                  <w:tcBorders>
                                    <w:top w:val="single" w:sz="4" w:space="0" w:color="E29C30"/>
                                    <w:left w:val="single" w:sz="4" w:space="0" w:color="E09624"/>
                                    <w:bottom w:val="single" w:sz="4" w:space="0" w:color="E29C30"/>
                                    <w:right w:val="single" w:sz="4" w:space="0" w:color="000000" w:themeColor="text1"/>
                                  </w:tcBorders>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Free cash ﬂow to equity </w:t>
                                  </w:r>
                                </w:p>
                              </w:tc>
                            </w:tr>
                            <w:tr w:rsidR="00842457" w:rsidRPr="00710EF7" w:rsidTr="00856C25">
                              <w:trPr>
                                <w:trHeight w:val="143"/>
                              </w:trPr>
                              <w:tc>
                                <w:tcPr>
                                  <w:tcW w:w="3275" w:type="dxa"/>
                                  <w:tcBorders>
                                    <w:top w:val="single" w:sz="4" w:space="0" w:color="E29C30"/>
                                    <w:left w:val="single" w:sz="2" w:space="0" w:color="000000"/>
                                    <w:bottom w:val="single" w:sz="4" w:space="0" w:color="E29C30"/>
                                    <w:right w:val="single" w:sz="4" w:space="0" w:color="E09624"/>
                                  </w:tcBorders>
                                  <w:shd w:val="clear" w:color="auto" w:fill="F8E2C7"/>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FCFP </w:t>
                                  </w:r>
                                </w:p>
                              </w:tc>
                              <w:tc>
                                <w:tcPr>
                                  <w:tcW w:w="5473" w:type="dxa"/>
                                  <w:tcBorders>
                                    <w:top w:val="single" w:sz="4" w:space="0" w:color="E29C30"/>
                                    <w:left w:val="single" w:sz="4" w:space="0" w:color="E09624"/>
                                    <w:bottom w:val="single" w:sz="4" w:space="0" w:color="E29C30"/>
                                    <w:right w:val="single" w:sz="4" w:space="0" w:color="000000" w:themeColor="text1"/>
                                  </w:tcBorders>
                                  <w:shd w:val="clear" w:color="auto" w:fill="F8E2C7"/>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Free cash ﬂow to the project </w:t>
                                  </w:r>
                                </w:p>
                              </w:tc>
                            </w:tr>
                            <w:tr w:rsidR="00842457" w:rsidTr="00856C25">
                              <w:trPr>
                                <w:trHeight w:val="145"/>
                              </w:trPr>
                              <w:tc>
                                <w:tcPr>
                                  <w:tcW w:w="3275" w:type="dxa"/>
                                  <w:tcBorders>
                                    <w:top w:val="single" w:sz="4" w:space="0" w:color="E29C30"/>
                                    <w:left w:val="single" w:sz="2" w:space="0" w:color="000000"/>
                                    <w:bottom w:val="single" w:sz="4" w:space="0" w:color="E29C30"/>
                                    <w:right w:val="single" w:sz="4" w:space="0" w:color="E09624"/>
                                  </w:tcBorders>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IRR </w:t>
                                  </w:r>
                                </w:p>
                              </w:tc>
                              <w:tc>
                                <w:tcPr>
                                  <w:tcW w:w="5473" w:type="dxa"/>
                                  <w:tcBorders>
                                    <w:top w:val="single" w:sz="4" w:space="0" w:color="E29C30"/>
                                    <w:left w:val="single" w:sz="4" w:space="0" w:color="E09624"/>
                                    <w:bottom w:val="single" w:sz="4" w:space="0" w:color="E29C30"/>
                                    <w:right w:val="single" w:sz="4" w:space="0" w:color="000000" w:themeColor="text1"/>
                                  </w:tcBorders>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Internal rate of return </w:t>
                                  </w:r>
                                </w:p>
                              </w:tc>
                            </w:tr>
                            <w:tr w:rsidR="00842457" w:rsidTr="00856C25">
                              <w:trPr>
                                <w:trHeight w:val="143"/>
                              </w:trPr>
                              <w:tc>
                                <w:tcPr>
                                  <w:tcW w:w="3275" w:type="dxa"/>
                                  <w:tcBorders>
                                    <w:top w:val="single" w:sz="4" w:space="0" w:color="E29C30"/>
                                    <w:left w:val="single" w:sz="2" w:space="0" w:color="000000"/>
                                    <w:bottom w:val="single" w:sz="4" w:space="0" w:color="E29C30"/>
                                    <w:right w:val="single" w:sz="4" w:space="0" w:color="E09624"/>
                                  </w:tcBorders>
                                  <w:shd w:val="clear" w:color="auto" w:fill="F8E2C7"/>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NPV </w:t>
                                  </w:r>
                                </w:p>
                              </w:tc>
                              <w:tc>
                                <w:tcPr>
                                  <w:tcW w:w="5473" w:type="dxa"/>
                                  <w:tcBorders>
                                    <w:top w:val="single" w:sz="4" w:space="0" w:color="E29C30"/>
                                    <w:left w:val="single" w:sz="4" w:space="0" w:color="E09624"/>
                                    <w:bottom w:val="single" w:sz="4" w:space="0" w:color="E29C30"/>
                                    <w:right w:val="single" w:sz="4" w:space="0" w:color="000000" w:themeColor="text1"/>
                                  </w:tcBorders>
                                  <w:shd w:val="clear" w:color="auto" w:fill="F8E2C7"/>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Net present value </w:t>
                                  </w:r>
                                </w:p>
                              </w:tc>
                            </w:tr>
                            <w:tr w:rsidR="00842457" w:rsidTr="00856C25">
                              <w:trPr>
                                <w:trHeight w:val="145"/>
                              </w:trPr>
                              <w:tc>
                                <w:tcPr>
                                  <w:tcW w:w="3275" w:type="dxa"/>
                                  <w:tcBorders>
                                    <w:top w:val="single" w:sz="4" w:space="0" w:color="E29C30"/>
                                    <w:left w:val="single" w:sz="2" w:space="0" w:color="000000"/>
                                    <w:bottom w:val="single" w:sz="4" w:space="0" w:color="E29C30"/>
                                    <w:right w:val="single" w:sz="4" w:space="0" w:color="E09624"/>
                                  </w:tcBorders>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O&amp;M </w:t>
                                  </w:r>
                                </w:p>
                              </w:tc>
                              <w:tc>
                                <w:tcPr>
                                  <w:tcW w:w="5473" w:type="dxa"/>
                                  <w:tcBorders>
                                    <w:top w:val="single" w:sz="4" w:space="0" w:color="E29C30"/>
                                    <w:left w:val="single" w:sz="4" w:space="0" w:color="E09624"/>
                                    <w:bottom w:val="single" w:sz="4" w:space="0" w:color="E29C30"/>
                                    <w:right w:val="single" w:sz="4" w:space="0" w:color="000000" w:themeColor="text1"/>
                                  </w:tcBorders>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Operation and maintenance costs </w:t>
                                  </w:r>
                                </w:p>
                              </w:tc>
                            </w:tr>
                            <w:tr w:rsidR="00842457" w:rsidTr="00856C25">
                              <w:trPr>
                                <w:trHeight w:val="143"/>
                              </w:trPr>
                              <w:tc>
                                <w:tcPr>
                                  <w:tcW w:w="3275" w:type="dxa"/>
                                  <w:tcBorders>
                                    <w:top w:val="single" w:sz="4" w:space="0" w:color="E29C30"/>
                                    <w:left w:val="single" w:sz="2" w:space="0" w:color="000000"/>
                                    <w:bottom w:val="single" w:sz="4" w:space="0" w:color="E29C30"/>
                                    <w:right w:val="single" w:sz="4" w:space="0" w:color="E09624"/>
                                  </w:tcBorders>
                                  <w:shd w:val="clear" w:color="auto" w:fill="F8E2C7"/>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PV </w:t>
                                  </w:r>
                                </w:p>
                              </w:tc>
                              <w:tc>
                                <w:tcPr>
                                  <w:tcW w:w="5473" w:type="dxa"/>
                                  <w:tcBorders>
                                    <w:top w:val="single" w:sz="4" w:space="0" w:color="E29C30"/>
                                    <w:left w:val="single" w:sz="4" w:space="0" w:color="E09624"/>
                                    <w:bottom w:val="single" w:sz="4" w:space="0" w:color="E29C30"/>
                                    <w:right w:val="single" w:sz="4" w:space="0" w:color="000000" w:themeColor="text1"/>
                                  </w:tcBorders>
                                  <w:shd w:val="clear" w:color="auto" w:fill="F8E2C7"/>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Present value </w:t>
                                  </w:r>
                                </w:p>
                              </w:tc>
                            </w:tr>
                            <w:tr w:rsidR="00842457" w:rsidRPr="00710EF7" w:rsidTr="00856C25">
                              <w:trPr>
                                <w:trHeight w:val="145"/>
                              </w:trPr>
                              <w:tc>
                                <w:tcPr>
                                  <w:tcW w:w="3275" w:type="dxa"/>
                                  <w:tcBorders>
                                    <w:top w:val="single" w:sz="4" w:space="0" w:color="E29C30"/>
                                    <w:left w:val="single" w:sz="2" w:space="0" w:color="000000"/>
                                    <w:bottom w:val="single" w:sz="4" w:space="0" w:color="E29C30"/>
                                    <w:right w:val="single" w:sz="4" w:space="0" w:color="E09624"/>
                                  </w:tcBorders>
                                  <w:vAlign w:val="bottom"/>
                                </w:tcPr>
                                <w:p w:rsidR="00842457" w:rsidRPr="00710EF7" w:rsidRDefault="00842457">
                                  <w:pPr>
                                    <w:pStyle w:val="Default"/>
                                    <w:rPr>
                                      <w:rFonts w:ascii="CJEEH B+ Helvetica LT Std" w:hAnsi="CJEEH B+ Helvetica LT Std" w:cs="CJEEH B+ Helvetica LT Std"/>
                                      <w:color w:val="auto"/>
                                      <w:sz w:val="10"/>
                                      <w:szCs w:val="10"/>
                                    </w:rPr>
                                  </w:pPr>
                                  <w:r w:rsidRPr="00710EF7">
                                    <w:rPr>
                                      <w:rFonts w:ascii="CJEEH B+ Helvetica LT Std" w:hAnsi="CJEEH B+ Helvetica LT Std" w:cs="CJEEH B+ Helvetica LT Std"/>
                                      <w:color w:val="auto"/>
                                      <w:sz w:val="18"/>
                                      <w:szCs w:val="18"/>
                                    </w:rPr>
                                    <w:t xml:space="preserve">R </w:t>
                                  </w:r>
                                  <w:r w:rsidRPr="00710EF7">
                                    <w:rPr>
                                      <w:rFonts w:ascii="CJEEH B+ Helvetica LT Std" w:hAnsi="CJEEH B+ Helvetica LT Std" w:cs="CJEEH B+ Helvetica LT Std"/>
                                      <w:color w:val="auto"/>
                                      <w:sz w:val="10"/>
                                      <w:szCs w:val="10"/>
                                    </w:rPr>
                                    <w:t xml:space="preserve">e </w:t>
                                  </w:r>
                                </w:p>
                              </w:tc>
                              <w:tc>
                                <w:tcPr>
                                  <w:tcW w:w="5473" w:type="dxa"/>
                                  <w:tcBorders>
                                    <w:top w:val="single" w:sz="4" w:space="0" w:color="E29C30"/>
                                    <w:left w:val="single" w:sz="4" w:space="0" w:color="E09624"/>
                                    <w:bottom w:val="single" w:sz="4" w:space="0" w:color="E29C30"/>
                                    <w:right w:val="single" w:sz="4" w:space="0" w:color="000000" w:themeColor="text1"/>
                                  </w:tcBorders>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Required rate of return on equity </w:t>
                                  </w:r>
                                </w:p>
                              </w:tc>
                            </w:tr>
                            <w:tr w:rsidR="00842457" w:rsidRPr="00710EF7" w:rsidTr="00856C25">
                              <w:trPr>
                                <w:trHeight w:val="142"/>
                              </w:trPr>
                              <w:tc>
                                <w:tcPr>
                                  <w:tcW w:w="3275" w:type="dxa"/>
                                  <w:tcBorders>
                                    <w:top w:val="single" w:sz="4" w:space="0" w:color="E29C30"/>
                                    <w:left w:val="single" w:sz="2" w:space="0" w:color="000000"/>
                                    <w:bottom w:val="single" w:sz="2" w:space="0" w:color="000000"/>
                                    <w:right w:val="single" w:sz="4" w:space="0" w:color="E09624"/>
                                  </w:tcBorders>
                                  <w:shd w:val="clear" w:color="auto" w:fill="F8E2C7"/>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WACC </w:t>
                                  </w:r>
                                </w:p>
                              </w:tc>
                              <w:tc>
                                <w:tcPr>
                                  <w:tcW w:w="5473" w:type="dxa"/>
                                  <w:tcBorders>
                                    <w:top w:val="single" w:sz="4" w:space="0" w:color="E29C30"/>
                                    <w:left w:val="single" w:sz="4" w:space="0" w:color="E09624"/>
                                    <w:bottom w:val="single" w:sz="2" w:space="0" w:color="000000"/>
                                    <w:right w:val="single" w:sz="4" w:space="0" w:color="000000" w:themeColor="text1"/>
                                  </w:tcBorders>
                                  <w:shd w:val="clear" w:color="auto" w:fill="F8E2C7"/>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Weighted average cost of capital </w:t>
                                  </w:r>
                                </w:p>
                              </w:tc>
                            </w:tr>
                          </w:tbl>
                          <w:p w:rsidR="00842457" w:rsidRDefault="008424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7.5pt;margin-top:247.9pt;width:455pt;height:186.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" o:allowincell="f" filled="f" stroked="f">
                <v:textbox>
                  <w:txbxContent>
                    <w:tbl>
                      <w:tblPr>
                        <w:tblW w:w="12252" w:type="dxa"/>
                        <w:tblBorders>
                          <w:top w:val="nil"/>
                          <w:left w:val="nil"/>
                          <w:bottom w:val="nil"/>
                          <w:right w:val="nil"/>
                        </w:tblBorders>
                        <w:tblLayout w:type="fixed"/>
                        <w:tblLook w:val="0000" w:firstRow="0" w:lastRow="0" w:firstColumn="0" w:lastColumn="0" w:noHBand="0" w:noVBand="0"/>
                      </w:tblPr>
                      <w:tblGrid>
                        <w:gridCol w:w="4587"/>
                        <w:gridCol w:w="7665"/>
                      </w:tblGrid>
                      <w:tr w:rsidR="00842457" w:rsidRPr="00710EF7" w:rsidTr="00856C25">
                        <w:trPr>
                          <w:trHeight w:val="150"/>
                        </w:trPr>
                        <w:tc>
                          <w:tcPr>
                            <w:tcW w:w="3275" w:type="dxa"/>
                            <w:tcBorders>
                              <w:top w:val="single" w:sz="4" w:space="0" w:color="auto"/>
                              <w:left w:val="single" w:sz="2" w:space="0" w:color="000000"/>
                              <w:bottom w:val="single" w:sz="4" w:space="0" w:color="E29C30"/>
                              <w:right w:val="single" w:sz="4" w:space="0" w:color="E09624"/>
                            </w:tcBorders>
                            <w:shd w:val="clear" w:color="auto" w:fill="F8E2C7"/>
                            <w:vAlign w:val="center"/>
                          </w:tcPr>
                          <w:p w:rsidR="00842457" w:rsidRDefault="00842457">
                            <w:pPr>
                              <w:pStyle w:val="Default"/>
                              <w:rPr>
                                <w:rFonts w:ascii="CJEEH B+ Helvetica LT Std" w:hAnsi="CJEEH B+ Helvetica LT Std" w:cs="CJEEH B+ Helvetica LT Std"/>
                                <w:color w:val="00BDF2"/>
                                <w:sz w:val="18"/>
                                <w:szCs w:val="18"/>
                              </w:rPr>
                            </w:pPr>
                            <w:r w:rsidRPr="008F2D57">
                              <w:rPr>
                                <w:rFonts w:ascii="CJEEH B+ Helvetica LT Std" w:hAnsi="CJEEH B+ Helvetica LT Std" w:cs="CJEEH B+ Helvetica LT Std"/>
                                <w:color w:val="auto"/>
                                <w:sz w:val="18"/>
                                <w:szCs w:val="18"/>
                              </w:rPr>
                              <w:t xml:space="preserve">Capex </w:t>
                            </w:r>
                          </w:p>
                        </w:tc>
                        <w:tc>
                          <w:tcPr>
                            <w:tcW w:w="5473" w:type="dxa"/>
                            <w:tcBorders>
                              <w:top w:val="single" w:sz="4" w:space="0" w:color="auto"/>
                              <w:left w:val="single" w:sz="4" w:space="0" w:color="E09624"/>
                              <w:bottom w:val="single" w:sz="4" w:space="0" w:color="E29C30"/>
                              <w:right w:val="single" w:sz="4" w:space="0" w:color="000000" w:themeColor="text1"/>
                            </w:tcBorders>
                            <w:shd w:val="clear" w:color="auto" w:fill="F8E2C7"/>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Capital expenditures (or investment costs) </w:t>
                            </w:r>
                          </w:p>
                        </w:tc>
                      </w:tr>
                      <w:tr w:rsidR="00842457" w:rsidRPr="00710EF7" w:rsidTr="00856C25">
                        <w:trPr>
                          <w:trHeight w:val="145"/>
                        </w:trPr>
                        <w:tc>
                          <w:tcPr>
                            <w:tcW w:w="3275" w:type="dxa"/>
                            <w:tcBorders>
                              <w:top w:val="single" w:sz="4" w:space="0" w:color="E29C30"/>
                              <w:left w:val="single" w:sz="2" w:space="0" w:color="000000"/>
                              <w:bottom w:val="single" w:sz="4" w:space="0" w:color="E29C30"/>
                              <w:right w:val="single" w:sz="4" w:space="0" w:color="E09624"/>
                            </w:tcBorders>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EBIT </w:t>
                            </w:r>
                          </w:p>
                        </w:tc>
                        <w:tc>
                          <w:tcPr>
                            <w:tcW w:w="5473" w:type="dxa"/>
                            <w:tcBorders>
                              <w:top w:val="single" w:sz="4" w:space="0" w:color="E29C30"/>
                              <w:left w:val="single" w:sz="4" w:space="0" w:color="E09624"/>
                              <w:bottom w:val="single" w:sz="4" w:space="0" w:color="E29C30"/>
                              <w:right w:val="single" w:sz="4" w:space="0" w:color="000000" w:themeColor="text1"/>
                            </w:tcBorders>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Earnings before interest and taxes </w:t>
                            </w:r>
                          </w:p>
                        </w:tc>
                      </w:tr>
                      <w:tr w:rsidR="00842457" w:rsidRPr="00710EF7" w:rsidTr="00856C25">
                        <w:trPr>
                          <w:trHeight w:val="143"/>
                        </w:trPr>
                        <w:tc>
                          <w:tcPr>
                            <w:tcW w:w="3275" w:type="dxa"/>
                            <w:tcBorders>
                              <w:top w:val="single" w:sz="4" w:space="0" w:color="E29C30"/>
                              <w:left w:val="single" w:sz="2" w:space="0" w:color="000000"/>
                              <w:bottom w:val="single" w:sz="4" w:space="0" w:color="E29C30"/>
                              <w:right w:val="single" w:sz="4" w:space="0" w:color="E09624"/>
                            </w:tcBorders>
                            <w:shd w:val="clear" w:color="auto" w:fill="F8E2C7"/>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EBITDA </w:t>
                            </w:r>
                          </w:p>
                        </w:tc>
                        <w:tc>
                          <w:tcPr>
                            <w:tcW w:w="5473" w:type="dxa"/>
                            <w:tcBorders>
                              <w:top w:val="single" w:sz="4" w:space="0" w:color="E29C30"/>
                              <w:left w:val="single" w:sz="4" w:space="0" w:color="E09624"/>
                              <w:bottom w:val="single" w:sz="4" w:space="0" w:color="E29C30"/>
                              <w:right w:val="single" w:sz="4" w:space="0" w:color="000000" w:themeColor="text1"/>
                            </w:tcBorders>
                            <w:shd w:val="clear" w:color="auto" w:fill="F8E2C7"/>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Earnings before interest, taxes, and depreciation/amortization </w:t>
                            </w:r>
                          </w:p>
                        </w:tc>
                      </w:tr>
                      <w:tr w:rsidR="00842457" w:rsidRPr="00710EF7" w:rsidTr="00856C25">
                        <w:trPr>
                          <w:trHeight w:val="145"/>
                        </w:trPr>
                        <w:tc>
                          <w:tcPr>
                            <w:tcW w:w="3275" w:type="dxa"/>
                            <w:tcBorders>
                              <w:top w:val="single" w:sz="4" w:space="0" w:color="E29C30"/>
                              <w:left w:val="single" w:sz="2" w:space="0" w:color="000000"/>
                              <w:bottom w:val="single" w:sz="4" w:space="0" w:color="E29C30"/>
                              <w:right w:val="single" w:sz="4" w:space="0" w:color="E09624"/>
                            </w:tcBorders>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FCFE </w:t>
                            </w:r>
                          </w:p>
                        </w:tc>
                        <w:tc>
                          <w:tcPr>
                            <w:tcW w:w="5473" w:type="dxa"/>
                            <w:tcBorders>
                              <w:top w:val="single" w:sz="4" w:space="0" w:color="E29C30"/>
                              <w:left w:val="single" w:sz="4" w:space="0" w:color="E09624"/>
                              <w:bottom w:val="single" w:sz="4" w:space="0" w:color="E29C30"/>
                              <w:right w:val="single" w:sz="4" w:space="0" w:color="000000" w:themeColor="text1"/>
                            </w:tcBorders>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Free cash ﬂow to equity </w:t>
                            </w:r>
                          </w:p>
                        </w:tc>
                      </w:tr>
                      <w:tr w:rsidR="00842457" w:rsidRPr="00710EF7" w:rsidTr="00856C25">
                        <w:trPr>
                          <w:trHeight w:val="143"/>
                        </w:trPr>
                        <w:tc>
                          <w:tcPr>
                            <w:tcW w:w="3275" w:type="dxa"/>
                            <w:tcBorders>
                              <w:top w:val="single" w:sz="4" w:space="0" w:color="E29C30"/>
                              <w:left w:val="single" w:sz="2" w:space="0" w:color="000000"/>
                              <w:bottom w:val="single" w:sz="4" w:space="0" w:color="E29C30"/>
                              <w:right w:val="single" w:sz="4" w:space="0" w:color="E09624"/>
                            </w:tcBorders>
                            <w:shd w:val="clear" w:color="auto" w:fill="F8E2C7"/>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FCFP </w:t>
                            </w:r>
                          </w:p>
                        </w:tc>
                        <w:tc>
                          <w:tcPr>
                            <w:tcW w:w="5473" w:type="dxa"/>
                            <w:tcBorders>
                              <w:top w:val="single" w:sz="4" w:space="0" w:color="E29C30"/>
                              <w:left w:val="single" w:sz="4" w:space="0" w:color="E09624"/>
                              <w:bottom w:val="single" w:sz="4" w:space="0" w:color="E29C30"/>
                              <w:right w:val="single" w:sz="4" w:space="0" w:color="000000" w:themeColor="text1"/>
                            </w:tcBorders>
                            <w:shd w:val="clear" w:color="auto" w:fill="F8E2C7"/>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Free cash ﬂow to the project </w:t>
                            </w:r>
                          </w:p>
                        </w:tc>
                      </w:tr>
                      <w:tr w:rsidR="00842457" w:rsidTr="00856C25">
                        <w:trPr>
                          <w:trHeight w:val="145"/>
                        </w:trPr>
                        <w:tc>
                          <w:tcPr>
                            <w:tcW w:w="3275" w:type="dxa"/>
                            <w:tcBorders>
                              <w:top w:val="single" w:sz="4" w:space="0" w:color="E29C30"/>
                              <w:left w:val="single" w:sz="2" w:space="0" w:color="000000"/>
                              <w:bottom w:val="single" w:sz="4" w:space="0" w:color="E29C30"/>
                              <w:right w:val="single" w:sz="4" w:space="0" w:color="E09624"/>
                            </w:tcBorders>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IRR </w:t>
                            </w:r>
                          </w:p>
                        </w:tc>
                        <w:tc>
                          <w:tcPr>
                            <w:tcW w:w="5473" w:type="dxa"/>
                            <w:tcBorders>
                              <w:top w:val="single" w:sz="4" w:space="0" w:color="E29C30"/>
                              <w:left w:val="single" w:sz="4" w:space="0" w:color="E09624"/>
                              <w:bottom w:val="single" w:sz="4" w:space="0" w:color="E29C30"/>
                              <w:right w:val="single" w:sz="4" w:space="0" w:color="000000" w:themeColor="text1"/>
                            </w:tcBorders>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Internal rate of return </w:t>
                            </w:r>
                          </w:p>
                        </w:tc>
                      </w:tr>
                      <w:tr w:rsidR="00842457" w:rsidTr="00856C25">
                        <w:trPr>
                          <w:trHeight w:val="143"/>
                        </w:trPr>
                        <w:tc>
                          <w:tcPr>
                            <w:tcW w:w="3275" w:type="dxa"/>
                            <w:tcBorders>
                              <w:top w:val="single" w:sz="4" w:space="0" w:color="E29C30"/>
                              <w:left w:val="single" w:sz="2" w:space="0" w:color="000000"/>
                              <w:bottom w:val="single" w:sz="4" w:space="0" w:color="E29C30"/>
                              <w:right w:val="single" w:sz="4" w:space="0" w:color="E09624"/>
                            </w:tcBorders>
                            <w:shd w:val="clear" w:color="auto" w:fill="F8E2C7"/>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NPV </w:t>
                            </w:r>
                          </w:p>
                        </w:tc>
                        <w:tc>
                          <w:tcPr>
                            <w:tcW w:w="5473" w:type="dxa"/>
                            <w:tcBorders>
                              <w:top w:val="single" w:sz="4" w:space="0" w:color="E29C30"/>
                              <w:left w:val="single" w:sz="4" w:space="0" w:color="E09624"/>
                              <w:bottom w:val="single" w:sz="4" w:space="0" w:color="E29C30"/>
                              <w:right w:val="single" w:sz="4" w:space="0" w:color="000000" w:themeColor="text1"/>
                            </w:tcBorders>
                            <w:shd w:val="clear" w:color="auto" w:fill="F8E2C7"/>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Net present value </w:t>
                            </w:r>
                          </w:p>
                        </w:tc>
                      </w:tr>
                      <w:tr w:rsidR="00842457" w:rsidTr="00856C25">
                        <w:trPr>
                          <w:trHeight w:val="145"/>
                        </w:trPr>
                        <w:tc>
                          <w:tcPr>
                            <w:tcW w:w="3275" w:type="dxa"/>
                            <w:tcBorders>
                              <w:top w:val="single" w:sz="4" w:space="0" w:color="E29C30"/>
                              <w:left w:val="single" w:sz="2" w:space="0" w:color="000000"/>
                              <w:bottom w:val="single" w:sz="4" w:space="0" w:color="E29C30"/>
                              <w:right w:val="single" w:sz="4" w:space="0" w:color="E09624"/>
                            </w:tcBorders>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O&amp;M </w:t>
                            </w:r>
                          </w:p>
                        </w:tc>
                        <w:tc>
                          <w:tcPr>
                            <w:tcW w:w="5473" w:type="dxa"/>
                            <w:tcBorders>
                              <w:top w:val="single" w:sz="4" w:space="0" w:color="E29C30"/>
                              <w:left w:val="single" w:sz="4" w:space="0" w:color="E09624"/>
                              <w:bottom w:val="single" w:sz="4" w:space="0" w:color="E29C30"/>
                              <w:right w:val="single" w:sz="4" w:space="0" w:color="000000" w:themeColor="text1"/>
                            </w:tcBorders>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Operation and maintenance costs </w:t>
                            </w:r>
                          </w:p>
                        </w:tc>
                      </w:tr>
                      <w:tr w:rsidR="00842457" w:rsidTr="00856C25">
                        <w:trPr>
                          <w:trHeight w:val="143"/>
                        </w:trPr>
                        <w:tc>
                          <w:tcPr>
                            <w:tcW w:w="3275" w:type="dxa"/>
                            <w:tcBorders>
                              <w:top w:val="single" w:sz="4" w:space="0" w:color="E29C30"/>
                              <w:left w:val="single" w:sz="2" w:space="0" w:color="000000"/>
                              <w:bottom w:val="single" w:sz="4" w:space="0" w:color="E29C30"/>
                              <w:right w:val="single" w:sz="4" w:space="0" w:color="E09624"/>
                            </w:tcBorders>
                            <w:shd w:val="clear" w:color="auto" w:fill="F8E2C7"/>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PV </w:t>
                            </w:r>
                          </w:p>
                        </w:tc>
                        <w:tc>
                          <w:tcPr>
                            <w:tcW w:w="5473" w:type="dxa"/>
                            <w:tcBorders>
                              <w:top w:val="single" w:sz="4" w:space="0" w:color="E29C30"/>
                              <w:left w:val="single" w:sz="4" w:space="0" w:color="E09624"/>
                              <w:bottom w:val="single" w:sz="4" w:space="0" w:color="E29C30"/>
                              <w:right w:val="single" w:sz="4" w:space="0" w:color="000000" w:themeColor="text1"/>
                            </w:tcBorders>
                            <w:shd w:val="clear" w:color="auto" w:fill="F8E2C7"/>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Present value </w:t>
                            </w:r>
                          </w:p>
                        </w:tc>
                      </w:tr>
                      <w:tr w:rsidR="00842457" w:rsidRPr="00710EF7" w:rsidTr="00856C25">
                        <w:trPr>
                          <w:trHeight w:val="145"/>
                        </w:trPr>
                        <w:tc>
                          <w:tcPr>
                            <w:tcW w:w="3275" w:type="dxa"/>
                            <w:tcBorders>
                              <w:top w:val="single" w:sz="4" w:space="0" w:color="E29C30"/>
                              <w:left w:val="single" w:sz="2" w:space="0" w:color="000000"/>
                              <w:bottom w:val="single" w:sz="4" w:space="0" w:color="E29C30"/>
                              <w:right w:val="single" w:sz="4" w:space="0" w:color="E09624"/>
                            </w:tcBorders>
                            <w:vAlign w:val="bottom"/>
                          </w:tcPr>
                          <w:p w:rsidR="00842457" w:rsidRPr="00710EF7" w:rsidRDefault="00842457">
                            <w:pPr>
                              <w:pStyle w:val="Default"/>
                              <w:rPr>
                                <w:rFonts w:ascii="CJEEH B+ Helvetica LT Std" w:hAnsi="CJEEH B+ Helvetica LT Std" w:cs="CJEEH B+ Helvetica LT Std"/>
                                <w:color w:val="auto"/>
                                <w:sz w:val="10"/>
                                <w:szCs w:val="10"/>
                              </w:rPr>
                            </w:pPr>
                            <w:r w:rsidRPr="00710EF7">
                              <w:rPr>
                                <w:rFonts w:ascii="CJEEH B+ Helvetica LT Std" w:hAnsi="CJEEH B+ Helvetica LT Std" w:cs="CJEEH B+ Helvetica LT Std"/>
                                <w:color w:val="auto"/>
                                <w:sz w:val="18"/>
                                <w:szCs w:val="18"/>
                              </w:rPr>
                              <w:t xml:space="preserve">R </w:t>
                            </w:r>
                            <w:r w:rsidRPr="00710EF7">
                              <w:rPr>
                                <w:rFonts w:ascii="CJEEH B+ Helvetica LT Std" w:hAnsi="CJEEH B+ Helvetica LT Std" w:cs="CJEEH B+ Helvetica LT Std"/>
                                <w:color w:val="auto"/>
                                <w:sz w:val="10"/>
                                <w:szCs w:val="10"/>
                              </w:rPr>
                              <w:t xml:space="preserve">e </w:t>
                            </w:r>
                          </w:p>
                        </w:tc>
                        <w:tc>
                          <w:tcPr>
                            <w:tcW w:w="5473" w:type="dxa"/>
                            <w:tcBorders>
                              <w:top w:val="single" w:sz="4" w:space="0" w:color="E29C30"/>
                              <w:left w:val="single" w:sz="4" w:space="0" w:color="E09624"/>
                              <w:bottom w:val="single" w:sz="4" w:space="0" w:color="E29C30"/>
                              <w:right w:val="single" w:sz="4" w:space="0" w:color="000000" w:themeColor="text1"/>
                            </w:tcBorders>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Required rate of return on equity </w:t>
                            </w:r>
                          </w:p>
                        </w:tc>
                      </w:tr>
                      <w:tr w:rsidR="00842457" w:rsidRPr="00710EF7" w:rsidTr="00856C25">
                        <w:trPr>
                          <w:trHeight w:val="142"/>
                        </w:trPr>
                        <w:tc>
                          <w:tcPr>
                            <w:tcW w:w="3275" w:type="dxa"/>
                            <w:tcBorders>
                              <w:top w:val="single" w:sz="4" w:space="0" w:color="E29C30"/>
                              <w:left w:val="single" w:sz="2" w:space="0" w:color="000000"/>
                              <w:bottom w:val="single" w:sz="2" w:space="0" w:color="000000"/>
                              <w:right w:val="single" w:sz="4" w:space="0" w:color="E09624"/>
                            </w:tcBorders>
                            <w:shd w:val="clear" w:color="auto" w:fill="F8E2C7"/>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WACC </w:t>
                            </w:r>
                          </w:p>
                        </w:tc>
                        <w:tc>
                          <w:tcPr>
                            <w:tcW w:w="5473" w:type="dxa"/>
                            <w:tcBorders>
                              <w:top w:val="single" w:sz="4" w:space="0" w:color="E29C30"/>
                              <w:left w:val="single" w:sz="4" w:space="0" w:color="E09624"/>
                              <w:bottom w:val="single" w:sz="2" w:space="0" w:color="000000"/>
                              <w:right w:val="single" w:sz="4" w:space="0" w:color="000000" w:themeColor="text1"/>
                            </w:tcBorders>
                            <w:shd w:val="clear" w:color="auto" w:fill="F8E2C7"/>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Weighted average cost of capital </w:t>
                            </w:r>
                          </w:p>
                        </w:tc>
                      </w:tr>
                    </w:tbl>
                    <w:p w:rsidR="00842457" w:rsidRDefault="00842457"/>
                  </w:txbxContent>
                </v:textbox>
                <w10:wrap type="through" anchorx="page" anchory="page"/>
              </v:shape>
            </w:pict>
          </mc:Fallback>
        </mc:AlternateContent>
      </w:r>
      <w:r w:rsidRPr="00710EF7">
        <w:rPr>
          <w:rFonts w:ascii="CJEEH B+ Helvetica LT Std" w:hAnsi="CJEEH B+ Helvetica LT Std" w:cs="CJEEH B+ Helvetica LT Std"/>
          <w:sz w:val="18"/>
          <w:szCs w:val="18"/>
          <w:lang w:val="en-US"/>
        </w:rPr>
        <w:t xml:space="preserve">Abbreviations used in this annex: </w:t>
      </w:r>
    </w:p>
    <w:p w:rsidR="00C342A7" w:rsidRPr="00710EF7" w:rsidRDefault="00C342A7" w:rsidP="00C342A7">
      <w:pPr>
        <w:pStyle w:val="Default"/>
        <w:rPr>
          <w:rFonts w:cstheme="minorBidi"/>
          <w:color w:val="auto"/>
        </w:rPr>
        <w:sectPr w:rsidR="00C342A7" w:rsidRPr="00710EF7" w:rsidSect="00CF7B49">
          <w:pgSz w:w="12240" w:h="16340"/>
          <w:pgMar w:top="1047" w:right="1635" w:bottom="0" w:left="900" w:header="720" w:footer="720" w:gutter="0"/>
          <w:cols w:space="720"/>
          <w:noEndnote/>
        </w:sectPr>
      </w:pPr>
    </w:p>
    <w:p w:rsidR="00C342A7" w:rsidRDefault="00C342A7" w:rsidP="00C342A7">
      <w:pPr>
        <w:pStyle w:val="Default"/>
        <w:pageBreakBefore/>
        <w:jc w:val="both"/>
        <w:rPr>
          <w:rFonts w:ascii="CJEEG B+ Helvetica LT Std" w:hAnsi="CJEEG B+ Helvetica LT Std" w:cs="CJEEG B+ Helvetica LT Std"/>
          <w:b/>
          <w:bCs/>
          <w:color w:val="5A2924"/>
          <w:sz w:val="20"/>
          <w:szCs w:val="20"/>
        </w:rPr>
      </w:pPr>
    </w:p>
    <w:p w:rsidR="00C342A7" w:rsidRDefault="00C342A7" w:rsidP="00C342A7">
      <w:pPr>
        <w:pStyle w:val="Default"/>
      </w:pPr>
    </w:p>
    <w:p w:rsidR="00C342A7" w:rsidRPr="00710EF7" w:rsidRDefault="00C342A7" w:rsidP="00C342A7">
      <w:pPr>
        <w:pStyle w:val="Default"/>
      </w:pPr>
    </w:p>
    <w:p w:rsidR="00C342A7" w:rsidRPr="00710EF7" w:rsidRDefault="00C342A7" w:rsidP="00C342A7">
      <w:pPr>
        <w:pStyle w:val="Default"/>
        <w:rPr>
          <w:rFonts w:cstheme="minorBidi"/>
          <w:color w:val="auto"/>
        </w:rPr>
        <w:sectPr w:rsidR="00C342A7" w:rsidRPr="00710EF7">
          <w:type w:val="continuous"/>
          <w:pgSz w:w="12240" w:h="16340"/>
          <w:pgMar w:top="3307" w:right="1635" w:bottom="0" w:left="900" w:header="720" w:footer="720" w:gutter="0"/>
          <w:cols w:num="2" w:space="720" w:equalWidth="0">
            <w:col w:w="248" w:space="331"/>
            <w:col w:w="270"/>
          </w:cols>
          <w:noEndnote/>
        </w:sectPr>
      </w:pPr>
    </w:p>
    <w:p w:rsidR="00C342A7" w:rsidRDefault="00C342A7" w:rsidP="00C342A7">
      <w:pPr>
        <w:pStyle w:val="Default"/>
        <w:spacing w:after="275"/>
        <w:ind w:left="10767" w:right="817"/>
        <w:rPr>
          <w:rFonts w:ascii="CJEEH B+ Helvetica LT Std" w:hAnsi="CJEEH B+ Helvetica LT Std" w:cs="CJEEH B+ Helvetica LT Std"/>
          <w:color w:val="DF9524"/>
          <w:sz w:val="14"/>
          <w:szCs w:val="14"/>
        </w:rPr>
      </w:pPr>
      <w:r w:rsidRPr="00856C25">
        <w:rPr>
          <w:rFonts w:ascii="CJEEH B+ Helvetica LT Std" w:hAnsi="CJEEH B+ Helvetica LT Std" w:cs="CJEEH B+ Helvetica LT Std"/>
          <w:noProof/>
          <w:color w:val="DF9524"/>
          <w:sz w:val="14"/>
          <w:szCs w:val="14"/>
        </w:rPr>
        <w:lastRenderedPageBreak/>
        <mc:AlternateContent>
          <mc:Choice Requires="wps">
            <w:drawing>
              <wp:anchor distT="0" distB="0" distL="114300" distR="114300" simplePos="0" relativeHeight="251660288" behindDoc="0" locked="0" layoutInCell="1" allowOverlap="1" wp14:anchorId="51B2D77E" wp14:editId="5501DE54">
                <wp:simplePos x="0" y="0"/>
                <wp:positionH relativeFrom="column">
                  <wp:posOffset>581025</wp:posOffset>
                </wp:positionH>
                <wp:positionV relativeFrom="paragraph">
                  <wp:posOffset>884555</wp:posOffset>
                </wp:positionV>
                <wp:extent cx="485775" cy="5524500"/>
                <wp:effectExtent l="0" t="635"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52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2457" w:rsidRPr="00710EF7" w:rsidRDefault="00842457" w:rsidP="00CF7B49">
                            <w:pPr>
                              <w:pStyle w:val="Default"/>
                              <w:pageBreakBefore/>
                              <w:jc w:val="both"/>
                              <w:rPr>
                                <w:rFonts w:ascii="CJEEG B+ Helvetica LT Std" w:hAnsi="CJEEG B+ Helvetica LT Std" w:cs="CJEEG B+ Helvetica LT Std"/>
                                <w:color w:val="5A2924"/>
                                <w:sz w:val="20"/>
                                <w:szCs w:val="20"/>
                              </w:rPr>
                            </w:pPr>
                            <w:r w:rsidRPr="00710EF7">
                              <w:rPr>
                                <w:rFonts w:ascii="CJEEG B+ Helvetica LT Std" w:hAnsi="CJEEG B+ Helvetica LT Std" w:cs="CJEEG B+ Helvetica LT Std"/>
                                <w:b/>
                                <w:bCs/>
                                <w:color w:val="5A2924"/>
                                <w:sz w:val="20"/>
                                <w:szCs w:val="20"/>
                              </w:rPr>
                              <w:t>SUMMARY TABLES</w:t>
                            </w:r>
                          </w:p>
                          <w:p w:rsidR="00842457" w:rsidRDefault="00842457" w:rsidP="00CF7B49">
                            <w:pPr>
                              <w:pStyle w:val="CM83"/>
                              <w:spacing w:after="182"/>
                              <w:jc w:val="both"/>
                              <w:rPr>
                                <w:rFonts w:ascii="CJEJE D+ Helvetica LT Std" w:hAnsi="CJEJE D+ Helvetica LT Std" w:cs="CJEJE D+ Helvetica LT Std"/>
                                <w:color w:val="1585A1"/>
                                <w:sz w:val="18"/>
                                <w:szCs w:val="18"/>
                                <w:lang w:val="en-US"/>
                              </w:rPr>
                            </w:pPr>
                            <w:r w:rsidRPr="00710EF7">
                              <w:rPr>
                                <w:rFonts w:ascii="CJEJE D+ Helvetica LT Std" w:hAnsi="CJEJE D+ Helvetica LT Std" w:cs="CJEJE D+ Helvetica LT Std"/>
                                <w:color w:val="1585A1"/>
                                <w:sz w:val="22"/>
                                <w:szCs w:val="22"/>
                                <w:lang w:val="en-US"/>
                              </w:rPr>
                              <w:t>A Hypothetical Geothermal Project  - Financial Analysis</w:t>
                            </w:r>
                            <w:r w:rsidRPr="00710EF7">
                              <w:rPr>
                                <w:rFonts w:ascii="CJEJE D+ Helvetica LT Std" w:hAnsi="CJEJE D+ Helvetica LT Std" w:cs="CJEJE D+ Helvetica LT Std"/>
                                <w:color w:val="1585A1"/>
                                <w:sz w:val="18"/>
                                <w:szCs w:val="18"/>
                                <w:lang w:val="en-US"/>
                              </w:rPr>
                              <w:t xml:space="preserve"> (constant 2011 US$)</w:t>
                            </w:r>
                          </w:p>
                          <w:p w:rsidR="00842457" w:rsidRPr="00710EF7" w:rsidRDefault="00842457" w:rsidP="00C342A7"/>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45.75pt;margin-top:69.65pt;width:38.2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" stroked="f">
                <v:textbox style="layout-flow:vertical;mso-layout-flow-alt:bottom-to-top">
                  <w:txbxContent>
                    <w:p w:rsidR="00842457" w:rsidRPr="00710EF7" w:rsidRDefault="00842457" w:rsidP="00CF7B49">
                      <w:pPr>
                        <w:pStyle w:val="Default"/>
                        <w:pageBreakBefore/>
                        <w:jc w:val="both"/>
                        <w:rPr>
                          <w:rFonts w:ascii="CJEEG B+ Helvetica LT Std" w:hAnsi="CJEEG B+ Helvetica LT Std" w:cs="CJEEG B+ Helvetica LT Std"/>
                          <w:color w:val="5A2924"/>
                          <w:sz w:val="20"/>
                          <w:szCs w:val="20"/>
                        </w:rPr>
                      </w:pPr>
                      <w:r w:rsidRPr="00710EF7">
                        <w:rPr>
                          <w:rFonts w:ascii="CJEEG B+ Helvetica LT Std" w:hAnsi="CJEEG B+ Helvetica LT Std" w:cs="CJEEG B+ Helvetica LT Std"/>
                          <w:b/>
                          <w:bCs/>
                          <w:color w:val="5A2924"/>
                          <w:sz w:val="20"/>
                          <w:szCs w:val="20"/>
                        </w:rPr>
                        <w:t>SUMMARY TABLES</w:t>
                      </w:r>
                    </w:p>
                    <w:p w:rsidR="00842457" w:rsidRDefault="00842457" w:rsidP="00CF7B49">
                      <w:pPr>
                        <w:pStyle w:val="CM83"/>
                        <w:spacing w:after="182"/>
                        <w:jc w:val="both"/>
                        <w:rPr>
                          <w:rFonts w:ascii="CJEJE D+ Helvetica LT Std" w:hAnsi="CJEJE D+ Helvetica LT Std" w:cs="CJEJE D+ Helvetica LT Std"/>
                          <w:color w:val="1585A1"/>
                          <w:sz w:val="18"/>
                          <w:szCs w:val="18"/>
                          <w:lang w:val="en-US"/>
                        </w:rPr>
                      </w:pPr>
                      <w:r w:rsidRPr="00710EF7">
                        <w:rPr>
                          <w:rFonts w:ascii="CJEJE D+ Helvetica LT Std" w:hAnsi="CJEJE D+ Helvetica LT Std" w:cs="CJEJE D+ Helvetica LT Std"/>
                          <w:color w:val="1585A1"/>
                          <w:sz w:val="22"/>
                          <w:szCs w:val="22"/>
                          <w:lang w:val="en-US"/>
                        </w:rPr>
                        <w:t xml:space="preserve">A Hypothetical Geothermal </w:t>
                      </w:r>
                      <w:proofErr w:type="gramStart"/>
                      <w:r w:rsidRPr="00710EF7">
                        <w:rPr>
                          <w:rFonts w:ascii="CJEJE D+ Helvetica LT Std" w:hAnsi="CJEJE D+ Helvetica LT Std" w:cs="CJEJE D+ Helvetica LT Std"/>
                          <w:color w:val="1585A1"/>
                          <w:sz w:val="22"/>
                          <w:szCs w:val="22"/>
                          <w:lang w:val="en-US"/>
                        </w:rPr>
                        <w:t>Project  -</w:t>
                      </w:r>
                      <w:proofErr w:type="gramEnd"/>
                      <w:r w:rsidRPr="00710EF7">
                        <w:rPr>
                          <w:rFonts w:ascii="CJEJE D+ Helvetica LT Std" w:hAnsi="CJEJE D+ Helvetica LT Std" w:cs="CJEJE D+ Helvetica LT Std"/>
                          <w:color w:val="1585A1"/>
                          <w:sz w:val="22"/>
                          <w:szCs w:val="22"/>
                          <w:lang w:val="en-US"/>
                        </w:rPr>
                        <w:t xml:space="preserve"> Financial Analysis</w:t>
                      </w:r>
                      <w:r w:rsidRPr="00710EF7">
                        <w:rPr>
                          <w:rFonts w:ascii="CJEJE D+ Helvetica LT Std" w:hAnsi="CJEJE D+ Helvetica LT Std" w:cs="CJEJE D+ Helvetica LT Std"/>
                          <w:color w:val="1585A1"/>
                          <w:sz w:val="18"/>
                          <w:szCs w:val="18"/>
                          <w:lang w:val="en-US"/>
                        </w:rPr>
                        <w:t xml:space="preserve"> (constant 2011 US$)</w:t>
                      </w:r>
                    </w:p>
                    <w:p w:rsidR="00842457" w:rsidRPr="00710EF7" w:rsidRDefault="00842457" w:rsidP="00C342A7"/>
                  </w:txbxContent>
                </v:textbox>
              </v:rect>
            </w:pict>
          </mc:Fallback>
        </mc:AlternateContent>
      </w:r>
      <w:r>
        <w:rPr>
          <w:rFonts w:ascii="CJEEH B+ Helvetica LT Std" w:hAnsi="CJEEH B+ Helvetica LT Std" w:cs="CJEEH B+ Helvetica LT Std"/>
          <w:color w:val="DF9524"/>
          <w:sz w:val="14"/>
          <w:szCs w:val="14"/>
        </w:rPr>
        <w:t xml:space="preserve">YEARS 7...30 </w:t>
      </w:r>
    </w:p>
    <w:p w:rsidR="00C342A7" w:rsidRDefault="00C342A7" w:rsidP="00C342A7">
      <w:pPr>
        <w:pStyle w:val="Default"/>
        <w:framePr w:w="1110" w:wrap="auto" w:vAnchor="page" w:hAnchor="page" w:x="3110" w:y="1776"/>
        <w:spacing w:after="300"/>
        <w:rPr>
          <w:rFonts w:ascii="CJEEH B+ Helvetica LT Std" w:hAnsi="CJEEH B+ Helvetica LT Std" w:cs="CJEEH B+ Helvetica LT Std"/>
          <w:color w:val="DF9524"/>
          <w:sz w:val="14"/>
          <w:szCs w:val="14"/>
        </w:rPr>
      </w:pPr>
      <w:r w:rsidRPr="00856C25">
        <w:rPr>
          <w:rFonts w:ascii="CJEEH B+ Helvetica LT Std" w:hAnsi="CJEEH B+ Helvetica LT Std" w:cs="CJEEH B+ Helvetica LT Std"/>
          <w:noProof/>
          <w:color w:val="DF9524"/>
          <w:sz w:val="14"/>
          <w:szCs w:val="14"/>
        </w:rPr>
        <w:drawing>
          <wp:inline distT="0" distB="0" distL="0" distR="0" wp14:anchorId="490456F4" wp14:editId="4688BB97">
            <wp:extent cx="161925" cy="65436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6543675"/>
                    </a:xfrm>
                    <a:prstGeom prst="rect">
                      <a:avLst/>
                    </a:prstGeom>
                    <a:noFill/>
                    <a:ln>
                      <a:noFill/>
                    </a:ln>
                  </pic:spPr>
                </pic:pic>
              </a:graphicData>
            </a:graphic>
          </wp:inline>
        </w:drawing>
      </w:r>
    </w:p>
    <w:p w:rsidR="00C342A7" w:rsidRDefault="00C342A7" w:rsidP="00C342A7">
      <w:pPr>
        <w:pStyle w:val="Default"/>
        <w:framePr w:w="8860" w:wrap="auto" w:vAnchor="page" w:hAnchor="page" w:x="2679" w:y="1751"/>
        <w:rPr>
          <w:rFonts w:ascii="CJEEH B+ Helvetica LT Std" w:hAnsi="CJEEH B+ Helvetica LT Std" w:cs="CJEEH B+ Helvetica LT Std"/>
          <w:color w:val="DF9524"/>
          <w:sz w:val="14"/>
          <w:szCs w:val="14"/>
        </w:rPr>
      </w:pPr>
      <w:r w:rsidRPr="00856C25">
        <w:rPr>
          <w:rFonts w:ascii="CJEEH B+ Helvetica LT Std" w:hAnsi="CJEEH B+ Helvetica LT Std" w:cs="CJEEH B+ Helvetica LT Std"/>
          <w:noProof/>
          <w:color w:val="DF9524"/>
          <w:sz w:val="14"/>
          <w:szCs w:val="14"/>
        </w:rPr>
        <w:drawing>
          <wp:inline distT="0" distB="0" distL="0" distR="0" wp14:anchorId="234E7E25" wp14:editId="154A0D76">
            <wp:extent cx="5076825" cy="77247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76825" cy="7724775"/>
                    </a:xfrm>
                    <a:prstGeom prst="rect">
                      <a:avLst/>
                    </a:prstGeom>
                    <a:noFill/>
                    <a:ln>
                      <a:noFill/>
                    </a:ln>
                  </pic:spPr>
                </pic:pic>
              </a:graphicData>
            </a:graphic>
          </wp:inline>
        </w:drawing>
      </w:r>
    </w:p>
    <w:p w:rsidR="00C342A7" w:rsidRDefault="00C342A7" w:rsidP="00C342A7">
      <w:pPr>
        <w:pStyle w:val="Default"/>
        <w:pageBreakBefore/>
        <w:framePr w:w="7806" w:wrap="auto" w:vAnchor="page" w:hAnchor="page" w:x="1746" w:y="1751"/>
        <w:rPr>
          <w:rFonts w:ascii="CJEEH B+ Helvetica LT Std" w:hAnsi="CJEEH B+ Helvetica LT Std" w:cs="CJEEH B+ Helvetica LT Std"/>
          <w:color w:val="DF9524"/>
          <w:sz w:val="14"/>
          <w:szCs w:val="14"/>
        </w:rPr>
      </w:pPr>
      <w:r w:rsidRPr="00856C25">
        <w:rPr>
          <w:rFonts w:ascii="CJEEH B+ Helvetica LT Std" w:hAnsi="CJEEH B+ Helvetica LT Std" w:cs="CJEEH B+ Helvetica LT Std"/>
          <w:noProof/>
          <w:color w:val="DF9524"/>
          <w:sz w:val="14"/>
          <w:szCs w:val="14"/>
        </w:rPr>
        <w:lastRenderedPageBreak/>
        <w:drawing>
          <wp:inline distT="0" distB="0" distL="0" distR="0" wp14:anchorId="1E23A34F" wp14:editId="583CC79E">
            <wp:extent cx="4391025" cy="77724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91025" cy="7772400"/>
                    </a:xfrm>
                    <a:prstGeom prst="rect">
                      <a:avLst/>
                    </a:prstGeom>
                    <a:noFill/>
                    <a:ln>
                      <a:noFill/>
                    </a:ln>
                  </pic:spPr>
                </pic:pic>
              </a:graphicData>
            </a:graphic>
          </wp:inline>
        </w:drawing>
      </w:r>
    </w:p>
    <w:p w:rsidR="00C342A7" w:rsidRDefault="00C342A7" w:rsidP="00C342A7">
      <w:pPr>
        <w:pStyle w:val="Default"/>
        <w:rPr>
          <w:rFonts w:cstheme="minorBidi"/>
          <w:color w:val="auto"/>
        </w:rPr>
      </w:pPr>
    </w:p>
    <w:p w:rsidR="00C342A7" w:rsidRDefault="00C342A7" w:rsidP="00C342A7">
      <w:pPr>
        <w:pStyle w:val="Default"/>
        <w:rPr>
          <w:rFonts w:cstheme="minorBidi"/>
          <w:color w:val="auto"/>
        </w:rPr>
      </w:pPr>
    </w:p>
    <w:p w:rsidR="00C342A7" w:rsidRDefault="00C342A7" w:rsidP="00C342A7">
      <w:pPr>
        <w:pStyle w:val="Default"/>
        <w:rPr>
          <w:rFonts w:cstheme="minorBidi"/>
          <w:color w:val="auto"/>
        </w:rPr>
        <w:sectPr w:rsidR="00C342A7">
          <w:type w:val="continuous"/>
          <w:pgSz w:w="12240" w:h="16340"/>
          <w:pgMar w:top="3307" w:right="1635" w:bottom="0" w:left="900" w:header="720" w:footer="720" w:gutter="0"/>
          <w:cols w:space="720"/>
          <w:noEndnote/>
        </w:sectPr>
      </w:pPr>
    </w:p>
    <w:p w:rsidR="00C342A7" w:rsidRPr="00710EF7" w:rsidRDefault="00C342A7" w:rsidP="00C342A7">
      <w:pPr>
        <w:pStyle w:val="Default"/>
        <w:rPr>
          <w:rFonts w:cstheme="minorBidi"/>
          <w:color w:val="auto"/>
        </w:rPr>
      </w:pPr>
      <w:r>
        <w:rPr>
          <w:noProof/>
        </w:rPr>
        <w:lastRenderedPageBreak/>
        <w:drawing>
          <wp:anchor distT="0" distB="0" distL="114300" distR="114300" simplePos="0" relativeHeight="251661312" behindDoc="0" locked="0" layoutInCell="1" allowOverlap="1" wp14:anchorId="3812E2CB" wp14:editId="47936A60">
            <wp:simplePos x="0" y="0"/>
            <wp:positionH relativeFrom="column">
              <wp:posOffset>171450</wp:posOffset>
            </wp:positionH>
            <wp:positionV relativeFrom="paragraph">
              <wp:posOffset>172720</wp:posOffset>
            </wp:positionV>
            <wp:extent cx="5106035" cy="8801100"/>
            <wp:effectExtent l="171450" t="171450" r="380365" b="3619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5106035" cy="88011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C342A7" w:rsidRDefault="00C342A7" w:rsidP="00C342A7">
      <w:pPr>
        <w:pStyle w:val="Default"/>
        <w:pageBreakBefore/>
        <w:framePr w:w="7806" w:wrap="auto" w:vAnchor="page" w:hAnchor="page" w:x="1746" w:y="1736"/>
        <w:rPr>
          <w:rFonts w:cstheme="minorBidi"/>
          <w:color w:val="auto"/>
        </w:rPr>
      </w:pPr>
      <w:r w:rsidRPr="00856C25">
        <w:rPr>
          <w:rFonts w:cstheme="minorBidi"/>
          <w:noProof/>
          <w:color w:val="auto"/>
        </w:rPr>
        <w:lastRenderedPageBreak/>
        <w:drawing>
          <wp:inline distT="0" distB="0" distL="0" distR="0" wp14:anchorId="0A4A66CF" wp14:editId="6356B72A">
            <wp:extent cx="4391025" cy="77819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91025" cy="7781925"/>
                    </a:xfrm>
                    <a:prstGeom prst="rect">
                      <a:avLst/>
                    </a:prstGeom>
                    <a:noFill/>
                    <a:ln>
                      <a:noFill/>
                    </a:ln>
                  </pic:spPr>
                </pic:pic>
              </a:graphicData>
            </a:graphic>
          </wp:inline>
        </w:drawing>
      </w:r>
    </w:p>
    <w:p w:rsidR="00C342A7" w:rsidRDefault="00C342A7" w:rsidP="00C342A7">
      <w:pPr>
        <w:pStyle w:val="Default"/>
        <w:rPr>
          <w:rFonts w:cstheme="minorBidi"/>
          <w:color w:val="auto"/>
        </w:rPr>
      </w:pPr>
    </w:p>
    <w:p w:rsidR="00C342A7" w:rsidRDefault="00C342A7" w:rsidP="00C342A7">
      <w:pPr>
        <w:pStyle w:val="Default"/>
        <w:rPr>
          <w:rFonts w:cstheme="minorBidi"/>
          <w:color w:val="auto"/>
        </w:rPr>
      </w:pPr>
    </w:p>
    <w:p w:rsidR="00C342A7" w:rsidRPr="00710EF7" w:rsidRDefault="00C342A7" w:rsidP="00C342A7">
      <w:pPr>
        <w:pStyle w:val="Default"/>
        <w:rPr>
          <w:rFonts w:cstheme="minorBidi"/>
          <w:color w:val="auto"/>
        </w:rPr>
        <w:sectPr w:rsidR="00C342A7" w:rsidRPr="00710EF7">
          <w:type w:val="continuous"/>
          <w:pgSz w:w="12240" w:h="16340"/>
          <w:pgMar w:top="3298" w:right="900" w:bottom="0" w:left="900" w:header="720" w:footer="720" w:gutter="0"/>
          <w:cols w:num="2" w:space="720" w:equalWidth="0">
            <w:col w:w="248" w:space="331"/>
            <w:col w:w="270"/>
          </w:cols>
          <w:noEndnote/>
        </w:sectPr>
      </w:pPr>
    </w:p>
    <w:p w:rsidR="00C342A7" w:rsidRDefault="00C342A7" w:rsidP="00C342A7">
      <w:pPr>
        <w:pStyle w:val="CM89"/>
        <w:spacing w:after="92" w:line="280" w:lineRule="atLeast"/>
        <w:rPr>
          <w:rFonts w:ascii="CJEEG B+ Helvetica LT Std" w:hAnsi="CJEEG B+ Helvetica LT Std" w:cs="CJEEG B+ Helvetica LT Std"/>
          <w:b/>
          <w:bCs/>
          <w:color w:val="1585A1"/>
          <w:sz w:val="22"/>
          <w:szCs w:val="22"/>
          <w:lang w:val="en-US"/>
        </w:rPr>
      </w:pPr>
    </w:p>
    <w:p w:rsidR="00C342A7" w:rsidRPr="00710EF7" w:rsidRDefault="00C342A7" w:rsidP="00C342A7">
      <w:pPr>
        <w:pStyle w:val="CM89"/>
        <w:spacing w:after="92" w:line="280" w:lineRule="atLeast"/>
        <w:rPr>
          <w:rFonts w:ascii="CJEEG B+ Helvetica LT Std" w:hAnsi="CJEEG B+ Helvetica LT Std" w:cs="CJEEG B+ Helvetica LT Std"/>
          <w:color w:val="1585A1"/>
          <w:sz w:val="22"/>
          <w:szCs w:val="22"/>
          <w:lang w:val="en-US"/>
        </w:rPr>
      </w:pPr>
      <w:r>
        <w:rPr>
          <w:rFonts w:ascii="CJEEG B+ Helvetica LT Std" w:hAnsi="CJEEG B+ Helvetica LT Std" w:cs="CJEEG B+ Helvetica LT Std"/>
          <w:b/>
          <w:bCs/>
          <w:color w:val="1585A1"/>
          <w:sz w:val="22"/>
          <w:szCs w:val="22"/>
          <w:lang w:val="en-US"/>
        </w:rPr>
        <w:t>SENSITIVITY ANALYSIS</w:t>
      </w:r>
    </w:p>
    <w:p w:rsidR="00C342A7" w:rsidRDefault="00C342A7" w:rsidP="00C342A7">
      <w:pPr>
        <w:pStyle w:val="Default"/>
        <w:spacing w:after="92" w:line="280" w:lineRule="atLeast"/>
        <w:ind w:right="165"/>
        <w:jc w:val="both"/>
        <w:rPr>
          <w:rFonts w:ascii="CJEJE D+ Helvetica LT Std" w:hAnsi="CJEJE D+ Helvetica LT Std" w:cs="CJEJE D+ Helvetica LT Std"/>
          <w:color w:val="auto"/>
          <w:sz w:val="18"/>
          <w:szCs w:val="18"/>
        </w:rPr>
      </w:pPr>
    </w:p>
    <w:p w:rsidR="00C342A7" w:rsidRPr="00856C25" w:rsidRDefault="00C342A7" w:rsidP="00C342A7">
      <w:pPr>
        <w:pStyle w:val="Default"/>
        <w:spacing w:after="92" w:line="280" w:lineRule="atLeast"/>
        <w:ind w:right="165"/>
        <w:jc w:val="both"/>
        <w:rPr>
          <w:color w:val="auto"/>
          <w:szCs w:val="18"/>
        </w:rPr>
      </w:pPr>
      <w:r w:rsidRPr="00856C25">
        <w:rPr>
          <w:color w:val="auto"/>
          <w:szCs w:val="18"/>
        </w:rPr>
        <w:t xml:space="preserve">Various risk assessment tools can be employed in investment project analysis. Sensitivity analysis is one of them. To make the decision to commit resources to a project, the investor needs to be satisﬁed that the return on the investment is sufﬁciently robust under various scenarios affecting key parameters, such as the capital (investment) cost of the project, the recurring costs of operation and maintenance (O&amp;M), and the likely level of tariff received per kilowatt hour sold to the grid, as well as the capital structure and terms of ﬁnancing of the project. </w:t>
      </w:r>
    </w:p>
    <w:p w:rsidR="00C342A7" w:rsidRDefault="00C342A7" w:rsidP="00C342A7">
      <w:pPr>
        <w:pStyle w:val="CM86"/>
        <w:spacing w:after="370" w:line="280" w:lineRule="atLeast"/>
        <w:jc w:val="both"/>
        <w:rPr>
          <w:rFonts w:ascii="CJEJE D+ Helvetica LT Std" w:hAnsi="CJEJE D+ Helvetica LT Std" w:cs="CJEJE D+ Helvetica LT Std"/>
          <w:color w:val="00BDF2"/>
          <w:sz w:val="18"/>
          <w:szCs w:val="18"/>
          <w:lang w:val="en-US"/>
        </w:rPr>
      </w:pPr>
      <w:r w:rsidRPr="00856C25">
        <w:rPr>
          <w:rFonts w:ascii="Times New Roman" w:hAnsi="Times New Roman" w:cs="Times New Roman"/>
          <w:szCs w:val="18"/>
          <w:lang w:val="en-US"/>
        </w:rPr>
        <w:t xml:space="preserve">To assess the likely impact of these key parameters on the investor’s return, sensitivity analysis is typically performed. This type of analysis is sometimes called “what-if” analysis because it shows what happens to the key variable of interest to the investor if another variable (or, rather, its assumed value) </w:t>
      </w:r>
      <w:r w:rsidRPr="00856C25">
        <w:rPr>
          <w:rFonts w:ascii="Times New Roman" w:hAnsi="Times New Roman" w:cs="Times New Roman"/>
          <w:lang w:val="en-US"/>
        </w:rPr>
        <w:t xml:space="preserve">changes. The variables whose impact is being determined are usually changed one at a time (although several variables can also be changed simultaneously to see their cumulative impact). If this approach is chosen, each variable is returned to the initial value assigned to it in a certain reference scenario before proceeding with the next variable. Such an analysis usually requires a cash </w:t>
      </w:r>
      <w:r w:rsidRPr="00856C25">
        <w:rPr>
          <w:rFonts w:ascii="Times New Roman" w:hAnsi="Times New Roman" w:cs="Times New Roman"/>
        </w:rPr>
        <w:t>ﬂ</w:t>
      </w:r>
      <w:r w:rsidRPr="00856C25">
        <w:rPr>
          <w:rFonts w:ascii="Times New Roman" w:hAnsi="Times New Roman" w:cs="Times New Roman"/>
          <w:lang w:val="en-US"/>
        </w:rPr>
        <w:t>ow model to be suf</w:t>
      </w:r>
      <w:r w:rsidRPr="00856C25">
        <w:rPr>
          <w:rFonts w:ascii="Times New Roman" w:hAnsi="Times New Roman" w:cs="Times New Roman"/>
        </w:rPr>
        <w:t>ﬁ</w:t>
      </w:r>
      <w:r w:rsidRPr="00856C25">
        <w:rPr>
          <w:rFonts w:ascii="Times New Roman" w:hAnsi="Times New Roman" w:cs="Times New Roman"/>
          <w:lang w:val="en-US"/>
        </w:rPr>
        <w:t xml:space="preserve">ciently accurate. The example above was calculated using an Excel spreadsheet model that simulates the cash </w:t>
      </w:r>
      <w:r w:rsidRPr="00856C25">
        <w:rPr>
          <w:rFonts w:ascii="Times New Roman" w:hAnsi="Times New Roman" w:cs="Times New Roman"/>
        </w:rPr>
        <w:t>ﬂ</w:t>
      </w:r>
      <w:r w:rsidRPr="00856C25">
        <w:rPr>
          <w:rFonts w:ascii="Times New Roman" w:hAnsi="Times New Roman" w:cs="Times New Roman"/>
          <w:lang w:val="en-US"/>
        </w:rPr>
        <w:t>ows to the equity investor.</w:t>
      </w:r>
      <w:r w:rsidRPr="00710EF7">
        <w:rPr>
          <w:rFonts w:ascii="CJEJE D+ Helvetica LT Std" w:hAnsi="CJEJE D+ Helvetica LT Std" w:cs="CJEJE D+ Helvetica LT Std"/>
          <w:color w:val="00BDF2"/>
          <w:sz w:val="18"/>
          <w:szCs w:val="18"/>
          <w:lang w:val="en-US"/>
        </w:rPr>
        <w:t xml:space="preserve"> </w:t>
      </w:r>
    </w:p>
    <w:p w:rsidR="007420DE" w:rsidRPr="00710EF7" w:rsidRDefault="007420DE" w:rsidP="00856C25">
      <w:pPr>
        <w:pStyle w:val="Default"/>
        <w:framePr w:w="11322" w:wrap="auto" w:vAnchor="page" w:hAnchor="page" w:x="929" w:y="8116"/>
        <w:rPr>
          <w:rFonts w:ascii="CJEEG B+ Helvetica LT Std" w:hAnsi="CJEEG B+ Helvetica LT Std" w:cs="CJEEG B+ Helvetica LT Std"/>
          <w:color w:val="5A2924"/>
          <w:sz w:val="20"/>
          <w:szCs w:val="20"/>
        </w:rPr>
      </w:pPr>
      <w:r>
        <w:rPr>
          <w:rFonts w:ascii="CJEEG B+ Helvetica LT Std" w:hAnsi="CJEEG B+ Helvetica LT Std" w:cs="CJEEG B+ Helvetica LT Std"/>
          <w:b/>
          <w:bCs/>
          <w:color w:val="5A2924"/>
          <w:sz w:val="20"/>
          <w:szCs w:val="20"/>
        </w:rPr>
        <w:t>ANNEX 2</w:t>
      </w:r>
      <w:r w:rsidRPr="00710EF7">
        <w:rPr>
          <w:rFonts w:ascii="CJEEG B+ Helvetica LT Std" w:hAnsi="CJEEG B+ Helvetica LT Std" w:cs="CJEEG B+ Helvetica LT Std"/>
          <w:b/>
          <w:bCs/>
          <w:color w:val="5A2924"/>
          <w:sz w:val="20"/>
          <w:szCs w:val="20"/>
        </w:rPr>
        <w:t xml:space="preserve">, FIGURE 1 </w:t>
      </w:r>
    </w:p>
    <w:p w:rsidR="007420DE" w:rsidRPr="002E7EAA" w:rsidRDefault="007420DE" w:rsidP="00856C25">
      <w:pPr>
        <w:pStyle w:val="CM88"/>
        <w:framePr w:w="11322" w:wrap="auto" w:vAnchor="page" w:hAnchor="page" w:x="929" w:y="8116"/>
        <w:spacing w:after="275" w:line="280" w:lineRule="atLeast"/>
        <w:ind w:right="165"/>
        <w:rPr>
          <w:rFonts w:ascii="CJEJE D+ Helvetica LT Std" w:hAnsi="CJEJE D+ Helvetica LT Std" w:cs="CJEJE D+ Helvetica LT Std"/>
          <w:color w:val="1585A1"/>
          <w:sz w:val="22"/>
          <w:szCs w:val="22"/>
          <w:lang w:val="en-US"/>
        </w:rPr>
      </w:pPr>
      <w:r w:rsidRPr="00710EF7">
        <w:rPr>
          <w:rFonts w:ascii="CJEJE D+ Helvetica LT Std" w:hAnsi="CJEJE D+ Helvetica LT Std" w:cs="CJEJE D+ Helvetica LT Std"/>
          <w:color w:val="1585A1"/>
          <w:sz w:val="22"/>
          <w:szCs w:val="22"/>
          <w:lang w:val="en-US"/>
        </w:rPr>
        <w:t>Sensitivity of Return on Equity to Various Levels of Investment Costs and El</w:t>
      </w:r>
      <w:r>
        <w:rPr>
          <w:rFonts w:ascii="CJEJE D+ Helvetica LT Std" w:hAnsi="CJEJE D+ Helvetica LT Std" w:cs="CJEJE D+ Helvetica LT Std"/>
          <w:color w:val="1585A1"/>
          <w:sz w:val="22"/>
          <w:szCs w:val="22"/>
          <w:lang w:val="en-US"/>
        </w:rPr>
        <w:t xml:space="preserve">ectricity Sales Price (Tariff) </w:t>
      </w:r>
    </w:p>
    <w:p w:rsidR="00C342A7" w:rsidRDefault="00C342A7" w:rsidP="00C342A7">
      <w:pPr>
        <w:pStyle w:val="Default"/>
      </w:pPr>
    </w:p>
    <w:p w:rsidR="00C342A7" w:rsidRDefault="00C342A7" w:rsidP="00C342A7">
      <w:pPr>
        <w:pStyle w:val="Default"/>
      </w:pPr>
      <w:r w:rsidRPr="00856C25">
        <w:rPr>
          <w:rFonts w:ascii="CJEJE D+ Helvetica LT Std" w:hAnsi="CJEJE D+ Helvetica LT Std" w:cs="CJEJE D+ Helvetica LT Std"/>
          <w:noProof/>
          <w:color w:val="1585A1"/>
          <w:sz w:val="22"/>
          <w:szCs w:val="22"/>
        </w:rPr>
        <w:drawing>
          <wp:inline distT="0" distB="0" distL="0" distR="0" wp14:anchorId="561B4888" wp14:editId="6FBA7D18">
            <wp:extent cx="6181725" cy="30099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81725" cy="3009900"/>
                    </a:xfrm>
                    <a:prstGeom prst="rect">
                      <a:avLst/>
                    </a:prstGeom>
                    <a:noFill/>
                    <a:ln>
                      <a:noFill/>
                    </a:ln>
                  </pic:spPr>
                </pic:pic>
              </a:graphicData>
            </a:graphic>
          </wp:inline>
        </w:drawing>
      </w:r>
    </w:p>
    <w:p w:rsidR="00C342A7" w:rsidRDefault="00C342A7" w:rsidP="00C342A7">
      <w:pPr>
        <w:pStyle w:val="Default"/>
      </w:pPr>
    </w:p>
    <w:p w:rsidR="00C342A7" w:rsidRPr="002E7EAA" w:rsidRDefault="00C342A7" w:rsidP="00C342A7">
      <w:pPr>
        <w:pStyle w:val="Default"/>
      </w:pPr>
    </w:p>
    <w:p w:rsidR="00C342A7" w:rsidRPr="00856C25" w:rsidRDefault="00C342A7" w:rsidP="00C342A7">
      <w:pPr>
        <w:pStyle w:val="CM89"/>
        <w:pageBreakBefore/>
        <w:spacing w:after="92" w:line="280" w:lineRule="atLeast"/>
        <w:ind w:right="100"/>
        <w:jc w:val="both"/>
        <w:rPr>
          <w:rFonts w:ascii="Times New Roman" w:hAnsi="Times New Roman" w:cs="Times New Roman"/>
          <w:lang w:val="en-US"/>
        </w:rPr>
      </w:pPr>
      <w:r w:rsidRPr="00856C25">
        <w:rPr>
          <w:rFonts w:ascii="Times New Roman" w:hAnsi="Times New Roman" w:cs="Times New Roman"/>
          <w:lang w:val="en-US"/>
        </w:rPr>
        <w:lastRenderedPageBreak/>
        <w:t xml:space="preserve">Given the uncertainty about the investment cost per megawatt eventually incurred by the project, it helps to review the impact of a deviation of the investment cost from the reference case. Using the Government Support Case (see Chapter 3), the graph shown in Annex 3, Figure 1 on the left side illustrates that a cost overrun of 20 percent would reduce the return on equity from about 28 percent to about 21 percent. </w:t>
      </w:r>
    </w:p>
    <w:p w:rsidR="00C342A7" w:rsidRPr="00856C25" w:rsidRDefault="00C342A7" w:rsidP="00C342A7">
      <w:pPr>
        <w:pStyle w:val="CM89"/>
        <w:spacing w:after="92" w:line="280" w:lineRule="atLeast"/>
        <w:ind w:right="100"/>
        <w:jc w:val="both"/>
        <w:rPr>
          <w:rFonts w:ascii="Times New Roman" w:hAnsi="Times New Roman" w:cs="Times New Roman"/>
          <w:lang w:val="en-US"/>
        </w:rPr>
      </w:pPr>
      <w:r w:rsidRPr="00856C25">
        <w:rPr>
          <w:rFonts w:ascii="Times New Roman" w:hAnsi="Times New Roman" w:cs="Times New Roman"/>
          <w:lang w:val="en-US"/>
        </w:rPr>
        <w:t xml:space="preserve">The graph on the right shows that, while a tariff of US$ 0.09 per kWh allows the investor to achieve a 17 percent rate of return, it would take US$ 0.11 per kWh or higher to achieve a 25 percent return on equity. One can observe that the relationships illustrated above are not exactly linear, but the sense of direction is clear. </w:t>
      </w:r>
    </w:p>
    <w:p w:rsidR="00C342A7" w:rsidRPr="00856C25" w:rsidRDefault="00C342A7" w:rsidP="00C342A7">
      <w:pPr>
        <w:pStyle w:val="CM89"/>
        <w:spacing w:after="92" w:line="280" w:lineRule="atLeast"/>
        <w:jc w:val="both"/>
        <w:rPr>
          <w:rFonts w:ascii="Times New Roman" w:hAnsi="Times New Roman" w:cs="Times New Roman"/>
          <w:lang w:val="en-US"/>
        </w:rPr>
      </w:pPr>
      <w:r w:rsidRPr="00856C25">
        <w:rPr>
          <w:rFonts w:ascii="Times New Roman" w:hAnsi="Times New Roman" w:cs="Times New Roman"/>
          <w:lang w:val="en-US"/>
        </w:rPr>
        <w:t xml:space="preserve">The key </w:t>
      </w:r>
      <w:r w:rsidRPr="00856C25">
        <w:rPr>
          <w:rFonts w:ascii="Times New Roman" w:hAnsi="Times New Roman" w:cs="Times New Roman"/>
        </w:rPr>
        <w:t>ﬁ</w:t>
      </w:r>
      <w:r w:rsidRPr="00856C25">
        <w:rPr>
          <w:rFonts w:ascii="Times New Roman" w:hAnsi="Times New Roman" w:cs="Times New Roman"/>
          <w:lang w:val="en-US"/>
        </w:rPr>
        <w:t xml:space="preserve">ndings from analyzing the impact of other variables can be summarized as follows. </w:t>
      </w:r>
    </w:p>
    <w:p w:rsidR="00C342A7" w:rsidRPr="00856C25" w:rsidRDefault="00C342A7" w:rsidP="00C342A7">
      <w:pPr>
        <w:pStyle w:val="CM89"/>
        <w:spacing w:after="92" w:line="280" w:lineRule="atLeast"/>
        <w:ind w:left="722"/>
        <w:rPr>
          <w:rFonts w:ascii="Times New Roman" w:hAnsi="Times New Roman" w:cs="Times New Roman"/>
          <w:lang w:val="en-US"/>
        </w:rPr>
      </w:pPr>
    </w:p>
    <w:p w:rsidR="00C342A7" w:rsidRPr="00856C25" w:rsidRDefault="00C342A7" w:rsidP="00C342A7">
      <w:pPr>
        <w:pStyle w:val="CM89"/>
        <w:numPr>
          <w:ilvl w:val="0"/>
          <w:numId w:val="24"/>
        </w:numPr>
        <w:spacing w:after="92" w:line="280" w:lineRule="atLeast"/>
        <w:jc w:val="both"/>
        <w:rPr>
          <w:rFonts w:ascii="Times New Roman" w:hAnsi="Times New Roman" w:cs="Times New Roman"/>
          <w:lang w:val="en-US"/>
        </w:rPr>
      </w:pPr>
      <w:r w:rsidRPr="00856C25">
        <w:rPr>
          <w:rFonts w:ascii="Times New Roman" w:eastAsiaTheme="minorHAnsi" w:hAnsi="Times New Roman" w:cs="Times New Roman"/>
          <w:lang w:val="en-US" w:eastAsia="en-US"/>
        </w:rPr>
        <w:t>If the interest rate on the loan changes from 6 to 10 percent, the return on equity falls from 28</w:t>
      </w:r>
      <w:r w:rsidRPr="00856C25">
        <w:rPr>
          <w:rFonts w:ascii="Times New Roman" w:hAnsi="Times New Roman" w:cs="Times New Roman"/>
          <w:lang w:val="en-US"/>
        </w:rPr>
        <w:t xml:space="preserve"> percent to about 24 percent. </w:t>
      </w:r>
    </w:p>
    <w:p w:rsidR="00C342A7" w:rsidRPr="00856C25" w:rsidRDefault="00C342A7" w:rsidP="00C342A7">
      <w:pPr>
        <w:pStyle w:val="CM89"/>
        <w:numPr>
          <w:ilvl w:val="0"/>
          <w:numId w:val="24"/>
        </w:numPr>
        <w:spacing w:after="92" w:line="280" w:lineRule="atLeast"/>
        <w:jc w:val="both"/>
        <w:rPr>
          <w:rFonts w:ascii="Times New Roman" w:hAnsi="Times New Roman" w:cs="Times New Roman"/>
          <w:lang w:val="en-US"/>
        </w:rPr>
      </w:pPr>
      <w:r w:rsidRPr="00856C25">
        <w:rPr>
          <w:rFonts w:ascii="Times New Roman" w:hAnsi="Times New Roman" w:cs="Times New Roman"/>
          <w:lang w:val="en-US"/>
        </w:rPr>
        <w:t xml:space="preserve">If the equity share in the project capital costs changes from the 30 percent assumed in the the reference scenario to 50 percent (after Year 2, since we are assuming the </w:t>
      </w:r>
      <w:r w:rsidRPr="00856C25">
        <w:rPr>
          <w:rFonts w:ascii="Times New Roman" w:hAnsi="Times New Roman" w:cs="Times New Roman"/>
        </w:rPr>
        <w:t>ﬁ</w:t>
      </w:r>
      <w:r w:rsidRPr="00856C25">
        <w:rPr>
          <w:rFonts w:ascii="Times New Roman" w:hAnsi="Times New Roman" w:cs="Times New Roman"/>
          <w:lang w:val="en-US"/>
        </w:rPr>
        <w:t>rst two years’  investments will have to be entirely equity-</w:t>
      </w:r>
      <w:r w:rsidRPr="00856C25">
        <w:rPr>
          <w:rFonts w:ascii="Times New Roman" w:hAnsi="Times New Roman" w:cs="Times New Roman"/>
        </w:rPr>
        <w:t>ﬁ</w:t>
      </w:r>
      <w:r w:rsidRPr="00856C25">
        <w:rPr>
          <w:rFonts w:ascii="Times New Roman" w:hAnsi="Times New Roman" w:cs="Times New Roman"/>
          <w:lang w:val="en-US"/>
        </w:rPr>
        <w:t xml:space="preserve">nanced), the return on equity falls to about 21  percent. Conversely, if the share of equity is decreased to 20 percent, the return on equity  reaches 33.5 percent. This is due to the leverage effect of the loan that replaces equity in  the capital structure by the same amount that equity decreases. </w:t>
      </w:r>
    </w:p>
    <w:p w:rsidR="00C342A7" w:rsidRPr="00856C25" w:rsidRDefault="00C342A7" w:rsidP="00C342A7">
      <w:pPr>
        <w:pStyle w:val="CM89"/>
        <w:numPr>
          <w:ilvl w:val="0"/>
          <w:numId w:val="24"/>
        </w:numPr>
        <w:spacing w:after="92" w:line="280" w:lineRule="atLeast"/>
        <w:jc w:val="both"/>
        <w:rPr>
          <w:rFonts w:ascii="Times New Roman" w:hAnsi="Times New Roman" w:cs="Times New Roman"/>
          <w:lang w:val="en-US"/>
        </w:rPr>
      </w:pPr>
      <w:r w:rsidRPr="00856C25">
        <w:rPr>
          <w:rFonts w:ascii="Times New Roman" w:hAnsi="Times New Roman" w:cs="Times New Roman"/>
          <w:lang w:val="en-US"/>
        </w:rPr>
        <w:t xml:space="preserve">If the capacity factor of the power plant is assumed to be 70 percent instead of 90 percent, the return on equity the return on equity falls to 18.5 percent. </w:t>
      </w:r>
    </w:p>
    <w:p w:rsidR="00C342A7" w:rsidRPr="00856C25" w:rsidRDefault="00C342A7" w:rsidP="00C342A7">
      <w:pPr>
        <w:pStyle w:val="CM89"/>
        <w:numPr>
          <w:ilvl w:val="0"/>
          <w:numId w:val="24"/>
        </w:numPr>
        <w:spacing w:after="92" w:line="280" w:lineRule="atLeast"/>
        <w:jc w:val="both"/>
        <w:rPr>
          <w:rFonts w:ascii="Times New Roman" w:hAnsi="Times New Roman" w:cs="Times New Roman"/>
          <w:lang w:val="en-US"/>
        </w:rPr>
      </w:pPr>
      <w:r w:rsidRPr="00856C25">
        <w:rPr>
          <w:rFonts w:ascii="Times New Roman" w:hAnsi="Times New Roman" w:cs="Times New Roman"/>
          <w:lang w:val="en-US"/>
        </w:rPr>
        <w:t xml:space="preserve">If the O&amp;M costs prove to be 50 percent higher than envisaged in the reference scenario, the return on equity will fall from 28 percent to 23.5 percent; on the other hand, if the O&amp;M costs  turn out to be 50 percent below the reference scenario, the return on equity is close to 32  percent. </w:t>
      </w:r>
    </w:p>
    <w:p w:rsidR="00C342A7" w:rsidRPr="00856C25" w:rsidRDefault="00C342A7" w:rsidP="00C342A7">
      <w:pPr>
        <w:pStyle w:val="CM89"/>
        <w:spacing w:after="92" w:line="280" w:lineRule="atLeast"/>
        <w:jc w:val="both"/>
        <w:rPr>
          <w:rFonts w:ascii="Times New Roman" w:hAnsi="Times New Roman" w:cs="Times New Roman"/>
          <w:lang w:val="en-US"/>
        </w:rPr>
      </w:pPr>
      <w:r w:rsidRPr="00856C25">
        <w:rPr>
          <w:rFonts w:ascii="Times New Roman" w:hAnsi="Times New Roman" w:cs="Times New Roman"/>
          <w:lang w:val="en-US"/>
        </w:rPr>
        <w:t xml:space="preserve">It bears repeating that these results of the “what-if” simulation are built around the Government Support Case which includes partial grant </w:t>
      </w:r>
      <w:r w:rsidRPr="00856C25">
        <w:rPr>
          <w:rFonts w:ascii="Times New Roman" w:hAnsi="Times New Roman" w:cs="Times New Roman"/>
        </w:rPr>
        <w:t>ﬁ</w:t>
      </w:r>
      <w:r w:rsidRPr="00856C25">
        <w:rPr>
          <w:rFonts w:ascii="Times New Roman" w:hAnsi="Times New Roman" w:cs="Times New Roman"/>
          <w:lang w:val="en-US"/>
        </w:rPr>
        <w:t xml:space="preserve">nancing in the early years of the project. The impact from excluding the grants from the calculation negatively affects the return on equity, and the results of the sensitivity analysis would be affected as well. Unless other factors intervene (for instance, if the tariff in the Base Case is set at a higher level than in the Government Support Case), all the curves describing the relationships of the input parameters with the return on equity would shift downward by a few percentage points. </w:t>
      </w:r>
    </w:p>
    <w:p w:rsidR="00C342A7" w:rsidRPr="00856C25" w:rsidRDefault="00C342A7" w:rsidP="00856C25">
      <w:pPr>
        <w:pStyle w:val="CM89"/>
        <w:spacing w:after="92" w:line="280" w:lineRule="atLeast"/>
        <w:jc w:val="both"/>
        <w:rPr>
          <w:rFonts w:ascii="Times New Roman" w:hAnsi="Times New Roman" w:cs="Times New Roman"/>
          <w:lang w:val="en-US"/>
        </w:rPr>
      </w:pPr>
      <w:r w:rsidRPr="00856C25">
        <w:rPr>
          <w:rFonts w:ascii="Times New Roman" w:hAnsi="Times New Roman" w:cs="Times New Roman"/>
          <w:lang w:val="en-US"/>
        </w:rPr>
        <w:t xml:space="preserve">Return on equity is not the only key </w:t>
      </w:r>
      <w:r w:rsidRPr="00856C25">
        <w:rPr>
          <w:rFonts w:ascii="Times New Roman" w:hAnsi="Times New Roman" w:cs="Times New Roman"/>
        </w:rPr>
        <w:t>ﬁ</w:t>
      </w:r>
      <w:r w:rsidRPr="00856C25">
        <w:rPr>
          <w:rFonts w:ascii="Times New Roman" w:hAnsi="Times New Roman" w:cs="Times New Roman"/>
          <w:lang w:val="en-US"/>
        </w:rPr>
        <w:t xml:space="preserve">gure that may be of interest to the investor, and sensitivity analysis may be conducted for many other dependent variables. For example, since the equity investor is typically not the only investor in the project, the return on the project as a whole may be as important as return on equity. A cash </w:t>
      </w:r>
      <w:r w:rsidRPr="00856C25">
        <w:rPr>
          <w:rFonts w:ascii="Times New Roman" w:hAnsi="Times New Roman" w:cs="Times New Roman"/>
        </w:rPr>
        <w:t>ﬂ</w:t>
      </w:r>
      <w:r w:rsidRPr="00856C25">
        <w:rPr>
          <w:rFonts w:ascii="Times New Roman" w:hAnsi="Times New Roman" w:cs="Times New Roman"/>
          <w:lang w:val="en-US"/>
        </w:rPr>
        <w:t xml:space="preserve">ow model for return on the project as a whole would be based on the same investment cost and operational data, but would focus on the cash </w:t>
      </w:r>
      <w:r w:rsidRPr="00856C25">
        <w:rPr>
          <w:rFonts w:ascii="Times New Roman" w:hAnsi="Times New Roman" w:cs="Times New Roman"/>
        </w:rPr>
        <w:t>ﬂ</w:t>
      </w:r>
      <w:r w:rsidRPr="00856C25">
        <w:rPr>
          <w:rFonts w:ascii="Times New Roman" w:hAnsi="Times New Roman" w:cs="Times New Roman"/>
          <w:lang w:val="en-US"/>
        </w:rPr>
        <w:t xml:space="preserve">ow available to all investors, including providers of debt </w:t>
      </w:r>
      <w:r w:rsidRPr="00856C25">
        <w:rPr>
          <w:rFonts w:ascii="Times New Roman" w:hAnsi="Times New Roman" w:cs="Times New Roman"/>
        </w:rPr>
        <w:t>ﬁ</w:t>
      </w:r>
      <w:r w:rsidRPr="00856C25">
        <w:rPr>
          <w:rFonts w:ascii="Times New Roman" w:hAnsi="Times New Roman" w:cs="Times New Roman"/>
          <w:lang w:val="en-US"/>
        </w:rPr>
        <w:t xml:space="preserve">nancing. The rate of return calculated on this basis will often be lower than the return on equity (due to the positive leveraging effect of debt in the latter case), but this does not necessarily make the project less attractive since the </w:t>
      </w:r>
      <w:r w:rsidRPr="00856C25">
        <w:rPr>
          <w:rFonts w:ascii="Times New Roman" w:hAnsi="Times New Roman" w:cs="Times New Roman"/>
          <w:lang w:val="en-US"/>
        </w:rPr>
        <w:lastRenderedPageBreak/>
        <w:t xml:space="preserve">required return would also be lower on average. The process for the sensitivity analysis would be essentially the same. </w:t>
      </w:r>
    </w:p>
    <w:p w:rsidR="00C342A7" w:rsidRPr="00856C25" w:rsidRDefault="00C342A7" w:rsidP="00856C25">
      <w:pPr>
        <w:pStyle w:val="CM89"/>
        <w:spacing w:after="92" w:line="280" w:lineRule="atLeast"/>
        <w:jc w:val="both"/>
        <w:rPr>
          <w:rFonts w:ascii="Times New Roman" w:hAnsi="Times New Roman" w:cs="Times New Roman"/>
          <w:lang w:val="en-US"/>
        </w:rPr>
      </w:pPr>
      <w:r w:rsidRPr="00856C25">
        <w:rPr>
          <w:rFonts w:ascii="Times New Roman" w:hAnsi="Times New Roman" w:cs="Times New Roman"/>
          <w:lang w:val="en-US"/>
        </w:rPr>
        <w:t xml:space="preserve">Besides the two measures of return mentioned above, other variables could lend themselves to a meaningful sensitivity analysis. In addition, it should also be kept in mind that the </w:t>
      </w:r>
      <w:r w:rsidRPr="00856C25">
        <w:rPr>
          <w:rFonts w:ascii="Times New Roman" w:hAnsi="Times New Roman" w:cs="Times New Roman"/>
        </w:rPr>
        <w:t>ﬁ</w:t>
      </w:r>
      <w:r w:rsidRPr="00856C25">
        <w:rPr>
          <w:rFonts w:ascii="Times New Roman" w:hAnsi="Times New Roman" w:cs="Times New Roman"/>
          <w:lang w:val="en-US"/>
        </w:rPr>
        <w:t xml:space="preserve">nancial model used above does not substitute for an economic analysis of the project or for a power systems expansion analysis. The three are all needed for various purposes of developing a geothermal investment program, that is: (a) optimizing the size of a particular geothermal investment from the overall system’s perspective; (b) understanding the economic merits of a geothermal investment from a societal cost point of view; and (c) understanding the impacts of key </w:t>
      </w:r>
      <w:r w:rsidRPr="00856C25">
        <w:rPr>
          <w:rFonts w:ascii="Times New Roman" w:hAnsi="Times New Roman" w:cs="Times New Roman"/>
        </w:rPr>
        <w:t>ﬁ</w:t>
      </w:r>
      <w:r w:rsidRPr="00856C25">
        <w:rPr>
          <w:rFonts w:ascii="Times New Roman" w:hAnsi="Times New Roman" w:cs="Times New Roman"/>
          <w:lang w:val="en-US"/>
        </w:rPr>
        <w:t xml:space="preserve">nancial assumptions, including costs of capital and </w:t>
      </w:r>
      <w:r w:rsidRPr="00856C25">
        <w:rPr>
          <w:rFonts w:ascii="Times New Roman" w:hAnsi="Times New Roman" w:cs="Times New Roman"/>
        </w:rPr>
        <w:t>ﬁ</w:t>
      </w:r>
      <w:r w:rsidRPr="00856C25">
        <w:rPr>
          <w:rFonts w:ascii="Times New Roman" w:hAnsi="Times New Roman" w:cs="Times New Roman"/>
          <w:lang w:val="en-US"/>
        </w:rPr>
        <w:t>nancing structures—on the required tariffs and incentives to private sector developers of a speci</w:t>
      </w:r>
      <w:r w:rsidRPr="00856C25">
        <w:rPr>
          <w:rFonts w:ascii="Times New Roman" w:hAnsi="Times New Roman" w:cs="Times New Roman"/>
        </w:rPr>
        <w:t>ﬁ</w:t>
      </w:r>
      <w:r w:rsidRPr="00856C25">
        <w:rPr>
          <w:rFonts w:ascii="Times New Roman" w:hAnsi="Times New Roman" w:cs="Times New Roman"/>
          <w:lang w:val="en-US"/>
        </w:rPr>
        <w:t xml:space="preserve">c investment. </w:t>
      </w:r>
    </w:p>
    <w:p w:rsidR="00C342A7" w:rsidRPr="00856C25" w:rsidRDefault="00C342A7" w:rsidP="00856C25">
      <w:pPr>
        <w:pStyle w:val="Default"/>
      </w:pPr>
    </w:p>
    <w:p w:rsidR="00C342A7" w:rsidRPr="00856C25" w:rsidRDefault="00C342A7" w:rsidP="00C342A7">
      <w:pPr>
        <w:rPr>
          <w:rFonts w:ascii="Times New Roman" w:hAnsi="Times New Roman" w:cs="Times New Roman"/>
          <w:sz w:val="24"/>
          <w:szCs w:val="24"/>
        </w:rPr>
      </w:pPr>
    </w:p>
    <w:p w:rsidR="00710F7A" w:rsidRDefault="00710F7A" w:rsidP="00C00D87"/>
    <w:p w:rsidR="00350DBE" w:rsidRDefault="00350DBE" w:rsidP="00856C25"/>
    <w:p w:rsidR="00350DBE" w:rsidRDefault="00350DBE" w:rsidP="00856C25">
      <w:pPr>
        <w:pStyle w:val="Paragraph"/>
        <w:numPr>
          <w:ilvl w:val="0"/>
          <w:numId w:val="0"/>
        </w:numPr>
        <w:tabs>
          <w:tab w:val="num" w:pos="9306"/>
        </w:tabs>
        <w:spacing w:after="80"/>
        <w:ind w:left="720"/>
      </w:pPr>
    </w:p>
    <w:p w:rsidR="00350DBE" w:rsidRDefault="00350DBE" w:rsidP="00856C25">
      <w:pPr>
        <w:pStyle w:val="Paragraph"/>
        <w:numPr>
          <w:ilvl w:val="0"/>
          <w:numId w:val="0"/>
        </w:numPr>
        <w:tabs>
          <w:tab w:val="num" w:pos="9306"/>
        </w:tabs>
        <w:spacing w:after="80"/>
        <w:ind w:left="720"/>
      </w:pPr>
    </w:p>
    <w:p w:rsidR="00710F7A" w:rsidRDefault="00710F7A" w:rsidP="00C00D87"/>
    <w:sectPr w:rsidR="00710F7A" w:rsidSect="00856C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457" w:rsidRDefault="00842457" w:rsidP="00C00D87">
      <w:pPr>
        <w:spacing w:after="0" w:line="240" w:lineRule="auto"/>
      </w:pPr>
      <w:r>
        <w:separator/>
      </w:r>
    </w:p>
  </w:endnote>
  <w:endnote w:type="continuationSeparator" w:id="0">
    <w:p w:rsidR="00842457" w:rsidRDefault="00842457" w:rsidP="00C0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JECE M+ Helvetica LT Std">
    <w:altName w:val="Helvetica LT St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JEEG B+ Helvetica LT Std">
    <w:altName w:val="Helvetica LT Std"/>
    <w:panose1 w:val="00000000000000000000"/>
    <w:charset w:val="00"/>
    <w:family w:val="swiss"/>
    <w:notTrueType/>
    <w:pitch w:val="default"/>
    <w:sig w:usb0="00000003" w:usb1="00000000" w:usb2="00000000" w:usb3="00000000" w:csb0="00000001" w:csb1="00000000"/>
  </w:font>
  <w:font w:name="CJEEH B+ Helvetica LT Std">
    <w:altName w:val="Helvetica LT Std"/>
    <w:panose1 w:val="00000000000000000000"/>
    <w:charset w:val="00"/>
    <w:family w:val="swiss"/>
    <w:notTrueType/>
    <w:pitch w:val="default"/>
    <w:sig w:usb0="00000003" w:usb1="00000000" w:usb2="00000000" w:usb3="00000000" w:csb0="00000001" w:csb1="00000000"/>
  </w:font>
  <w:font w:name="CJEJE D+ Helvetica LT Std">
    <w:altName w:val="Helvetica LT St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457" w:rsidRDefault="00842457" w:rsidP="00C00D87">
      <w:pPr>
        <w:spacing w:after="0" w:line="240" w:lineRule="auto"/>
      </w:pPr>
      <w:r>
        <w:separator/>
      </w:r>
    </w:p>
  </w:footnote>
  <w:footnote w:type="continuationSeparator" w:id="0">
    <w:p w:rsidR="00842457" w:rsidRDefault="00842457" w:rsidP="00C00D87">
      <w:pPr>
        <w:spacing w:after="0" w:line="240" w:lineRule="auto"/>
      </w:pPr>
      <w:r>
        <w:continuationSeparator/>
      </w:r>
    </w:p>
  </w:footnote>
  <w:footnote w:id="1">
    <w:p w:rsidR="00842457" w:rsidRPr="0053458F" w:rsidRDefault="00842457" w:rsidP="00304CCF">
      <w:pPr>
        <w:pStyle w:val="FootnoteText"/>
        <w:spacing w:after="0"/>
        <w:rPr>
          <w:lang w:val="es-ES_tradnl"/>
        </w:rPr>
      </w:pPr>
      <w:r w:rsidRPr="0053458F">
        <w:rPr>
          <w:rStyle w:val="FootnoteReference"/>
        </w:rPr>
        <w:footnoteRef/>
      </w:r>
      <w:r w:rsidRPr="0053458F">
        <w:rPr>
          <w:lang w:val="es-ES_tradnl"/>
        </w:rPr>
        <w:t xml:space="preserve"> </w:t>
      </w:r>
      <w:hyperlink r:id="rId1" w:history="1">
        <w:r w:rsidRPr="0053458F">
          <w:rPr>
            <w:rStyle w:val="Hyperlink"/>
            <w:lang w:val="es-ES_tradnl"/>
          </w:rPr>
          <w:t>Ley General de Cambio Clim</w:t>
        </w:r>
        <w:r>
          <w:rPr>
            <w:rStyle w:val="Hyperlink"/>
            <w:lang w:val="es-ES_tradnl"/>
          </w:rPr>
          <w:t>á</w:t>
        </w:r>
        <w:r w:rsidRPr="0053458F">
          <w:rPr>
            <w:rStyle w:val="Hyperlink"/>
            <w:lang w:val="es-ES_tradnl"/>
          </w:rPr>
          <w:t>tico</w:t>
        </w:r>
      </w:hyperlink>
      <w:r>
        <w:rPr>
          <w:lang w:val="es-ES_tradnl"/>
        </w:rPr>
        <w:t>, 2012.</w:t>
      </w:r>
    </w:p>
  </w:footnote>
  <w:footnote w:id="2">
    <w:p w:rsidR="00842457" w:rsidRPr="00705461" w:rsidRDefault="00842457" w:rsidP="006F1C8B">
      <w:pPr>
        <w:pStyle w:val="FootnoteText"/>
        <w:spacing w:after="0"/>
      </w:pPr>
      <w:r>
        <w:rPr>
          <w:rStyle w:val="FootnoteReference"/>
        </w:rPr>
        <w:footnoteRef/>
      </w:r>
      <w:r w:rsidRPr="004E5E45">
        <w:rPr>
          <w:lang w:val="es-ES"/>
        </w:rPr>
        <w:t xml:space="preserve"> </w:t>
      </w:r>
      <w:r>
        <w:rPr>
          <w:lang w:val="es-ES"/>
        </w:rPr>
        <w:t xml:space="preserve">INECC. </w:t>
      </w:r>
      <w:hyperlink r:id="rId2" w:history="1">
        <w:r w:rsidRPr="00E46E67">
          <w:rPr>
            <w:rStyle w:val="Hyperlink"/>
            <w:lang w:val="es-ES"/>
          </w:rPr>
          <w:t>Bases para una estrategia de desarrollo bajo en emisiones de México</w:t>
        </w:r>
      </w:hyperlink>
      <w:r>
        <w:rPr>
          <w:lang w:val="es-ES"/>
        </w:rPr>
        <w:t xml:space="preserve">. </w:t>
      </w:r>
      <w:r w:rsidRPr="00705461">
        <w:t>2012.</w:t>
      </w:r>
    </w:p>
  </w:footnote>
  <w:footnote w:id="3">
    <w:p w:rsidR="00842457" w:rsidRPr="000F5D8B" w:rsidRDefault="00842457" w:rsidP="00856C25">
      <w:pPr>
        <w:pStyle w:val="FootnoteText"/>
        <w:spacing w:after="0"/>
      </w:pPr>
      <w:r>
        <w:rPr>
          <w:rStyle w:val="FootnoteReference"/>
        </w:rPr>
        <w:footnoteRef/>
      </w:r>
      <w:r>
        <w:t xml:space="preserve"> </w:t>
      </w:r>
      <w:r w:rsidRPr="00856C25">
        <w:t>Levelized Energy Cost (LEC) is the price at which electricity must be generated from a specific source to break even over the lifetime of the project. It is an economic assessment of the cost of the energy-generating system including all the costs over its lifetime: initial investment, operations and maintenance, cost of fuel, </w:t>
      </w:r>
      <w:hyperlink r:id="rId3" w:tooltip="Cost of capital" w:history="1">
        <w:r w:rsidRPr="00856C25">
          <w:t>cost of capital</w:t>
        </w:r>
      </w:hyperlink>
      <w:r w:rsidRPr="00856C25">
        <w:t>, and is very useful in calculating the costs of generation from different sources.</w:t>
      </w:r>
    </w:p>
  </w:footnote>
  <w:footnote w:id="4">
    <w:p w:rsidR="00842457" w:rsidRDefault="00842457" w:rsidP="00856C25">
      <w:pPr>
        <w:pStyle w:val="FootnoteText"/>
        <w:spacing w:after="0"/>
      </w:pPr>
      <w:r>
        <w:rPr>
          <w:rStyle w:val="FootnoteReference"/>
        </w:rPr>
        <w:footnoteRef/>
      </w:r>
      <w:r>
        <w:t xml:space="preserve"> The analysis considers it appropriate to compare geothermal to other renewable energy technologies. Fossil fueled electricity generation is not considered, as its costs do not reflect the externalities associated to the use of those over clean technologies.</w:t>
      </w:r>
    </w:p>
  </w:footnote>
  <w:footnote w:id="5">
    <w:p w:rsidR="00842457" w:rsidRDefault="00842457" w:rsidP="00856C25">
      <w:pPr>
        <w:pStyle w:val="FootnoteText"/>
        <w:spacing w:after="0"/>
      </w:pPr>
      <w:r>
        <w:rPr>
          <w:rStyle w:val="FootnoteReference"/>
        </w:rPr>
        <w:footnoteRef/>
      </w:r>
      <w:r>
        <w:t xml:space="preserve"> </w:t>
      </w:r>
      <w:r w:rsidRPr="005435D7">
        <w:t>Approximate US dollar value of 150 million Mexican pesos, using an average conversion rate of 13 Mexican pesos per US dollar</w:t>
      </w:r>
      <w:r>
        <w:t>.</w:t>
      </w:r>
    </w:p>
  </w:footnote>
  <w:footnote w:id="6">
    <w:p w:rsidR="00842457" w:rsidRDefault="00842457" w:rsidP="00856C25">
      <w:pPr>
        <w:pStyle w:val="FootnoteText"/>
        <w:spacing w:after="0"/>
      </w:pPr>
      <w:r>
        <w:rPr>
          <w:rStyle w:val="FootnoteReference"/>
        </w:rPr>
        <w:footnoteRef/>
      </w:r>
      <w:r>
        <w:t xml:space="preserve"> CTF amounts used may vary from the ones indicated in the POD, as those incorporate deductions due to MDB fees. Possible differences are considered to be marginal and irrelevant with regards to this analysis.</w:t>
      </w:r>
    </w:p>
  </w:footnote>
  <w:footnote w:id="7">
    <w:p w:rsidR="00842457" w:rsidRPr="000048C6" w:rsidRDefault="00842457" w:rsidP="005435D7">
      <w:pPr>
        <w:pStyle w:val="FootnoteText"/>
        <w:spacing w:after="0"/>
      </w:pPr>
      <w:r>
        <w:rPr>
          <w:rStyle w:val="FootnoteReference"/>
        </w:rPr>
        <w:footnoteRef/>
      </w:r>
      <w:r>
        <w:t xml:space="preserve"> </w:t>
      </w:r>
      <w:r w:rsidRPr="000048C6">
        <w:t xml:space="preserve">The </w:t>
      </w:r>
      <w:r>
        <w:t>load</w:t>
      </w:r>
      <w:r w:rsidRPr="000048C6">
        <w:t> capacity factor of a </w:t>
      </w:r>
      <w:hyperlink r:id="rId4" w:tooltip="Power plant" w:history="1">
        <w:r w:rsidRPr="000048C6">
          <w:t>power plant</w:t>
        </w:r>
      </w:hyperlink>
      <w:r w:rsidRPr="000048C6">
        <w:t> is the ratio of its actual output over a period of time, to its potential output if it were possible for it to operate at full </w:t>
      </w:r>
      <w:hyperlink r:id="rId5" w:tooltip="Nameplate capacity" w:history="1">
        <w:r w:rsidRPr="000048C6">
          <w:t>nameplate capacity</w:t>
        </w:r>
      </w:hyperlink>
      <w:r>
        <w:t xml:space="preserve"> </w:t>
      </w:r>
      <w:r w:rsidRPr="000048C6">
        <w:t>indefinitely.</w:t>
      </w:r>
    </w:p>
  </w:footnote>
  <w:footnote w:id="8">
    <w:p w:rsidR="00842457" w:rsidRDefault="00842457" w:rsidP="000048C6">
      <w:pPr>
        <w:pStyle w:val="FootnoteText"/>
        <w:spacing w:after="0"/>
      </w:pPr>
      <w:r>
        <w:rPr>
          <w:rStyle w:val="FootnoteReference"/>
        </w:rPr>
        <w:footnoteRef/>
      </w:r>
      <w:r>
        <w:t xml:space="preserve"> It is expected the installation of 358 Mw and a withdrawal of 225 Mw</w:t>
      </w:r>
    </w:p>
  </w:footnote>
  <w:footnote w:id="9">
    <w:p w:rsidR="00842457" w:rsidRPr="001A1C28" w:rsidRDefault="00842457" w:rsidP="00F06DFA">
      <w:pPr>
        <w:pStyle w:val="FootnoteText"/>
        <w:spacing w:after="0"/>
        <w:rPr>
          <w:lang w:val="es-ES"/>
        </w:rPr>
      </w:pPr>
      <w:r>
        <w:rPr>
          <w:rStyle w:val="FootnoteReference"/>
        </w:rPr>
        <w:footnoteRef/>
      </w:r>
      <w:r w:rsidRPr="00554B41">
        <w:t xml:space="preserve"> Benderitter and Cormy. </w:t>
      </w:r>
      <w:hyperlink r:id="rId6" w:history="1">
        <w:r w:rsidRPr="00554B41">
          <w:rPr>
            <w:rStyle w:val="Hyperlink"/>
          </w:rPr>
          <w:t>Classification of Geothermal Resources</w:t>
        </w:r>
      </w:hyperlink>
      <w:r>
        <w:t xml:space="preserve">. </w:t>
      </w:r>
      <w:r w:rsidRPr="001A1C28">
        <w:rPr>
          <w:lang w:val="es-ES"/>
        </w:rPr>
        <w:t>1990.</w:t>
      </w:r>
    </w:p>
  </w:footnote>
  <w:footnote w:id="10">
    <w:p w:rsidR="00842457" w:rsidRPr="001A1C28" w:rsidRDefault="00842457" w:rsidP="00F83ABB">
      <w:pPr>
        <w:pStyle w:val="FootnoteText"/>
        <w:spacing w:after="0"/>
        <w:rPr>
          <w:lang w:val="es-ES"/>
        </w:rPr>
      </w:pPr>
      <w:r>
        <w:rPr>
          <w:rStyle w:val="FootnoteReference"/>
        </w:rPr>
        <w:footnoteRef/>
      </w:r>
      <w:r w:rsidRPr="001A1C28">
        <w:rPr>
          <w:lang w:val="es-ES"/>
        </w:rPr>
        <w:t xml:space="preserve"> Instituto de Investigaciones Eléctricas. </w:t>
      </w:r>
      <w:hyperlink r:id="rId7" w:history="1">
        <w:r w:rsidRPr="00F83ABB">
          <w:rPr>
            <w:rStyle w:val="Hyperlink"/>
            <w:lang w:val="es-ES"/>
          </w:rPr>
          <w:t>Primera estimación de las reservas geotérmicas de México</w:t>
        </w:r>
      </w:hyperlink>
      <w:r>
        <w:rPr>
          <w:rStyle w:val="Hyperlink"/>
          <w:lang w:val="es-ES"/>
        </w:rPr>
        <w:t>.</w:t>
      </w:r>
      <w:r w:rsidRPr="001A1C28">
        <w:rPr>
          <w:rStyle w:val="Hyperlink"/>
          <w:color w:val="auto"/>
          <w:u w:val="none"/>
          <w:lang w:val="es-ES"/>
        </w:rPr>
        <w:t>2009.</w:t>
      </w:r>
    </w:p>
    <w:p w:rsidR="00842457" w:rsidRPr="00705461" w:rsidRDefault="00842457" w:rsidP="00F83ABB">
      <w:pPr>
        <w:pStyle w:val="FootnoteText"/>
        <w:spacing w:after="0"/>
      </w:pPr>
      <w:r>
        <w:rPr>
          <w:lang w:val="es-ES"/>
        </w:rPr>
        <w:t xml:space="preserve">  CFE. </w:t>
      </w:r>
      <w:hyperlink r:id="rId8" w:history="1">
        <w:r w:rsidRPr="00F83ABB">
          <w:rPr>
            <w:rStyle w:val="Hyperlink"/>
            <w:lang w:val="es-ES"/>
          </w:rPr>
          <w:t>Potencial geotérmico de la República Mexicana</w:t>
        </w:r>
      </w:hyperlink>
      <w:r w:rsidRPr="001A1C28">
        <w:rPr>
          <w:rStyle w:val="Hyperlink"/>
          <w:color w:val="auto"/>
          <w:u w:val="none"/>
          <w:lang w:val="es-ES"/>
        </w:rPr>
        <w:t xml:space="preserve">. </w:t>
      </w:r>
      <w:r w:rsidRPr="00705461">
        <w:rPr>
          <w:rStyle w:val="Hyperlink"/>
          <w:color w:val="auto"/>
          <w:u w:val="none"/>
        </w:rPr>
        <w:t>2011.</w:t>
      </w:r>
    </w:p>
    <w:p w:rsidR="00842457" w:rsidRPr="00705461" w:rsidRDefault="00842457" w:rsidP="00F83ABB">
      <w:pPr>
        <w:pStyle w:val="FootnoteText"/>
        <w:spacing w:after="0"/>
      </w:pPr>
      <w:r w:rsidRPr="00705461">
        <w:t xml:space="preserve">  </w:t>
      </w:r>
      <w:r w:rsidRPr="007414ED">
        <w:t xml:space="preserve">CFE-BID. </w:t>
      </w:r>
      <w:hyperlink r:id="rId9" w:history="1">
        <w:r w:rsidRPr="007414ED">
          <w:rPr>
            <w:rStyle w:val="Hyperlink"/>
          </w:rPr>
          <w:t>Evaluación de la Energía Geotérmica en México</w:t>
        </w:r>
      </w:hyperlink>
      <w:r w:rsidRPr="007414ED">
        <w:t xml:space="preserve">. </w:t>
      </w:r>
      <w:r w:rsidRPr="00705461">
        <w:t>2011.</w:t>
      </w:r>
    </w:p>
    <w:p w:rsidR="00842457" w:rsidRPr="00705461" w:rsidRDefault="00842457" w:rsidP="00F83ABB">
      <w:pPr>
        <w:pStyle w:val="FootnoteText"/>
      </w:pPr>
    </w:p>
  </w:footnote>
  <w:footnote w:id="11">
    <w:p w:rsidR="00842457" w:rsidRPr="00A564C3" w:rsidRDefault="00842457" w:rsidP="00A316C0">
      <w:pPr>
        <w:pStyle w:val="FootnoteText"/>
        <w:spacing w:after="0"/>
      </w:pPr>
      <w:r>
        <w:rPr>
          <w:rStyle w:val="FootnoteReference"/>
        </w:rPr>
        <w:footnoteRef/>
      </w:r>
      <w:r w:rsidRPr="00A564C3">
        <w:t xml:space="preserve"> Worldwide, these costs </w:t>
      </w:r>
      <w:r>
        <w:t>are in the range of</w:t>
      </w:r>
      <w:r w:rsidRPr="00A564C3">
        <w:t xml:space="preserve"> US</w:t>
      </w:r>
      <w:r>
        <w:t>$</w:t>
      </w:r>
      <w:r w:rsidRPr="00A564C3">
        <w:t xml:space="preserve">2 </w:t>
      </w:r>
      <w:r>
        <w:t xml:space="preserve">million </w:t>
      </w:r>
      <w:r w:rsidRPr="00A564C3">
        <w:t xml:space="preserve">and </w:t>
      </w:r>
      <w:r>
        <w:t>US$</w:t>
      </w:r>
      <w:r w:rsidRPr="00A564C3">
        <w:t>4 m</w:t>
      </w:r>
      <w:r>
        <w:t>illion per M</w:t>
      </w:r>
      <w:r w:rsidRPr="00A564C3">
        <w:t>W</w:t>
      </w:r>
      <w:r>
        <w:t xml:space="preserve"> for a condensing flash plant and US$2.4 million and US$5.9 million per MW for a binary plant (IEA).</w:t>
      </w:r>
    </w:p>
  </w:footnote>
  <w:footnote w:id="12">
    <w:p w:rsidR="00842457" w:rsidRPr="00EA7187" w:rsidRDefault="00842457" w:rsidP="004D5823">
      <w:pPr>
        <w:pStyle w:val="FootnoteText"/>
        <w:spacing w:after="0"/>
      </w:pPr>
      <w:r w:rsidRPr="00B76D84">
        <w:rPr>
          <w:rStyle w:val="FootnoteReference"/>
        </w:rPr>
        <w:footnoteRef/>
      </w:r>
      <w:r>
        <w:t xml:space="preserve"> </w:t>
      </w:r>
      <w:r w:rsidRPr="00CA0667">
        <w:t>The levelized cost of electricity generated by different sources is a calculation of the cos</w:t>
      </w:r>
      <w:r w:rsidRPr="00DB44B3">
        <w:t>t of </w:t>
      </w:r>
      <w:hyperlink r:id="rId10" w:tooltip="Electricity generation" w:history="1">
        <w:r w:rsidRPr="00DB44B3">
          <w:t>generating</w:t>
        </w:r>
      </w:hyperlink>
      <w:r w:rsidRPr="00DB44B3">
        <w:t> </w:t>
      </w:r>
      <w:hyperlink r:id="rId11" w:tooltip="Electricity" w:history="1">
        <w:r w:rsidRPr="00DB44B3">
          <w:t>electricity</w:t>
        </w:r>
      </w:hyperlink>
      <w:r w:rsidRPr="00DB44B3">
        <w:t> at the point of connection to a load or electricity grid. It includes the initial </w:t>
      </w:r>
      <w:hyperlink r:id="rId12" w:tooltip="Capital (finance)" w:history="1">
        <w:r w:rsidRPr="00DB44B3">
          <w:t>capital</w:t>
        </w:r>
      </w:hyperlink>
      <w:r w:rsidRPr="00DB44B3">
        <w:t>, </w:t>
      </w:r>
      <w:hyperlink r:id="rId13" w:tooltip="Annual effective discount rate" w:history="1">
        <w:r w:rsidRPr="00DB44B3">
          <w:t>discount rate</w:t>
        </w:r>
      </w:hyperlink>
      <w:r w:rsidRPr="00DB44B3">
        <w:t>, as well as the costs of continuous </w:t>
      </w:r>
      <w:hyperlink r:id="rId14" w:tooltip="Operating costs" w:history="1">
        <w:r w:rsidRPr="00DB44B3">
          <w:t>operation</w:t>
        </w:r>
      </w:hyperlink>
      <w:r w:rsidRPr="00DB44B3">
        <w:t>, </w:t>
      </w:r>
      <w:hyperlink r:id="rId15" w:tooltip="Fuel" w:history="1">
        <w:r w:rsidRPr="00DB44B3">
          <w:t>fuel</w:t>
        </w:r>
      </w:hyperlink>
      <w:r w:rsidRPr="00DB44B3">
        <w:t>, and </w:t>
      </w:r>
      <w:hyperlink r:id="rId16" w:tooltip="Maintenance, repair, and operations" w:history="1">
        <w:r w:rsidRPr="00DB44B3">
          <w:t>maintenance</w:t>
        </w:r>
      </w:hyperlink>
      <w:r w:rsidRPr="00DB44B3">
        <w:t>.</w:t>
      </w:r>
      <w:r w:rsidRPr="00E73586">
        <w:t xml:space="preserve"> This type of calculation assists policy makers, researchers and others to guide discussions and decisi</w:t>
      </w:r>
      <w:r w:rsidRPr="003337F1">
        <w:t>on making.</w:t>
      </w:r>
    </w:p>
  </w:footnote>
  <w:footnote w:id="13">
    <w:p w:rsidR="00842457" w:rsidRPr="00DC1B56" w:rsidRDefault="00842457" w:rsidP="004D5823">
      <w:pPr>
        <w:pStyle w:val="FootnoteText"/>
        <w:spacing w:after="0"/>
      </w:pPr>
      <w:r>
        <w:rPr>
          <w:rStyle w:val="FootnoteReference"/>
        </w:rPr>
        <w:footnoteRef/>
      </w:r>
      <w:r w:rsidRPr="00EA7187">
        <w:rPr>
          <w:lang w:val="es-ES"/>
        </w:rPr>
        <w:t xml:space="preserve"> </w:t>
      </w:r>
      <w:hyperlink r:id="rId17" w:history="1">
        <w:r w:rsidRPr="00686AC9">
          <w:rPr>
            <w:rStyle w:val="Hyperlink"/>
            <w:lang w:val="es-ES"/>
          </w:rPr>
          <w:t>Iniciativas para el desarrollo de las Energías Renovables en México</w:t>
        </w:r>
      </w:hyperlink>
      <w:r w:rsidRPr="00EA7187">
        <w:rPr>
          <w:lang w:val="es-ES"/>
        </w:rPr>
        <w:t>.</w:t>
      </w:r>
      <w:r>
        <w:rPr>
          <w:lang w:val="es-ES"/>
        </w:rPr>
        <w:t xml:space="preserve"> </w:t>
      </w:r>
      <w:r w:rsidRPr="00DC1B56">
        <w:t xml:space="preserve">This cost is conservative since the actions carry out </w:t>
      </w:r>
      <w:r>
        <w:t>by</w:t>
      </w:r>
      <w:r w:rsidRPr="00DC1B56">
        <w:t xml:space="preserve"> the program will impulse the development of geothermal energy reducing it cost to 74 USD/Mwh</w:t>
      </w:r>
    </w:p>
  </w:footnote>
  <w:footnote w:id="14">
    <w:p w:rsidR="00842457" w:rsidRPr="00856C25" w:rsidRDefault="00842457" w:rsidP="00DC1B56">
      <w:pPr>
        <w:pStyle w:val="FootnoteText"/>
        <w:spacing w:after="0"/>
      </w:pPr>
      <w:r>
        <w:rPr>
          <w:rStyle w:val="FootnoteReference"/>
        </w:rPr>
        <w:footnoteRef/>
      </w:r>
      <w:r w:rsidRPr="00DC1B56">
        <w:rPr>
          <w:lang w:val="es-ES"/>
        </w:rPr>
        <w:t xml:space="preserve"> </w:t>
      </w:r>
      <w:r>
        <w:rPr>
          <w:lang w:val="es-ES"/>
        </w:rPr>
        <w:t>Costos y pará</w:t>
      </w:r>
      <w:r w:rsidRPr="00DC1B56">
        <w:rPr>
          <w:lang w:val="es-ES"/>
        </w:rPr>
        <w:t>m</w:t>
      </w:r>
      <w:r>
        <w:rPr>
          <w:lang w:val="es-ES"/>
        </w:rPr>
        <w:t>e</w:t>
      </w:r>
      <w:r w:rsidRPr="00DC1B56">
        <w:rPr>
          <w:lang w:val="es-ES"/>
        </w:rPr>
        <w:t>tros de referencia para la formulaci</w:t>
      </w:r>
      <w:r>
        <w:rPr>
          <w:lang w:val="es-ES"/>
        </w:rPr>
        <w:t xml:space="preserve">ón de proyectos de inversión en el sector eléctrico en México. </w:t>
      </w:r>
      <w:r w:rsidRPr="00856C25">
        <w:t>CFE 2012.</w:t>
      </w:r>
    </w:p>
  </w:footnote>
  <w:footnote w:id="15">
    <w:p w:rsidR="00842457" w:rsidRPr="00B86890" w:rsidRDefault="00842457" w:rsidP="00732A5F">
      <w:pPr>
        <w:pStyle w:val="FootnoteText"/>
        <w:spacing w:after="0"/>
      </w:pPr>
      <w:r>
        <w:rPr>
          <w:rStyle w:val="FootnoteReference"/>
        </w:rPr>
        <w:footnoteRef/>
      </w:r>
      <w:r>
        <w:t xml:space="preserve"> Average load capacity in Mexico is 84%. </w:t>
      </w:r>
      <w:r w:rsidRPr="00B42CCC">
        <w:t>Gutiérrez-Negr</w:t>
      </w:r>
      <w:r>
        <w:t>i</w:t>
      </w:r>
      <w:r w:rsidRPr="00B42CCC">
        <w:t xml:space="preserve">n et al., </w:t>
      </w:r>
      <w:hyperlink r:id="rId18" w:history="1">
        <w:r w:rsidRPr="00B42CCC">
          <w:rPr>
            <w:rStyle w:val="Hyperlink"/>
          </w:rPr>
          <w:t>Current Status of Geothermics in Mexico</w:t>
        </w:r>
      </w:hyperlink>
      <w:r w:rsidRPr="00B42CCC">
        <w:t>.</w:t>
      </w:r>
      <w:r>
        <w:t xml:space="preserve"> </w:t>
      </w:r>
      <w:r w:rsidRPr="00B42CCC">
        <w:t>2010</w:t>
      </w:r>
    </w:p>
  </w:footnote>
  <w:footnote w:id="16">
    <w:p w:rsidR="00842457" w:rsidRPr="00856C25" w:rsidRDefault="00842457" w:rsidP="00DA32E8">
      <w:pPr>
        <w:pStyle w:val="FootnoteText"/>
        <w:spacing w:after="0"/>
      </w:pPr>
      <w:r>
        <w:rPr>
          <w:rStyle w:val="FootnoteReference"/>
        </w:rPr>
        <w:footnoteRef/>
      </w:r>
      <w:r w:rsidRPr="008B7BF4">
        <w:t xml:space="preserve"> SENER. </w:t>
      </w:r>
      <w:hyperlink r:id="rId19" w:history="1">
        <w:r w:rsidRPr="00856C25">
          <w:rPr>
            <w:rStyle w:val="Hyperlink"/>
          </w:rPr>
          <w:t>Prospectiva del Mercado de Gas Natural 2012-2026</w:t>
        </w:r>
      </w:hyperlink>
      <w:r w:rsidRPr="00856C25">
        <w:t>. 2011.</w:t>
      </w:r>
    </w:p>
  </w:footnote>
  <w:footnote w:id="17">
    <w:p w:rsidR="00842457" w:rsidRDefault="00842457" w:rsidP="00732A5F">
      <w:pPr>
        <w:pStyle w:val="FootnoteText"/>
        <w:spacing w:after="0"/>
      </w:pPr>
      <w:r>
        <w:rPr>
          <w:rStyle w:val="FootnoteReference"/>
        </w:rPr>
        <w:footnoteRef/>
      </w:r>
      <w:r>
        <w:t xml:space="preserve"> </w:t>
      </w:r>
      <w:hyperlink r:id="rId20" w:history="1">
        <w:r w:rsidRPr="00E900A8">
          <w:rPr>
            <w:rStyle w:val="Hyperlink"/>
          </w:rPr>
          <w:t>Point Carbon, Carbon Market Daily</w:t>
        </w:r>
      </w:hyperlink>
      <w:r w:rsidRPr="008F632E">
        <w:t xml:space="preserve">, </w:t>
      </w:r>
      <w:r>
        <w:t>November</w:t>
      </w:r>
      <w:r w:rsidRPr="008F632E">
        <w:t xml:space="preserve"> </w:t>
      </w:r>
      <w:r>
        <w:t>29, 2013</w:t>
      </w:r>
      <w:r w:rsidRPr="008F632E">
        <w:t>.</w:t>
      </w:r>
    </w:p>
  </w:footnote>
  <w:footnote w:id="18">
    <w:p w:rsidR="00842457" w:rsidRDefault="00842457" w:rsidP="00C67595">
      <w:pPr>
        <w:pStyle w:val="FootnoteText"/>
        <w:spacing w:after="0"/>
        <w:ind w:left="180" w:hanging="180"/>
      </w:pPr>
      <w:r>
        <w:rPr>
          <w:rStyle w:val="FootnoteReference"/>
        </w:rPr>
        <w:footnoteRef/>
      </w:r>
      <w:r>
        <w:t xml:space="preserve"> CTF amounts used may vary, as the ones indicated do not incorporate deductions due to MDB fees. Possible differences are considered to be marginal and irrelevant with regards to this analysis.</w:t>
      </w:r>
    </w:p>
  </w:footnote>
  <w:footnote w:id="19">
    <w:p w:rsidR="00842457" w:rsidRPr="008B70C4" w:rsidRDefault="00842457" w:rsidP="00953547">
      <w:pPr>
        <w:pStyle w:val="FootnoteText"/>
        <w:spacing w:after="0"/>
        <w:ind w:left="180" w:hanging="180"/>
        <w:rPr>
          <w:sz w:val="19"/>
          <w:szCs w:val="19"/>
        </w:rPr>
      </w:pPr>
      <w:r w:rsidRPr="008B70C4">
        <w:rPr>
          <w:rStyle w:val="FootnoteReference"/>
          <w:sz w:val="19"/>
          <w:szCs w:val="19"/>
        </w:rPr>
        <w:footnoteRef/>
      </w:r>
      <w:r w:rsidRPr="008B70C4">
        <w:rPr>
          <w:sz w:val="19"/>
          <w:szCs w:val="19"/>
        </w:rPr>
        <w:t xml:space="preserve"> The overall leverage ratio of the facility requires that the CTF resources be matched with at least equal amounts from the IDB CCLIP and from NAFIN’s own resources. IDB co financing may come from resources approved under this operation or from the remainder of the previous approved operation under the CCLIP, the Renewable Energy Financing Facility (REFF) ME-L1119. </w:t>
      </w:r>
    </w:p>
  </w:footnote>
  <w:footnote w:id="20">
    <w:p w:rsidR="00842457" w:rsidRPr="008B70C4" w:rsidRDefault="00842457" w:rsidP="00953547">
      <w:pPr>
        <w:pStyle w:val="FootnoteText"/>
        <w:spacing w:after="0"/>
        <w:ind w:left="180" w:hanging="180"/>
        <w:rPr>
          <w:sz w:val="19"/>
          <w:szCs w:val="19"/>
        </w:rPr>
      </w:pPr>
      <w:r w:rsidRPr="008B70C4">
        <w:rPr>
          <w:rStyle w:val="FootnoteReference"/>
          <w:sz w:val="19"/>
          <w:szCs w:val="19"/>
        </w:rPr>
        <w:footnoteRef/>
      </w:r>
      <w:r w:rsidRPr="008B70C4">
        <w:rPr>
          <w:sz w:val="19"/>
          <w:szCs w:val="19"/>
        </w:rPr>
        <w:t xml:space="preserve"> Approximate US dollar value of 150 million Mexican pesos, using an average conversion rate of 13 Mexican pesos per US dollar. Additional NAFIN’s own resources will be used for financing of Component II and will be determined for each project on a case-by-case basis.</w:t>
      </w:r>
    </w:p>
  </w:footnote>
  <w:footnote w:id="21">
    <w:p w:rsidR="00842457" w:rsidRPr="003700BC" w:rsidRDefault="00842457" w:rsidP="000C43F7">
      <w:pPr>
        <w:pStyle w:val="FootnoteText"/>
      </w:pPr>
      <w:r>
        <w:rPr>
          <w:rStyle w:val="FootnoteReference"/>
        </w:rPr>
        <w:footnoteRef/>
      </w:r>
      <w:r>
        <w:t xml:space="preserve"> Quantification of the macroeconomic impact has been carried out using the Input-Output methodology, based on the latest Input-Output matrix prepared by the INEGI (Instituto Nacional de Estadística y Geografía de México). </w:t>
      </w:r>
      <w:r w:rsidRPr="003700BC">
        <w:t xml:space="preserve">Click </w:t>
      </w:r>
      <w:hyperlink r:id="rId21" w:history="1">
        <w:r w:rsidRPr="003700BC">
          <w:rPr>
            <w:rStyle w:val="Hyperlink"/>
          </w:rPr>
          <w:t>here</w:t>
        </w:r>
      </w:hyperlink>
      <w:r w:rsidRPr="003700BC">
        <w:t xml:space="preserve">. </w:t>
      </w:r>
    </w:p>
  </w:footnote>
  <w:footnote w:id="22">
    <w:p w:rsidR="00842457" w:rsidRPr="005F1835" w:rsidRDefault="00842457" w:rsidP="005F1835">
      <w:pPr>
        <w:pStyle w:val="FootnoteText"/>
        <w:spacing w:after="0"/>
      </w:pPr>
      <w:r>
        <w:rPr>
          <w:rStyle w:val="FootnoteReference"/>
        </w:rPr>
        <w:footnoteRef/>
      </w:r>
      <w:r>
        <w:rPr>
          <w:szCs w:val="24"/>
        </w:rPr>
        <w:t xml:space="preserve"> S</w:t>
      </w:r>
      <w:r w:rsidRPr="00BE440E">
        <w:rPr>
          <w:szCs w:val="24"/>
        </w:rPr>
        <w:t xml:space="preserve">olar energy, tidal energy, osmotic power, wave power, </w:t>
      </w:r>
      <w:r>
        <w:rPr>
          <w:szCs w:val="24"/>
        </w:rPr>
        <w:t>hydro</w:t>
      </w:r>
      <w:r w:rsidRPr="00BE440E">
        <w:rPr>
          <w:szCs w:val="24"/>
        </w:rPr>
        <w:t xml:space="preserve"> power, and wind power</w:t>
      </w:r>
      <w:r>
        <w:rPr>
          <w:szCs w:val="24"/>
        </w:rPr>
        <w:t>.</w:t>
      </w:r>
    </w:p>
  </w:footnote>
  <w:footnote w:id="23">
    <w:p w:rsidR="00842457" w:rsidRDefault="00842457" w:rsidP="00A33D90">
      <w:pPr>
        <w:pStyle w:val="FootnoteText"/>
        <w:spacing w:after="0"/>
      </w:pPr>
      <w:r>
        <w:rPr>
          <w:rStyle w:val="FootnoteReference"/>
        </w:rPr>
        <w:footnoteRef/>
      </w:r>
      <w:r>
        <w:t xml:space="preserve"> </w:t>
      </w:r>
      <w:r w:rsidRPr="005435D7">
        <w:t>Approximate US dollar value of 150 million Mexican pesos, using an average conversion rate of 13 Mexican pesos per US dollar</w:t>
      </w:r>
      <w:r>
        <w:t>.</w:t>
      </w:r>
    </w:p>
  </w:footnote>
  <w:footnote w:id="24">
    <w:p w:rsidR="00842457" w:rsidRPr="001151D3" w:rsidRDefault="00842457">
      <w:pPr>
        <w:pStyle w:val="FootnoteText"/>
      </w:pPr>
      <w:r>
        <w:rPr>
          <w:rStyle w:val="FootnoteReference"/>
        </w:rPr>
        <w:footnoteRef/>
      </w:r>
      <w:r>
        <w:t xml:space="preserve"> </w:t>
      </w:r>
      <w:r w:rsidRPr="00856C25">
        <w:t xml:space="preserve">This affects directly to the </w:t>
      </w:r>
      <w:r>
        <w:t>electricity</w:t>
      </w:r>
      <w:r w:rsidRPr="00856C25">
        <w:t xml:space="preserve"> </w:t>
      </w:r>
      <w:r>
        <w:t>generated</w:t>
      </w:r>
      <w:r w:rsidRPr="00856C25">
        <w:t xml:space="preserve"> since its </w:t>
      </w:r>
      <w:r>
        <w:t xml:space="preserve">Mwh are reduced by a 70.4%.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12533961"/>
      <w:docPartObj>
        <w:docPartGallery w:val="Page Numbers (Top of Page)"/>
        <w:docPartUnique/>
      </w:docPartObj>
    </w:sdtPr>
    <w:sdtEndPr/>
    <w:sdtContent>
      <w:p w:rsidR="00842457" w:rsidRDefault="00842457">
        <w:pPr>
          <w:pStyle w:val="Header"/>
          <w:jc w:val="center"/>
          <w:rPr>
            <w:rFonts w:asciiTheme="majorHAnsi" w:hAnsiTheme="majorHAnsi"/>
            <w:sz w:val="28"/>
            <w:szCs w:val="28"/>
          </w:rPr>
        </w:pPr>
        <w:r>
          <w:rPr>
            <w:rFonts w:ascii="Times New Roman" w:hAnsi="Times New Roman" w:cs="Times New Roman"/>
            <w:sz w:val="24"/>
            <w:szCs w:val="24"/>
          </w:rPr>
          <w:t>-</w:t>
        </w:r>
        <w:r w:rsidRPr="000B2B08">
          <w:rPr>
            <w:rFonts w:ascii="Times New Roman" w:hAnsi="Times New Roman" w:cs="Times New Roman"/>
            <w:sz w:val="24"/>
            <w:szCs w:val="24"/>
          </w:rPr>
          <w:t xml:space="preserve"> </w:t>
        </w:r>
        <w:r>
          <w:fldChar w:fldCharType="begin"/>
        </w:r>
        <w:r>
          <w:instrText xml:space="preserve"> PAGE    \* MERGEFORMAT </w:instrText>
        </w:r>
        <w:r>
          <w:fldChar w:fldCharType="separate"/>
        </w:r>
        <w:r w:rsidR="00435429" w:rsidRPr="00435429">
          <w:rPr>
            <w:rFonts w:ascii="Times New Roman" w:hAnsi="Times New Roman" w:cs="Times New Roman"/>
            <w:noProof/>
            <w:sz w:val="24"/>
            <w:szCs w:val="24"/>
          </w:rPr>
          <w:t>26</w:t>
        </w:r>
        <w:r>
          <w:rPr>
            <w:rFonts w:ascii="Times New Roman" w:hAnsi="Times New Roman" w:cs="Times New Roman"/>
            <w:noProof/>
            <w:sz w:val="24"/>
            <w:szCs w:val="24"/>
          </w:rPr>
          <w:fldChar w:fldCharType="end"/>
        </w:r>
        <w:r>
          <w:rPr>
            <w:rFonts w:ascii="Times New Roman" w:hAnsi="Times New Roman" w:cs="Times New Roman"/>
            <w:sz w:val="24"/>
            <w:szCs w:val="24"/>
          </w:rPr>
          <w:t xml:space="preserve"> -</w:t>
        </w:r>
      </w:p>
    </w:sdtContent>
  </w:sdt>
  <w:p w:rsidR="00842457" w:rsidRDefault="00842457">
    <w:pPr>
      <w:pStyle w:val="Header"/>
    </w:pPr>
  </w:p>
  <w:p w:rsidR="00842457" w:rsidRDefault="008424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66AC8"/>
    <w:multiLevelType w:val="hybridMultilevel"/>
    <w:tmpl w:val="17E61750"/>
    <w:lvl w:ilvl="0" w:tplc="A11AD6B8">
      <w:start w:val="1"/>
      <w:numFmt w:val="lowerRoman"/>
      <w:lvlText w:val="(%1)"/>
      <w:lvlJc w:val="left"/>
      <w:pPr>
        <w:ind w:left="1080" w:hanging="360"/>
      </w:pPr>
      <w:rPr>
        <w:rFonts w:hint="default"/>
      </w:rPr>
    </w:lvl>
    <w:lvl w:ilvl="1" w:tplc="C8BC8050">
      <w:start w:val="1"/>
      <w:numFmt w:val="lowerLetter"/>
      <w:lvlText w:val="%2."/>
      <w:lvlJc w:val="left"/>
      <w:pPr>
        <w:ind w:left="1800" w:hanging="360"/>
      </w:pPr>
    </w:lvl>
    <w:lvl w:ilvl="2" w:tplc="1B0A9DF4" w:tentative="1">
      <w:start w:val="1"/>
      <w:numFmt w:val="lowerRoman"/>
      <w:lvlText w:val="%3."/>
      <w:lvlJc w:val="right"/>
      <w:pPr>
        <w:ind w:left="2520" w:hanging="180"/>
      </w:pPr>
    </w:lvl>
    <w:lvl w:ilvl="3" w:tplc="364A3B02" w:tentative="1">
      <w:start w:val="1"/>
      <w:numFmt w:val="decimal"/>
      <w:lvlText w:val="%4."/>
      <w:lvlJc w:val="left"/>
      <w:pPr>
        <w:ind w:left="3240" w:hanging="360"/>
      </w:pPr>
    </w:lvl>
    <w:lvl w:ilvl="4" w:tplc="06C897F0" w:tentative="1">
      <w:start w:val="1"/>
      <w:numFmt w:val="lowerLetter"/>
      <w:lvlText w:val="%5."/>
      <w:lvlJc w:val="left"/>
      <w:pPr>
        <w:ind w:left="3960" w:hanging="360"/>
      </w:pPr>
    </w:lvl>
    <w:lvl w:ilvl="5" w:tplc="44ACDDD6" w:tentative="1">
      <w:start w:val="1"/>
      <w:numFmt w:val="lowerRoman"/>
      <w:lvlText w:val="%6."/>
      <w:lvlJc w:val="right"/>
      <w:pPr>
        <w:ind w:left="4680" w:hanging="180"/>
      </w:pPr>
    </w:lvl>
    <w:lvl w:ilvl="6" w:tplc="17427E9C" w:tentative="1">
      <w:start w:val="1"/>
      <w:numFmt w:val="decimal"/>
      <w:lvlText w:val="%7."/>
      <w:lvlJc w:val="left"/>
      <w:pPr>
        <w:ind w:left="5400" w:hanging="360"/>
      </w:pPr>
    </w:lvl>
    <w:lvl w:ilvl="7" w:tplc="9830175E" w:tentative="1">
      <w:start w:val="1"/>
      <w:numFmt w:val="lowerLetter"/>
      <w:lvlText w:val="%8."/>
      <w:lvlJc w:val="left"/>
      <w:pPr>
        <w:ind w:left="6120" w:hanging="360"/>
      </w:pPr>
    </w:lvl>
    <w:lvl w:ilvl="8" w:tplc="C1EE6C86" w:tentative="1">
      <w:start w:val="1"/>
      <w:numFmt w:val="lowerRoman"/>
      <w:lvlText w:val="%9."/>
      <w:lvlJc w:val="right"/>
      <w:pPr>
        <w:ind w:left="6840" w:hanging="180"/>
      </w:pPr>
    </w:lvl>
  </w:abstractNum>
  <w:abstractNum w:abstractNumId="1">
    <w:nsid w:val="26B53900"/>
    <w:multiLevelType w:val="hybridMultilevel"/>
    <w:tmpl w:val="A936E682"/>
    <w:lvl w:ilvl="0" w:tplc="95D0EA2C">
      <w:start w:val="1"/>
      <w:numFmt w:val="lowerRoman"/>
      <w:lvlText w:val="(%1)"/>
      <w:lvlJc w:val="left"/>
      <w:pPr>
        <w:ind w:left="1440" w:hanging="360"/>
      </w:pPr>
    </w:lvl>
    <w:lvl w:ilvl="1" w:tplc="B59A4AAA">
      <w:start w:val="1"/>
      <w:numFmt w:val="lowerRoman"/>
      <w:lvlText w:val="%2)"/>
      <w:lvlJc w:val="left"/>
      <w:pPr>
        <w:ind w:left="2520" w:hanging="720"/>
      </w:pPr>
      <w:rPr>
        <w:rFonts w:hint="default"/>
      </w:rPr>
    </w:lvl>
    <w:lvl w:ilvl="2" w:tplc="EE2E19FA">
      <w:start w:val="1"/>
      <w:numFmt w:val="lowerRoman"/>
      <w:lvlText w:val="(%3)"/>
      <w:lvlJc w:val="left"/>
      <w:pPr>
        <w:ind w:left="2880" w:hanging="180"/>
      </w:pPr>
      <w:rPr>
        <w:lang w:val="en-US"/>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E7B351C"/>
    <w:multiLevelType w:val="hybridMultilevel"/>
    <w:tmpl w:val="58A8AC76"/>
    <w:lvl w:ilvl="0" w:tplc="0C0A0001">
      <w:start w:val="1"/>
      <w:numFmt w:val="bullet"/>
      <w:lvlText w:val=""/>
      <w:lvlJc w:val="left"/>
      <w:pPr>
        <w:ind w:left="1442" w:hanging="360"/>
      </w:pPr>
      <w:rPr>
        <w:rFonts w:ascii="Symbol" w:hAnsi="Symbol" w:hint="default"/>
      </w:rPr>
    </w:lvl>
    <w:lvl w:ilvl="1" w:tplc="0C0A0003" w:tentative="1">
      <w:start w:val="1"/>
      <w:numFmt w:val="bullet"/>
      <w:lvlText w:val="o"/>
      <w:lvlJc w:val="left"/>
      <w:pPr>
        <w:ind w:left="2162" w:hanging="360"/>
      </w:pPr>
      <w:rPr>
        <w:rFonts w:ascii="Courier New" w:hAnsi="Courier New" w:cs="Courier New" w:hint="default"/>
      </w:rPr>
    </w:lvl>
    <w:lvl w:ilvl="2" w:tplc="0C0A0005" w:tentative="1">
      <w:start w:val="1"/>
      <w:numFmt w:val="bullet"/>
      <w:lvlText w:val=""/>
      <w:lvlJc w:val="left"/>
      <w:pPr>
        <w:ind w:left="2882" w:hanging="360"/>
      </w:pPr>
      <w:rPr>
        <w:rFonts w:ascii="Wingdings" w:hAnsi="Wingdings" w:hint="default"/>
      </w:rPr>
    </w:lvl>
    <w:lvl w:ilvl="3" w:tplc="0C0A0001" w:tentative="1">
      <w:start w:val="1"/>
      <w:numFmt w:val="bullet"/>
      <w:lvlText w:val=""/>
      <w:lvlJc w:val="left"/>
      <w:pPr>
        <w:ind w:left="3602" w:hanging="360"/>
      </w:pPr>
      <w:rPr>
        <w:rFonts w:ascii="Symbol" w:hAnsi="Symbol" w:hint="default"/>
      </w:rPr>
    </w:lvl>
    <w:lvl w:ilvl="4" w:tplc="0C0A0003" w:tentative="1">
      <w:start w:val="1"/>
      <w:numFmt w:val="bullet"/>
      <w:lvlText w:val="o"/>
      <w:lvlJc w:val="left"/>
      <w:pPr>
        <w:ind w:left="4322" w:hanging="360"/>
      </w:pPr>
      <w:rPr>
        <w:rFonts w:ascii="Courier New" w:hAnsi="Courier New" w:cs="Courier New" w:hint="default"/>
      </w:rPr>
    </w:lvl>
    <w:lvl w:ilvl="5" w:tplc="0C0A0005" w:tentative="1">
      <w:start w:val="1"/>
      <w:numFmt w:val="bullet"/>
      <w:lvlText w:val=""/>
      <w:lvlJc w:val="left"/>
      <w:pPr>
        <w:ind w:left="5042" w:hanging="360"/>
      </w:pPr>
      <w:rPr>
        <w:rFonts w:ascii="Wingdings" w:hAnsi="Wingdings" w:hint="default"/>
      </w:rPr>
    </w:lvl>
    <w:lvl w:ilvl="6" w:tplc="0C0A0001" w:tentative="1">
      <w:start w:val="1"/>
      <w:numFmt w:val="bullet"/>
      <w:lvlText w:val=""/>
      <w:lvlJc w:val="left"/>
      <w:pPr>
        <w:ind w:left="5762" w:hanging="360"/>
      </w:pPr>
      <w:rPr>
        <w:rFonts w:ascii="Symbol" w:hAnsi="Symbol" w:hint="default"/>
      </w:rPr>
    </w:lvl>
    <w:lvl w:ilvl="7" w:tplc="0C0A0003" w:tentative="1">
      <w:start w:val="1"/>
      <w:numFmt w:val="bullet"/>
      <w:lvlText w:val="o"/>
      <w:lvlJc w:val="left"/>
      <w:pPr>
        <w:ind w:left="6482" w:hanging="360"/>
      </w:pPr>
      <w:rPr>
        <w:rFonts w:ascii="Courier New" w:hAnsi="Courier New" w:cs="Courier New" w:hint="default"/>
      </w:rPr>
    </w:lvl>
    <w:lvl w:ilvl="8" w:tplc="0C0A0005" w:tentative="1">
      <w:start w:val="1"/>
      <w:numFmt w:val="bullet"/>
      <w:lvlText w:val=""/>
      <w:lvlJc w:val="left"/>
      <w:pPr>
        <w:ind w:left="7202" w:hanging="360"/>
      </w:pPr>
      <w:rPr>
        <w:rFonts w:ascii="Wingdings" w:hAnsi="Wingdings" w:hint="default"/>
      </w:rPr>
    </w:lvl>
  </w:abstractNum>
  <w:abstractNum w:abstractNumId="3">
    <w:nsid w:val="407F1447"/>
    <w:multiLevelType w:val="hybridMultilevel"/>
    <w:tmpl w:val="41CED3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2F878B7"/>
    <w:multiLevelType w:val="multilevel"/>
    <w:tmpl w:val="09C8B248"/>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9306"/>
        </w:tabs>
        <w:ind w:left="9306" w:hanging="1296"/>
      </w:pPr>
      <w:rPr>
        <w:b w:val="0"/>
      </w:rPr>
    </w:lvl>
    <w:lvl w:ilvl="2">
      <w:start w:val="1"/>
      <w:numFmt w:val="lowerLetter"/>
      <w:pStyle w:val="subpar"/>
      <w:lvlText w:val="%3."/>
      <w:lvlJc w:val="left"/>
      <w:pPr>
        <w:tabs>
          <w:tab w:val="num" w:pos="432"/>
        </w:tabs>
        <w:ind w:left="432" w:hanging="432"/>
      </w:pPr>
      <w:rPr>
        <w:b w:val="0"/>
      </w:rPr>
    </w:lvl>
    <w:lvl w:ilvl="3">
      <w:start w:val="1"/>
      <w:numFmt w:val="lowerLetter"/>
      <w:pStyle w:val="SubSubPar"/>
      <w:lvlText w:val="%4."/>
      <w:lvlJc w:val="left"/>
      <w:pPr>
        <w:tabs>
          <w:tab w:val="num" w:pos="2736"/>
        </w:tabs>
        <w:ind w:left="2736" w:hanging="288"/>
      </w:pPr>
    </w:lvl>
    <w:lvl w:ilvl="4">
      <w:start w:val="1"/>
      <w:numFmt w:val="lowerRoman"/>
      <w:lvlText w:val="%5."/>
      <w:lvlJc w:val="righ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5">
    <w:nsid w:val="46D528C1"/>
    <w:multiLevelType w:val="hybridMultilevel"/>
    <w:tmpl w:val="AA5E7BE8"/>
    <w:lvl w:ilvl="0" w:tplc="EE2E19FA">
      <w:start w:val="1"/>
      <w:numFmt w:val="lowerRoman"/>
      <w:lvlText w:val="(%1)"/>
      <w:lvlJc w:val="left"/>
      <w:pPr>
        <w:ind w:left="1080" w:hanging="360"/>
      </w:pPr>
      <w:rPr>
        <w:lang w:val="en-US"/>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4AE203BA"/>
    <w:multiLevelType w:val="hybridMultilevel"/>
    <w:tmpl w:val="521C7DDA"/>
    <w:lvl w:ilvl="0" w:tplc="0409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4AD3517"/>
    <w:multiLevelType w:val="hybridMultilevel"/>
    <w:tmpl w:val="6A5EF88C"/>
    <w:lvl w:ilvl="0" w:tplc="0409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20933FF"/>
    <w:multiLevelType w:val="multilevel"/>
    <w:tmpl w:val="3ECC820E"/>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Heading5"/>
      <w:lvlText w:val="%5)"/>
      <w:lvlJc w:val="left"/>
      <w:pPr>
        <w:ind w:left="5112" w:hanging="432"/>
      </w:pPr>
    </w:lvl>
    <w:lvl w:ilvl="5">
      <w:start w:val="1"/>
      <w:numFmt w:val="lowerLetter"/>
      <w:pStyle w:val="Heading6"/>
      <w:lvlText w:val="%6)"/>
      <w:lvlJc w:val="left"/>
      <w:pPr>
        <w:ind w:left="5256" w:hanging="432"/>
      </w:pPr>
    </w:lvl>
    <w:lvl w:ilvl="6">
      <w:start w:val="1"/>
      <w:numFmt w:val="lowerRoman"/>
      <w:pStyle w:val="Heading7"/>
      <w:lvlText w:val="%7)"/>
      <w:lvlJc w:val="right"/>
      <w:pPr>
        <w:ind w:left="5400" w:hanging="288"/>
      </w:pPr>
    </w:lvl>
    <w:lvl w:ilvl="7">
      <w:start w:val="1"/>
      <w:numFmt w:val="lowerLetter"/>
      <w:pStyle w:val="Heading8"/>
      <w:lvlText w:val="%8."/>
      <w:lvlJc w:val="left"/>
      <w:pPr>
        <w:ind w:left="5544" w:hanging="432"/>
      </w:pPr>
    </w:lvl>
    <w:lvl w:ilvl="8">
      <w:start w:val="1"/>
      <w:numFmt w:val="lowerRoman"/>
      <w:pStyle w:val="Heading9"/>
      <w:lvlText w:val="%9."/>
      <w:lvlJc w:val="right"/>
      <w:pPr>
        <w:ind w:left="5688" w:hanging="144"/>
      </w:pPr>
    </w:lvl>
  </w:abstractNum>
  <w:abstractNum w:abstractNumId="9">
    <w:nsid w:val="75424205"/>
    <w:multiLevelType w:val="multilevel"/>
    <w:tmpl w:val="A244AB66"/>
    <w:lvl w:ilvl="0">
      <w:start w:val="1"/>
      <w:numFmt w:val="upperRoman"/>
      <w:lvlRestart w:val="0"/>
      <w:lvlText w:val="%1."/>
      <w:lvlJc w:val="center"/>
      <w:pPr>
        <w:tabs>
          <w:tab w:val="num" w:pos="1368"/>
        </w:tabs>
        <w:ind w:left="720" w:firstLine="288"/>
      </w:pPr>
      <w:rPr>
        <w:b/>
        <w:i w:val="0"/>
      </w:rPr>
    </w:lvl>
    <w:lvl w:ilvl="1">
      <w:start w:val="1"/>
      <w:numFmt w:val="decimal"/>
      <w:isLgl/>
      <w:lvlText w:val="%1.%2"/>
      <w:lvlJc w:val="left"/>
      <w:pPr>
        <w:tabs>
          <w:tab w:val="num" w:pos="2016"/>
        </w:tabs>
        <w:ind w:left="2016" w:hanging="1296"/>
      </w:pPr>
    </w:lvl>
    <w:lvl w:ilvl="2">
      <w:start w:val="1"/>
      <w:numFmt w:val="lowerLetter"/>
      <w:lvlText w:val="%3."/>
      <w:lvlJc w:val="left"/>
      <w:pPr>
        <w:tabs>
          <w:tab w:val="num" w:pos="1872"/>
        </w:tabs>
        <w:ind w:left="1872" w:hanging="432"/>
      </w:pPr>
    </w:lvl>
    <w:lvl w:ilvl="3">
      <w:start w:val="1"/>
      <w:numFmt w:val="lowerRoman"/>
      <w:lvlText w:val="%4."/>
      <w:lvlJc w:val="right"/>
      <w:pPr>
        <w:tabs>
          <w:tab w:val="num" w:pos="2304"/>
        </w:tabs>
        <w:ind w:left="2304" w:hanging="288"/>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num w:numId="1">
    <w:abstractNumId w:val="4"/>
  </w:num>
  <w:num w:numId="2">
    <w:abstractNumId w:val="8"/>
  </w:num>
  <w:num w:numId="3">
    <w:abstractNumId w:val="1"/>
  </w:num>
  <w:num w:numId="4">
    <w:abstractNumId w:val="9"/>
  </w:num>
  <w:num w:numId="5">
    <w:abstractNumId w:val="5"/>
  </w:num>
  <w:num w:numId="6">
    <w:abstractNumId w:val="0"/>
  </w:num>
  <w:num w:numId="7">
    <w:abstractNumId w:val="6"/>
  </w:num>
  <w:num w:numId="8">
    <w:abstractNumId w:val="7"/>
  </w:num>
  <w:num w:numId="9">
    <w:abstractNumId w:val="4"/>
  </w:num>
  <w:num w:numId="10">
    <w:abstractNumId w:val="4"/>
  </w:num>
  <w:num w:numId="11">
    <w:abstractNumId w:val="3"/>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2"/>
  </w:num>
  <w:num w:numId="25">
    <w:abstractNumId w:val="4"/>
  </w:num>
  <w:num w:numId="2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9A"/>
    <w:rsid w:val="000012E5"/>
    <w:rsid w:val="000025A2"/>
    <w:rsid w:val="000048C6"/>
    <w:rsid w:val="00006912"/>
    <w:rsid w:val="0001642F"/>
    <w:rsid w:val="00017FDF"/>
    <w:rsid w:val="00026170"/>
    <w:rsid w:val="000317A9"/>
    <w:rsid w:val="00032AFC"/>
    <w:rsid w:val="00040BBA"/>
    <w:rsid w:val="0005081E"/>
    <w:rsid w:val="000511BD"/>
    <w:rsid w:val="00056D1F"/>
    <w:rsid w:val="00060760"/>
    <w:rsid w:val="00060EF8"/>
    <w:rsid w:val="00061FBC"/>
    <w:rsid w:val="0006334E"/>
    <w:rsid w:val="000665A3"/>
    <w:rsid w:val="00067C07"/>
    <w:rsid w:val="00077C02"/>
    <w:rsid w:val="00085D3E"/>
    <w:rsid w:val="00097357"/>
    <w:rsid w:val="000A2B0D"/>
    <w:rsid w:val="000A3B7A"/>
    <w:rsid w:val="000B05E2"/>
    <w:rsid w:val="000B6659"/>
    <w:rsid w:val="000C0A52"/>
    <w:rsid w:val="000C1397"/>
    <w:rsid w:val="000C18C6"/>
    <w:rsid w:val="000C43F7"/>
    <w:rsid w:val="000C51AF"/>
    <w:rsid w:val="000C5DB7"/>
    <w:rsid w:val="000D2364"/>
    <w:rsid w:val="000D7DAF"/>
    <w:rsid w:val="000E441B"/>
    <w:rsid w:val="000E52FD"/>
    <w:rsid w:val="000E6DDA"/>
    <w:rsid w:val="000F1DEC"/>
    <w:rsid w:val="000F5D8B"/>
    <w:rsid w:val="00101135"/>
    <w:rsid w:val="00101CF9"/>
    <w:rsid w:val="00102678"/>
    <w:rsid w:val="0010714A"/>
    <w:rsid w:val="00111FCE"/>
    <w:rsid w:val="0011452B"/>
    <w:rsid w:val="001151D3"/>
    <w:rsid w:val="00121AB2"/>
    <w:rsid w:val="001247E2"/>
    <w:rsid w:val="00132972"/>
    <w:rsid w:val="00135E36"/>
    <w:rsid w:val="001422F7"/>
    <w:rsid w:val="00147E8D"/>
    <w:rsid w:val="00153E4A"/>
    <w:rsid w:val="00157DD0"/>
    <w:rsid w:val="0016181E"/>
    <w:rsid w:val="0016395B"/>
    <w:rsid w:val="00167C61"/>
    <w:rsid w:val="00180541"/>
    <w:rsid w:val="0019120F"/>
    <w:rsid w:val="00193542"/>
    <w:rsid w:val="0019610C"/>
    <w:rsid w:val="001A130F"/>
    <w:rsid w:val="001A1C28"/>
    <w:rsid w:val="001A7C35"/>
    <w:rsid w:val="001A7F32"/>
    <w:rsid w:val="001B3665"/>
    <w:rsid w:val="001B6E44"/>
    <w:rsid w:val="001C181C"/>
    <w:rsid w:val="001E7307"/>
    <w:rsid w:val="001F0540"/>
    <w:rsid w:val="001F2FCB"/>
    <w:rsid w:val="002033E0"/>
    <w:rsid w:val="00211EEB"/>
    <w:rsid w:val="00213172"/>
    <w:rsid w:val="0021648A"/>
    <w:rsid w:val="00217DE0"/>
    <w:rsid w:val="002301B7"/>
    <w:rsid w:val="00232803"/>
    <w:rsid w:val="00234660"/>
    <w:rsid w:val="0023627F"/>
    <w:rsid w:val="00241C3A"/>
    <w:rsid w:val="00250D96"/>
    <w:rsid w:val="00253CD8"/>
    <w:rsid w:val="00263C35"/>
    <w:rsid w:val="00265370"/>
    <w:rsid w:val="002666CD"/>
    <w:rsid w:val="00271BF0"/>
    <w:rsid w:val="00276690"/>
    <w:rsid w:val="002A2C6E"/>
    <w:rsid w:val="002A4A3A"/>
    <w:rsid w:val="002B2B77"/>
    <w:rsid w:val="002B403F"/>
    <w:rsid w:val="002B7C70"/>
    <w:rsid w:val="002C499A"/>
    <w:rsid w:val="002C7F45"/>
    <w:rsid w:val="002D1E56"/>
    <w:rsid w:val="002D2AB7"/>
    <w:rsid w:val="002D5E3A"/>
    <w:rsid w:val="002E7550"/>
    <w:rsid w:val="002F04A2"/>
    <w:rsid w:val="002F258B"/>
    <w:rsid w:val="002F3B84"/>
    <w:rsid w:val="002F6591"/>
    <w:rsid w:val="003005BD"/>
    <w:rsid w:val="003006E8"/>
    <w:rsid w:val="00304CCF"/>
    <w:rsid w:val="003067E2"/>
    <w:rsid w:val="003068D1"/>
    <w:rsid w:val="00306F1A"/>
    <w:rsid w:val="00306FA7"/>
    <w:rsid w:val="00320877"/>
    <w:rsid w:val="00323914"/>
    <w:rsid w:val="00331080"/>
    <w:rsid w:val="0033176C"/>
    <w:rsid w:val="003337F1"/>
    <w:rsid w:val="00336F10"/>
    <w:rsid w:val="00341EFE"/>
    <w:rsid w:val="0034380E"/>
    <w:rsid w:val="00343E60"/>
    <w:rsid w:val="003508AB"/>
    <w:rsid w:val="00350DBE"/>
    <w:rsid w:val="00355558"/>
    <w:rsid w:val="00356A80"/>
    <w:rsid w:val="00363681"/>
    <w:rsid w:val="00377377"/>
    <w:rsid w:val="00377C39"/>
    <w:rsid w:val="00382215"/>
    <w:rsid w:val="00382DC3"/>
    <w:rsid w:val="003832C1"/>
    <w:rsid w:val="00387711"/>
    <w:rsid w:val="00391A94"/>
    <w:rsid w:val="003A172D"/>
    <w:rsid w:val="003A655E"/>
    <w:rsid w:val="003A6BD8"/>
    <w:rsid w:val="003B477C"/>
    <w:rsid w:val="003B5506"/>
    <w:rsid w:val="003C3C41"/>
    <w:rsid w:val="003C56B3"/>
    <w:rsid w:val="003C6D2B"/>
    <w:rsid w:val="003D052A"/>
    <w:rsid w:val="003D2C72"/>
    <w:rsid w:val="003D7239"/>
    <w:rsid w:val="003D7C0D"/>
    <w:rsid w:val="003E0B57"/>
    <w:rsid w:val="003E1C8B"/>
    <w:rsid w:val="003E21A1"/>
    <w:rsid w:val="003E295E"/>
    <w:rsid w:val="003E6E8F"/>
    <w:rsid w:val="003F1AA7"/>
    <w:rsid w:val="003F4D26"/>
    <w:rsid w:val="004002E2"/>
    <w:rsid w:val="00400C51"/>
    <w:rsid w:val="00406AAE"/>
    <w:rsid w:val="00410C10"/>
    <w:rsid w:val="00411F49"/>
    <w:rsid w:val="00415292"/>
    <w:rsid w:val="00417FBB"/>
    <w:rsid w:val="004213B3"/>
    <w:rsid w:val="00426B64"/>
    <w:rsid w:val="00432119"/>
    <w:rsid w:val="00432C12"/>
    <w:rsid w:val="0043460B"/>
    <w:rsid w:val="00435429"/>
    <w:rsid w:val="00444A0C"/>
    <w:rsid w:val="00446E0D"/>
    <w:rsid w:val="00447370"/>
    <w:rsid w:val="00451ADF"/>
    <w:rsid w:val="004547DB"/>
    <w:rsid w:val="004559D7"/>
    <w:rsid w:val="0045608F"/>
    <w:rsid w:val="004629A9"/>
    <w:rsid w:val="00472A2A"/>
    <w:rsid w:val="004927A2"/>
    <w:rsid w:val="004950B6"/>
    <w:rsid w:val="004A33B5"/>
    <w:rsid w:val="004B0605"/>
    <w:rsid w:val="004B3734"/>
    <w:rsid w:val="004B6CB7"/>
    <w:rsid w:val="004C24BD"/>
    <w:rsid w:val="004D49AB"/>
    <w:rsid w:val="004D5823"/>
    <w:rsid w:val="004E0666"/>
    <w:rsid w:val="004E0F6E"/>
    <w:rsid w:val="004E1BA5"/>
    <w:rsid w:val="004E3533"/>
    <w:rsid w:val="004F5D35"/>
    <w:rsid w:val="004F6B99"/>
    <w:rsid w:val="00502B3B"/>
    <w:rsid w:val="005043A9"/>
    <w:rsid w:val="005150A8"/>
    <w:rsid w:val="00522AAB"/>
    <w:rsid w:val="00525F25"/>
    <w:rsid w:val="00532D41"/>
    <w:rsid w:val="005370E0"/>
    <w:rsid w:val="00537517"/>
    <w:rsid w:val="00537ACA"/>
    <w:rsid w:val="00540F44"/>
    <w:rsid w:val="00542E11"/>
    <w:rsid w:val="005435D7"/>
    <w:rsid w:val="005440D8"/>
    <w:rsid w:val="00544555"/>
    <w:rsid w:val="00546BA3"/>
    <w:rsid w:val="00547786"/>
    <w:rsid w:val="00551451"/>
    <w:rsid w:val="00552638"/>
    <w:rsid w:val="005527E9"/>
    <w:rsid w:val="00554B41"/>
    <w:rsid w:val="00555E80"/>
    <w:rsid w:val="00557AD9"/>
    <w:rsid w:val="005607F7"/>
    <w:rsid w:val="0056559E"/>
    <w:rsid w:val="005842F5"/>
    <w:rsid w:val="00584F41"/>
    <w:rsid w:val="00586CFB"/>
    <w:rsid w:val="00586EBF"/>
    <w:rsid w:val="00592E10"/>
    <w:rsid w:val="005A5FE3"/>
    <w:rsid w:val="005A7F07"/>
    <w:rsid w:val="005B79D4"/>
    <w:rsid w:val="005C5A53"/>
    <w:rsid w:val="005D0EC0"/>
    <w:rsid w:val="005D173E"/>
    <w:rsid w:val="005E0D66"/>
    <w:rsid w:val="005E22DE"/>
    <w:rsid w:val="005E3FC7"/>
    <w:rsid w:val="005E783F"/>
    <w:rsid w:val="005F1835"/>
    <w:rsid w:val="005F2FAC"/>
    <w:rsid w:val="006007F8"/>
    <w:rsid w:val="00604185"/>
    <w:rsid w:val="006067B5"/>
    <w:rsid w:val="00614994"/>
    <w:rsid w:val="006163BB"/>
    <w:rsid w:val="006174D9"/>
    <w:rsid w:val="006242E0"/>
    <w:rsid w:val="00626180"/>
    <w:rsid w:val="00626B21"/>
    <w:rsid w:val="0063247E"/>
    <w:rsid w:val="0063326E"/>
    <w:rsid w:val="00633691"/>
    <w:rsid w:val="006336DF"/>
    <w:rsid w:val="006341AA"/>
    <w:rsid w:val="00642C21"/>
    <w:rsid w:val="00645959"/>
    <w:rsid w:val="0065336B"/>
    <w:rsid w:val="00653C42"/>
    <w:rsid w:val="00672A2D"/>
    <w:rsid w:val="00675CF2"/>
    <w:rsid w:val="00677FF1"/>
    <w:rsid w:val="0068018D"/>
    <w:rsid w:val="006808BD"/>
    <w:rsid w:val="0068351E"/>
    <w:rsid w:val="00683854"/>
    <w:rsid w:val="00686AC9"/>
    <w:rsid w:val="00697A12"/>
    <w:rsid w:val="006A672B"/>
    <w:rsid w:val="006B1397"/>
    <w:rsid w:val="006B234F"/>
    <w:rsid w:val="006B76AF"/>
    <w:rsid w:val="006C2FD4"/>
    <w:rsid w:val="006C3F1A"/>
    <w:rsid w:val="006D1881"/>
    <w:rsid w:val="006D3AE3"/>
    <w:rsid w:val="006D4C99"/>
    <w:rsid w:val="006E3191"/>
    <w:rsid w:val="006E53D1"/>
    <w:rsid w:val="006F1510"/>
    <w:rsid w:val="006F1C8B"/>
    <w:rsid w:val="006F5704"/>
    <w:rsid w:val="0070140A"/>
    <w:rsid w:val="00701DFC"/>
    <w:rsid w:val="0070268C"/>
    <w:rsid w:val="00705461"/>
    <w:rsid w:val="00710F7A"/>
    <w:rsid w:val="007147FA"/>
    <w:rsid w:val="00715407"/>
    <w:rsid w:val="00723363"/>
    <w:rsid w:val="007251E8"/>
    <w:rsid w:val="007261EE"/>
    <w:rsid w:val="00727970"/>
    <w:rsid w:val="00730821"/>
    <w:rsid w:val="00732A5F"/>
    <w:rsid w:val="0073425E"/>
    <w:rsid w:val="00736F8F"/>
    <w:rsid w:val="00737BEF"/>
    <w:rsid w:val="007414ED"/>
    <w:rsid w:val="00741752"/>
    <w:rsid w:val="007418E5"/>
    <w:rsid w:val="00741B5A"/>
    <w:rsid w:val="007420DE"/>
    <w:rsid w:val="00752D3F"/>
    <w:rsid w:val="007546D9"/>
    <w:rsid w:val="0076520D"/>
    <w:rsid w:val="00767F35"/>
    <w:rsid w:val="00772A44"/>
    <w:rsid w:val="007822A1"/>
    <w:rsid w:val="00782537"/>
    <w:rsid w:val="007829EC"/>
    <w:rsid w:val="00783690"/>
    <w:rsid w:val="00783A09"/>
    <w:rsid w:val="00783C61"/>
    <w:rsid w:val="00790108"/>
    <w:rsid w:val="00791042"/>
    <w:rsid w:val="00793794"/>
    <w:rsid w:val="00796E9A"/>
    <w:rsid w:val="007A22E8"/>
    <w:rsid w:val="007A7315"/>
    <w:rsid w:val="007A7A33"/>
    <w:rsid w:val="007B028F"/>
    <w:rsid w:val="007B0760"/>
    <w:rsid w:val="007B2B31"/>
    <w:rsid w:val="007C0517"/>
    <w:rsid w:val="007C4D2F"/>
    <w:rsid w:val="007C5460"/>
    <w:rsid w:val="007D0680"/>
    <w:rsid w:val="007F07AB"/>
    <w:rsid w:val="007F0E36"/>
    <w:rsid w:val="007F14C6"/>
    <w:rsid w:val="007F5B8D"/>
    <w:rsid w:val="007F75D1"/>
    <w:rsid w:val="00800264"/>
    <w:rsid w:val="00802BDD"/>
    <w:rsid w:val="00804F9C"/>
    <w:rsid w:val="008060EB"/>
    <w:rsid w:val="008062E4"/>
    <w:rsid w:val="008076CB"/>
    <w:rsid w:val="0081047A"/>
    <w:rsid w:val="008150A5"/>
    <w:rsid w:val="00826069"/>
    <w:rsid w:val="00835C42"/>
    <w:rsid w:val="00842457"/>
    <w:rsid w:val="00843F15"/>
    <w:rsid w:val="008476C6"/>
    <w:rsid w:val="00856A8D"/>
    <w:rsid w:val="00856C25"/>
    <w:rsid w:val="0086147F"/>
    <w:rsid w:val="00864B63"/>
    <w:rsid w:val="008662FA"/>
    <w:rsid w:val="008678A9"/>
    <w:rsid w:val="00870A94"/>
    <w:rsid w:val="00872776"/>
    <w:rsid w:val="008744E2"/>
    <w:rsid w:val="00874E4B"/>
    <w:rsid w:val="008778E6"/>
    <w:rsid w:val="0088394D"/>
    <w:rsid w:val="00890D86"/>
    <w:rsid w:val="00892726"/>
    <w:rsid w:val="008944AD"/>
    <w:rsid w:val="00896B49"/>
    <w:rsid w:val="008A2C1B"/>
    <w:rsid w:val="008B6EC8"/>
    <w:rsid w:val="008B7BF4"/>
    <w:rsid w:val="008D067A"/>
    <w:rsid w:val="008D1679"/>
    <w:rsid w:val="008D7C43"/>
    <w:rsid w:val="008E12D3"/>
    <w:rsid w:val="008E68A7"/>
    <w:rsid w:val="008E6919"/>
    <w:rsid w:val="008F13A5"/>
    <w:rsid w:val="008F77A6"/>
    <w:rsid w:val="00900D02"/>
    <w:rsid w:val="00910264"/>
    <w:rsid w:val="00921FA1"/>
    <w:rsid w:val="00924AC4"/>
    <w:rsid w:val="009366BF"/>
    <w:rsid w:val="00940A1B"/>
    <w:rsid w:val="00947D9E"/>
    <w:rsid w:val="00951592"/>
    <w:rsid w:val="00953547"/>
    <w:rsid w:val="00960C77"/>
    <w:rsid w:val="00962CA8"/>
    <w:rsid w:val="00972309"/>
    <w:rsid w:val="00973A93"/>
    <w:rsid w:val="009758E1"/>
    <w:rsid w:val="009841E5"/>
    <w:rsid w:val="00985A8F"/>
    <w:rsid w:val="00991C40"/>
    <w:rsid w:val="0099777A"/>
    <w:rsid w:val="009A331C"/>
    <w:rsid w:val="009A3C66"/>
    <w:rsid w:val="009B20EE"/>
    <w:rsid w:val="009B3E7B"/>
    <w:rsid w:val="009C0882"/>
    <w:rsid w:val="009C7DAF"/>
    <w:rsid w:val="009D565F"/>
    <w:rsid w:val="009D7864"/>
    <w:rsid w:val="009E3F35"/>
    <w:rsid w:val="009E43B0"/>
    <w:rsid w:val="009E5679"/>
    <w:rsid w:val="009E5DFB"/>
    <w:rsid w:val="009F1DA6"/>
    <w:rsid w:val="00A06454"/>
    <w:rsid w:val="00A10321"/>
    <w:rsid w:val="00A25797"/>
    <w:rsid w:val="00A316C0"/>
    <w:rsid w:val="00A33D90"/>
    <w:rsid w:val="00A46C44"/>
    <w:rsid w:val="00A50DEB"/>
    <w:rsid w:val="00A5219A"/>
    <w:rsid w:val="00A538F6"/>
    <w:rsid w:val="00A57811"/>
    <w:rsid w:val="00A62360"/>
    <w:rsid w:val="00A6797B"/>
    <w:rsid w:val="00A724F6"/>
    <w:rsid w:val="00A73B35"/>
    <w:rsid w:val="00A845FE"/>
    <w:rsid w:val="00A907B5"/>
    <w:rsid w:val="00A95998"/>
    <w:rsid w:val="00AA328E"/>
    <w:rsid w:val="00AA4708"/>
    <w:rsid w:val="00AB725B"/>
    <w:rsid w:val="00AB754C"/>
    <w:rsid w:val="00AC2374"/>
    <w:rsid w:val="00AC3970"/>
    <w:rsid w:val="00AC55A3"/>
    <w:rsid w:val="00AD7AD7"/>
    <w:rsid w:val="00AE1246"/>
    <w:rsid w:val="00AE21C3"/>
    <w:rsid w:val="00AE55F7"/>
    <w:rsid w:val="00B03412"/>
    <w:rsid w:val="00B04479"/>
    <w:rsid w:val="00B06E65"/>
    <w:rsid w:val="00B1544B"/>
    <w:rsid w:val="00B171CF"/>
    <w:rsid w:val="00B23C77"/>
    <w:rsid w:val="00B26CC9"/>
    <w:rsid w:val="00B30E6A"/>
    <w:rsid w:val="00B3481B"/>
    <w:rsid w:val="00B3786F"/>
    <w:rsid w:val="00B51236"/>
    <w:rsid w:val="00B6404C"/>
    <w:rsid w:val="00B64EF4"/>
    <w:rsid w:val="00B75764"/>
    <w:rsid w:val="00B75B97"/>
    <w:rsid w:val="00B765B8"/>
    <w:rsid w:val="00B76D84"/>
    <w:rsid w:val="00B80AC5"/>
    <w:rsid w:val="00B8466F"/>
    <w:rsid w:val="00B84F1B"/>
    <w:rsid w:val="00B8663B"/>
    <w:rsid w:val="00B86890"/>
    <w:rsid w:val="00B94089"/>
    <w:rsid w:val="00BA3F2C"/>
    <w:rsid w:val="00BA49D8"/>
    <w:rsid w:val="00BA5096"/>
    <w:rsid w:val="00BA6DED"/>
    <w:rsid w:val="00BB426E"/>
    <w:rsid w:val="00BB6D45"/>
    <w:rsid w:val="00BB7819"/>
    <w:rsid w:val="00BC0192"/>
    <w:rsid w:val="00BC56BC"/>
    <w:rsid w:val="00BC6548"/>
    <w:rsid w:val="00BD2428"/>
    <w:rsid w:val="00BD4CB4"/>
    <w:rsid w:val="00BE0DDB"/>
    <w:rsid w:val="00BE440E"/>
    <w:rsid w:val="00BE6A92"/>
    <w:rsid w:val="00BF4D57"/>
    <w:rsid w:val="00C00D87"/>
    <w:rsid w:val="00C03150"/>
    <w:rsid w:val="00C0623D"/>
    <w:rsid w:val="00C15EF1"/>
    <w:rsid w:val="00C17506"/>
    <w:rsid w:val="00C20720"/>
    <w:rsid w:val="00C2087E"/>
    <w:rsid w:val="00C232CB"/>
    <w:rsid w:val="00C31669"/>
    <w:rsid w:val="00C322A1"/>
    <w:rsid w:val="00C342A7"/>
    <w:rsid w:val="00C50049"/>
    <w:rsid w:val="00C52745"/>
    <w:rsid w:val="00C5335E"/>
    <w:rsid w:val="00C57714"/>
    <w:rsid w:val="00C62B61"/>
    <w:rsid w:val="00C6514C"/>
    <w:rsid w:val="00C66CDA"/>
    <w:rsid w:val="00C67595"/>
    <w:rsid w:val="00C676D4"/>
    <w:rsid w:val="00C67E7C"/>
    <w:rsid w:val="00C70C1B"/>
    <w:rsid w:val="00C74CD8"/>
    <w:rsid w:val="00C82FA6"/>
    <w:rsid w:val="00C92A80"/>
    <w:rsid w:val="00C949F8"/>
    <w:rsid w:val="00C96CBE"/>
    <w:rsid w:val="00CA0667"/>
    <w:rsid w:val="00CC258C"/>
    <w:rsid w:val="00CC40D0"/>
    <w:rsid w:val="00CC58AF"/>
    <w:rsid w:val="00CC6503"/>
    <w:rsid w:val="00CD2DC8"/>
    <w:rsid w:val="00CD339C"/>
    <w:rsid w:val="00CE1C97"/>
    <w:rsid w:val="00CE3760"/>
    <w:rsid w:val="00CE5636"/>
    <w:rsid w:val="00CE74C9"/>
    <w:rsid w:val="00CF051D"/>
    <w:rsid w:val="00CF2320"/>
    <w:rsid w:val="00CF56CB"/>
    <w:rsid w:val="00CF7B49"/>
    <w:rsid w:val="00D073C2"/>
    <w:rsid w:val="00D119D4"/>
    <w:rsid w:val="00D32739"/>
    <w:rsid w:val="00D337B2"/>
    <w:rsid w:val="00D3397B"/>
    <w:rsid w:val="00D35B7B"/>
    <w:rsid w:val="00D36B1F"/>
    <w:rsid w:val="00D5365E"/>
    <w:rsid w:val="00D53ABE"/>
    <w:rsid w:val="00D63565"/>
    <w:rsid w:val="00D65E43"/>
    <w:rsid w:val="00D67D46"/>
    <w:rsid w:val="00D71BD8"/>
    <w:rsid w:val="00D770A8"/>
    <w:rsid w:val="00D85265"/>
    <w:rsid w:val="00D901EF"/>
    <w:rsid w:val="00D902A0"/>
    <w:rsid w:val="00D93530"/>
    <w:rsid w:val="00D93E55"/>
    <w:rsid w:val="00D96DC6"/>
    <w:rsid w:val="00DA32E8"/>
    <w:rsid w:val="00DA4E4D"/>
    <w:rsid w:val="00DA5E4C"/>
    <w:rsid w:val="00DB31BB"/>
    <w:rsid w:val="00DB44B3"/>
    <w:rsid w:val="00DB5679"/>
    <w:rsid w:val="00DB72B8"/>
    <w:rsid w:val="00DC03E3"/>
    <w:rsid w:val="00DC1B56"/>
    <w:rsid w:val="00DC3434"/>
    <w:rsid w:val="00DC731D"/>
    <w:rsid w:val="00DD0172"/>
    <w:rsid w:val="00DD49A7"/>
    <w:rsid w:val="00DD79B1"/>
    <w:rsid w:val="00DE1461"/>
    <w:rsid w:val="00E003E0"/>
    <w:rsid w:val="00E01EF3"/>
    <w:rsid w:val="00E037F5"/>
    <w:rsid w:val="00E059C2"/>
    <w:rsid w:val="00E1590B"/>
    <w:rsid w:val="00E15C34"/>
    <w:rsid w:val="00E21122"/>
    <w:rsid w:val="00E22575"/>
    <w:rsid w:val="00E24964"/>
    <w:rsid w:val="00E3297C"/>
    <w:rsid w:val="00E329EC"/>
    <w:rsid w:val="00E33DAE"/>
    <w:rsid w:val="00E3483A"/>
    <w:rsid w:val="00E36156"/>
    <w:rsid w:val="00E41A56"/>
    <w:rsid w:val="00E5036C"/>
    <w:rsid w:val="00E5337C"/>
    <w:rsid w:val="00E558C4"/>
    <w:rsid w:val="00E562FF"/>
    <w:rsid w:val="00E633E5"/>
    <w:rsid w:val="00E70354"/>
    <w:rsid w:val="00E715B0"/>
    <w:rsid w:val="00E72EC6"/>
    <w:rsid w:val="00E73586"/>
    <w:rsid w:val="00E744B8"/>
    <w:rsid w:val="00E758C1"/>
    <w:rsid w:val="00E75CB6"/>
    <w:rsid w:val="00E827FE"/>
    <w:rsid w:val="00E84CF0"/>
    <w:rsid w:val="00E85523"/>
    <w:rsid w:val="00E870DF"/>
    <w:rsid w:val="00E875EA"/>
    <w:rsid w:val="00E900A8"/>
    <w:rsid w:val="00E9163E"/>
    <w:rsid w:val="00EA1A6D"/>
    <w:rsid w:val="00EA37C3"/>
    <w:rsid w:val="00EA7187"/>
    <w:rsid w:val="00EB705E"/>
    <w:rsid w:val="00EC4F9C"/>
    <w:rsid w:val="00EC6A45"/>
    <w:rsid w:val="00ED5023"/>
    <w:rsid w:val="00ED7242"/>
    <w:rsid w:val="00F06DFA"/>
    <w:rsid w:val="00F06EAF"/>
    <w:rsid w:val="00F07206"/>
    <w:rsid w:val="00F11024"/>
    <w:rsid w:val="00F12F23"/>
    <w:rsid w:val="00F225E2"/>
    <w:rsid w:val="00F27BA8"/>
    <w:rsid w:val="00F33BAD"/>
    <w:rsid w:val="00F40958"/>
    <w:rsid w:val="00F45DD4"/>
    <w:rsid w:val="00F4752B"/>
    <w:rsid w:val="00F47859"/>
    <w:rsid w:val="00F60F2F"/>
    <w:rsid w:val="00F67DAC"/>
    <w:rsid w:val="00F717B3"/>
    <w:rsid w:val="00F7267D"/>
    <w:rsid w:val="00F74212"/>
    <w:rsid w:val="00F76568"/>
    <w:rsid w:val="00F7774D"/>
    <w:rsid w:val="00F810A8"/>
    <w:rsid w:val="00F8237D"/>
    <w:rsid w:val="00F83ABB"/>
    <w:rsid w:val="00F83BF2"/>
    <w:rsid w:val="00F91EDE"/>
    <w:rsid w:val="00F9459D"/>
    <w:rsid w:val="00F94BBF"/>
    <w:rsid w:val="00FA43F7"/>
    <w:rsid w:val="00FB0759"/>
    <w:rsid w:val="00FB0953"/>
    <w:rsid w:val="00FB2147"/>
    <w:rsid w:val="00FC4668"/>
    <w:rsid w:val="00FC5186"/>
    <w:rsid w:val="00FC533B"/>
    <w:rsid w:val="00FD1C47"/>
    <w:rsid w:val="00FE5681"/>
    <w:rsid w:val="00FF3108"/>
    <w:rsid w:val="00FF6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357"/>
    <w:rPr>
      <w:rFonts w:eastAsiaTheme="minorEastAsia"/>
    </w:rPr>
  </w:style>
  <w:style w:type="paragraph" w:styleId="Heading1">
    <w:name w:val="heading 1"/>
    <w:basedOn w:val="Normal"/>
    <w:next w:val="Normal"/>
    <w:link w:val="Heading1Char"/>
    <w:qFormat/>
    <w:rsid w:val="00C00D87"/>
    <w:pPr>
      <w:keepNext/>
      <w:tabs>
        <w:tab w:val="num" w:pos="360"/>
      </w:tabs>
      <w:spacing w:before="240" w:after="60" w:line="240" w:lineRule="auto"/>
      <w:outlineLvl w:val="0"/>
    </w:pPr>
    <w:rPr>
      <w:rFonts w:ascii="Arial" w:eastAsia="Times New Roman" w:hAnsi="Arial" w:cs="Times New Roman"/>
      <w:b/>
      <w:kern w:val="28"/>
      <w:sz w:val="28"/>
      <w:szCs w:val="24"/>
    </w:rPr>
  </w:style>
  <w:style w:type="paragraph" w:styleId="Heading2">
    <w:name w:val="heading 2"/>
    <w:basedOn w:val="Normal"/>
    <w:next w:val="Normal"/>
    <w:link w:val="Heading2Char"/>
    <w:qFormat/>
    <w:rsid w:val="00C00D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00D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00D8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C00D87"/>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C00D87"/>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C00D87"/>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C00D87"/>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C00D87"/>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link w:val="ChapterChar"/>
    <w:rsid w:val="00097357"/>
    <w:pPr>
      <w:keepNext/>
      <w:numPr>
        <w:numId w:val="1"/>
      </w:numPr>
      <w:tabs>
        <w:tab w:val="left" w:pos="1440"/>
      </w:tabs>
      <w:spacing w:before="240" w:after="240" w:line="240" w:lineRule="auto"/>
      <w:jc w:val="center"/>
    </w:pPr>
    <w:rPr>
      <w:rFonts w:ascii="Times New Roman" w:hAnsi="Times New Roman" w:cs="Times New Roman"/>
      <w:b/>
      <w:smallCaps/>
      <w:sz w:val="24"/>
    </w:rPr>
  </w:style>
  <w:style w:type="paragraph" w:customStyle="1" w:styleId="Paragraph">
    <w:name w:val="Paragraph"/>
    <w:aliases w:val="paragraph,p,PARAGRAPH,PG,pa,at"/>
    <w:basedOn w:val="BodyTextIndent"/>
    <w:link w:val="ParagraphChar"/>
    <w:qFormat/>
    <w:rsid w:val="00097357"/>
    <w:pPr>
      <w:numPr>
        <w:ilvl w:val="1"/>
        <w:numId w:val="1"/>
      </w:numPr>
      <w:spacing w:before="120" w:line="240" w:lineRule="auto"/>
      <w:jc w:val="both"/>
      <w:outlineLvl w:val="1"/>
    </w:pPr>
    <w:rPr>
      <w:rFonts w:ascii="Times New Roman" w:hAnsi="Times New Roman" w:cs="Times New Roman"/>
      <w:sz w:val="24"/>
    </w:rPr>
  </w:style>
  <w:style w:type="paragraph" w:customStyle="1" w:styleId="subpar">
    <w:name w:val="subpar"/>
    <w:basedOn w:val="BodyTextIndent3"/>
    <w:link w:val="subparChar"/>
    <w:rsid w:val="00097357"/>
    <w:pPr>
      <w:numPr>
        <w:ilvl w:val="2"/>
        <w:numId w:val="1"/>
      </w:numPr>
      <w:spacing w:before="120" w:line="240" w:lineRule="auto"/>
      <w:jc w:val="both"/>
      <w:outlineLvl w:val="2"/>
    </w:pPr>
    <w:rPr>
      <w:rFonts w:ascii="Times New Roman" w:hAnsi="Times New Roman" w:cs="Times New Roman"/>
      <w:sz w:val="24"/>
    </w:rPr>
  </w:style>
  <w:style w:type="paragraph" w:customStyle="1" w:styleId="SubSubPar">
    <w:name w:val="SubSubPar"/>
    <w:basedOn w:val="subpar"/>
    <w:link w:val="SubSubParChar"/>
    <w:rsid w:val="00097357"/>
    <w:pPr>
      <w:numPr>
        <w:ilvl w:val="3"/>
      </w:numPr>
      <w:tabs>
        <w:tab w:val="left" w:pos="0"/>
      </w:tabs>
    </w:pPr>
  </w:style>
  <w:style w:type="character" w:customStyle="1" w:styleId="SubSubParChar">
    <w:name w:val="SubSubPar Char"/>
    <w:basedOn w:val="DefaultParagraphFont"/>
    <w:link w:val="SubSubPar"/>
    <w:rsid w:val="00097357"/>
    <w:rPr>
      <w:rFonts w:ascii="Times New Roman" w:eastAsiaTheme="minorEastAsia" w:hAnsi="Times New Roman" w:cs="Times New Roman"/>
      <w:sz w:val="24"/>
      <w:szCs w:val="16"/>
    </w:rPr>
  </w:style>
  <w:style w:type="paragraph" w:customStyle="1" w:styleId="Newpage">
    <w:name w:val="Newpage"/>
    <w:basedOn w:val="Chapter"/>
    <w:rsid w:val="00097357"/>
    <w:pPr>
      <w:numPr>
        <w:numId w:val="0"/>
      </w:numPr>
      <w:tabs>
        <w:tab w:val="clear" w:pos="1440"/>
        <w:tab w:val="left" w:pos="3060"/>
      </w:tabs>
      <w:spacing w:after="0"/>
    </w:pPr>
    <w:rPr>
      <w:rFonts w:eastAsia="Times New Roman"/>
      <w:szCs w:val="20"/>
      <w:lang w:val="es-ES"/>
    </w:rPr>
  </w:style>
  <w:style w:type="paragraph" w:styleId="BodyTextIndent">
    <w:name w:val="Body Text Indent"/>
    <w:basedOn w:val="Normal"/>
    <w:link w:val="BodyTextIndentChar"/>
    <w:unhideWhenUsed/>
    <w:rsid w:val="00097357"/>
    <w:pPr>
      <w:spacing w:after="120"/>
      <w:ind w:left="360"/>
    </w:pPr>
  </w:style>
  <w:style w:type="character" w:customStyle="1" w:styleId="BodyTextIndentChar">
    <w:name w:val="Body Text Indent Char"/>
    <w:basedOn w:val="DefaultParagraphFont"/>
    <w:link w:val="BodyTextIndent"/>
    <w:rsid w:val="00097357"/>
    <w:rPr>
      <w:rFonts w:eastAsiaTheme="minorEastAsia"/>
    </w:rPr>
  </w:style>
  <w:style w:type="paragraph" w:styleId="BodyTextIndent3">
    <w:name w:val="Body Text Indent 3"/>
    <w:basedOn w:val="Normal"/>
    <w:link w:val="BodyTextIndent3Char"/>
    <w:unhideWhenUsed/>
    <w:rsid w:val="00097357"/>
    <w:pPr>
      <w:spacing w:after="120"/>
      <w:ind w:left="360"/>
    </w:pPr>
    <w:rPr>
      <w:sz w:val="16"/>
      <w:szCs w:val="16"/>
    </w:rPr>
  </w:style>
  <w:style w:type="character" w:customStyle="1" w:styleId="BodyTextIndent3Char">
    <w:name w:val="Body Text Indent 3 Char"/>
    <w:basedOn w:val="DefaultParagraphFont"/>
    <w:link w:val="BodyTextIndent3"/>
    <w:rsid w:val="00097357"/>
    <w:rPr>
      <w:rFonts w:eastAsiaTheme="minorEastAsia"/>
      <w:sz w:val="16"/>
      <w:szCs w:val="16"/>
    </w:rPr>
  </w:style>
  <w:style w:type="paragraph" w:styleId="TOC1">
    <w:name w:val="toc 1"/>
    <w:basedOn w:val="Normal"/>
    <w:next w:val="Normal"/>
    <w:autoRedefine/>
    <w:uiPriority w:val="39"/>
    <w:rsid w:val="0056559E"/>
    <w:pPr>
      <w:tabs>
        <w:tab w:val="right" w:leader="dot" w:pos="8741"/>
      </w:tabs>
      <w:spacing w:before="240" w:after="240" w:line="240" w:lineRule="auto"/>
      <w:ind w:left="547" w:hanging="547"/>
    </w:pPr>
    <w:rPr>
      <w:rFonts w:ascii="Times New Roman" w:hAnsi="Times New Roman" w:cs="Times New Roman"/>
      <w:smallCaps/>
      <w:sz w:val="24"/>
    </w:rPr>
  </w:style>
  <w:style w:type="character" w:customStyle="1" w:styleId="Heading1Char">
    <w:name w:val="Heading 1 Char"/>
    <w:basedOn w:val="DefaultParagraphFont"/>
    <w:link w:val="Heading1"/>
    <w:rsid w:val="00C00D87"/>
    <w:rPr>
      <w:rFonts w:ascii="Arial" w:eastAsia="Times New Roman" w:hAnsi="Arial" w:cs="Times New Roman"/>
      <w:b/>
      <w:kern w:val="28"/>
      <w:sz w:val="28"/>
      <w:szCs w:val="24"/>
    </w:rPr>
  </w:style>
  <w:style w:type="character" w:customStyle="1" w:styleId="Heading2Char">
    <w:name w:val="Heading 2 Char"/>
    <w:basedOn w:val="DefaultParagraphFont"/>
    <w:link w:val="Heading2"/>
    <w:rsid w:val="00C00D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00D8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C00D8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C00D8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C00D8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C00D8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C00D8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C00D87"/>
    <w:rPr>
      <w:rFonts w:asciiTheme="majorHAnsi" w:eastAsiaTheme="majorEastAsia" w:hAnsiTheme="majorHAnsi" w:cstheme="majorBidi"/>
      <w:i/>
      <w:iCs/>
      <w:color w:val="404040" w:themeColor="text1" w:themeTint="BF"/>
      <w:sz w:val="20"/>
      <w:szCs w:val="20"/>
    </w:rPr>
  </w:style>
  <w:style w:type="character" w:customStyle="1" w:styleId="longtext">
    <w:name w:val="long_text"/>
    <w:basedOn w:val="DefaultParagraphFont"/>
    <w:rsid w:val="00C00D87"/>
  </w:style>
  <w:style w:type="paragraph" w:styleId="ListParagraph">
    <w:name w:val="List Paragraph"/>
    <w:basedOn w:val="Normal"/>
    <w:uiPriority w:val="34"/>
    <w:qFormat/>
    <w:rsid w:val="00C00D87"/>
    <w:pPr>
      <w:ind w:left="720"/>
      <w:contextualSpacing/>
    </w:pPr>
  </w:style>
  <w:style w:type="character" w:styleId="Hyperlink">
    <w:name w:val="Hyperlink"/>
    <w:basedOn w:val="DefaultParagraphFont"/>
    <w:uiPriority w:val="99"/>
    <w:unhideWhenUsed/>
    <w:rsid w:val="00C00D87"/>
    <w:rPr>
      <w:color w:val="0000FF" w:themeColor="hyperlink"/>
      <w:u w:val="single"/>
    </w:rPr>
  </w:style>
  <w:style w:type="character" w:customStyle="1" w:styleId="ChapterChar">
    <w:name w:val="Chapter Char"/>
    <w:basedOn w:val="DefaultParagraphFont"/>
    <w:link w:val="Chapter"/>
    <w:rsid w:val="00C00D87"/>
    <w:rPr>
      <w:rFonts w:ascii="Times New Roman" w:eastAsiaTheme="minorEastAsia" w:hAnsi="Times New Roman" w:cs="Times New Roman"/>
      <w:b/>
      <w:smallCaps/>
      <w:sz w:val="24"/>
    </w:rPr>
  </w:style>
  <w:style w:type="paragraph" w:customStyle="1" w:styleId="FirstHeading">
    <w:name w:val="FirstHeading"/>
    <w:basedOn w:val="Normal"/>
    <w:next w:val="Normal"/>
    <w:link w:val="FirstHeadingChar"/>
    <w:rsid w:val="00C00D87"/>
    <w:pPr>
      <w:keepNext/>
      <w:numPr>
        <w:numId w:val="2"/>
      </w:numPr>
      <w:tabs>
        <w:tab w:val="left" w:pos="0"/>
        <w:tab w:val="left" w:pos="86"/>
      </w:tabs>
      <w:spacing w:before="120" w:after="120" w:line="240" w:lineRule="auto"/>
    </w:pPr>
    <w:rPr>
      <w:rFonts w:ascii="Times New Roman" w:hAnsi="Times New Roman" w:cs="Times New Roman"/>
      <w:b/>
      <w:sz w:val="24"/>
    </w:rPr>
  </w:style>
  <w:style w:type="character" w:customStyle="1" w:styleId="FirstHeadingChar">
    <w:name w:val="FirstHeading Char"/>
    <w:basedOn w:val="DefaultParagraphFont"/>
    <w:link w:val="FirstHeading"/>
    <w:rsid w:val="00C00D87"/>
    <w:rPr>
      <w:rFonts w:ascii="Times New Roman" w:eastAsiaTheme="minorEastAsia" w:hAnsi="Times New Roman" w:cs="Times New Roman"/>
      <w:b/>
      <w:sz w:val="24"/>
    </w:rPr>
  </w:style>
  <w:style w:type="paragraph" w:customStyle="1" w:styleId="SecHeading">
    <w:name w:val="SecHeading"/>
    <w:basedOn w:val="Normal"/>
    <w:next w:val="Paragraph"/>
    <w:link w:val="SecHeadingChar"/>
    <w:rsid w:val="00C00D87"/>
    <w:pPr>
      <w:keepNext/>
      <w:numPr>
        <w:ilvl w:val="1"/>
        <w:numId w:val="2"/>
      </w:numPr>
      <w:tabs>
        <w:tab w:val="clear" w:pos="5400"/>
        <w:tab w:val="num" w:pos="1296"/>
      </w:tabs>
      <w:spacing w:before="120" w:after="120" w:line="240" w:lineRule="auto"/>
      <w:ind w:left="1296"/>
    </w:pPr>
    <w:rPr>
      <w:rFonts w:ascii="Times New Roman" w:hAnsi="Times New Roman" w:cs="Times New Roman"/>
      <w:b/>
      <w:sz w:val="24"/>
    </w:rPr>
  </w:style>
  <w:style w:type="character" w:customStyle="1" w:styleId="SecHeadingChar">
    <w:name w:val="SecHeading Char"/>
    <w:basedOn w:val="DefaultParagraphFont"/>
    <w:link w:val="SecHeading"/>
    <w:rsid w:val="00C00D87"/>
    <w:rPr>
      <w:rFonts w:ascii="Times New Roman" w:eastAsiaTheme="minorEastAsia" w:hAnsi="Times New Roman" w:cs="Times New Roman"/>
      <w:b/>
      <w:sz w:val="24"/>
    </w:rPr>
  </w:style>
  <w:style w:type="paragraph" w:customStyle="1" w:styleId="SubHeading1">
    <w:name w:val="SubHeading1"/>
    <w:basedOn w:val="SecHeading"/>
    <w:link w:val="SubHeading1Char"/>
    <w:rsid w:val="00C00D87"/>
    <w:pPr>
      <w:numPr>
        <w:ilvl w:val="2"/>
      </w:numPr>
      <w:tabs>
        <w:tab w:val="clear" w:pos="5976"/>
        <w:tab w:val="num" w:pos="1872"/>
      </w:tabs>
      <w:ind w:left="1872"/>
    </w:pPr>
  </w:style>
  <w:style w:type="character" w:customStyle="1" w:styleId="SubHeading1Char">
    <w:name w:val="SubHeading1 Char"/>
    <w:basedOn w:val="DefaultParagraphFont"/>
    <w:link w:val="SubHeading1"/>
    <w:rsid w:val="00C00D87"/>
    <w:rPr>
      <w:rFonts w:ascii="Times New Roman" w:eastAsiaTheme="minorEastAsia" w:hAnsi="Times New Roman" w:cs="Times New Roman"/>
      <w:b/>
      <w:sz w:val="24"/>
    </w:rPr>
  </w:style>
  <w:style w:type="paragraph" w:customStyle="1" w:styleId="Subheading2">
    <w:name w:val="Subheading2"/>
    <w:basedOn w:val="SecHeading"/>
    <w:link w:val="Subheading2Char"/>
    <w:rsid w:val="00C00D87"/>
    <w:pPr>
      <w:numPr>
        <w:ilvl w:val="3"/>
      </w:numPr>
      <w:tabs>
        <w:tab w:val="clear" w:pos="6480"/>
        <w:tab w:val="num" w:pos="2376"/>
      </w:tabs>
      <w:ind w:left="2376"/>
    </w:pPr>
  </w:style>
  <w:style w:type="character" w:customStyle="1" w:styleId="Subheading2Char">
    <w:name w:val="Subheading2 Char"/>
    <w:basedOn w:val="DefaultParagraphFont"/>
    <w:link w:val="Subheading2"/>
    <w:rsid w:val="00C00D87"/>
    <w:rPr>
      <w:rFonts w:ascii="Times New Roman" w:eastAsiaTheme="minorEastAsia" w:hAnsi="Times New Roman" w:cs="Times New Roman"/>
      <w:b/>
      <w:sz w:val="24"/>
    </w:rPr>
  </w:style>
  <w:style w:type="character" w:customStyle="1" w:styleId="ParagraphChar">
    <w:name w:val="Paragraph Char"/>
    <w:basedOn w:val="DefaultParagraphFont"/>
    <w:link w:val="Paragraph"/>
    <w:rsid w:val="00C00D87"/>
    <w:rPr>
      <w:rFonts w:ascii="Times New Roman" w:eastAsiaTheme="minorEastAsia" w:hAnsi="Times New Roman" w:cs="Times New Roman"/>
      <w:sz w:val="24"/>
    </w:rPr>
  </w:style>
  <w:style w:type="character" w:customStyle="1" w:styleId="subparChar">
    <w:name w:val="subpar Char"/>
    <w:basedOn w:val="DefaultParagraphFont"/>
    <w:link w:val="subpar"/>
    <w:rsid w:val="00C00D87"/>
    <w:rPr>
      <w:rFonts w:ascii="Times New Roman" w:eastAsiaTheme="minorEastAsia" w:hAnsi="Times New Roman" w:cs="Times New Roman"/>
      <w:sz w:val="24"/>
      <w:szCs w:val="16"/>
    </w:rPr>
  </w:style>
  <w:style w:type="paragraph" w:customStyle="1" w:styleId="Regtable">
    <w:name w:val="Regtable"/>
    <w:basedOn w:val="Normal"/>
    <w:link w:val="RegtableChar"/>
    <w:rsid w:val="00C00D87"/>
    <w:pPr>
      <w:keepLines/>
      <w:framePr w:wrap="around" w:vAnchor="text" w:hAnchor="text" w:y="1"/>
      <w:spacing w:before="20" w:after="20" w:line="240" w:lineRule="auto"/>
    </w:pPr>
    <w:rPr>
      <w:rFonts w:ascii="Times New Roman" w:hAnsi="Times New Roman" w:cs="Times New Roman"/>
      <w:sz w:val="20"/>
    </w:rPr>
  </w:style>
  <w:style w:type="character" w:customStyle="1" w:styleId="RegtableChar">
    <w:name w:val="Regtable Char"/>
    <w:basedOn w:val="DefaultParagraphFont"/>
    <w:link w:val="Regtable"/>
    <w:rsid w:val="00C00D87"/>
    <w:rPr>
      <w:rFonts w:ascii="Times New Roman" w:eastAsiaTheme="minorEastAsia" w:hAnsi="Times New Roman" w:cs="Times New Roman"/>
      <w:sz w:val="20"/>
    </w:rPr>
  </w:style>
  <w:style w:type="paragraph" w:customStyle="1" w:styleId="TableTitle">
    <w:name w:val="TableTitle"/>
    <w:basedOn w:val="Normal"/>
    <w:link w:val="TableTitleChar"/>
    <w:rsid w:val="00C00D87"/>
    <w:pPr>
      <w:keepNext/>
      <w:framePr w:wrap="around" w:vAnchor="text" w:hAnchor="text" w:y="1"/>
      <w:spacing w:before="20" w:after="20" w:line="240" w:lineRule="auto"/>
      <w:jc w:val="center"/>
    </w:pPr>
    <w:rPr>
      <w:rFonts w:ascii="Times New Roman Bold" w:hAnsi="Times New Roman Bold"/>
      <w:b/>
      <w:spacing w:val="-3"/>
      <w:sz w:val="20"/>
    </w:rPr>
  </w:style>
  <w:style w:type="character" w:customStyle="1" w:styleId="TableTitleChar">
    <w:name w:val="TableTitle Char"/>
    <w:basedOn w:val="DefaultParagraphFont"/>
    <w:link w:val="TableTitle"/>
    <w:rsid w:val="00C00D87"/>
    <w:rPr>
      <w:rFonts w:ascii="Times New Roman Bold" w:eastAsiaTheme="minorEastAsia" w:hAnsi="Times New Roman Bold"/>
      <w:b/>
      <w:spacing w:val="-3"/>
      <w:sz w:val="20"/>
    </w:rPr>
  </w:style>
  <w:style w:type="paragraph" w:styleId="FootnoteText">
    <w:name w:val="footnote text"/>
    <w:aliases w:val="fn,Texto nota pie IIRSA,ft,Footnote Text Char Char Char Char Char Char,Footnote Text Char Char Char Char1,Footnote Text Char Char Char Char Char1,Footnote Text Char Char Char Char Char,Footnote Text Char Char Char,f,footno,single space"/>
    <w:basedOn w:val="Normal"/>
    <w:link w:val="FootnoteTextChar"/>
    <w:uiPriority w:val="99"/>
    <w:qFormat/>
    <w:rsid w:val="00C00D87"/>
    <w:pPr>
      <w:keepNext/>
      <w:keepLines/>
      <w:spacing w:after="120" w:line="240" w:lineRule="auto"/>
      <w:ind w:left="288" w:hanging="288"/>
      <w:jc w:val="both"/>
    </w:pPr>
    <w:rPr>
      <w:rFonts w:ascii="Times New Roman" w:hAnsi="Times New Roman" w:cs="Times New Roman"/>
      <w:spacing w:val="-3"/>
      <w:sz w:val="20"/>
      <w:szCs w:val="20"/>
    </w:rPr>
  </w:style>
  <w:style w:type="character" w:customStyle="1" w:styleId="FootnoteTextChar">
    <w:name w:val="Footnote Text Char"/>
    <w:aliases w:val="fn Char,Texto nota pie IIRSA Char,ft Char,Footnote Text Char Char Char Char Char Char Char,Footnote Text Char Char Char Char1 Char,Footnote Text Char Char Char Char Char1 Char,Footnote Text Char Char Char Char Char Char1,f Char"/>
    <w:basedOn w:val="DefaultParagraphFont"/>
    <w:link w:val="FootnoteText"/>
    <w:uiPriority w:val="99"/>
    <w:rsid w:val="00C00D87"/>
    <w:rPr>
      <w:rFonts w:ascii="Times New Roman" w:eastAsiaTheme="minorEastAsia" w:hAnsi="Times New Roman" w:cs="Times New Roman"/>
      <w:spacing w:val="-3"/>
      <w:sz w:val="20"/>
      <w:szCs w:val="20"/>
    </w:rPr>
  </w:style>
  <w:style w:type="paragraph" w:styleId="TOC2">
    <w:name w:val="toc 2"/>
    <w:basedOn w:val="Normal"/>
    <w:next w:val="Normal"/>
    <w:autoRedefine/>
    <w:uiPriority w:val="39"/>
    <w:rsid w:val="00C00D87"/>
    <w:pPr>
      <w:tabs>
        <w:tab w:val="left" w:pos="1152"/>
        <w:tab w:val="right" w:leader="dot" w:pos="8741"/>
      </w:tabs>
      <w:spacing w:after="0" w:line="240" w:lineRule="auto"/>
      <w:ind w:left="1166" w:hanging="605"/>
    </w:pPr>
    <w:rPr>
      <w:rFonts w:ascii="Times New Roman" w:hAnsi="Times New Roman" w:cs="Times New Roman"/>
      <w:sz w:val="24"/>
    </w:rPr>
  </w:style>
  <w:style w:type="paragraph" w:styleId="TOC3">
    <w:name w:val="toc 3"/>
    <w:basedOn w:val="Normal"/>
    <w:next w:val="Normal"/>
    <w:autoRedefine/>
    <w:rsid w:val="00C00D87"/>
    <w:pPr>
      <w:tabs>
        <w:tab w:val="left" w:pos="1728"/>
        <w:tab w:val="right" w:leader="dot" w:pos="8741"/>
      </w:tabs>
      <w:spacing w:after="0" w:line="240" w:lineRule="auto"/>
      <w:ind w:left="1714" w:hanging="562"/>
    </w:pPr>
    <w:rPr>
      <w:rFonts w:ascii="Times New Roman" w:hAnsi="Times New Roman" w:cs="Times New Roman"/>
      <w:sz w:val="24"/>
    </w:rPr>
  </w:style>
  <w:style w:type="paragraph" w:styleId="Header">
    <w:name w:val="header"/>
    <w:basedOn w:val="Normal"/>
    <w:link w:val="HeaderChar"/>
    <w:uiPriority w:val="99"/>
    <w:rsid w:val="00C00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D87"/>
    <w:rPr>
      <w:rFonts w:eastAsiaTheme="minorEastAsia"/>
    </w:rPr>
  </w:style>
  <w:style w:type="paragraph" w:styleId="Footer">
    <w:name w:val="footer"/>
    <w:basedOn w:val="Normal"/>
    <w:link w:val="FooterChar"/>
    <w:uiPriority w:val="99"/>
    <w:rsid w:val="00C00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D87"/>
    <w:rPr>
      <w:rFonts w:eastAsiaTheme="minorEastAsia"/>
    </w:rPr>
  </w:style>
  <w:style w:type="paragraph" w:customStyle="1" w:styleId="Default">
    <w:name w:val="Default"/>
    <w:rsid w:val="00C00D87"/>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FootnoteReference">
    <w:name w:val="footnote reference"/>
    <w:aliases w:val="ftref,titulo 2,FC,referencia nota al pie,Fußnotenzeichen DISS,Footnote Reference Number,Footnote Reference_LVL6,Footnote Reference_LVL61,Footnote Reference_LVL62,Footnote Reference_LVL63,Footnote Reference_LVL64,16 Point"/>
    <w:basedOn w:val="DefaultParagraphFont"/>
    <w:uiPriority w:val="99"/>
    <w:rsid w:val="00C00D87"/>
    <w:rPr>
      <w:vertAlign w:val="superscript"/>
    </w:rPr>
  </w:style>
  <w:style w:type="table" w:styleId="TableGrid">
    <w:name w:val="Table Grid"/>
    <w:basedOn w:val="TableNormal"/>
    <w:uiPriority w:val="59"/>
    <w:rsid w:val="00C00D87"/>
    <w:pPr>
      <w:spacing w:after="0" w:line="240" w:lineRule="auto"/>
    </w:pPr>
    <w:rPr>
      <w:rFonts w:eastAsiaTheme="minorEastAsia"/>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00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00D87"/>
    <w:rPr>
      <w:rFonts w:ascii="Tahoma" w:eastAsiaTheme="minorEastAsia" w:hAnsi="Tahoma" w:cs="Tahoma"/>
      <w:sz w:val="16"/>
      <w:szCs w:val="16"/>
    </w:rPr>
  </w:style>
  <w:style w:type="character" w:styleId="FollowedHyperlink">
    <w:name w:val="FollowedHyperlink"/>
    <w:basedOn w:val="DefaultParagraphFont"/>
    <w:rsid w:val="00C00D87"/>
    <w:rPr>
      <w:color w:val="800080" w:themeColor="followedHyperlink"/>
      <w:u w:val="single"/>
    </w:rPr>
  </w:style>
  <w:style w:type="table" w:styleId="TableGrid3">
    <w:name w:val="Table Grid 3"/>
    <w:basedOn w:val="TableNormal"/>
    <w:rsid w:val="00C00D8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PageNumber">
    <w:name w:val="page number"/>
    <w:basedOn w:val="DefaultParagraphFont"/>
    <w:rsid w:val="00C00D87"/>
  </w:style>
  <w:style w:type="character" w:styleId="CommentReference">
    <w:name w:val="annotation reference"/>
    <w:basedOn w:val="DefaultParagraphFont"/>
    <w:uiPriority w:val="99"/>
    <w:semiHidden/>
    <w:unhideWhenUsed/>
    <w:rsid w:val="00304CCF"/>
    <w:rPr>
      <w:sz w:val="16"/>
      <w:szCs w:val="16"/>
    </w:rPr>
  </w:style>
  <w:style w:type="paragraph" w:styleId="CommentText">
    <w:name w:val="annotation text"/>
    <w:basedOn w:val="Normal"/>
    <w:link w:val="CommentTextChar"/>
    <w:uiPriority w:val="99"/>
    <w:semiHidden/>
    <w:unhideWhenUsed/>
    <w:rsid w:val="00304CCF"/>
    <w:pPr>
      <w:spacing w:after="0" w:line="240" w:lineRule="auto"/>
      <w:jc w:val="both"/>
    </w:pPr>
    <w:rPr>
      <w:rFonts w:eastAsiaTheme="minorHAnsi"/>
      <w:sz w:val="20"/>
      <w:szCs w:val="20"/>
    </w:rPr>
  </w:style>
  <w:style w:type="character" w:customStyle="1" w:styleId="CommentTextChar">
    <w:name w:val="Comment Text Char"/>
    <w:basedOn w:val="DefaultParagraphFont"/>
    <w:link w:val="CommentText"/>
    <w:uiPriority w:val="99"/>
    <w:semiHidden/>
    <w:rsid w:val="00304CCF"/>
    <w:rPr>
      <w:sz w:val="20"/>
      <w:szCs w:val="20"/>
    </w:rPr>
  </w:style>
  <w:style w:type="table" w:styleId="LightList">
    <w:name w:val="Light List"/>
    <w:basedOn w:val="TableNormal"/>
    <w:uiPriority w:val="61"/>
    <w:rsid w:val="007B02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pple-converted-space">
    <w:name w:val="apple-converted-space"/>
    <w:basedOn w:val="DefaultParagraphFont"/>
    <w:rsid w:val="00EA7187"/>
  </w:style>
  <w:style w:type="table" w:styleId="LightShading-Accent1">
    <w:name w:val="Light Shading Accent 1"/>
    <w:basedOn w:val="TableNormal"/>
    <w:uiPriority w:val="60"/>
    <w:rsid w:val="00741B5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mmentSubject">
    <w:name w:val="annotation subject"/>
    <w:basedOn w:val="CommentText"/>
    <w:next w:val="CommentText"/>
    <w:link w:val="CommentSubjectChar"/>
    <w:uiPriority w:val="99"/>
    <w:semiHidden/>
    <w:unhideWhenUsed/>
    <w:rsid w:val="002B403F"/>
    <w:pPr>
      <w:spacing w:after="200"/>
      <w:jc w:val="left"/>
    </w:pPr>
    <w:rPr>
      <w:rFonts w:eastAsiaTheme="minorEastAsia"/>
      <w:b/>
      <w:bCs/>
    </w:rPr>
  </w:style>
  <w:style w:type="character" w:customStyle="1" w:styleId="CommentSubjectChar">
    <w:name w:val="Comment Subject Char"/>
    <w:basedOn w:val="CommentTextChar"/>
    <w:link w:val="CommentSubject"/>
    <w:uiPriority w:val="99"/>
    <w:semiHidden/>
    <w:rsid w:val="002B403F"/>
    <w:rPr>
      <w:rFonts w:eastAsiaTheme="minorEastAsia"/>
      <w:b/>
      <w:bCs/>
      <w:sz w:val="20"/>
      <w:szCs w:val="20"/>
    </w:rPr>
  </w:style>
  <w:style w:type="table" w:customStyle="1" w:styleId="TableGrid1">
    <w:name w:val="Table Grid1"/>
    <w:basedOn w:val="TableNormal"/>
    <w:next w:val="TableGrid"/>
    <w:uiPriority w:val="59"/>
    <w:rsid w:val="0095354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C5A53"/>
    <w:pPr>
      <w:spacing w:after="0" w:line="240" w:lineRule="auto"/>
    </w:pPr>
    <w:rPr>
      <w:rFonts w:eastAsiaTheme="minorEastAsia"/>
    </w:rPr>
  </w:style>
  <w:style w:type="paragraph" w:customStyle="1" w:styleId="CM83">
    <w:name w:val="CM83"/>
    <w:basedOn w:val="Default"/>
    <w:next w:val="Default"/>
    <w:uiPriority w:val="99"/>
    <w:rsid w:val="00C342A7"/>
    <w:pPr>
      <w:widowControl w:val="0"/>
    </w:pPr>
    <w:rPr>
      <w:rFonts w:ascii="CJECE M+ Helvetica LT Std" w:hAnsi="CJECE M+ Helvetica LT Std" w:cstheme="minorBidi"/>
      <w:color w:val="auto"/>
      <w:lang w:val="es-ES" w:eastAsia="es-ES"/>
    </w:rPr>
  </w:style>
  <w:style w:type="paragraph" w:customStyle="1" w:styleId="CM88">
    <w:name w:val="CM88"/>
    <w:basedOn w:val="Default"/>
    <w:next w:val="Default"/>
    <w:uiPriority w:val="99"/>
    <w:rsid w:val="00C342A7"/>
    <w:pPr>
      <w:widowControl w:val="0"/>
    </w:pPr>
    <w:rPr>
      <w:rFonts w:ascii="CJECE M+ Helvetica LT Std" w:hAnsi="CJECE M+ Helvetica LT Std" w:cstheme="minorBidi"/>
      <w:color w:val="auto"/>
      <w:lang w:val="es-ES" w:eastAsia="es-ES"/>
    </w:rPr>
  </w:style>
  <w:style w:type="paragraph" w:customStyle="1" w:styleId="CM5">
    <w:name w:val="CM5"/>
    <w:basedOn w:val="Default"/>
    <w:next w:val="Default"/>
    <w:uiPriority w:val="99"/>
    <w:rsid w:val="00C342A7"/>
    <w:pPr>
      <w:widowControl w:val="0"/>
      <w:spacing w:line="280" w:lineRule="atLeast"/>
    </w:pPr>
    <w:rPr>
      <w:rFonts w:ascii="CJECE M+ Helvetica LT Std" w:hAnsi="CJECE M+ Helvetica LT Std" w:cstheme="minorBidi"/>
      <w:color w:val="auto"/>
      <w:lang w:val="es-ES" w:eastAsia="es-ES"/>
    </w:rPr>
  </w:style>
  <w:style w:type="paragraph" w:customStyle="1" w:styleId="CM86">
    <w:name w:val="CM86"/>
    <w:basedOn w:val="Default"/>
    <w:next w:val="Default"/>
    <w:uiPriority w:val="99"/>
    <w:rsid w:val="00C342A7"/>
    <w:pPr>
      <w:widowControl w:val="0"/>
    </w:pPr>
    <w:rPr>
      <w:rFonts w:ascii="CJECE M+ Helvetica LT Std" w:hAnsi="CJECE M+ Helvetica LT Std" w:cstheme="minorBidi"/>
      <w:color w:val="auto"/>
      <w:lang w:val="es-ES" w:eastAsia="es-ES"/>
    </w:rPr>
  </w:style>
  <w:style w:type="paragraph" w:customStyle="1" w:styleId="CM89">
    <w:name w:val="CM89"/>
    <w:basedOn w:val="Default"/>
    <w:next w:val="Default"/>
    <w:uiPriority w:val="99"/>
    <w:rsid w:val="00C342A7"/>
    <w:pPr>
      <w:widowControl w:val="0"/>
    </w:pPr>
    <w:rPr>
      <w:rFonts w:ascii="CJECE M+ Helvetica LT Std" w:hAnsi="CJECE M+ Helvetica LT Std" w:cstheme="minorBidi"/>
      <w:color w:val="auto"/>
      <w:lang w:val="es-ES" w:eastAsia="es-ES"/>
    </w:rPr>
  </w:style>
  <w:style w:type="paragraph" w:customStyle="1" w:styleId="CM99">
    <w:name w:val="CM99"/>
    <w:basedOn w:val="Default"/>
    <w:next w:val="Default"/>
    <w:uiPriority w:val="99"/>
    <w:rsid w:val="00C342A7"/>
    <w:pPr>
      <w:widowControl w:val="0"/>
    </w:pPr>
    <w:rPr>
      <w:rFonts w:ascii="CJECE M+ Helvetica LT Std" w:hAnsi="CJECE M+ Helvetica LT Std" w:cstheme="minorBidi"/>
      <w:color w:val="auto"/>
      <w:lang w:val="es-ES" w:eastAsia="es-ES"/>
    </w:rPr>
  </w:style>
  <w:style w:type="paragraph" w:styleId="EndnoteText">
    <w:name w:val="endnote text"/>
    <w:basedOn w:val="Normal"/>
    <w:link w:val="EndnoteTextChar"/>
    <w:uiPriority w:val="99"/>
    <w:semiHidden/>
    <w:unhideWhenUsed/>
    <w:rsid w:val="001151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51D3"/>
    <w:rPr>
      <w:rFonts w:eastAsiaTheme="minorEastAsia"/>
      <w:sz w:val="20"/>
      <w:szCs w:val="20"/>
    </w:rPr>
  </w:style>
  <w:style w:type="character" w:styleId="EndnoteReference">
    <w:name w:val="endnote reference"/>
    <w:basedOn w:val="DefaultParagraphFont"/>
    <w:uiPriority w:val="99"/>
    <w:semiHidden/>
    <w:unhideWhenUsed/>
    <w:rsid w:val="001151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357"/>
    <w:rPr>
      <w:rFonts w:eastAsiaTheme="minorEastAsia"/>
    </w:rPr>
  </w:style>
  <w:style w:type="paragraph" w:styleId="Heading1">
    <w:name w:val="heading 1"/>
    <w:basedOn w:val="Normal"/>
    <w:next w:val="Normal"/>
    <w:link w:val="Heading1Char"/>
    <w:qFormat/>
    <w:rsid w:val="00C00D87"/>
    <w:pPr>
      <w:keepNext/>
      <w:tabs>
        <w:tab w:val="num" w:pos="360"/>
      </w:tabs>
      <w:spacing w:before="240" w:after="60" w:line="240" w:lineRule="auto"/>
      <w:outlineLvl w:val="0"/>
    </w:pPr>
    <w:rPr>
      <w:rFonts w:ascii="Arial" w:eastAsia="Times New Roman" w:hAnsi="Arial" w:cs="Times New Roman"/>
      <w:b/>
      <w:kern w:val="28"/>
      <w:sz w:val="28"/>
      <w:szCs w:val="24"/>
    </w:rPr>
  </w:style>
  <w:style w:type="paragraph" w:styleId="Heading2">
    <w:name w:val="heading 2"/>
    <w:basedOn w:val="Normal"/>
    <w:next w:val="Normal"/>
    <w:link w:val="Heading2Char"/>
    <w:qFormat/>
    <w:rsid w:val="00C00D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00D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00D8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C00D87"/>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C00D87"/>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C00D87"/>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C00D87"/>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C00D87"/>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link w:val="ChapterChar"/>
    <w:rsid w:val="00097357"/>
    <w:pPr>
      <w:keepNext/>
      <w:numPr>
        <w:numId w:val="1"/>
      </w:numPr>
      <w:tabs>
        <w:tab w:val="left" w:pos="1440"/>
      </w:tabs>
      <w:spacing w:before="240" w:after="240" w:line="240" w:lineRule="auto"/>
      <w:jc w:val="center"/>
    </w:pPr>
    <w:rPr>
      <w:rFonts w:ascii="Times New Roman" w:hAnsi="Times New Roman" w:cs="Times New Roman"/>
      <w:b/>
      <w:smallCaps/>
      <w:sz w:val="24"/>
    </w:rPr>
  </w:style>
  <w:style w:type="paragraph" w:customStyle="1" w:styleId="Paragraph">
    <w:name w:val="Paragraph"/>
    <w:aliases w:val="paragraph,p,PARAGRAPH,PG,pa,at"/>
    <w:basedOn w:val="BodyTextIndent"/>
    <w:link w:val="ParagraphChar"/>
    <w:qFormat/>
    <w:rsid w:val="00097357"/>
    <w:pPr>
      <w:numPr>
        <w:ilvl w:val="1"/>
        <w:numId w:val="1"/>
      </w:numPr>
      <w:spacing w:before="120" w:line="240" w:lineRule="auto"/>
      <w:jc w:val="both"/>
      <w:outlineLvl w:val="1"/>
    </w:pPr>
    <w:rPr>
      <w:rFonts w:ascii="Times New Roman" w:hAnsi="Times New Roman" w:cs="Times New Roman"/>
      <w:sz w:val="24"/>
    </w:rPr>
  </w:style>
  <w:style w:type="paragraph" w:customStyle="1" w:styleId="subpar">
    <w:name w:val="subpar"/>
    <w:basedOn w:val="BodyTextIndent3"/>
    <w:link w:val="subparChar"/>
    <w:rsid w:val="00097357"/>
    <w:pPr>
      <w:numPr>
        <w:ilvl w:val="2"/>
        <w:numId w:val="1"/>
      </w:numPr>
      <w:spacing w:before="120" w:line="240" w:lineRule="auto"/>
      <w:jc w:val="both"/>
      <w:outlineLvl w:val="2"/>
    </w:pPr>
    <w:rPr>
      <w:rFonts w:ascii="Times New Roman" w:hAnsi="Times New Roman" w:cs="Times New Roman"/>
      <w:sz w:val="24"/>
    </w:rPr>
  </w:style>
  <w:style w:type="paragraph" w:customStyle="1" w:styleId="SubSubPar">
    <w:name w:val="SubSubPar"/>
    <w:basedOn w:val="subpar"/>
    <w:link w:val="SubSubParChar"/>
    <w:rsid w:val="00097357"/>
    <w:pPr>
      <w:numPr>
        <w:ilvl w:val="3"/>
      </w:numPr>
      <w:tabs>
        <w:tab w:val="left" w:pos="0"/>
      </w:tabs>
    </w:pPr>
  </w:style>
  <w:style w:type="character" w:customStyle="1" w:styleId="SubSubParChar">
    <w:name w:val="SubSubPar Char"/>
    <w:basedOn w:val="DefaultParagraphFont"/>
    <w:link w:val="SubSubPar"/>
    <w:rsid w:val="00097357"/>
    <w:rPr>
      <w:rFonts w:ascii="Times New Roman" w:eastAsiaTheme="minorEastAsia" w:hAnsi="Times New Roman" w:cs="Times New Roman"/>
      <w:sz w:val="24"/>
      <w:szCs w:val="16"/>
    </w:rPr>
  </w:style>
  <w:style w:type="paragraph" w:customStyle="1" w:styleId="Newpage">
    <w:name w:val="Newpage"/>
    <w:basedOn w:val="Chapter"/>
    <w:rsid w:val="00097357"/>
    <w:pPr>
      <w:numPr>
        <w:numId w:val="0"/>
      </w:numPr>
      <w:tabs>
        <w:tab w:val="clear" w:pos="1440"/>
        <w:tab w:val="left" w:pos="3060"/>
      </w:tabs>
      <w:spacing w:after="0"/>
    </w:pPr>
    <w:rPr>
      <w:rFonts w:eastAsia="Times New Roman"/>
      <w:szCs w:val="20"/>
      <w:lang w:val="es-ES"/>
    </w:rPr>
  </w:style>
  <w:style w:type="paragraph" w:styleId="BodyTextIndent">
    <w:name w:val="Body Text Indent"/>
    <w:basedOn w:val="Normal"/>
    <w:link w:val="BodyTextIndentChar"/>
    <w:unhideWhenUsed/>
    <w:rsid w:val="00097357"/>
    <w:pPr>
      <w:spacing w:after="120"/>
      <w:ind w:left="360"/>
    </w:pPr>
  </w:style>
  <w:style w:type="character" w:customStyle="1" w:styleId="BodyTextIndentChar">
    <w:name w:val="Body Text Indent Char"/>
    <w:basedOn w:val="DefaultParagraphFont"/>
    <w:link w:val="BodyTextIndent"/>
    <w:rsid w:val="00097357"/>
    <w:rPr>
      <w:rFonts w:eastAsiaTheme="minorEastAsia"/>
    </w:rPr>
  </w:style>
  <w:style w:type="paragraph" w:styleId="BodyTextIndent3">
    <w:name w:val="Body Text Indent 3"/>
    <w:basedOn w:val="Normal"/>
    <w:link w:val="BodyTextIndent3Char"/>
    <w:unhideWhenUsed/>
    <w:rsid w:val="00097357"/>
    <w:pPr>
      <w:spacing w:after="120"/>
      <w:ind w:left="360"/>
    </w:pPr>
    <w:rPr>
      <w:sz w:val="16"/>
      <w:szCs w:val="16"/>
    </w:rPr>
  </w:style>
  <w:style w:type="character" w:customStyle="1" w:styleId="BodyTextIndent3Char">
    <w:name w:val="Body Text Indent 3 Char"/>
    <w:basedOn w:val="DefaultParagraphFont"/>
    <w:link w:val="BodyTextIndent3"/>
    <w:rsid w:val="00097357"/>
    <w:rPr>
      <w:rFonts w:eastAsiaTheme="minorEastAsia"/>
      <w:sz w:val="16"/>
      <w:szCs w:val="16"/>
    </w:rPr>
  </w:style>
  <w:style w:type="paragraph" w:styleId="TOC1">
    <w:name w:val="toc 1"/>
    <w:basedOn w:val="Normal"/>
    <w:next w:val="Normal"/>
    <w:autoRedefine/>
    <w:uiPriority w:val="39"/>
    <w:rsid w:val="0056559E"/>
    <w:pPr>
      <w:tabs>
        <w:tab w:val="right" w:leader="dot" w:pos="8741"/>
      </w:tabs>
      <w:spacing w:before="240" w:after="240" w:line="240" w:lineRule="auto"/>
      <w:ind w:left="547" w:hanging="547"/>
    </w:pPr>
    <w:rPr>
      <w:rFonts w:ascii="Times New Roman" w:hAnsi="Times New Roman" w:cs="Times New Roman"/>
      <w:smallCaps/>
      <w:sz w:val="24"/>
    </w:rPr>
  </w:style>
  <w:style w:type="character" w:customStyle="1" w:styleId="Heading1Char">
    <w:name w:val="Heading 1 Char"/>
    <w:basedOn w:val="DefaultParagraphFont"/>
    <w:link w:val="Heading1"/>
    <w:rsid w:val="00C00D87"/>
    <w:rPr>
      <w:rFonts w:ascii="Arial" w:eastAsia="Times New Roman" w:hAnsi="Arial" w:cs="Times New Roman"/>
      <w:b/>
      <w:kern w:val="28"/>
      <w:sz w:val="28"/>
      <w:szCs w:val="24"/>
    </w:rPr>
  </w:style>
  <w:style w:type="character" w:customStyle="1" w:styleId="Heading2Char">
    <w:name w:val="Heading 2 Char"/>
    <w:basedOn w:val="DefaultParagraphFont"/>
    <w:link w:val="Heading2"/>
    <w:rsid w:val="00C00D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00D8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C00D8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C00D8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C00D8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C00D8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C00D8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C00D87"/>
    <w:rPr>
      <w:rFonts w:asciiTheme="majorHAnsi" w:eastAsiaTheme="majorEastAsia" w:hAnsiTheme="majorHAnsi" w:cstheme="majorBidi"/>
      <w:i/>
      <w:iCs/>
      <w:color w:val="404040" w:themeColor="text1" w:themeTint="BF"/>
      <w:sz w:val="20"/>
      <w:szCs w:val="20"/>
    </w:rPr>
  </w:style>
  <w:style w:type="character" w:customStyle="1" w:styleId="longtext">
    <w:name w:val="long_text"/>
    <w:basedOn w:val="DefaultParagraphFont"/>
    <w:rsid w:val="00C00D87"/>
  </w:style>
  <w:style w:type="paragraph" w:styleId="ListParagraph">
    <w:name w:val="List Paragraph"/>
    <w:basedOn w:val="Normal"/>
    <w:uiPriority w:val="34"/>
    <w:qFormat/>
    <w:rsid w:val="00C00D87"/>
    <w:pPr>
      <w:ind w:left="720"/>
      <w:contextualSpacing/>
    </w:pPr>
  </w:style>
  <w:style w:type="character" w:styleId="Hyperlink">
    <w:name w:val="Hyperlink"/>
    <w:basedOn w:val="DefaultParagraphFont"/>
    <w:uiPriority w:val="99"/>
    <w:unhideWhenUsed/>
    <w:rsid w:val="00C00D87"/>
    <w:rPr>
      <w:color w:val="0000FF" w:themeColor="hyperlink"/>
      <w:u w:val="single"/>
    </w:rPr>
  </w:style>
  <w:style w:type="character" w:customStyle="1" w:styleId="ChapterChar">
    <w:name w:val="Chapter Char"/>
    <w:basedOn w:val="DefaultParagraphFont"/>
    <w:link w:val="Chapter"/>
    <w:rsid w:val="00C00D87"/>
    <w:rPr>
      <w:rFonts w:ascii="Times New Roman" w:eastAsiaTheme="minorEastAsia" w:hAnsi="Times New Roman" w:cs="Times New Roman"/>
      <w:b/>
      <w:smallCaps/>
      <w:sz w:val="24"/>
    </w:rPr>
  </w:style>
  <w:style w:type="paragraph" w:customStyle="1" w:styleId="FirstHeading">
    <w:name w:val="FirstHeading"/>
    <w:basedOn w:val="Normal"/>
    <w:next w:val="Normal"/>
    <w:link w:val="FirstHeadingChar"/>
    <w:rsid w:val="00C00D87"/>
    <w:pPr>
      <w:keepNext/>
      <w:numPr>
        <w:numId w:val="2"/>
      </w:numPr>
      <w:tabs>
        <w:tab w:val="left" w:pos="0"/>
        <w:tab w:val="left" w:pos="86"/>
      </w:tabs>
      <w:spacing w:before="120" w:after="120" w:line="240" w:lineRule="auto"/>
    </w:pPr>
    <w:rPr>
      <w:rFonts w:ascii="Times New Roman" w:hAnsi="Times New Roman" w:cs="Times New Roman"/>
      <w:b/>
      <w:sz w:val="24"/>
    </w:rPr>
  </w:style>
  <w:style w:type="character" w:customStyle="1" w:styleId="FirstHeadingChar">
    <w:name w:val="FirstHeading Char"/>
    <w:basedOn w:val="DefaultParagraphFont"/>
    <w:link w:val="FirstHeading"/>
    <w:rsid w:val="00C00D87"/>
    <w:rPr>
      <w:rFonts w:ascii="Times New Roman" w:eastAsiaTheme="minorEastAsia" w:hAnsi="Times New Roman" w:cs="Times New Roman"/>
      <w:b/>
      <w:sz w:val="24"/>
    </w:rPr>
  </w:style>
  <w:style w:type="paragraph" w:customStyle="1" w:styleId="SecHeading">
    <w:name w:val="SecHeading"/>
    <w:basedOn w:val="Normal"/>
    <w:next w:val="Paragraph"/>
    <w:link w:val="SecHeadingChar"/>
    <w:rsid w:val="00C00D87"/>
    <w:pPr>
      <w:keepNext/>
      <w:numPr>
        <w:ilvl w:val="1"/>
        <w:numId w:val="2"/>
      </w:numPr>
      <w:tabs>
        <w:tab w:val="clear" w:pos="5400"/>
        <w:tab w:val="num" w:pos="1296"/>
      </w:tabs>
      <w:spacing w:before="120" w:after="120" w:line="240" w:lineRule="auto"/>
      <w:ind w:left="1296"/>
    </w:pPr>
    <w:rPr>
      <w:rFonts w:ascii="Times New Roman" w:hAnsi="Times New Roman" w:cs="Times New Roman"/>
      <w:b/>
      <w:sz w:val="24"/>
    </w:rPr>
  </w:style>
  <w:style w:type="character" w:customStyle="1" w:styleId="SecHeadingChar">
    <w:name w:val="SecHeading Char"/>
    <w:basedOn w:val="DefaultParagraphFont"/>
    <w:link w:val="SecHeading"/>
    <w:rsid w:val="00C00D87"/>
    <w:rPr>
      <w:rFonts w:ascii="Times New Roman" w:eastAsiaTheme="minorEastAsia" w:hAnsi="Times New Roman" w:cs="Times New Roman"/>
      <w:b/>
      <w:sz w:val="24"/>
    </w:rPr>
  </w:style>
  <w:style w:type="paragraph" w:customStyle="1" w:styleId="SubHeading1">
    <w:name w:val="SubHeading1"/>
    <w:basedOn w:val="SecHeading"/>
    <w:link w:val="SubHeading1Char"/>
    <w:rsid w:val="00C00D87"/>
    <w:pPr>
      <w:numPr>
        <w:ilvl w:val="2"/>
      </w:numPr>
      <w:tabs>
        <w:tab w:val="clear" w:pos="5976"/>
        <w:tab w:val="num" w:pos="1872"/>
      </w:tabs>
      <w:ind w:left="1872"/>
    </w:pPr>
  </w:style>
  <w:style w:type="character" w:customStyle="1" w:styleId="SubHeading1Char">
    <w:name w:val="SubHeading1 Char"/>
    <w:basedOn w:val="DefaultParagraphFont"/>
    <w:link w:val="SubHeading1"/>
    <w:rsid w:val="00C00D87"/>
    <w:rPr>
      <w:rFonts w:ascii="Times New Roman" w:eastAsiaTheme="minorEastAsia" w:hAnsi="Times New Roman" w:cs="Times New Roman"/>
      <w:b/>
      <w:sz w:val="24"/>
    </w:rPr>
  </w:style>
  <w:style w:type="paragraph" w:customStyle="1" w:styleId="Subheading2">
    <w:name w:val="Subheading2"/>
    <w:basedOn w:val="SecHeading"/>
    <w:link w:val="Subheading2Char"/>
    <w:rsid w:val="00C00D87"/>
    <w:pPr>
      <w:numPr>
        <w:ilvl w:val="3"/>
      </w:numPr>
      <w:tabs>
        <w:tab w:val="clear" w:pos="6480"/>
        <w:tab w:val="num" w:pos="2376"/>
      </w:tabs>
      <w:ind w:left="2376"/>
    </w:pPr>
  </w:style>
  <w:style w:type="character" w:customStyle="1" w:styleId="Subheading2Char">
    <w:name w:val="Subheading2 Char"/>
    <w:basedOn w:val="DefaultParagraphFont"/>
    <w:link w:val="Subheading2"/>
    <w:rsid w:val="00C00D87"/>
    <w:rPr>
      <w:rFonts w:ascii="Times New Roman" w:eastAsiaTheme="minorEastAsia" w:hAnsi="Times New Roman" w:cs="Times New Roman"/>
      <w:b/>
      <w:sz w:val="24"/>
    </w:rPr>
  </w:style>
  <w:style w:type="character" w:customStyle="1" w:styleId="ParagraphChar">
    <w:name w:val="Paragraph Char"/>
    <w:basedOn w:val="DefaultParagraphFont"/>
    <w:link w:val="Paragraph"/>
    <w:rsid w:val="00C00D87"/>
    <w:rPr>
      <w:rFonts w:ascii="Times New Roman" w:eastAsiaTheme="minorEastAsia" w:hAnsi="Times New Roman" w:cs="Times New Roman"/>
      <w:sz w:val="24"/>
    </w:rPr>
  </w:style>
  <w:style w:type="character" w:customStyle="1" w:styleId="subparChar">
    <w:name w:val="subpar Char"/>
    <w:basedOn w:val="DefaultParagraphFont"/>
    <w:link w:val="subpar"/>
    <w:rsid w:val="00C00D87"/>
    <w:rPr>
      <w:rFonts w:ascii="Times New Roman" w:eastAsiaTheme="minorEastAsia" w:hAnsi="Times New Roman" w:cs="Times New Roman"/>
      <w:sz w:val="24"/>
      <w:szCs w:val="16"/>
    </w:rPr>
  </w:style>
  <w:style w:type="paragraph" w:customStyle="1" w:styleId="Regtable">
    <w:name w:val="Regtable"/>
    <w:basedOn w:val="Normal"/>
    <w:link w:val="RegtableChar"/>
    <w:rsid w:val="00C00D87"/>
    <w:pPr>
      <w:keepLines/>
      <w:framePr w:wrap="around" w:vAnchor="text" w:hAnchor="text" w:y="1"/>
      <w:spacing w:before="20" w:after="20" w:line="240" w:lineRule="auto"/>
    </w:pPr>
    <w:rPr>
      <w:rFonts w:ascii="Times New Roman" w:hAnsi="Times New Roman" w:cs="Times New Roman"/>
      <w:sz w:val="20"/>
    </w:rPr>
  </w:style>
  <w:style w:type="character" w:customStyle="1" w:styleId="RegtableChar">
    <w:name w:val="Regtable Char"/>
    <w:basedOn w:val="DefaultParagraphFont"/>
    <w:link w:val="Regtable"/>
    <w:rsid w:val="00C00D87"/>
    <w:rPr>
      <w:rFonts w:ascii="Times New Roman" w:eastAsiaTheme="minorEastAsia" w:hAnsi="Times New Roman" w:cs="Times New Roman"/>
      <w:sz w:val="20"/>
    </w:rPr>
  </w:style>
  <w:style w:type="paragraph" w:customStyle="1" w:styleId="TableTitle">
    <w:name w:val="TableTitle"/>
    <w:basedOn w:val="Normal"/>
    <w:link w:val="TableTitleChar"/>
    <w:rsid w:val="00C00D87"/>
    <w:pPr>
      <w:keepNext/>
      <w:framePr w:wrap="around" w:vAnchor="text" w:hAnchor="text" w:y="1"/>
      <w:spacing w:before="20" w:after="20" w:line="240" w:lineRule="auto"/>
      <w:jc w:val="center"/>
    </w:pPr>
    <w:rPr>
      <w:rFonts w:ascii="Times New Roman Bold" w:hAnsi="Times New Roman Bold"/>
      <w:b/>
      <w:spacing w:val="-3"/>
      <w:sz w:val="20"/>
    </w:rPr>
  </w:style>
  <w:style w:type="character" w:customStyle="1" w:styleId="TableTitleChar">
    <w:name w:val="TableTitle Char"/>
    <w:basedOn w:val="DefaultParagraphFont"/>
    <w:link w:val="TableTitle"/>
    <w:rsid w:val="00C00D87"/>
    <w:rPr>
      <w:rFonts w:ascii="Times New Roman Bold" w:eastAsiaTheme="minorEastAsia" w:hAnsi="Times New Roman Bold"/>
      <w:b/>
      <w:spacing w:val="-3"/>
      <w:sz w:val="20"/>
    </w:rPr>
  </w:style>
  <w:style w:type="paragraph" w:styleId="FootnoteText">
    <w:name w:val="footnote text"/>
    <w:aliases w:val="fn,Texto nota pie IIRSA,ft,Footnote Text Char Char Char Char Char Char,Footnote Text Char Char Char Char1,Footnote Text Char Char Char Char Char1,Footnote Text Char Char Char Char Char,Footnote Text Char Char Char,f,footno,single space"/>
    <w:basedOn w:val="Normal"/>
    <w:link w:val="FootnoteTextChar"/>
    <w:uiPriority w:val="99"/>
    <w:qFormat/>
    <w:rsid w:val="00C00D87"/>
    <w:pPr>
      <w:keepNext/>
      <w:keepLines/>
      <w:spacing w:after="120" w:line="240" w:lineRule="auto"/>
      <w:ind w:left="288" w:hanging="288"/>
      <w:jc w:val="both"/>
    </w:pPr>
    <w:rPr>
      <w:rFonts w:ascii="Times New Roman" w:hAnsi="Times New Roman" w:cs="Times New Roman"/>
      <w:spacing w:val="-3"/>
      <w:sz w:val="20"/>
      <w:szCs w:val="20"/>
    </w:rPr>
  </w:style>
  <w:style w:type="character" w:customStyle="1" w:styleId="FootnoteTextChar">
    <w:name w:val="Footnote Text Char"/>
    <w:aliases w:val="fn Char,Texto nota pie IIRSA Char,ft Char,Footnote Text Char Char Char Char Char Char Char,Footnote Text Char Char Char Char1 Char,Footnote Text Char Char Char Char Char1 Char,Footnote Text Char Char Char Char Char Char1,f Char"/>
    <w:basedOn w:val="DefaultParagraphFont"/>
    <w:link w:val="FootnoteText"/>
    <w:uiPriority w:val="99"/>
    <w:rsid w:val="00C00D87"/>
    <w:rPr>
      <w:rFonts w:ascii="Times New Roman" w:eastAsiaTheme="minorEastAsia" w:hAnsi="Times New Roman" w:cs="Times New Roman"/>
      <w:spacing w:val="-3"/>
      <w:sz w:val="20"/>
      <w:szCs w:val="20"/>
    </w:rPr>
  </w:style>
  <w:style w:type="paragraph" w:styleId="TOC2">
    <w:name w:val="toc 2"/>
    <w:basedOn w:val="Normal"/>
    <w:next w:val="Normal"/>
    <w:autoRedefine/>
    <w:uiPriority w:val="39"/>
    <w:rsid w:val="00C00D87"/>
    <w:pPr>
      <w:tabs>
        <w:tab w:val="left" w:pos="1152"/>
        <w:tab w:val="right" w:leader="dot" w:pos="8741"/>
      </w:tabs>
      <w:spacing w:after="0" w:line="240" w:lineRule="auto"/>
      <w:ind w:left="1166" w:hanging="605"/>
    </w:pPr>
    <w:rPr>
      <w:rFonts w:ascii="Times New Roman" w:hAnsi="Times New Roman" w:cs="Times New Roman"/>
      <w:sz w:val="24"/>
    </w:rPr>
  </w:style>
  <w:style w:type="paragraph" w:styleId="TOC3">
    <w:name w:val="toc 3"/>
    <w:basedOn w:val="Normal"/>
    <w:next w:val="Normal"/>
    <w:autoRedefine/>
    <w:rsid w:val="00C00D87"/>
    <w:pPr>
      <w:tabs>
        <w:tab w:val="left" w:pos="1728"/>
        <w:tab w:val="right" w:leader="dot" w:pos="8741"/>
      </w:tabs>
      <w:spacing w:after="0" w:line="240" w:lineRule="auto"/>
      <w:ind w:left="1714" w:hanging="562"/>
    </w:pPr>
    <w:rPr>
      <w:rFonts w:ascii="Times New Roman" w:hAnsi="Times New Roman" w:cs="Times New Roman"/>
      <w:sz w:val="24"/>
    </w:rPr>
  </w:style>
  <w:style w:type="paragraph" w:styleId="Header">
    <w:name w:val="header"/>
    <w:basedOn w:val="Normal"/>
    <w:link w:val="HeaderChar"/>
    <w:uiPriority w:val="99"/>
    <w:rsid w:val="00C00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D87"/>
    <w:rPr>
      <w:rFonts w:eastAsiaTheme="minorEastAsia"/>
    </w:rPr>
  </w:style>
  <w:style w:type="paragraph" w:styleId="Footer">
    <w:name w:val="footer"/>
    <w:basedOn w:val="Normal"/>
    <w:link w:val="FooterChar"/>
    <w:uiPriority w:val="99"/>
    <w:rsid w:val="00C00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D87"/>
    <w:rPr>
      <w:rFonts w:eastAsiaTheme="minorEastAsia"/>
    </w:rPr>
  </w:style>
  <w:style w:type="paragraph" w:customStyle="1" w:styleId="Default">
    <w:name w:val="Default"/>
    <w:rsid w:val="00C00D87"/>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FootnoteReference">
    <w:name w:val="footnote reference"/>
    <w:aliases w:val="ftref,titulo 2,FC,referencia nota al pie,Fußnotenzeichen DISS,Footnote Reference Number,Footnote Reference_LVL6,Footnote Reference_LVL61,Footnote Reference_LVL62,Footnote Reference_LVL63,Footnote Reference_LVL64,16 Point"/>
    <w:basedOn w:val="DefaultParagraphFont"/>
    <w:uiPriority w:val="99"/>
    <w:rsid w:val="00C00D87"/>
    <w:rPr>
      <w:vertAlign w:val="superscript"/>
    </w:rPr>
  </w:style>
  <w:style w:type="table" w:styleId="TableGrid">
    <w:name w:val="Table Grid"/>
    <w:basedOn w:val="TableNormal"/>
    <w:uiPriority w:val="59"/>
    <w:rsid w:val="00C00D87"/>
    <w:pPr>
      <w:spacing w:after="0" w:line="240" w:lineRule="auto"/>
    </w:pPr>
    <w:rPr>
      <w:rFonts w:eastAsiaTheme="minorEastAsia"/>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00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00D87"/>
    <w:rPr>
      <w:rFonts w:ascii="Tahoma" w:eastAsiaTheme="minorEastAsia" w:hAnsi="Tahoma" w:cs="Tahoma"/>
      <w:sz w:val="16"/>
      <w:szCs w:val="16"/>
    </w:rPr>
  </w:style>
  <w:style w:type="character" w:styleId="FollowedHyperlink">
    <w:name w:val="FollowedHyperlink"/>
    <w:basedOn w:val="DefaultParagraphFont"/>
    <w:rsid w:val="00C00D87"/>
    <w:rPr>
      <w:color w:val="800080" w:themeColor="followedHyperlink"/>
      <w:u w:val="single"/>
    </w:rPr>
  </w:style>
  <w:style w:type="table" w:styleId="TableGrid3">
    <w:name w:val="Table Grid 3"/>
    <w:basedOn w:val="TableNormal"/>
    <w:rsid w:val="00C00D8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PageNumber">
    <w:name w:val="page number"/>
    <w:basedOn w:val="DefaultParagraphFont"/>
    <w:rsid w:val="00C00D87"/>
  </w:style>
  <w:style w:type="character" w:styleId="CommentReference">
    <w:name w:val="annotation reference"/>
    <w:basedOn w:val="DefaultParagraphFont"/>
    <w:uiPriority w:val="99"/>
    <w:semiHidden/>
    <w:unhideWhenUsed/>
    <w:rsid w:val="00304CCF"/>
    <w:rPr>
      <w:sz w:val="16"/>
      <w:szCs w:val="16"/>
    </w:rPr>
  </w:style>
  <w:style w:type="paragraph" w:styleId="CommentText">
    <w:name w:val="annotation text"/>
    <w:basedOn w:val="Normal"/>
    <w:link w:val="CommentTextChar"/>
    <w:uiPriority w:val="99"/>
    <w:semiHidden/>
    <w:unhideWhenUsed/>
    <w:rsid w:val="00304CCF"/>
    <w:pPr>
      <w:spacing w:after="0" w:line="240" w:lineRule="auto"/>
      <w:jc w:val="both"/>
    </w:pPr>
    <w:rPr>
      <w:rFonts w:eastAsiaTheme="minorHAnsi"/>
      <w:sz w:val="20"/>
      <w:szCs w:val="20"/>
    </w:rPr>
  </w:style>
  <w:style w:type="character" w:customStyle="1" w:styleId="CommentTextChar">
    <w:name w:val="Comment Text Char"/>
    <w:basedOn w:val="DefaultParagraphFont"/>
    <w:link w:val="CommentText"/>
    <w:uiPriority w:val="99"/>
    <w:semiHidden/>
    <w:rsid w:val="00304CCF"/>
    <w:rPr>
      <w:sz w:val="20"/>
      <w:szCs w:val="20"/>
    </w:rPr>
  </w:style>
  <w:style w:type="table" w:styleId="LightList">
    <w:name w:val="Light List"/>
    <w:basedOn w:val="TableNormal"/>
    <w:uiPriority w:val="61"/>
    <w:rsid w:val="007B02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pple-converted-space">
    <w:name w:val="apple-converted-space"/>
    <w:basedOn w:val="DefaultParagraphFont"/>
    <w:rsid w:val="00EA7187"/>
  </w:style>
  <w:style w:type="table" w:styleId="LightShading-Accent1">
    <w:name w:val="Light Shading Accent 1"/>
    <w:basedOn w:val="TableNormal"/>
    <w:uiPriority w:val="60"/>
    <w:rsid w:val="00741B5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mmentSubject">
    <w:name w:val="annotation subject"/>
    <w:basedOn w:val="CommentText"/>
    <w:next w:val="CommentText"/>
    <w:link w:val="CommentSubjectChar"/>
    <w:uiPriority w:val="99"/>
    <w:semiHidden/>
    <w:unhideWhenUsed/>
    <w:rsid w:val="002B403F"/>
    <w:pPr>
      <w:spacing w:after="200"/>
      <w:jc w:val="left"/>
    </w:pPr>
    <w:rPr>
      <w:rFonts w:eastAsiaTheme="minorEastAsia"/>
      <w:b/>
      <w:bCs/>
    </w:rPr>
  </w:style>
  <w:style w:type="character" w:customStyle="1" w:styleId="CommentSubjectChar">
    <w:name w:val="Comment Subject Char"/>
    <w:basedOn w:val="CommentTextChar"/>
    <w:link w:val="CommentSubject"/>
    <w:uiPriority w:val="99"/>
    <w:semiHidden/>
    <w:rsid w:val="002B403F"/>
    <w:rPr>
      <w:rFonts w:eastAsiaTheme="minorEastAsia"/>
      <w:b/>
      <w:bCs/>
      <w:sz w:val="20"/>
      <w:szCs w:val="20"/>
    </w:rPr>
  </w:style>
  <w:style w:type="table" w:customStyle="1" w:styleId="TableGrid1">
    <w:name w:val="Table Grid1"/>
    <w:basedOn w:val="TableNormal"/>
    <w:next w:val="TableGrid"/>
    <w:uiPriority w:val="59"/>
    <w:rsid w:val="0095354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C5A53"/>
    <w:pPr>
      <w:spacing w:after="0" w:line="240" w:lineRule="auto"/>
    </w:pPr>
    <w:rPr>
      <w:rFonts w:eastAsiaTheme="minorEastAsia"/>
    </w:rPr>
  </w:style>
  <w:style w:type="paragraph" w:customStyle="1" w:styleId="CM83">
    <w:name w:val="CM83"/>
    <w:basedOn w:val="Default"/>
    <w:next w:val="Default"/>
    <w:uiPriority w:val="99"/>
    <w:rsid w:val="00C342A7"/>
    <w:pPr>
      <w:widowControl w:val="0"/>
    </w:pPr>
    <w:rPr>
      <w:rFonts w:ascii="CJECE M+ Helvetica LT Std" w:hAnsi="CJECE M+ Helvetica LT Std" w:cstheme="minorBidi"/>
      <w:color w:val="auto"/>
      <w:lang w:val="es-ES" w:eastAsia="es-ES"/>
    </w:rPr>
  </w:style>
  <w:style w:type="paragraph" w:customStyle="1" w:styleId="CM88">
    <w:name w:val="CM88"/>
    <w:basedOn w:val="Default"/>
    <w:next w:val="Default"/>
    <w:uiPriority w:val="99"/>
    <w:rsid w:val="00C342A7"/>
    <w:pPr>
      <w:widowControl w:val="0"/>
    </w:pPr>
    <w:rPr>
      <w:rFonts w:ascii="CJECE M+ Helvetica LT Std" w:hAnsi="CJECE M+ Helvetica LT Std" w:cstheme="minorBidi"/>
      <w:color w:val="auto"/>
      <w:lang w:val="es-ES" w:eastAsia="es-ES"/>
    </w:rPr>
  </w:style>
  <w:style w:type="paragraph" w:customStyle="1" w:styleId="CM5">
    <w:name w:val="CM5"/>
    <w:basedOn w:val="Default"/>
    <w:next w:val="Default"/>
    <w:uiPriority w:val="99"/>
    <w:rsid w:val="00C342A7"/>
    <w:pPr>
      <w:widowControl w:val="0"/>
      <w:spacing w:line="280" w:lineRule="atLeast"/>
    </w:pPr>
    <w:rPr>
      <w:rFonts w:ascii="CJECE M+ Helvetica LT Std" w:hAnsi="CJECE M+ Helvetica LT Std" w:cstheme="minorBidi"/>
      <w:color w:val="auto"/>
      <w:lang w:val="es-ES" w:eastAsia="es-ES"/>
    </w:rPr>
  </w:style>
  <w:style w:type="paragraph" w:customStyle="1" w:styleId="CM86">
    <w:name w:val="CM86"/>
    <w:basedOn w:val="Default"/>
    <w:next w:val="Default"/>
    <w:uiPriority w:val="99"/>
    <w:rsid w:val="00C342A7"/>
    <w:pPr>
      <w:widowControl w:val="0"/>
    </w:pPr>
    <w:rPr>
      <w:rFonts w:ascii="CJECE M+ Helvetica LT Std" w:hAnsi="CJECE M+ Helvetica LT Std" w:cstheme="minorBidi"/>
      <w:color w:val="auto"/>
      <w:lang w:val="es-ES" w:eastAsia="es-ES"/>
    </w:rPr>
  </w:style>
  <w:style w:type="paragraph" w:customStyle="1" w:styleId="CM89">
    <w:name w:val="CM89"/>
    <w:basedOn w:val="Default"/>
    <w:next w:val="Default"/>
    <w:uiPriority w:val="99"/>
    <w:rsid w:val="00C342A7"/>
    <w:pPr>
      <w:widowControl w:val="0"/>
    </w:pPr>
    <w:rPr>
      <w:rFonts w:ascii="CJECE M+ Helvetica LT Std" w:hAnsi="CJECE M+ Helvetica LT Std" w:cstheme="minorBidi"/>
      <w:color w:val="auto"/>
      <w:lang w:val="es-ES" w:eastAsia="es-ES"/>
    </w:rPr>
  </w:style>
  <w:style w:type="paragraph" w:customStyle="1" w:styleId="CM99">
    <w:name w:val="CM99"/>
    <w:basedOn w:val="Default"/>
    <w:next w:val="Default"/>
    <w:uiPriority w:val="99"/>
    <w:rsid w:val="00C342A7"/>
    <w:pPr>
      <w:widowControl w:val="0"/>
    </w:pPr>
    <w:rPr>
      <w:rFonts w:ascii="CJECE M+ Helvetica LT Std" w:hAnsi="CJECE M+ Helvetica LT Std" w:cstheme="minorBidi"/>
      <w:color w:val="auto"/>
      <w:lang w:val="es-ES" w:eastAsia="es-ES"/>
    </w:rPr>
  </w:style>
  <w:style w:type="paragraph" w:styleId="EndnoteText">
    <w:name w:val="endnote text"/>
    <w:basedOn w:val="Normal"/>
    <w:link w:val="EndnoteTextChar"/>
    <w:uiPriority w:val="99"/>
    <w:semiHidden/>
    <w:unhideWhenUsed/>
    <w:rsid w:val="001151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51D3"/>
    <w:rPr>
      <w:rFonts w:eastAsiaTheme="minorEastAsia"/>
      <w:sz w:val="20"/>
      <w:szCs w:val="20"/>
    </w:rPr>
  </w:style>
  <w:style w:type="character" w:styleId="EndnoteReference">
    <w:name w:val="endnote reference"/>
    <w:basedOn w:val="DefaultParagraphFont"/>
    <w:uiPriority w:val="99"/>
    <w:semiHidden/>
    <w:unhideWhenUsed/>
    <w:rsid w:val="001151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72019">
      <w:bodyDiv w:val="1"/>
      <w:marLeft w:val="0"/>
      <w:marRight w:val="0"/>
      <w:marTop w:val="0"/>
      <w:marBottom w:val="0"/>
      <w:divBdr>
        <w:top w:val="none" w:sz="0" w:space="0" w:color="auto"/>
        <w:left w:val="none" w:sz="0" w:space="0" w:color="auto"/>
        <w:bottom w:val="none" w:sz="0" w:space="0" w:color="auto"/>
        <w:right w:val="none" w:sz="0" w:space="0" w:color="auto"/>
      </w:divBdr>
    </w:div>
    <w:div w:id="412046726">
      <w:bodyDiv w:val="1"/>
      <w:marLeft w:val="0"/>
      <w:marRight w:val="0"/>
      <w:marTop w:val="0"/>
      <w:marBottom w:val="0"/>
      <w:divBdr>
        <w:top w:val="none" w:sz="0" w:space="0" w:color="auto"/>
        <w:left w:val="none" w:sz="0" w:space="0" w:color="auto"/>
        <w:bottom w:val="none" w:sz="0" w:space="0" w:color="auto"/>
        <w:right w:val="none" w:sz="0" w:space="0" w:color="auto"/>
      </w:divBdr>
    </w:div>
    <w:div w:id="948583422">
      <w:bodyDiv w:val="1"/>
      <w:marLeft w:val="0"/>
      <w:marRight w:val="0"/>
      <w:marTop w:val="0"/>
      <w:marBottom w:val="0"/>
      <w:divBdr>
        <w:top w:val="none" w:sz="0" w:space="0" w:color="auto"/>
        <w:left w:val="none" w:sz="0" w:space="0" w:color="auto"/>
        <w:bottom w:val="none" w:sz="0" w:space="0" w:color="auto"/>
        <w:right w:val="none" w:sz="0" w:space="0" w:color="auto"/>
      </w:divBdr>
    </w:div>
    <w:div w:id="1062748534">
      <w:bodyDiv w:val="1"/>
      <w:marLeft w:val="0"/>
      <w:marRight w:val="0"/>
      <w:marTop w:val="0"/>
      <w:marBottom w:val="0"/>
      <w:divBdr>
        <w:top w:val="none" w:sz="0" w:space="0" w:color="auto"/>
        <w:left w:val="none" w:sz="0" w:space="0" w:color="auto"/>
        <w:bottom w:val="none" w:sz="0" w:space="0" w:color="auto"/>
        <w:right w:val="none" w:sz="0" w:space="0" w:color="auto"/>
      </w:divBdr>
    </w:div>
    <w:div w:id="1300384666">
      <w:bodyDiv w:val="1"/>
      <w:marLeft w:val="0"/>
      <w:marRight w:val="0"/>
      <w:marTop w:val="0"/>
      <w:marBottom w:val="0"/>
      <w:divBdr>
        <w:top w:val="none" w:sz="0" w:space="0" w:color="auto"/>
        <w:left w:val="none" w:sz="0" w:space="0" w:color="auto"/>
        <w:bottom w:val="none" w:sz="0" w:space="0" w:color="auto"/>
        <w:right w:val="none" w:sz="0" w:space="0" w:color="auto"/>
      </w:divBdr>
    </w:div>
    <w:div w:id="1613323536">
      <w:bodyDiv w:val="1"/>
      <w:marLeft w:val="0"/>
      <w:marRight w:val="0"/>
      <w:marTop w:val="0"/>
      <w:marBottom w:val="0"/>
      <w:divBdr>
        <w:top w:val="none" w:sz="0" w:space="0" w:color="auto"/>
        <w:left w:val="none" w:sz="0" w:space="0" w:color="auto"/>
        <w:bottom w:val="none" w:sz="0" w:space="0" w:color="auto"/>
        <w:right w:val="none" w:sz="0" w:space="0" w:color="auto"/>
      </w:divBdr>
    </w:div>
    <w:div w:id="1761220449">
      <w:bodyDiv w:val="1"/>
      <w:marLeft w:val="0"/>
      <w:marRight w:val="0"/>
      <w:marTop w:val="0"/>
      <w:marBottom w:val="0"/>
      <w:divBdr>
        <w:top w:val="none" w:sz="0" w:space="0" w:color="auto"/>
        <w:left w:val="none" w:sz="0" w:space="0" w:color="auto"/>
        <w:bottom w:val="none" w:sz="0" w:space="0" w:color="auto"/>
        <w:right w:val="none" w:sz="0" w:space="0" w:color="auto"/>
      </w:divBdr>
    </w:div>
    <w:div w:id="200149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image" Target="media/image1.gif"/><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http://bit.ly/lcdmex" TargetMode="External"/><Relationship Id="rId25" Type="http://schemas.openxmlformats.org/officeDocument/2006/relationships/image" Target="media/image7.jpeg"/><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2.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image" Target="media/image6.jpeg"/><Relationship Id="rId32"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idbdocs.iadb.org/wsdocs/getDocument.aspx?Docnum=38271058" TargetMode="External"/><Relationship Id="rId23" Type="http://schemas.openxmlformats.org/officeDocument/2006/relationships/image" Target="media/image5.jpeg"/><Relationship Id="rId28" Type="http://schemas.openxmlformats.org/officeDocument/2006/relationships/image" Target="media/image10.jpeg"/><Relationship Id="rId10" Type="http://schemas.openxmlformats.org/officeDocument/2006/relationships/diagramData" Target="diagrams/data1.xml"/><Relationship Id="rId19" Type="http://schemas.openxmlformats.org/officeDocument/2006/relationships/header" Target="header1.xml"/><Relationship Id="rId31"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chart" Target="charts/chart1.xml"/><Relationship Id="rId14" Type="http://schemas.microsoft.com/office/2007/relationships/diagramDrawing" Target="diagrams/drawing1.xml"/><Relationship Id="rId22" Type="http://schemas.openxmlformats.org/officeDocument/2006/relationships/image" Target="media/image4.png"/><Relationship Id="rId27" Type="http://schemas.openxmlformats.org/officeDocument/2006/relationships/image" Target="media/image9.jpeg"/><Relationship Id="rId30" Type="http://schemas.openxmlformats.org/officeDocument/2006/relationships/theme" Target="theme/theme1.xml"/><Relationship Id="rId35" Type="http://schemas.openxmlformats.org/officeDocument/2006/relationships/customXml" Target="../customXml/item6.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idbdocs.iadb.org/wsdocs/getDocument.aspx?Docnum=38271054" TargetMode="External"/><Relationship Id="rId13" Type="http://schemas.openxmlformats.org/officeDocument/2006/relationships/hyperlink" Target="http://en.wikipedia.org/wiki/Annual_effective_discount_rate" TargetMode="External"/><Relationship Id="rId18" Type="http://schemas.openxmlformats.org/officeDocument/2006/relationships/hyperlink" Target="http://geotermia.org.mx/geotermia/pdf/Mexico-2010.pdf" TargetMode="External"/><Relationship Id="rId3" Type="http://schemas.openxmlformats.org/officeDocument/2006/relationships/hyperlink" Target="http://en.wikipedia.org/wiki/Cost_of_capital" TargetMode="External"/><Relationship Id="rId21" Type="http://schemas.openxmlformats.org/officeDocument/2006/relationships/hyperlink" Target="http://idbdocs.iadb.org/wsdocs/getDocument.aspx?Docnum=38271056" TargetMode="External"/><Relationship Id="rId7" Type="http://schemas.openxmlformats.org/officeDocument/2006/relationships/hyperlink" Target="http://idbdocs.iadb.org/wsdocs/getDocument.aspx?Docnum=38271053" TargetMode="External"/><Relationship Id="rId12" Type="http://schemas.openxmlformats.org/officeDocument/2006/relationships/hyperlink" Target="http://en.wikipedia.org/wiki/Capital_(finance)" TargetMode="External"/><Relationship Id="rId17" Type="http://schemas.openxmlformats.org/officeDocument/2006/relationships/hyperlink" Target="http://idbdocs.iadb.org/wsdocs/getDocument.aspx?Docnum=38271055" TargetMode="External"/><Relationship Id="rId2" Type="http://schemas.openxmlformats.org/officeDocument/2006/relationships/hyperlink" Target="http://bit.ly/BEDBEMex" TargetMode="External"/><Relationship Id="rId16" Type="http://schemas.openxmlformats.org/officeDocument/2006/relationships/hyperlink" Target="http://en.wikipedia.org/wiki/Maintenance,_repair,_and_operations" TargetMode="External"/><Relationship Id="rId20" Type="http://schemas.openxmlformats.org/officeDocument/2006/relationships/hyperlink" Target="http://idbdocs.iadb.org/wsdocs/getDocument.aspx?Docnum=38271057" TargetMode="External"/><Relationship Id="rId1" Type="http://schemas.openxmlformats.org/officeDocument/2006/relationships/hyperlink" Target="http://www.diputados.gob.mx/LeyesBiblio/pdf/LGCC.pdf" TargetMode="External"/><Relationship Id="rId6" Type="http://schemas.openxmlformats.org/officeDocument/2006/relationships/hyperlink" Target="http://idbdocs.iadb.org/wsdocs/getDocument.aspx?Docnum=38271052" TargetMode="External"/><Relationship Id="rId11" Type="http://schemas.openxmlformats.org/officeDocument/2006/relationships/hyperlink" Target="http://en.wikipedia.org/wiki/Electricity" TargetMode="External"/><Relationship Id="rId5" Type="http://schemas.openxmlformats.org/officeDocument/2006/relationships/hyperlink" Target="http://en.wikipedia.org/wiki/Nameplate_capacity" TargetMode="External"/><Relationship Id="rId15" Type="http://schemas.openxmlformats.org/officeDocument/2006/relationships/hyperlink" Target="http://en.wikipedia.org/wiki/Fuel" TargetMode="External"/><Relationship Id="rId10" Type="http://schemas.openxmlformats.org/officeDocument/2006/relationships/hyperlink" Target="http://en.wikipedia.org/wiki/Electricity_generation" TargetMode="External"/><Relationship Id="rId19" Type="http://schemas.openxmlformats.org/officeDocument/2006/relationships/hyperlink" Target="http://idbdocs.iadb.org/wsdocs/getDocument.aspx?Docnum=38271060" TargetMode="External"/><Relationship Id="rId4" Type="http://schemas.openxmlformats.org/officeDocument/2006/relationships/hyperlink" Target="http://en.wikipedia.org/wiki/Power_plant" TargetMode="External"/><Relationship Id="rId9" Type="http://schemas.openxmlformats.org/officeDocument/2006/relationships/hyperlink" Target="http://idbdocs.iadb.org/wsdocs/getDocument.aspx?Docnum=38207661" TargetMode="External"/><Relationship Id="rId14" Type="http://schemas.openxmlformats.org/officeDocument/2006/relationships/hyperlink" Target="http://en.wikipedia.org/wiki/Operating_cost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pcarrion\Desktop\ME-L1148.%20An&#225;lisis%20Econ&#243;mic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stacked"/>
        <c:varyColors val="0"/>
        <c:ser>
          <c:idx val="0"/>
          <c:order val="0"/>
          <c:tx>
            <c:strRef>
              <c:f>Sheet1!$B$1</c:f>
              <c:strCache>
                <c:ptCount val="1"/>
                <c:pt idx="0">
                  <c:v>Proven (≥90%)</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CFE (2009)</c:v>
                </c:pt>
                <c:pt idx="1">
                  <c:v>CFE (2011)</c:v>
                </c:pt>
                <c:pt idx="2">
                  <c:v>CFE-BID (2011)</c:v>
                </c:pt>
              </c:strCache>
            </c:strRef>
          </c:cat>
          <c:val>
            <c:numRef>
              <c:f>Sheet1!$B$2:$B$4</c:f>
              <c:numCache>
                <c:formatCode>General</c:formatCode>
                <c:ptCount val="3"/>
                <c:pt idx="0">
                  <c:v>186</c:v>
                </c:pt>
                <c:pt idx="1">
                  <c:v>186</c:v>
                </c:pt>
                <c:pt idx="2">
                  <c:v>186</c:v>
                </c:pt>
              </c:numCache>
            </c:numRef>
          </c:val>
        </c:ser>
        <c:ser>
          <c:idx val="1"/>
          <c:order val="1"/>
          <c:tx>
            <c:strRef>
              <c:f>Sheet1!$C$1</c:f>
              <c:strCache>
                <c:ptCount val="1"/>
                <c:pt idx="0">
                  <c:v>Probable (≥50%)</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CFE (2009)</c:v>
                </c:pt>
                <c:pt idx="1">
                  <c:v>CFE (2011)</c:v>
                </c:pt>
                <c:pt idx="2">
                  <c:v>CFE-BID (2011)</c:v>
                </c:pt>
              </c:strCache>
            </c:strRef>
          </c:cat>
          <c:val>
            <c:numRef>
              <c:f>Sheet1!$C$2:$C$4</c:f>
              <c:numCache>
                <c:formatCode>General</c:formatCode>
                <c:ptCount val="3"/>
                <c:pt idx="0">
                  <c:v>2077</c:v>
                </c:pt>
                <c:pt idx="1">
                  <c:v>1644</c:v>
                </c:pt>
                <c:pt idx="2">
                  <c:v>792</c:v>
                </c:pt>
              </c:numCache>
            </c:numRef>
          </c:val>
        </c:ser>
        <c:ser>
          <c:idx val="2"/>
          <c:order val="2"/>
          <c:tx>
            <c:strRef>
              <c:f>Sheet1!$D$1</c:f>
              <c:strCache>
                <c:ptCount val="1"/>
                <c:pt idx="0">
                  <c:v>Possible (≥10%)</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CFE (2009)</c:v>
                </c:pt>
                <c:pt idx="1">
                  <c:v>CFE (2011)</c:v>
                </c:pt>
                <c:pt idx="2">
                  <c:v>CFE-BID (2011)</c:v>
                </c:pt>
              </c:strCache>
            </c:strRef>
          </c:cat>
          <c:val>
            <c:numRef>
              <c:f>Sheet1!$D$2:$D$4</c:f>
              <c:numCache>
                <c:formatCode>General</c:formatCode>
                <c:ptCount val="3"/>
                <c:pt idx="0">
                  <c:v>7423</c:v>
                </c:pt>
                <c:pt idx="1">
                  <c:v>5692</c:v>
                </c:pt>
                <c:pt idx="2">
                  <c:v>0</c:v>
                </c:pt>
              </c:numCache>
            </c:numRef>
          </c:val>
        </c:ser>
        <c:dLbls>
          <c:showLegendKey val="0"/>
          <c:showVal val="0"/>
          <c:showCatName val="0"/>
          <c:showSerName val="0"/>
          <c:showPercent val="0"/>
          <c:showBubbleSize val="0"/>
        </c:dLbls>
        <c:gapWidth val="55"/>
        <c:overlap val="100"/>
        <c:axId val="60242944"/>
        <c:axId val="60336384"/>
      </c:barChart>
      <c:catAx>
        <c:axId val="60242944"/>
        <c:scaling>
          <c:orientation val="minMax"/>
        </c:scaling>
        <c:delete val="0"/>
        <c:axPos val="b"/>
        <c:majorTickMark val="none"/>
        <c:minorTickMark val="none"/>
        <c:tickLblPos val="nextTo"/>
        <c:crossAx val="60336384"/>
        <c:crosses val="autoZero"/>
        <c:auto val="1"/>
        <c:lblAlgn val="ctr"/>
        <c:lblOffset val="100"/>
        <c:noMultiLvlLbl val="0"/>
      </c:catAx>
      <c:valAx>
        <c:axId val="60336384"/>
        <c:scaling>
          <c:orientation val="minMax"/>
        </c:scaling>
        <c:delete val="0"/>
        <c:axPos val="l"/>
        <c:majorGridlines/>
        <c:numFmt formatCode="General" sourceLinked="1"/>
        <c:majorTickMark val="none"/>
        <c:minorTickMark val="none"/>
        <c:tickLblPos val="nextTo"/>
        <c:crossAx val="6024294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pieChart>
        <c:varyColors val="1"/>
        <c:ser>
          <c:idx val="0"/>
          <c:order val="0"/>
          <c:dLbls>
            <c:showLegendKey val="0"/>
            <c:showVal val="1"/>
            <c:showCatName val="1"/>
            <c:showSerName val="0"/>
            <c:showPercent val="0"/>
            <c:showBubbleSize val="0"/>
            <c:showLeaderLines val="1"/>
          </c:dLbls>
          <c:cat>
            <c:strRef>
              <c:f>'[ME-L1148. Análisis Económico.xlsx]Generación Electricidad 2011'!$D$44:$D$46</c:f>
              <c:strCache>
                <c:ptCount val="3"/>
                <c:pt idx="0">
                  <c:v>Hydro Power</c:v>
                </c:pt>
                <c:pt idx="1">
                  <c:v>Wind Power</c:v>
                </c:pt>
                <c:pt idx="2">
                  <c:v>Solar Energy</c:v>
                </c:pt>
              </c:strCache>
            </c:strRef>
          </c:cat>
          <c:val>
            <c:numRef>
              <c:f>'[ME-L1148. Análisis Económico.xlsx]Generación Electricidad 2011'!$E$44:$E$46</c:f>
              <c:numCache>
                <c:formatCode>0.00%</c:formatCode>
                <c:ptCount val="3"/>
                <c:pt idx="0">
                  <c:v>0.94719172488884895</c:v>
                </c:pt>
                <c:pt idx="1">
                  <c:v>5.27477845325591E-2</c:v>
                </c:pt>
                <c:pt idx="2">
                  <c:v>6.0490578592384201E-5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0717D2-E103-46C2-AD98-C7C96D74E332}" type="doc">
      <dgm:prSet loTypeId="urn:microsoft.com/office/officeart/2005/8/layout/hProcess9" loCatId="process" qsTypeId="urn:microsoft.com/office/officeart/2005/8/quickstyle/simple1" qsCatId="simple" csTypeId="urn:microsoft.com/office/officeart/2005/8/colors/accent1_2" csCatId="accent1" phldr="1"/>
      <dgm:spPr/>
    </dgm:pt>
    <dgm:pt modelId="{DDF1A5FA-2571-4261-9AA6-1E9EB0B5CF70}">
      <dgm:prSet phldrT="[Text]"/>
      <dgm:spPr/>
      <dgm:t>
        <a:bodyPr/>
        <a:lstStyle/>
        <a:p>
          <a:pPr algn="ctr"/>
          <a:r>
            <a:rPr lang="es-ES"/>
            <a:t>Exploration</a:t>
          </a:r>
        </a:p>
      </dgm:t>
    </dgm:pt>
    <dgm:pt modelId="{3E8A7ABC-2DBA-43BE-BFF8-98F0072AB06E}" type="parTrans" cxnId="{B3990CF6-C586-44DE-8253-B585EEBAFE55}">
      <dgm:prSet/>
      <dgm:spPr/>
      <dgm:t>
        <a:bodyPr/>
        <a:lstStyle/>
        <a:p>
          <a:pPr algn="l"/>
          <a:endParaRPr lang="es-ES"/>
        </a:p>
      </dgm:t>
    </dgm:pt>
    <dgm:pt modelId="{27614D0C-166C-4DAE-8733-F835252954C2}" type="sibTrans" cxnId="{B3990CF6-C586-44DE-8253-B585EEBAFE55}">
      <dgm:prSet/>
      <dgm:spPr/>
      <dgm:t>
        <a:bodyPr/>
        <a:lstStyle/>
        <a:p>
          <a:pPr algn="l"/>
          <a:endParaRPr lang="es-ES"/>
        </a:p>
      </dgm:t>
    </dgm:pt>
    <dgm:pt modelId="{328EC960-443F-474F-86D4-512567FBBCA6}">
      <dgm:prSet phldrT="[Text]"/>
      <dgm:spPr/>
      <dgm:t>
        <a:bodyPr/>
        <a:lstStyle/>
        <a:p>
          <a:pPr algn="ctr"/>
          <a:r>
            <a:rPr lang="es-ES"/>
            <a:t>Confirmation and Drilling</a:t>
          </a:r>
        </a:p>
      </dgm:t>
    </dgm:pt>
    <dgm:pt modelId="{252FFFBC-9A28-473E-A97D-D3F404889ED2}" type="parTrans" cxnId="{90A450C7-D366-4121-B3A3-A4ADE76F28BD}">
      <dgm:prSet/>
      <dgm:spPr/>
      <dgm:t>
        <a:bodyPr/>
        <a:lstStyle/>
        <a:p>
          <a:pPr algn="l"/>
          <a:endParaRPr lang="es-ES"/>
        </a:p>
      </dgm:t>
    </dgm:pt>
    <dgm:pt modelId="{67EC1436-02B9-4B76-B407-7A1D4B1DA03D}" type="sibTrans" cxnId="{90A450C7-D366-4121-B3A3-A4ADE76F28BD}">
      <dgm:prSet/>
      <dgm:spPr/>
      <dgm:t>
        <a:bodyPr/>
        <a:lstStyle/>
        <a:p>
          <a:pPr algn="l"/>
          <a:endParaRPr lang="es-ES"/>
        </a:p>
      </dgm:t>
    </dgm:pt>
    <dgm:pt modelId="{FEDC3166-A1C5-46C3-B9F1-544136CEC94E}">
      <dgm:prSet phldrT="[Text]"/>
      <dgm:spPr/>
      <dgm:t>
        <a:bodyPr/>
        <a:lstStyle/>
        <a:p>
          <a:pPr algn="ctr"/>
          <a:r>
            <a:rPr lang="es-ES"/>
            <a:t>Construction</a:t>
          </a:r>
        </a:p>
      </dgm:t>
    </dgm:pt>
    <dgm:pt modelId="{CADBED74-7DDB-4E00-A494-B84B67437FE7}" type="parTrans" cxnId="{E67FE957-1C8D-406B-9DD5-8E22AF6E0CEC}">
      <dgm:prSet/>
      <dgm:spPr/>
      <dgm:t>
        <a:bodyPr/>
        <a:lstStyle/>
        <a:p>
          <a:pPr algn="l"/>
          <a:endParaRPr lang="es-ES"/>
        </a:p>
      </dgm:t>
    </dgm:pt>
    <dgm:pt modelId="{41455FD9-4726-4E5D-9733-02E7A6189BF6}" type="sibTrans" cxnId="{E67FE957-1C8D-406B-9DD5-8E22AF6E0CEC}">
      <dgm:prSet/>
      <dgm:spPr/>
      <dgm:t>
        <a:bodyPr/>
        <a:lstStyle/>
        <a:p>
          <a:pPr algn="l"/>
          <a:endParaRPr lang="es-ES"/>
        </a:p>
      </dgm:t>
    </dgm:pt>
    <dgm:pt modelId="{4FD5D0ED-3FBE-4BF9-8D93-FCA819256DE9}">
      <dgm:prSet phldrT="[Text]"/>
      <dgm:spPr/>
      <dgm:t>
        <a:bodyPr/>
        <a:lstStyle/>
        <a:p>
          <a:pPr algn="l"/>
          <a:r>
            <a:rPr lang="es-ES"/>
            <a:t>Exploration is the initial phase involves locating enough geothermal resources to generate electricity. </a:t>
          </a:r>
        </a:p>
      </dgm:t>
    </dgm:pt>
    <dgm:pt modelId="{6A8E18F8-D314-48F4-859F-8C0CBB5385F9}" type="parTrans" cxnId="{57ED3141-FE5A-4597-96C2-129B67E6711C}">
      <dgm:prSet/>
      <dgm:spPr/>
      <dgm:t>
        <a:bodyPr/>
        <a:lstStyle/>
        <a:p>
          <a:pPr algn="l"/>
          <a:endParaRPr lang="es-ES"/>
        </a:p>
      </dgm:t>
    </dgm:pt>
    <dgm:pt modelId="{05A0D6A4-1673-4E73-ADD7-320A3DCAE191}" type="sibTrans" cxnId="{57ED3141-FE5A-4597-96C2-129B67E6711C}">
      <dgm:prSet/>
      <dgm:spPr/>
      <dgm:t>
        <a:bodyPr/>
        <a:lstStyle/>
        <a:p>
          <a:pPr algn="l"/>
          <a:endParaRPr lang="es-ES"/>
        </a:p>
      </dgm:t>
    </dgm:pt>
    <dgm:pt modelId="{867AE6C5-B97D-48D8-A55E-12C33C9C474A}">
      <dgm:prSet phldrT="[Text]"/>
      <dgm:spPr/>
      <dgm:t>
        <a:bodyPr/>
        <a:lstStyle/>
        <a:p>
          <a:pPr algn="l"/>
          <a:r>
            <a:rPr lang="es-ES"/>
            <a:t>This phase identifies a probable potential</a:t>
          </a:r>
        </a:p>
      </dgm:t>
    </dgm:pt>
    <dgm:pt modelId="{33CC5F09-13EF-46EE-A510-F62E4F89350F}" type="parTrans" cxnId="{4EB3D053-4D76-4AFE-BA9D-2A9427ED426D}">
      <dgm:prSet/>
      <dgm:spPr/>
      <dgm:t>
        <a:bodyPr/>
        <a:lstStyle/>
        <a:p>
          <a:pPr algn="l"/>
          <a:endParaRPr lang="es-ES"/>
        </a:p>
      </dgm:t>
    </dgm:pt>
    <dgm:pt modelId="{819AEB3A-B3E0-4E65-9650-D2F3A5A6E369}" type="sibTrans" cxnId="{4EB3D053-4D76-4AFE-BA9D-2A9427ED426D}">
      <dgm:prSet/>
      <dgm:spPr/>
      <dgm:t>
        <a:bodyPr/>
        <a:lstStyle/>
        <a:p>
          <a:pPr algn="l"/>
          <a:endParaRPr lang="es-ES"/>
        </a:p>
      </dgm:t>
    </dgm:pt>
    <dgm:pt modelId="{7021EE33-11FD-4322-94B7-51BEDFF6C010}">
      <dgm:prSet phldrT="[Text]"/>
      <dgm:spPr/>
      <dgm:t>
        <a:bodyPr/>
        <a:lstStyle/>
        <a:p>
          <a:pPr algn="l"/>
          <a:r>
            <a:rPr lang="es-ES"/>
            <a:t>The confirmation consists of obtaining feasibility to confirm a least 25% of the potential</a:t>
          </a:r>
        </a:p>
      </dgm:t>
    </dgm:pt>
    <dgm:pt modelId="{0FD96684-D9D5-4EA3-BA64-BBA31A05C37B}" type="parTrans" cxnId="{3D04A8B3-BDC6-4427-84D1-960DE9CFD0F7}">
      <dgm:prSet/>
      <dgm:spPr/>
      <dgm:t>
        <a:bodyPr/>
        <a:lstStyle/>
        <a:p>
          <a:pPr algn="l"/>
          <a:endParaRPr lang="es-ES"/>
        </a:p>
      </dgm:t>
    </dgm:pt>
    <dgm:pt modelId="{96F01B51-AFCD-4093-92F6-7F5BC8E8E10D}" type="sibTrans" cxnId="{3D04A8B3-BDC6-4427-84D1-960DE9CFD0F7}">
      <dgm:prSet/>
      <dgm:spPr/>
      <dgm:t>
        <a:bodyPr/>
        <a:lstStyle/>
        <a:p>
          <a:pPr algn="l"/>
          <a:endParaRPr lang="es-ES"/>
        </a:p>
      </dgm:t>
    </dgm:pt>
    <dgm:pt modelId="{E77ADE1A-3FE9-40D2-8D0E-953FC367C698}">
      <dgm:prSet phldrT="[Text]"/>
      <dgm:spPr/>
      <dgm:t>
        <a:bodyPr/>
        <a:lstStyle/>
        <a:p>
          <a:pPr algn="l"/>
          <a:r>
            <a:rPr lang="es-ES"/>
            <a:t>Upon confirmation is carried out  the drilling</a:t>
          </a:r>
        </a:p>
      </dgm:t>
    </dgm:pt>
    <dgm:pt modelId="{A84C392B-02D0-49EC-88AD-0FADAA1CFAEC}" type="parTrans" cxnId="{D474BB68-1A87-4AF1-B46F-18B0393572DC}">
      <dgm:prSet/>
      <dgm:spPr/>
      <dgm:t>
        <a:bodyPr/>
        <a:lstStyle/>
        <a:p>
          <a:pPr algn="l"/>
          <a:endParaRPr lang="es-ES"/>
        </a:p>
      </dgm:t>
    </dgm:pt>
    <dgm:pt modelId="{12DEECDA-FACF-4936-B82B-C90AAD9F4037}" type="sibTrans" cxnId="{D474BB68-1A87-4AF1-B46F-18B0393572DC}">
      <dgm:prSet/>
      <dgm:spPr/>
      <dgm:t>
        <a:bodyPr/>
        <a:lstStyle/>
        <a:p>
          <a:pPr algn="l"/>
          <a:endParaRPr lang="es-ES"/>
        </a:p>
      </dgm:t>
    </dgm:pt>
    <dgm:pt modelId="{A264E9BA-EF87-48F4-9825-19A99E9385F1}">
      <dgm:prSet phldrT="[Text]"/>
      <dgm:spPr/>
      <dgm:t>
        <a:bodyPr/>
        <a:lstStyle/>
        <a:p>
          <a:pPr algn="l"/>
          <a:r>
            <a:rPr lang="es-ES"/>
            <a:t>This phase is to develop a generation plant, as well as the pipes, steam systems and electriciy transmission network</a:t>
          </a:r>
        </a:p>
      </dgm:t>
    </dgm:pt>
    <dgm:pt modelId="{DBB815A3-0BDA-4777-A6EE-7F86CB758073}" type="parTrans" cxnId="{8D4B41CA-AC8C-4D2F-9E5F-44C43BFC355C}">
      <dgm:prSet/>
      <dgm:spPr/>
      <dgm:t>
        <a:bodyPr/>
        <a:lstStyle/>
        <a:p>
          <a:pPr algn="l"/>
          <a:endParaRPr lang="es-ES"/>
        </a:p>
      </dgm:t>
    </dgm:pt>
    <dgm:pt modelId="{94B2DF9B-9CD6-4C9D-918F-A52DEEECCF15}" type="sibTrans" cxnId="{8D4B41CA-AC8C-4D2F-9E5F-44C43BFC355C}">
      <dgm:prSet/>
      <dgm:spPr/>
      <dgm:t>
        <a:bodyPr/>
        <a:lstStyle/>
        <a:p>
          <a:pPr algn="l"/>
          <a:endParaRPr lang="es-ES"/>
        </a:p>
      </dgm:t>
    </dgm:pt>
    <dgm:pt modelId="{7DDBCD11-4C5A-479A-B5F8-9924E86ED458}">
      <dgm:prSet phldrT="[Text]"/>
      <dgm:spPr/>
      <dgm:t>
        <a:bodyPr/>
        <a:lstStyle/>
        <a:p>
          <a:pPr algn="ctr"/>
          <a:r>
            <a:rPr lang="es-ES">
              <a:solidFill>
                <a:schemeClr val="bg1"/>
              </a:solidFill>
            </a:rPr>
            <a:t>Operation &amp; Maintenance</a:t>
          </a:r>
        </a:p>
      </dgm:t>
    </dgm:pt>
    <dgm:pt modelId="{AD2A663B-B9AE-4FB2-B6A8-E18085DF031A}" type="parTrans" cxnId="{C61EEA31-1E32-420C-9196-372C4700CB90}">
      <dgm:prSet/>
      <dgm:spPr/>
      <dgm:t>
        <a:bodyPr/>
        <a:lstStyle/>
        <a:p>
          <a:endParaRPr lang="es-ES"/>
        </a:p>
      </dgm:t>
    </dgm:pt>
    <dgm:pt modelId="{B54DE7CA-1470-41A3-BD65-4A0DEB1CDB45}" type="sibTrans" cxnId="{C61EEA31-1E32-420C-9196-372C4700CB90}">
      <dgm:prSet/>
      <dgm:spPr/>
      <dgm:t>
        <a:bodyPr/>
        <a:lstStyle/>
        <a:p>
          <a:endParaRPr lang="es-ES"/>
        </a:p>
      </dgm:t>
    </dgm:pt>
    <dgm:pt modelId="{E9502990-AF32-4AD3-B537-2440C9E7C7CB}">
      <dgm:prSet phldrT="[Text]"/>
      <dgm:spPr/>
      <dgm:t>
        <a:bodyPr/>
        <a:lstStyle/>
        <a:p>
          <a:pPr algn="l"/>
          <a:r>
            <a:rPr lang="es-ES">
              <a:solidFill>
                <a:schemeClr val="bg1"/>
              </a:solidFill>
            </a:rPr>
            <a:t>This phase consists in the operation and maintenance of the plant throughout life. A key activity in this phase is to clean wells to maintain the productivity</a:t>
          </a:r>
        </a:p>
      </dgm:t>
    </dgm:pt>
    <dgm:pt modelId="{36D5B47B-7EEB-4518-AA4B-60E2BF0D8A84}" type="parTrans" cxnId="{81E04F28-3185-49A1-A151-B79CF824612B}">
      <dgm:prSet/>
      <dgm:spPr/>
      <dgm:t>
        <a:bodyPr/>
        <a:lstStyle/>
        <a:p>
          <a:endParaRPr lang="es-ES"/>
        </a:p>
      </dgm:t>
    </dgm:pt>
    <dgm:pt modelId="{8E4ACB87-A50F-41EC-B5C7-0A2304907958}" type="sibTrans" cxnId="{81E04F28-3185-49A1-A151-B79CF824612B}">
      <dgm:prSet/>
      <dgm:spPr/>
      <dgm:t>
        <a:bodyPr/>
        <a:lstStyle/>
        <a:p>
          <a:endParaRPr lang="es-ES"/>
        </a:p>
      </dgm:t>
    </dgm:pt>
    <dgm:pt modelId="{51EE3534-8F0D-4D3B-AF2F-F65D719EBC28}" type="pres">
      <dgm:prSet presAssocID="{780717D2-E103-46C2-AD98-C7C96D74E332}" presName="CompostProcess" presStyleCnt="0">
        <dgm:presLayoutVars>
          <dgm:dir/>
          <dgm:resizeHandles val="exact"/>
        </dgm:presLayoutVars>
      </dgm:prSet>
      <dgm:spPr/>
    </dgm:pt>
    <dgm:pt modelId="{388DAA31-8405-47F3-AE9B-273564DA5E8F}" type="pres">
      <dgm:prSet presAssocID="{780717D2-E103-46C2-AD98-C7C96D74E332}" presName="arrow" presStyleLbl="bgShp" presStyleIdx="0" presStyleCnt="1"/>
      <dgm:spPr/>
    </dgm:pt>
    <dgm:pt modelId="{C45F54FE-54AC-4E28-AAA9-345E9E1767C7}" type="pres">
      <dgm:prSet presAssocID="{780717D2-E103-46C2-AD98-C7C96D74E332}" presName="linearProcess" presStyleCnt="0"/>
      <dgm:spPr/>
    </dgm:pt>
    <dgm:pt modelId="{D6EEB9C7-24E9-4E75-8F58-2FB5F0B328A1}" type="pres">
      <dgm:prSet presAssocID="{DDF1A5FA-2571-4261-9AA6-1E9EB0B5CF70}" presName="textNode" presStyleLbl="node1" presStyleIdx="0" presStyleCnt="4">
        <dgm:presLayoutVars>
          <dgm:bulletEnabled val="1"/>
        </dgm:presLayoutVars>
      </dgm:prSet>
      <dgm:spPr/>
      <dgm:t>
        <a:bodyPr/>
        <a:lstStyle/>
        <a:p>
          <a:endParaRPr lang="es-ES"/>
        </a:p>
      </dgm:t>
    </dgm:pt>
    <dgm:pt modelId="{E70AD431-E3B9-467A-9624-47AB9A13E93E}" type="pres">
      <dgm:prSet presAssocID="{27614D0C-166C-4DAE-8733-F835252954C2}" presName="sibTrans" presStyleCnt="0"/>
      <dgm:spPr/>
    </dgm:pt>
    <dgm:pt modelId="{44A296CF-E435-4A25-9861-CDA0C4E787E8}" type="pres">
      <dgm:prSet presAssocID="{328EC960-443F-474F-86D4-512567FBBCA6}" presName="textNode" presStyleLbl="node1" presStyleIdx="1" presStyleCnt="4">
        <dgm:presLayoutVars>
          <dgm:bulletEnabled val="1"/>
        </dgm:presLayoutVars>
      </dgm:prSet>
      <dgm:spPr/>
      <dgm:t>
        <a:bodyPr/>
        <a:lstStyle/>
        <a:p>
          <a:endParaRPr lang="es-ES"/>
        </a:p>
      </dgm:t>
    </dgm:pt>
    <dgm:pt modelId="{E222B3D7-5901-4DC1-A13A-AA2CC96E64B9}" type="pres">
      <dgm:prSet presAssocID="{67EC1436-02B9-4B76-B407-7A1D4B1DA03D}" presName="sibTrans" presStyleCnt="0"/>
      <dgm:spPr/>
    </dgm:pt>
    <dgm:pt modelId="{4CD5F67A-9255-48C4-99C5-18C2BE4924E1}" type="pres">
      <dgm:prSet presAssocID="{FEDC3166-A1C5-46C3-B9F1-544136CEC94E}" presName="textNode" presStyleLbl="node1" presStyleIdx="2" presStyleCnt="4">
        <dgm:presLayoutVars>
          <dgm:bulletEnabled val="1"/>
        </dgm:presLayoutVars>
      </dgm:prSet>
      <dgm:spPr/>
      <dgm:t>
        <a:bodyPr/>
        <a:lstStyle/>
        <a:p>
          <a:endParaRPr lang="es-ES"/>
        </a:p>
      </dgm:t>
    </dgm:pt>
    <dgm:pt modelId="{EA3F0417-DBE8-420A-8F1F-543FEF74FB55}" type="pres">
      <dgm:prSet presAssocID="{41455FD9-4726-4E5D-9733-02E7A6189BF6}" presName="sibTrans" presStyleCnt="0"/>
      <dgm:spPr/>
    </dgm:pt>
    <dgm:pt modelId="{05963B80-4397-43C9-B57A-ABA0B2D5F2ED}" type="pres">
      <dgm:prSet presAssocID="{7DDBCD11-4C5A-479A-B5F8-9924E86ED458}" presName="textNode" presStyleLbl="node1" presStyleIdx="3" presStyleCnt="4">
        <dgm:presLayoutVars>
          <dgm:bulletEnabled val="1"/>
        </dgm:presLayoutVars>
      </dgm:prSet>
      <dgm:spPr/>
      <dgm:t>
        <a:bodyPr/>
        <a:lstStyle/>
        <a:p>
          <a:endParaRPr lang="es-ES"/>
        </a:p>
      </dgm:t>
    </dgm:pt>
  </dgm:ptLst>
  <dgm:cxnLst>
    <dgm:cxn modelId="{092A02D1-2CD2-430B-BFF5-66CA20D2A1A6}" type="presOf" srcId="{7DDBCD11-4C5A-479A-B5F8-9924E86ED458}" destId="{05963B80-4397-43C9-B57A-ABA0B2D5F2ED}" srcOrd="0" destOrd="0" presId="urn:microsoft.com/office/officeart/2005/8/layout/hProcess9"/>
    <dgm:cxn modelId="{D474BB68-1A87-4AF1-B46F-18B0393572DC}" srcId="{328EC960-443F-474F-86D4-512567FBBCA6}" destId="{E77ADE1A-3FE9-40D2-8D0E-953FC367C698}" srcOrd="1" destOrd="0" parTransId="{A84C392B-02D0-49EC-88AD-0FADAA1CFAEC}" sibTransId="{12DEECDA-FACF-4936-B82B-C90AAD9F4037}"/>
    <dgm:cxn modelId="{57ED3141-FE5A-4597-96C2-129B67E6711C}" srcId="{DDF1A5FA-2571-4261-9AA6-1E9EB0B5CF70}" destId="{4FD5D0ED-3FBE-4BF9-8D93-FCA819256DE9}" srcOrd="0" destOrd="0" parTransId="{6A8E18F8-D314-48F4-859F-8C0CBB5385F9}" sibTransId="{05A0D6A4-1673-4E73-ADD7-320A3DCAE191}"/>
    <dgm:cxn modelId="{81E04F28-3185-49A1-A151-B79CF824612B}" srcId="{7DDBCD11-4C5A-479A-B5F8-9924E86ED458}" destId="{E9502990-AF32-4AD3-B537-2440C9E7C7CB}" srcOrd="0" destOrd="0" parTransId="{36D5B47B-7EEB-4518-AA4B-60E2BF0D8A84}" sibTransId="{8E4ACB87-A50F-41EC-B5C7-0A2304907958}"/>
    <dgm:cxn modelId="{B3990CF6-C586-44DE-8253-B585EEBAFE55}" srcId="{780717D2-E103-46C2-AD98-C7C96D74E332}" destId="{DDF1A5FA-2571-4261-9AA6-1E9EB0B5CF70}" srcOrd="0" destOrd="0" parTransId="{3E8A7ABC-2DBA-43BE-BFF8-98F0072AB06E}" sibTransId="{27614D0C-166C-4DAE-8733-F835252954C2}"/>
    <dgm:cxn modelId="{B08EB255-8532-4693-9CE8-80BE09D7ED82}" type="presOf" srcId="{867AE6C5-B97D-48D8-A55E-12C33C9C474A}" destId="{D6EEB9C7-24E9-4E75-8F58-2FB5F0B328A1}" srcOrd="0" destOrd="2" presId="urn:microsoft.com/office/officeart/2005/8/layout/hProcess9"/>
    <dgm:cxn modelId="{C61EEA31-1E32-420C-9196-372C4700CB90}" srcId="{780717D2-E103-46C2-AD98-C7C96D74E332}" destId="{7DDBCD11-4C5A-479A-B5F8-9924E86ED458}" srcOrd="3" destOrd="0" parTransId="{AD2A663B-B9AE-4FB2-B6A8-E18085DF031A}" sibTransId="{B54DE7CA-1470-41A3-BD65-4A0DEB1CDB45}"/>
    <dgm:cxn modelId="{E67FE957-1C8D-406B-9DD5-8E22AF6E0CEC}" srcId="{780717D2-E103-46C2-AD98-C7C96D74E332}" destId="{FEDC3166-A1C5-46C3-B9F1-544136CEC94E}" srcOrd="2" destOrd="0" parTransId="{CADBED74-7DDB-4E00-A494-B84B67437FE7}" sibTransId="{41455FD9-4726-4E5D-9733-02E7A6189BF6}"/>
    <dgm:cxn modelId="{660AEA08-5B0C-4F98-B801-D42641CC2951}" type="presOf" srcId="{780717D2-E103-46C2-AD98-C7C96D74E332}" destId="{51EE3534-8F0D-4D3B-AF2F-F65D719EBC28}" srcOrd="0" destOrd="0" presId="urn:microsoft.com/office/officeart/2005/8/layout/hProcess9"/>
    <dgm:cxn modelId="{CC11C1F5-DC4C-4DF0-A674-92F22EBDC219}" type="presOf" srcId="{FEDC3166-A1C5-46C3-B9F1-544136CEC94E}" destId="{4CD5F67A-9255-48C4-99C5-18C2BE4924E1}" srcOrd="0" destOrd="0" presId="urn:microsoft.com/office/officeart/2005/8/layout/hProcess9"/>
    <dgm:cxn modelId="{3D04A8B3-BDC6-4427-84D1-960DE9CFD0F7}" srcId="{328EC960-443F-474F-86D4-512567FBBCA6}" destId="{7021EE33-11FD-4322-94B7-51BEDFF6C010}" srcOrd="0" destOrd="0" parTransId="{0FD96684-D9D5-4EA3-BA64-BBA31A05C37B}" sibTransId="{96F01B51-AFCD-4093-92F6-7F5BC8E8E10D}"/>
    <dgm:cxn modelId="{90A450C7-D366-4121-B3A3-A4ADE76F28BD}" srcId="{780717D2-E103-46C2-AD98-C7C96D74E332}" destId="{328EC960-443F-474F-86D4-512567FBBCA6}" srcOrd="1" destOrd="0" parTransId="{252FFFBC-9A28-473E-A97D-D3F404889ED2}" sibTransId="{67EC1436-02B9-4B76-B407-7A1D4B1DA03D}"/>
    <dgm:cxn modelId="{4EB3D053-4D76-4AFE-BA9D-2A9427ED426D}" srcId="{DDF1A5FA-2571-4261-9AA6-1E9EB0B5CF70}" destId="{867AE6C5-B97D-48D8-A55E-12C33C9C474A}" srcOrd="1" destOrd="0" parTransId="{33CC5F09-13EF-46EE-A510-F62E4F89350F}" sibTransId="{819AEB3A-B3E0-4E65-9650-D2F3A5A6E369}"/>
    <dgm:cxn modelId="{8D4B41CA-AC8C-4D2F-9E5F-44C43BFC355C}" srcId="{FEDC3166-A1C5-46C3-B9F1-544136CEC94E}" destId="{A264E9BA-EF87-48F4-9825-19A99E9385F1}" srcOrd="0" destOrd="0" parTransId="{DBB815A3-0BDA-4777-A6EE-7F86CB758073}" sibTransId="{94B2DF9B-9CD6-4C9D-918F-A52DEEECCF15}"/>
    <dgm:cxn modelId="{E7709122-C060-407F-A385-5E5963A6D930}" type="presOf" srcId="{E9502990-AF32-4AD3-B537-2440C9E7C7CB}" destId="{05963B80-4397-43C9-B57A-ABA0B2D5F2ED}" srcOrd="0" destOrd="1" presId="urn:microsoft.com/office/officeart/2005/8/layout/hProcess9"/>
    <dgm:cxn modelId="{642E4406-A740-4BE6-9B2D-B007F6E86591}" type="presOf" srcId="{A264E9BA-EF87-48F4-9825-19A99E9385F1}" destId="{4CD5F67A-9255-48C4-99C5-18C2BE4924E1}" srcOrd="0" destOrd="1" presId="urn:microsoft.com/office/officeart/2005/8/layout/hProcess9"/>
    <dgm:cxn modelId="{AD96BCF3-90FE-4B28-8D72-DB4580B83580}" type="presOf" srcId="{328EC960-443F-474F-86D4-512567FBBCA6}" destId="{44A296CF-E435-4A25-9861-CDA0C4E787E8}" srcOrd="0" destOrd="0" presId="urn:microsoft.com/office/officeart/2005/8/layout/hProcess9"/>
    <dgm:cxn modelId="{D0915E36-47AF-462C-9223-45402CE4ED01}" type="presOf" srcId="{DDF1A5FA-2571-4261-9AA6-1E9EB0B5CF70}" destId="{D6EEB9C7-24E9-4E75-8F58-2FB5F0B328A1}" srcOrd="0" destOrd="0" presId="urn:microsoft.com/office/officeart/2005/8/layout/hProcess9"/>
    <dgm:cxn modelId="{C44D9703-BF75-4166-929B-9672170ECAB4}" type="presOf" srcId="{7021EE33-11FD-4322-94B7-51BEDFF6C010}" destId="{44A296CF-E435-4A25-9861-CDA0C4E787E8}" srcOrd="0" destOrd="1" presId="urn:microsoft.com/office/officeart/2005/8/layout/hProcess9"/>
    <dgm:cxn modelId="{AD19E162-762A-46E8-B1CD-99997CD633C0}" type="presOf" srcId="{4FD5D0ED-3FBE-4BF9-8D93-FCA819256DE9}" destId="{D6EEB9C7-24E9-4E75-8F58-2FB5F0B328A1}" srcOrd="0" destOrd="1" presId="urn:microsoft.com/office/officeart/2005/8/layout/hProcess9"/>
    <dgm:cxn modelId="{66FD367E-351C-40DD-8F71-03AB31C58F2B}" type="presOf" srcId="{E77ADE1A-3FE9-40D2-8D0E-953FC367C698}" destId="{44A296CF-E435-4A25-9861-CDA0C4E787E8}" srcOrd="0" destOrd="2" presId="urn:microsoft.com/office/officeart/2005/8/layout/hProcess9"/>
    <dgm:cxn modelId="{262176FF-D8AC-4251-B76E-12116A1A9E34}" type="presParOf" srcId="{51EE3534-8F0D-4D3B-AF2F-F65D719EBC28}" destId="{388DAA31-8405-47F3-AE9B-273564DA5E8F}" srcOrd="0" destOrd="0" presId="urn:microsoft.com/office/officeart/2005/8/layout/hProcess9"/>
    <dgm:cxn modelId="{2CEF09E7-885A-47D5-B817-762E72EEEC22}" type="presParOf" srcId="{51EE3534-8F0D-4D3B-AF2F-F65D719EBC28}" destId="{C45F54FE-54AC-4E28-AAA9-345E9E1767C7}" srcOrd="1" destOrd="0" presId="urn:microsoft.com/office/officeart/2005/8/layout/hProcess9"/>
    <dgm:cxn modelId="{342DFDBE-4E41-4E88-B9DD-3BFA00066E4F}" type="presParOf" srcId="{C45F54FE-54AC-4E28-AAA9-345E9E1767C7}" destId="{D6EEB9C7-24E9-4E75-8F58-2FB5F0B328A1}" srcOrd="0" destOrd="0" presId="urn:microsoft.com/office/officeart/2005/8/layout/hProcess9"/>
    <dgm:cxn modelId="{48620B14-5656-47E1-A775-C63747BA623D}" type="presParOf" srcId="{C45F54FE-54AC-4E28-AAA9-345E9E1767C7}" destId="{E70AD431-E3B9-467A-9624-47AB9A13E93E}" srcOrd="1" destOrd="0" presId="urn:microsoft.com/office/officeart/2005/8/layout/hProcess9"/>
    <dgm:cxn modelId="{6B4889D1-FD74-4F9D-862B-9872BFDF3032}" type="presParOf" srcId="{C45F54FE-54AC-4E28-AAA9-345E9E1767C7}" destId="{44A296CF-E435-4A25-9861-CDA0C4E787E8}" srcOrd="2" destOrd="0" presId="urn:microsoft.com/office/officeart/2005/8/layout/hProcess9"/>
    <dgm:cxn modelId="{7DA49283-C46C-4713-9A75-FBC310AFBF3D}" type="presParOf" srcId="{C45F54FE-54AC-4E28-AAA9-345E9E1767C7}" destId="{E222B3D7-5901-4DC1-A13A-AA2CC96E64B9}" srcOrd="3" destOrd="0" presId="urn:microsoft.com/office/officeart/2005/8/layout/hProcess9"/>
    <dgm:cxn modelId="{CC15A1BB-526E-4D23-86FE-C035722BDEAF}" type="presParOf" srcId="{C45F54FE-54AC-4E28-AAA9-345E9E1767C7}" destId="{4CD5F67A-9255-48C4-99C5-18C2BE4924E1}" srcOrd="4" destOrd="0" presId="urn:microsoft.com/office/officeart/2005/8/layout/hProcess9"/>
    <dgm:cxn modelId="{708D7C18-409C-4C57-9407-54C1B03529AC}" type="presParOf" srcId="{C45F54FE-54AC-4E28-AAA9-345E9E1767C7}" destId="{EA3F0417-DBE8-420A-8F1F-543FEF74FB55}" srcOrd="5" destOrd="0" presId="urn:microsoft.com/office/officeart/2005/8/layout/hProcess9"/>
    <dgm:cxn modelId="{51BB8DC3-ACD8-46F5-9351-64011C9E1917}" type="presParOf" srcId="{C45F54FE-54AC-4E28-AAA9-345E9E1767C7}" destId="{05963B80-4397-43C9-B57A-ABA0B2D5F2ED}" srcOrd="6" destOrd="0" presId="urn:microsoft.com/office/officeart/2005/8/layout/hProcess9"/>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8DAA31-8405-47F3-AE9B-273564DA5E8F}">
      <dsp:nvSpPr>
        <dsp:cNvPr id="0" name=""/>
        <dsp:cNvSpPr/>
      </dsp:nvSpPr>
      <dsp:spPr>
        <a:xfrm>
          <a:off x="509349" y="0"/>
          <a:ext cx="5772626" cy="2124074"/>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6EEB9C7-24E9-4E75-8F58-2FB5F0B328A1}">
      <dsp:nvSpPr>
        <dsp:cNvPr id="0" name=""/>
        <dsp:cNvSpPr/>
      </dsp:nvSpPr>
      <dsp:spPr>
        <a:xfrm>
          <a:off x="3398" y="637222"/>
          <a:ext cx="1634825" cy="84963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es-ES" sz="900" kern="1200"/>
            <a:t>Exploration</a:t>
          </a:r>
        </a:p>
        <a:p>
          <a:pPr marL="57150" lvl="1" indent="-57150" algn="l" defTabSz="311150">
            <a:lnSpc>
              <a:spcPct val="90000"/>
            </a:lnSpc>
            <a:spcBef>
              <a:spcPct val="0"/>
            </a:spcBef>
            <a:spcAft>
              <a:spcPct val="15000"/>
            </a:spcAft>
            <a:buChar char="••"/>
          </a:pPr>
          <a:r>
            <a:rPr lang="es-ES" sz="700" kern="1200"/>
            <a:t>Exploration is the initial phase involves locating enough geothermal resources to generate electricity. </a:t>
          </a:r>
        </a:p>
        <a:p>
          <a:pPr marL="57150" lvl="1" indent="-57150" algn="l" defTabSz="311150">
            <a:lnSpc>
              <a:spcPct val="90000"/>
            </a:lnSpc>
            <a:spcBef>
              <a:spcPct val="0"/>
            </a:spcBef>
            <a:spcAft>
              <a:spcPct val="15000"/>
            </a:spcAft>
            <a:buChar char="••"/>
          </a:pPr>
          <a:r>
            <a:rPr lang="es-ES" sz="700" kern="1200"/>
            <a:t>This phase identifies a probable potential</a:t>
          </a:r>
        </a:p>
      </dsp:txBody>
      <dsp:txXfrm>
        <a:off x="44874" y="678698"/>
        <a:ext cx="1551873" cy="766678"/>
      </dsp:txXfrm>
    </dsp:sp>
    <dsp:sp modelId="{44A296CF-E435-4A25-9861-CDA0C4E787E8}">
      <dsp:nvSpPr>
        <dsp:cNvPr id="0" name=""/>
        <dsp:cNvSpPr/>
      </dsp:nvSpPr>
      <dsp:spPr>
        <a:xfrm>
          <a:off x="1719966" y="637222"/>
          <a:ext cx="1634825" cy="84963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es-ES" sz="900" kern="1200"/>
            <a:t>Confirmation and Drilling</a:t>
          </a:r>
        </a:p>
        <a:p>
          <a:pPr marL="57150" lvl="1" indent="-57150" algn="l" defTabSz="311150">
            <a:lnSpc>
              <a:spcPct val="90000"/>
            </a:lnSpc>
            <a:spcBef>
              <a:spcPct val="0"/>
            </a:spcBef>
            <a:spcAft>
              <a:spcPct val="15000"/>
            </a:spcAft>
            <a:buChar char="••"/>
          </a:pPr>
          <a:r>
            <a:rPr lang="es-ES" sz="700" kern="1200"/>
            <a:t>The confirmation consists of obtaining feasibility to confirm a least 25% of the potential</a:t>
          </a:r>
        </a:p>
        <a:p>
          <a:pPr marL="57150" lvl="1" indent="-57150" algn="l" defTabSz="311150">
            <a:lnSpc>
              <a:spcPct val="90000"/>
            </a:lnSpc>
            <a:spcBef>
              <a:spcPct val="0"/>
            </a:spcBef>
            <a:spcAft>
              <a:spcPct val="15000"/>
            </a:spcAft>
            <a:buChar char="••"/>
          </a:pPr>
          <a:r>
            <a:rPr lang="es-ES" sz="700" kern="1200"/>
            <a:t>Upon confirmation is carried out  the drilling</a:t>
          </a:r>
        </a:p>
      </dsp:txBody>
      <dsp:txXfrm>
        <a:off x="1761442" y="678698"/>
        <a:ext cx="1551873" cy="766678"/>
      </dsp:txXfrm>
    </dsp:sp>
    <dsp:sp modelId="{4CD5F67A-9255-48C4-99C5-18C2BE4924E1}">
      <dsp:nvSpPr>
        <dsp:cNvPr id="0" name=""/>
        <dsp:cNvSpPr/>
      </dsp:nvSpPr>
      <dsp:spPr>
        <a:xfrm>
          <a:off x="3436533" y="637222"/>
          <a:ext cx="1634825" cy="84963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es-ES" sz="900" kern="1200"/>
            <a:t>Construction</a:t>
          </a:r>
        </a:p>
        <a:p>
          <a:pPr marL="57150" lvl="1" indent="-57150" algn="l" defTabSz="311150">
            <a:lnSpc>
              <a:spcPct val="90000"/>
            </a:lnSpc>
            <a:spcBef>
              <a:spcPct val="0"/>
            </a:spcBef>
            <a:spcAft>
              <a:spcPct val="15000"/>
            </a:spcAft>
            <a:buChar char="••"/>
          </a:pPr>
          <a:r>
            <a:rPr lang="es-ES" sz="700" kern="1200"/>
            <a:t>This phase is to develop a generation plant, as well as the pipes, steam systems and electriciy transmission network</a:t>
          </a:r>
        </a:p>
      </dsp:txBody>
      <dsp:txXfrm>
        <a:off x="3478009" y="678698"/>
        <a:ext cx="1551873" cy="766678"/>
      </dsp:txXfrm>
    </dsp:sp>
    <dsp:sp modelId="{05963B80-4397-43C9-B57A-ABA0B2D5F2ED}">
      <dsp:nvSpPr>
        <dsp:cNvPr id="0" name=""/>
        <dsp:cNvSpPr/>
      </dsp:nvSpPr>
      <dsp:spPr>
        <a:xfrm>
          <a:off x="5153100" y="637222"/>
          <a:ext cx="1634825" cy="84963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es-ES" sz="900" kern="1200">
              <a:solidFill>
                <a:schemeClr val="bg1"/>
              </a:solidFill>
            </a:rPr>
            <a:t>Operation &amp; Maintenance</a:t>
          </a:r>
        </a:p>
        <a:p>
          <a:pPr marL="57150" lvl="1" indent="-57150" algn="l" defTabSz="311150">
            <a:lnSpc>
              <a:spcPct val="90000"/>
            </a:lnSpc>
            <a:spcBef>
              <a:spcPct val="0"/>
            </a:spcBef>
            <a:spcAft>
              <a:spcPct val="15000"/>
            </a:spcAft>
            <a:buChar char="••"/>
          </a:pPr>
          <a:r>
            <a:rPr lang="es-ES" sz="700" kern="1200">
              <a:solidFill>
                <a:schemeClr val="bg1"/>
              </a:solidFill>
            </a:rPr>
            <a:t>This phase consists in the operation and maintenance of the plant throughout life. A key activity in this phase is to clean wells to maintain the productivity</a:t>
          </a:r>
        </a:p>
      </dsp:txBody>
      <dsp:txXfrm>
        <a:off x="5194576" y="678698"/>
        <a:ext cx="1551873" cy="76667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D4FDD7318C8D624887169A1C5B6D70CD" ma:contentTypeVersion="0" ma:contentTypeDescription="A content type to manage public (operations) IDB documents" ma:contentTypeScope="" ma:versionID="3e230268bc71c9d5f76293deb83a193e">
  <xsd:schema xmlns:xsd="http://www.w3.org/2001/XMLSchema" xmlns:xs="http://www.w3.org/2001/XMLSchema" xmlns:p="http://schemas.microsoft.com/office/2006/metadata/properties" xmlns:ns2="9c571b2f-e523-4ab2-ba2e-09e151a03ef4" targetNamespace="http://schemas.microsoft.com/office/2006/metadata/properties" ma:root="true" ma:fieldsID="ebb5fd44a89893b2e66dbca55ddad20f"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c25bbe4-624b-4571-a17c-810db895c48b}" ma:internalName="TaxCatchAll" ma:showField="CatchAllData" ma:web="4df2ab2d-6b37-4328-8924-3f1c985b9b9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c25bbe4-624b-4571-a17c-810db895c48b}" ma:internalName="TaxCatchAllLabel" ma:readOnly="true" ma:showField="CatchAllDataLabel" ma:web="4df2ab2d-6b37-4328-8924-3f1c985b9b98">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IFD/CMF</Division_x0020_or_x0020_Unit>
    <Other_x0020_Author xmlns="9c571b2f-e523-4ab2-ba2e-09e151a03ef4" xsi:nil="true"/>
    <Region xmlns="9c571b2f-e523-4ab2-ba2e-09e151a03ef4" xsi:nil="true"/>
    <IDBDocs_x0020_Number xmlns="9c571b2f-e523-4ab2-ba2e-09e151a03ef4">38349576</IDBDocs_x0020_Number>
    <Document_x0020_Author xmlns="9c571b2f-e523-4ab2-ba2e-09e151a03ef4">Carrion Florez, Pablo</Document_x0020_Author>
    <Publication_x0020_Type xmlns="9c571b2f-e523-4ab2-ba2e-09e151a03ef4" xsi:nil="true"/>
    <Operation_x0020_Type xmlns="9c571b2f-e523-4ab2-ba2e-09e151a03ef4" xsi:nil="true"/>
    <TaxCatchAll xmlns="9c571b2f-e523-4ab2-ba2e-09e151a03ef4">
      <Value>5</Value>
      <Value>4</Value>
    </TaxCatchAll>
    <Fiscal_x0020_Year_x0020_IDB xmlns="9c571b2f-e523-4ab2-ba2e-09e151a03ef4">2015</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ME-G1005,ME-L1148,ME-X1010</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Proposal&lt;/USER_STAGE&gt;&lt;APPROVAL_CODE&gt;DE&lt;/APPROVAL_CODE&gt;&lt;APPROVAL_DESC&gt;Board of Executive Directors&lt;/APPROVAL_DESC&gt;&lt;PD_OBJ_TYPE&gt;0&lt;/PD_OBJ_TYPE&gt;&lt;MAKERECORD&gt;Y&lt;/MAKERECORD&gt;&lt;/Data&gt;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AG-ADM</Webtopic>
    <Identifier xmlns="9c571b2f-e523-4ab2-ba2e-09e151a03ef4"> ANNEX</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4D7B40B6-C2FD-4E85-AB02-028556E89656}"/>
</file>

<file path=customXml/itemProps2.xml><?xml version="1.0" encoding="utf-8"?>
<ds:datastoreItem xmlns:ds="http://schemas.openxmlformats.org/officeDocument/2006/customXml" ds:itemID="{B43D75D3-9DCB-4EF3-AAAB-F9EE26F4BCEF}"/>
</file>

<file path=customXml/itemProps3.xml><?xml version="1.0" encoding="utf-8"?>
<ds:datastoreItem xmlns:ds="http://schemas.openxmlformats.org/officeDocument/2006/customXml" ds:itemID="{B1BFE272-FB38-46C6-AA89-C2A0B3E155BA}"/>
</file>

<file path=customXml/itemProps4.xml><?xml version="1.0" encoding="utf-8"?>
<ds:datastoreItem xmlns:ds="http://schemas.openxmlformats.org/officeDocument/2006/customXml" ds:itemID="{6F4CE44C-AF70-43FD-BB8F-4D54578CCBBF}"/>
</file>

<file path=customXml/itemProps5.xml><?xml version="1.0" encoding="utf-8"?>
<ds:datastoreItem xmlns:ds="http://schemas.openxmlformats.org/officeDocument/2006/customXml" ds:itemID="{A191FCA5-00C6-4379-BFAD-5396D5F513AA}"/>
</file>

<file path=customXml/itemProps6.xml><?xml version="1.0" encoding="utf-8"?>
<ds:datastoreItem xmlns:ds="http://schemas.openxmlformats.org/officeDocument/2006/customXml" ds:itemID="{F2386E0F-290A-48A8-B92E-FE21BD331F72}"/>
</file>

<file path=docProps/app.xml><?xml version="1.0" encoding="utf-8"?>
<Properties xmlns="http://schemas.openxmlformats.org/officeDocument/2006/extended-properties" xmlns:vt="http://schemas.openxmlformats.org/officeDocument/2006/docPropsVTypes">
  <Template>Normal.dotm</Template>
  <TotalTime>0</TotalTime>
  <Pages>26</Pages>
  <Words>5357</Words>
  <Characters>30535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35821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Optional Link_ Economic Analysis</dc:title>
  <dc:creator>Test</dc:creator>
  <cp:lastModifiedBy>Test</cp:lastModifiedBy>
  <cp:revision>4</cp:revision>
  <dcterms:created xsi:type="dcterms:W3CDTF">2014-04-03T23:53:00Z</dcterms:created>
  <dcterms:modified xsi:type="dcterms:W3CDTF">2014-04-18T15:47:00Z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0x01010046CF21643EE8D14686A648AA6DAD089200D4FDD7318C8D624887169A1C5B6D70CD</vt:lpwstr>
  </property>
  <property fmtid="{D5CDD505-2E9C-101B-9397-08002B2CF9AE}" pid="5" name="TaxKeywordTaxHTField">
    <vt:lpwstr/>
  </property>
  <property fmtid="{D5CDD505-2E9C-101B-9397-08002B2CF9AE}" pid="6" name="Series Operations IDB">
    <vt:lpwstr>4;#Unclassified|a6dff32e-d477-44cd-a56b-85efe9e0a56c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4;#Unclassified|a6dff32e-d477-44cd-a56b-85efe9e0a56c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5;#IDBDocs|cca77002-e150-4b2d-ab1f-1d7a7cdcae16</vt:lpwstr>
  </property>
</Properties>
</file>